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4DE4DF" w14:textId="77777777" w:rsidR="00DB68BF" w:rsidRDefault="00BF2199">
      <w:pPr>
        <w:tabs>
          <w:tab w:val="left" w:pos="2235"/>
          <w:tab w:val="left" w:pos="6964"/>
        </w:tabs>
        <w:ind w:left="305"/>
        <w:rPr>
          <w:sz w:val="20"/>
          <w:szCs w:val="20"/>
        </w:rPr>
      </w:pPr>
      <w:r>
        <w:rPr>
          <w:noProof/>
          <w:sz w:val="33"/>
          <w:szCs w:val="33"/>
          <w:vertAlign w:val="superscript"/>
        </w:rPr>
        <w:drawing>
          <wp:inline distT="0" distB="0" distL="0" distR="0" wp14:anchorId="464DE5C7" wp14:editId="464DE5C8">
            <wp:extent cx="883631" cy="708278"/>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883631" cy="708278"/>
                    </a:xfrm>
                    <a:prstGeom prst="rect">
                      <a:avLst/>
                    </a:prstGeom>
                    <a:ln/>
                  </pic:spPr>
                </pic:pic>
              </a:graphicData>
            </a:graphic>
          </wp:inline>
        </w:drawing>
      </w:r>
      <w:r>
        <w:rPr>
          <w:sz w:val="33"/>
          <w:szCs w:val="33"/>
          <w:vertAlign w:val="superscript"/>
        </w:rPr>
        <w:tab/>
      </w:r>
      <w:r>
        <w:rPr>
          <w:noProof/>
          <w:sz w:val="33"/>
          <w:szCs w:val="33"/>
          <w:vertAlign w:val="superscript"/>
        </w:rPr>
        <w:drawing>
          <wp:inline distT="0" distB="0" distL="0" distR="0" wp14:anchorId="464DE5C9" wp14:editId="464DE5CA">
            <wp:extent cx="1004762" cy="754189"/>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1004762" cy="754189"/>
                    </a:xfrm>
                    <a:prstGeom prst="rect">
                      <a:avLst/>
                    </a:prstGeom>
                    <a:ln/>
                  </pic:spPr>
                </pic:pic>
              </a:graphicData>
            </a:graphic>
          </wp:inline>
        </w:drawing>
      </w:r>
      <w:r>
        <w:rPr>
          <w:sz w:val="33"/>
          <w:szCs w:val="33"/>
          <w:vertAlign w:val="superscript"/>
        </w:rPr>
        <w:tab/>
      </w:r>
      <w:r>
        <w:rPr>
          <w:noProof/>
          <w:sz w:val="33"/>
          <w:szCs w:val="33"/>
          <w:vertAlign w:val="superscript"/>
        </w:rPr>
        <w:drawing>
          <wp:inline distT="0" distB="0" distL="0" distR="0" wp14:anchorId="464DE5CB" wp14:editId="464DE5CC">
            <wp:extent cx="1828800" cy="719455"/>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1828800" cy="719455"/>
                    </a:xfrm>
                    <a:prstGeom prst="rect">
                      <a:avLst/>
                    </a:prstGeom>
                    <a:ln/>
                  </pic:spPr>
                </pic:pic>
              </a:graphicData>
            </a:graphic>
          </wp:inline>
        </w:drawing>
      </w:r>
    </w:p>
    <w:p w14:paraId="464DE4E0" w14:textId="77777777" w:rsidR="00DB68BF" w:rsidRDefault="00DB68BF">
      <w:pPr>
        <w:pBdr>
          <w:top w:val="nil"/>
          <w:left w:val="nil"/>
          <w:bottom w:val="nil"/>
          <w:right w:val="nil"/>
          <w:between w:val="nil"/>
        </w:pBdr>
        <w:rPr>
          <w:color w:val="000000"/>
          <w:sz w:val="20"/>
          <w:szCs w:val="20"/>
        </w:rPr>
      </w:pPr>
    </w:p>
    <w:p w14:paraId="464DE4E1" w14:textId="77777777" w:rsidR="00DB68BF" w:rsidRDefault="00DB68BF">
      <w:pPr>
        <w:pBdr>
          <w:top w:val="nil"/>
          <w:left w:val="nil"/>
          <w:bottom w:val="nil"/>
          <w:right w:val="nil"/>
          <w:between w:val="nil"/>
        </w:pBdr>
        <w:spacing w:before="29"/>
        <w:rPr>
          <w:color w:val="000000"/>
          <w:sz w:val="20"/>
          <w:szCs w:val="20"/>
        </w:rPr>
      </w:pPr>
    </w:p>
    <w:tbl>
      <w:tblPr>
        <w:tblStyle w:val="a"/>
        <w:tblW w:w="9221" w:type="dxa"/>
        <w:tblInd w:w="16" w:type="dxa"/>
        <w:tblLayout w:type="fixed"/>
        <w:tblLook w:val="0000" w:firstRow="0" w:lastRow="0" w:firstColumn="0" w:lastColumn="0" w:noHBand="0" w:noVBand="0"/>
      </w:tblPr>
      <w:tblGrid>
        <w:gridCol w:w="4644"/>
        <w:gridCol w:w="4577"/>
      </w:tblGrid>
      <w:tr w:rsidR="00DB68BF" w14:paraId="464DE4E8" w14:textId="77777777">
        <w:trPr>
          <w:trHeight w:val="1082"/>
        </w:trPr>
        <w:tc>
          <w:tcPr>
            <w:tcW w:w="4644" w:type="dxa"/>
            <w:shd w:val="clear" w:color="auto" w:fill="585858"/>
          </w:tcPr>
          <w:p w14:paraId="464DE4E2" w14:textId="77777777" w:rsidR="00DB68BF" w:rsidRDefault="00DB68BF">
            <w:pPr>
              <w:pBdr>
                <w:top w:val="nil"/>
                <w:left w:val="nil"/>
                <w:bottom w:val="nil"/>
                <w:right w:val="nil"/>
                <w:between w:val="nil"/>
              </w:pBdr>
              <w:spacing w:before="19"/>
              <w:rPr>
                <w:color w:val="000000"/>
              </w:rPr>
            </w:pPr>
          </w:p>
          <w:p w14:paraId="464DE4E3" w14:textId="77777777" w:rsidR="00DB68BF" w:rsidRDefault="00BF2199">
            <w:pPr>
              <w:pBdr>
                <w:top w:val="nil"/>
                <w:left w:val="nil"/>
                <w:bottom w:val="nil"/>
                <w:right w:val="nil"/>
                <w:between w:val="nil"/>
              </w:pBdr>
              <w:ind w:left="107"/>
              <w:rPr>
                <w:color w:val="000000"/>
              </w:rPr>
            </w:pPr>
            <w:r>
              <w:rPr>
                <w:color w:val="FFFFFF"/>
              </w:rPr>
              <w:t>IRD</w:t>
            </w:r>
          </w:p>
          <w:p w14:paraId="464DE4E4" w14:textId="77777777" w:rsidR="00DB68BF" w:rsidRDefault="00BF2199">
            <w:pPr>
              <w:pBdr>
                <w:top w:val="nil"/>
                <w:left w:val="nil"/>
                <w:bottom w:val="nil"/>
                <w:right w:val="nil"/>
                <w:between w:val="nil"/>
              </w:pBdr>
              <w:ind w:left="107"/>
              <w:rPr>
                <w:color w:val="000000"/>
              </w:rPr>
            </w:pPr>
            <w:r>
              <w:rPr>
                <w:color w:val="FFFFFF"/>
              </w:rPr>
              <w:t>Représentation de la Nouvelle Calédonie</w:t>
            </w:r>
          </w:p>
        </w:tc>
        <w:tc>
          <w:tcPr>
            <w:tcW w:w="4577" w:type="dxa"/>
            <w:shd w:val="clear" w:color="auto" w:fill="D9D9D9"/>
          </w:tcPr>
          <w:p w14:paraId="464DE4E5" w14:textId="77777777" w:rsidR="00DB68BF" w:rsidRDefault="00DB68BF">
            <w:pPr>
              <w:pBdr>
                <w:top w:val="nil"/>
                <w:left w:val="nil"/>
                <w:bottom w:val="nil"/>
                <w:right w:val="nil"/>
                <w:between w:val="nil"/>
              </w:pBdr>
              <w:spacing w:before="15"/>
              <w:rPr>
                <w:color w:val="000000"/>
              </w:rPr>
            </w:pPr>
          </w:p>
          <w:p w14:paraId="464DE4E6" w14:textId="77777777" w:rsidR="00DB68BF" w:rsidRDefault="00BF2199">
            <w:pPr>
              <w:pBdr>
                <w:top w:val="nil"/>
                <w:left w:val="nil"/>
                <w:bottom w:val="nil"/>
                <w:right w:val="nil"/>
                <w:between w:val="nil"/>
              </w:pBdr>
              <w:ind w:right="85"/>
              <w:jc w:val="right"/>
              <w:rPr>
                <w:b/>
                <w:bCs/>
                <w:color w:val="000000"/>
              </w:rPr>
            </w:pPr>
            <w:r>
              <w:rPr>
                <w:b/>
                <w:bCs/>
                <w:color w:val="000000"/>
              </w:rPr>
              <w:t>MARCHÉ PUBLIC</w:t>
            </w:r>
          </w:p>
          <w:p w14:paraId="464DE4E7" w14:textId="698BE78A" w:rsidR="00DB68BF" w:rsidRDefault="00E13809">
            <w:pPr>
              <w:pBdr>
                <w:top w:val="nil"/>
                <w:left w:val="nil"/>
                <w:bottom w:val="nil"/>
                <w:right w:val="nil"/>
                <w:between w:val="nil"/>
              </w:pBdr>
              <w:ind w:right="82"/>
              <w:jc w:val="right"/>
              <w:rPr>
                <w:color w:val="000000"/>
              </w:rPr>
            </w:pPr>
            <w:r w:rsidRPr="00E13809">
              <w:rPr>
                <w:color w:val="000000"/>
              </w:rPr>
              <w:t>MARCHÉ PUBLIC COMPOSITE DE FOURNITURES</w:t>
            </w:r>
          </w:p>
        </w:tc>
      </w:tr>
    </w:tbl>
    <w:p w14:paraId="464DE4E9" w14:textId="77777777" w:rsidR="00DB68BF" w:rsidRDefault="00DB68BF">
      <w:pPr>
        <w:pBdr>
          <w:top w:val="nil"/>
          <w:left w:val="nil"/>
          <w:bottom w:val="nil"/>
          <w:right w:val="nil"/>
          <w:between w:val="nil"/>
        </w:pBdr>
        <w:rPr>
          <w:color w:val="000000"/>
          <w:sz w:val="28"/>
          <w:szCs w:val="28"/>
        </w:rPr>
      </w:pPr>
    </w:p>
    <w:p w14:paraId="464DE4EA" w14:textId="77777777" w:rsidR="00DB68BF" w:rsidRDefault="00DB68BF">
      <w:pPr>
        <w:pBdr>
          <w:top w:val="nil"/>
          <w:left w:val="nil"/>
          <w:bottom w:val="nil"/>
          <w:right w:val="nil"/>
          <w:between w:val="nil"/>
        </w:pBdr>
        <w:rPr>
          <w:color w:val="000000"/>
          <w:sz w:val="28"/>
          <w:szCs w:val="28"/>
        </w:rPr>
      </w:pPr>
    </w:p>
    <w:p w14:paraId="464DE4EB" w14:textId="77777777" w:rsidR="00DB68BF" w:rsidRDefault="00DB68BF">
      <w:pPr>
        <w:pBdr>
          <w:top w:val="nil"/>
          <w:left w:val="nil"/>
          <w:bottom w:val="nil"/>
          <w:right w:val="nil"/>
          <w:between w:val="nil"/>
        </w:pBdr>
        <w:spacing w:before="109"/>
        <w:rPr>
          <w:color w:val="000000"/>
          <w:sz w:val="28"/>
          <w:szCs w:val="28"/>
        </w:rPr>
      </w:pPr>
    </w:p>
    <w:p w14:paraId="464DE4EC" w14:textId="77777777" w:rsidR="00DB68BF" w:rsidRDefault="00BF2199">
      <w:pPr>
        <w:ind w:left="2145" w:right="799"/>
        <w:jc w:val="both"/>
        <w:rPr>
          <w:sz w:val="28"/>
          <w:szCs w:val="28"/>
        </w:rPr>
      </w:pPr>
      <w:r>
        <w:rPr>
          <w:color w:val="404040"/>
          <w:sz w:val="28"/>
          <w:szCs w:val="28"/>
        </w:rPr>
        <w:t>FOURNITURE LIVRAISON, MISE EN SERVICE ET MAINTENANCE PREVENTIVE D’UN ICP-MS (SPECTROMETRE DE MASSE A PLASMA A COUPLAGE INDUCTIF)</w:t>
      </w:r>
    </w:p>
    <w:p w14:paraId="464DE4ED" w14:textId="77777777" w:rsidR="00DB68BF" w:rsidRDefault="00DB68BF">
      <w:pPr>
        <w:pBdr>
          <w:top w:val="nil"/>
          <w:left w:val="nil"/>
          <w:bottom w:val="nil"/>
          <w:right w:val="nil"/>
          <w:between w:val="nil"/>
        </w:pBdr>
        <w:rPr>
          <w:color w:val="000000"/>
          <w:sz w:val="20"/>
          <w:szCs w:val="20"/>
        </w:rPr>
      </w:pPr>
    </w:p>
    <w:p w14:paraId="464DE4EE" w14:textId="77777777" w:rsidR="00DB68BF" w:rsidRDefault="00DB68BF">
      <w:pPr>
        <w:pBdr>
          <w:top w:val="nil"/>
          <w:left w:val="nil"/>
          <w:bottom w:val="nil"/>
          <w:right w:val="nil"/>
          <w:between w:val="nil"/>
        </w:pBdr>
        <w:rPr>
          <w:color w:val="000000"/>
          <w:sz w:val="20"/>
          <w:szCs w:val="20"/>
        </w:rPr>
      </w:pPr>
    </w:p>
    <w:p w14:paraId="464DE4EF" w14:textId="77777777" w:rsidR="00DB68BF" w:rsidRDefault="00BF2199">
      <w:pPr>
        <w:pBdr>
          <w:top w:val="nil"/>
          <w:left w:val="nil"/>
          <w:bottom w:val="nil"/>
          <w:right w:val="nil"/>
          <w:between w:val="nil"/>
        </w:pBdr>
        <w:spacing w:before="48"/>
        <w:rPr>
          <w:color w:val="000000"/>
          <w:sz w:val="20"/>
          <w:szCs w:val="20"/>
        </w:rPr>
      </w:pPr>
      <w:r>
        <w:rPr>
          <w:noProof/>
        </w:rPr>
        <mc:AlternateContent>
          <mc:Choice Requires="wps">
            <w:drawing>
              <wp:anchor distT="0" distB="0" distL="0" distR="0" simplePos="0" relativeHeight="251658240" behindDoc="0" locked="0" layoutInCell="1" hidden="0" allowOverlap="1" wp14:anchorId="464DE5CD" wp14:editId="464DE5CE">
                <wp:simplePos x="0" y="0"/>
                <wp:positionH relativeFrom="column">
                  <wp:posOffset>1078</wp:posOffset>
                </wp:positionH>
                <wp:positionV relativeFrom="paragraph">
                  <wp:posOffset>196035</wp:posOffset>
                </wp:positionV>
                <wp:extent cx="5860415" cy="558165"/>
                <wp:effectExtent l="0" t="0" r="0" b="0"/>
                <wp:wrapTopAndBottom distT="0" distB="0"/>
                <wp:docPr id="4" name="Rectangle 4"/>
                <wp:cNvGraphicFramePr/>
                <a:graphic xmlns:a="http://schemas.openxmlformats.org/drawingml/2006/main">
                  <a:graphicData uri="http://schemas.microsoft.com/office/word/2010/wordprocessingShape">
                    <wps:wsp>
                      <wps:cNvSpPr/>
                      <wps:spPr>
                        <a:xfrm>
                          <a:off x="2420555" y="3505680"/>
                          <a:ext cx="5850890" cy="548640"/>
                        </a:xfrm>
                        <a:prstGeom prst="rect">
                          <a:avLst/>
                        </a:prstGeom>
                        <a:solidFill>
                          <a:srgbClr val="585858"/>
                        </a:solidFill>
                        <a:ln>
                          <a:noFill/>
                        </a:ln>
                      </wps:spPr>
                      <wps:txbx>
                        <w:txbxContent>
                          <w:p w14:paraId="464DE5DA" w14:textId="77777777" w:rsidR="00DB68BF" w:rsidRDefault="00BF2199">
                            <w:pPr>
                              <w:spacing w:before="261"/>
                              <w:ind w:left="11" w:firstLine="11"/>
                              <w:jc w:val="center"/>
                              <w:textDirection w:val="btLr"/>
                            </w:pPr>
                            <w:r>
                              <w:rPr>
                                <w:b/>
                                <w:color w:val="FFFFFF"/>
                                <w:sz w:val="28"/>
                              </w:rPr>
                              <w:t>Cadre de réponse technique (CRT)</w:t>
                            </w:r>
                          </w:p>
                        </w:txbxContent>
                      </wps:txbx>
                      <wps:bodyPr spcFirstLastPara="1" wrap="square" lIns="0" tIns="0" rIns="0" bIns="0" anchor="t" anchorCtr="0">
                        <a:noAutofit/>
                      </wps:bodyPr>
                    </wps:wsp>
                  </a:graphicData>
                </a:graphic>
              </wp:anchor>
            </w:drawing>
          </mc:Choice>
          <mc:Fallback>
            <w:pict>
              <v:rect w14:anchorId="464DE5CD" id="Rectangle 4" o:spid="_x0000_s1026" style="position:absolute;margin-left:.1pt;margin-top:15.45pt;width:461.45pt;height:43.9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" fillcolor="#585858" stroked="f">
                <v:textbox inset="0,0,0,0">
                  <w:txbxContent>
                    <w:p w14:paraId="464DE5DA" w14:textId="77777777" w:rsidR="00DB68BF" w:rsidRDefault="00BF2199">
                      <w:pPr>
                        <w:spacing w:before="261"/>
                        <w:ind w:left="11" w:firstLine="11"/>
                        <w:jc w:val="center"/>
                        <w:textDirection w:val="btLr"/>
                      </w:pPr>
                      <w:r>
                        <w:rPr>
                          <w:b/>
                          <w:color w:val="FFFFFF"/>
                          <w:sz w:val="28"/>
                        </w:rPr>
                        <w:t>Cadre de réponse technique (CRT)</w:t>
                      </w:r>
                    </w:p>
                  </w:txbxContent>
                </v:textbox>
                <w10:wrap type="topAndBottom"/>
              </v:rect>
            </w:pict>
          </mc:Fallback>
        </mc:AlternateContent>
      </w:r>
    </w:p>
    <w:p w14:paraId="464DE4F0" w14:textId="77777777" w:rsidR="00DB68BF" w:rsidRDefault="00DB68BF">
      <w:pPr>
        <w:pBdr>
          <w:top w:val="nil"/>
          <w:left w:val="nil"/>
          <w:bottom w:val="nil"/>
          <w:right w:val="nil"/>
          <w:between w:val="nil"/>
        </w:pBdr>
        <w:rPr>
          <w:color w:val="000000"/>
          <w:sz w:val="20"/>
          <w:szCs w:val="20"/>
        </w:rPr>
      </w:pPr>
    </w:p>
    <w:p w14:paraId="464DE4F1" w14:textId="77777777" w:rsidR="00DB68BF" w:rsidRDefault="00DB68BF">
      <w:pPr>
        <w:pBdr>
          <w:top w:val="nil"/>
          <w:left w:val="nil"/>
          <w:bottom w:val="nil"/>
          <w:right w:val="nil"/>
          <w:between w:val="nil"/>
        </w:pBdr>
        <w:rPr>
          <w:color w:val="000000"/>
          <w:sz w:val="20"/>
          <w:szCs w:val="20"/>
        </w:rPr>
      </w:pPr>
    </w:p>
    <w:p w14:paraId="464DE4F2" w14:textId="77777777" w:rsidR="00DB68BF" w:rsidRDefault="00BF2199">
      <w:pPr>
        <w:pBdr>
          <w:top w:val="nil"/>
          <w:left w:val="nil"/>
          <w:bottom w:val="nil"/>
          <w:right w:val="nil"/>
          <w:between w:val="nil"/>
        </w:pBdr>
        <w:spacing w:before="47"/>
        <w:rPr>
          <w:color w:val="000000"/>
          <w:sz w:val="20"/>
          <w:szCs w:val="20"/>
        </w:rPr>
      </w:pPr>
      <w:r>
        <w:rPr>
          <w:noProof/>
        </w:rPr>
        <mc:AlternateContent>
          <mc:Choice Requires="wps">
            <w:drawing>
              <wp:anchor distT="0" distB="0" distL="0" distR="0" simplePos="0" relativeHeight="251659264" behindDoc="0" locked="0" layoutInCell="1" hidden="0" allowOverlap="1" wp14:anchorId="464DE5CF" wp14:editId="464DE5D0">
                <wp:simplePos x="0" y="0"/>
                <wp:positionH relativeFrom="column">
                  <wp:posOffset>3021647</wp:posOffset>
                </wp:positionH>
                <wp:positionV relativeFrom="paragraph">
                  <wp:posOffset>195719</wp:posOffset>
                </wp:positionV>
                <wp:extent cx="2437765" cy="256540"/>
                <wp:effectExtent l="0" t="0" r="0" b="0"/>
                <wp:wrapTopAndBottom distT="0" distB="0"/>
                <wp:docPr id="6" name="Rectangle 6"/>
                <wp:cNvGraphicFramePr/>
                <a:graphic xmlns:a="http://schemas.openxmlformats.org/drawingml/2006/main">
                  <a:graphicData uri="http://schemas.microsoft.com/office/word/2010/wordprocessingShape">
                    <wps:wsp>
                      <wps:cNvSpPr/>
                      <wps:spPr>
                        <a:xfrm>
                          <a:off x="4131880" y="3656493"/>
                          <a:ext cx="2428240" cy="247015"/>
                        </a:xfrm>
                        <a:prstGeom prst="rect">
                          <a:avLst/>
                        </a:prstGeom>
                        <a:solidFill>
                          <a:srgbClr val="D9D9D9"/>
                        </a:solidFill>
                        <a:ln>
                          <a:noFill/>
                        </a:ln>
                      </wps:spPr>
                      <wps:txbx>
                        <w:txbxContent>
                          <w:p w14:paraId="464DE5DB" w14:textId="77777777" w:rsidR="00DB68BF" w:rsidRDefault="00BF2199">
                            <w:pPr>
                              <w:spacing w:before="59"/>
                              <w:ind w:left="434"/>
                              <w:textDirection w:val="btLr"/>
                            </w:pPr>
                            <w:r>
                              <w:rPr>
                                <w:color w:val="000000"/>
                                <w:sz w:val="28"/>
                              </w:rPr>
                              <w:t>N° 2026821RNCF300</w:t>
                            </w:r>
                          </w:p>
                        </w:txbxContent>
                      </wps:txbx>
                      <wps:bodyPr spcFirstLastPara="1" wrap="square" lIns="0" tIns="0" rIns="0" bIns="0" anchor="t" anchorCtr="0">
                        <a:noAutofit/>
                      </wps:bodyPr>
                    </wps:wsp>
                  </a:graphicData>
                </a:graphic>
              </wp:anchor>
            </w:drawing>
          </mc:Choice>
          <mc:Fallback>
            <w:pict>
              <v:rect w14:anchorId="464DE5CF" id="Rectangle 6" o:spid="_x0000_s1027" style="position:absolute;margin-left:237.9pt;margin-top:15.4pt;width:191.95pt;height:20.2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" fillcolor="#d9d9d9" stroked="f">
                <v:textbox inset="0,0,0,0">
                  <w:txbxContent>
                    <w:p w14:paraId="464DE5DB" w14:textId="77777777" w:rsidR="00DB68BF" w:rsidRDefault="00BF2199">
                      <w:pPr>
                        <w:spacing w:before="59"/>
                        <w:ind w:left="434"/>
                        <w:textDirection w:val="btLr"/>
                      </w:pPr>
                      <w:r>
                        <w:rPr>
                          <w:color w:val="000000"/>
                          <w:sz w:val="28"/>
                        </w:rPr>
                        <w:t>N° 2026821RNCF300</w:t>
                      </w:r>
                    </w:p>
                  </w:txbxContent>
                </v:textbox>
                <w10:wrap type="topAndBottom"/>
              </v:rect>
            </w:pict>
          </mc:Fallback>
        </mc:AlternateContent>
      </w:r>
    </w:p>
    <w:p w14:paraId="464DE4F3" w14:textId="77777777" w:rsidR="00DB68BF" w:rsidRDefault="00DB68BF">
      <w:pPr>
        <w:pBdr>
          <w:top w:val="nil"/>
          <w:left w:val="nil"/>
          <w:bottom w:val="nil"/>
          <w:right w:val="nil"/>
          <w:between w:val="nil"/>
        </w:pBdr>
        <w:rPr>
          <w:color w:val="000000"/>
          <w:sz w:val="20"/>
          <w:szCs w:val="20"/>
        </w:rPr>
      </w:pPr>
    </w:p>
    <w:p w14:paraId="464DE4F4" w14:textId="77777777" w:rsidR="00DB68BF" w:rsidRDefault="00DB68BF">
      <w:pPr>
        <w:pBdr>
          <w:top w:val="nil"/>
          <w:left w:val="nil"/>
          <w:bottom w:val="nil"/>
          <w:right w:val="nil"/>
          <w:between w:val="nil"/>
        </w:pBdr>
        <w:rPr>
          <w:color w:val="000000"/>
          <w:sz w:val="20"/>
          <w:szCs w:val="20"/>
        </w:rPr>
      </w:pPr>
    </w:p>
    <w:p w14:paraId="464DE4F5" w14:textId="77777777" w:rsidR="00DB68BF" w:rsidRDefault="00DB68BF">
      <w:pPr>
        <w:pBdr>
          <w:top w:val="nil"/>
          <w:left w:val="nil"/>
          <w:bottom w:val="nil"/>
          <w:right w:val="nil"/>
          <w:between w:val="nil"/>
        </w:pBdr>
        <w:rPr>
          <w:color w:val="000000"/>
          <w:sz w:val="20"/>
          <w:szCs w:val="20"/>
        </w:rPr>
      </w:pPr>
    </w:p>
    <w:p w14:paraId="464DE4F6" w14:textId="77777777" w:rsidR="00DB68BF" w:rsidRDefault="00DB68BF">
      <w:pPr>
        <w:pBdr>
          <w:top w:val="nil"/>
          <w:left w:val="nil"/>
          <w:bottom w:val="nil"/>
          <w:right w:val="nil"/>
          <w:between w:val="nil"/>
        </w:pBdr>
        <w:rPr>
          <w:color w:val="000000"/>
          <w:sz w:val="20"/>
          <w:szCs w:val="20"/>
        </w:rPr>
      </w:pPr>
    </w:p>
    <w:p w14:paraId="464DE4F7" w14:textId="77777777" w:rsidR="00DB68BF" w:rsidRDefault="00DB68BF">
      <w:pPr>
        <w:pBdr>
          <w:top w:val="nil"/>
          <w:left w:val="nil"/>
          <w:bottom w:val="nil"/>
          <w:right w:val="nil"/>
          <w:between w:val="nil"/>
        </w:pBdr>
        <w:rPr>
          <w:color w:val="000000"/>
          <w:sz w:val="20"/>
          <w:szCs w:val="20"/>
        </w:rPr>
      </w:pPr>
    </w:p>
    <w:p w14:paraId="464DE4F8" w14:textId="77777777" w:rsidR="00DB68BF" w:rsidRDefault="00BF2199">
      <w:pPr>
        <w:pBdr>
          <w:top w:val="nil"/>
          <w:left w:val="nil"/>
          <w:bottom w:val="nil"/>
          <w:right w:val="nil"/>
          <w:between w:val="nil"/>
        </w:pBdr>
        <w:spacing w:line="237" w:lineRule="auto"/>
        <w:ind w:left="2" w:right="98"/>
        <w:rPr>
          <w:color w:val="000000"/>
          <w:sz w:val="20"/>
          <w:szCs w:val="20"/>
        </w:rPr>
      </w:pPr>
      <w:r>
        <w:rPr>
          <w:color w:val="000000"/>
          <w:sz w:val="20"/>
          <w:szCs w:val="20"/>
        </w:rPr>
        <w:t>Le cadre de réponse technique constitue un plan pour structurer et ordonner le mémoire technique à remettre à l’appui de l’offre du candidat.</w:t>
      </w:r>
    </w:p>
    <w:p w14:paraId="464DE4F9" w14:textId="77777777" w:rsidR="00DB68BF" w:rsidRDefault="00DB68BF">
      <w:pPr>
        <w:pBdr>
          <w:top w:val="nil"/>
          <w:left w:val="nil"/>
          <w:bottom w:val="nil"/>
          <w:right w:val="nil"/>
          <w:between w:val="nil"/>
        </w:pBdr>
        <w:spacing w:before="2"/>
        <w:rPr>
          <w:color w:val="000000"/>
          <w:sz w:val="20"/>
          <w:szCs w:val="20"/>
        </w:rPr>
      </w:pPr>
    </w:p>
    <w:p w14:paraId="464DE4FA" w14:textId="373E784B" w:rsidR="00DB68BF" w:rsidRDefault="00BF2199">
      <w:pPr>
        <w:ind w:left="2"/>
        <w:rPr>
          <w:b/>
          <w:bCs/>
          <w:sz w:val="20"/>
          <w:szCs w:val="20"/>
        </w:rPr>
      </w:pPr>
      <w:r>
        <w:rPr>
          <w:b/>
          <w:bCs/>
          <w:sz w:val="20"/>
          <w:szCs w:val="20"/>
          <w:u w:val="single"/>
        </w:rPr>
        <w:t xml:space="preserve">Chaque élément demandé dans ce document </w:t>
      </w:r>
      <w:r w:rsidR="00E13809">
        <w:rPr>
          <w:b/>
          <w:bCs/>
          <w:sz w:val="20"/>
          <w:szCs w:val="20"/>
          <w:u w:val="single"/>
        </w:rPr>
        <w:t>doit être</w:t>
      </w:r>
      <w:r>
        <w:rPr>
          <w:b/>
          <w:bCs/>
          <w:sz w:val="20"/>
          <w:szCs w:val="20"/>
          <w:u w:val="single"/>
        </w:rPr>
        <w:t xml:space="preserve"> renseigné et fourni dans l’offre. </w:t>
      </w:r>
    </w:p>
    <w:p w14:paraId="464DE4FB" w14:textId="77777777" w:rsidR="00DB68BF" w:rsidRDefault="00DB68BF">
      <w:pPr>
        <w:pBdr>
          <w:top w:val="nil"/>
          <w:left w:val="nil"/>
          <w:bottom w:val="nil"/>
          <w:right w:val="nil"/>
          <w:between w:val="nil"/>
        </w:pBdr>
        <w:rPr>
          <w:b/>
          <w:bCs/>
          <w:color w:val="000000"/>
          <w:sz w:val="20"/>
          <w:szCs w:val="20"/>
        </w:rPr>
      </w:pPr>
    </w:p>
    <w:p w14:paraId="464DE4FC" w14:textId="77777777" w:rsidR="00DB68BF" w:rsidRDefault="00BF2199">
      <w:pPr>
        <w:pStyle w:val="Titre1"/>
        <w:ind w:right="142" w:firstLine="1"/>
        <w:jc w:val="both"/>
        <w:rPr>
          <w:sz w:val="20"/>
          <w:szCs w:val="20"/>
        </w:rPr>
      </w:pPr>
      <w:r>
        <w:rPr>
          <w:b w:val="0"/>
          <w:bCs w:val="0"/>
          <w:sz w:val="20"/>
          <w:szCs w:val="20"/>
        </w:rPr>
        <w:t>A ce titre, i</w:t>
      </w:r>
      <w:r>
        <w:rPr>
          <w:sz w:val="20"/>
          <w:szCs w:val="20"/>
        </w:rPr>
        <w:t>l est conseillé aux candidats de suivre l’organisation du cadre de réponse technique afin d’éviter d’oublier des points à développer.</w:t>
      </w:r>
    </w:p>
    <w:p w14:paraId="464DE4FD" w14:textId="77777777" w:rsidR="00DB68BF" w:rsidRDefault="00DB68BF">
      <w:pPr>
        <w:pBdr>
          <w:top w:val="nil"/>
          <w:left w:val="nil"/>
          <w:bottom w:val="nil"/>
          <w:right w:val="nil"/>
          <w:between w:val="nil"/>
        </w:pBdr>
        <w:rPr>
          <w:b/>
          <w:bCs/>
          <w:color w:val="000000"/>
          <w:sz w:val="20"/>
          <w:szCs w:val="20"/>
        </w:rPr>
      </w:pPr>
    </w:p>
    <w:p w14:paraId="464DE4FE" w14:textId="77777777" w:rsidR="00DB68BF" w:rsidRDefault="00BF2199">
      <w:pPr>
        <w:pBdr>
          <w:top w:val="nil"/>
          <w:left w:val="nil"/>
          <w:bottom w:val="nil"/>
          <w:right w:val="nil"/>
          <w:between w:val="nil"/>
        </w:pBdr>
        <w:spacing w:before="1"/>
        <w:ind w:left="1" w:right="143"/>
        <w:jc w:val="both"/>
        <w:rPr>
          <w:color w:val="000000"/>
          <w:sz w:val="20"/>
          <w:szCs w:val="20"/>
        </w:rPr>
      </w:pPr>
      <w:r>
        <w:rPr>
          <w:color w:val="000000"/>
          <w:sz w:val="20"/>
          <w:szCs w:val="20"/>
        </w:rPr>
        <w:t>Les informations sont notées conformément aux critères de jugement annoncés dans le Règlement de consultation.</w:t>
      </w:r>
    </w:p>
    <w:p w14:paraId="464DE4FF" w14:textId="7299A2F2" w:rsidR="00DB68BF" w:rsidRDefault="00BF2199">
      <w:pPr>
        <w:spacing w:before="266"/>
        <w:ind w:left="1" w:right="141"/>
        <w:jc w:val="both"/>
        <w:rPr>
          <w:b/>
          <w:bCs/>
          <w:sz w:val="20"/>
          <w:szCs w:val="20"/>
        </w:rPr>
      </w:pPr>
      <w:r>
        <w:rPr>
          <w:b/>
          <w:bCs/>
          <w:sz w:val="20"/>
          <w:szCs w:val="20"/>
        </w:rPr>
        <w:t>L'ensemble des informations indiquées dans l'offre du candidat devront être directement en lien avec l'objet d</w:t>
      </w:r>
      <w:r w:rsidR="00766D2E">
        <w:rPr>
          <w:b/>
          <w:bCs/>
          <w:sz w:val="20"/>
          <w:szCs w:val="20"/>
        </w:rPr>
        <w:t>u contrat</w:t>
      </w:r>
      <w:r>
        <w:rPr>
          <w:b/>
          <w:bCs/>
          <w:sz w:val="20"/>
          <w:szCs w:val="20"/>
        </w:rPr>
        <w:t xml:space="preserve"> et ne pas porter sur la politique générale du candidat sans adaptation au besoin de l’IRD.</w:t>
      </w:r>
    </w:p>
    <w:p w14:paraId="464DE500" w14:textId="77777777" w:rsidR="00DB68BF" w:rsidRDefault="00DB68BF">
      <w:pPr>
        <w:pBdr>
          <w:top w:val="nil"/>
          <w:left w:val="nil"/>
          <w:bottom w:val="nil"/>
          <w:right w:val="nil"/>
          <w:between w:val="nil"/>
        </w:pBdr>
        <w:rPr>
          <w:color w:val="000000"/>
          <w:sz w:val="20"/>
          <w:szCs w:val="20"/>
        </w:rPr>
      </w:pPr>
    </w:p>
    <w:p w14:paraId="464DE501" w14:textId="77777777" w:rsidR="00DB68BF" w:rsidRDefault="00DB68BF">
      <w:pPr>
        <w:pBdr>
          <w:top w:val="nil"/>
          <w:left w:val="nil"/>
          <w:bottom w:val="nil"/>
          <w:right w:val="nil"/>
          <w:between w:val="nil"/>
        </w:pBdr>
        <w:rPr>
          <w:color w:val="000000"/>
          <w:sz w:val="20"/>
          <w:szCs w:val="20"/>
        </w:rPr>
      </w:pPr>
    </w:p>
    <w:p w14:paraId="464DE502" w14:textId="77777777" w:rsidR="00DB68BF" w:rsidRDefault="00DB68BF">
      <w:pPr>
        <w:spacing w:before="266"/>
        <w:ind w:left="1" w:right="141"/>
        <w:jc w:val="both"/>
        <w:rPr>
          <w:b/>
          <w:bCs/>
          <w:sz w:val="20"/>
          <w:szCs w:val="20"/>
        </w:rPr>
      </w:pPr>
    </w:p>
    <w:p w14:paraId="464DE503" w14:textId="77777777" w:rsidR="00DB68BF" w:rsidRDefault="00BF2199">
      <w:pPr>
        <w:spacing w:before="266"/>
        <w:ind w:left="1" w:right="141"/>
        <w:jc w:val="both"/>
        <w:rPr>
          <w:b/>
          <w:bCs/>
        </w:rPr>
      </w:pPr>
      <w:r>
        <w:br w:type="page"/>
      </w:r>
    </w:p>
    <w:p w14:paraId="756C452C" w14:textId="77777777" w:rsidR="008C601D" w:rsidRDefault="008C601D">
      <w:pPr>
        <w:spacing w:before="266"/>
        <w:ind w:left="1" w:right="141"/>
        <w:jc w:val="both"/>
        <w:rPr>
          <w:b/>
          <w:bCs/>
          <w:sz w:val="20"/>
          <w:szCs w:val="20"/>
          <w:u w:val="single"/>
        </w:rPr>
      </w:pPr>
    </w:p>
    <w:p w14:paraId="6B0C2876" w14:textId="77777777" w:rsidR="008C601D" w:rsidRDefault="008C601D" w:rsidP="008C601D">
      <w:pPr>
        <w:pBdr>
          <w:top w:val="nil"/>
          <w:left w:val="nil"/>
          <w:bottom w:val="nil"/>
          <w:right w:val="nil"/>
          <w:between w:val="nil"/>
        </w:pBdr>
        <w:ind w:left="567" w:right="162" w:hanging="291"/>
        <w:jc w:val="both"/>
        <w:rPr>
          <w:rFonts w:ascii="Calibri" w:eastAsia="Calibri" w:hAnsi="Calibri" w:cs="Calibri"/>
          <w:color w:val="FFFFFF"/>
          <w:shd w:val="clear" w:color="auto" w:fill="585858"/>
        </w:rPr>
      </w:pPr>
      <w:r>
        <w:rPr>
          <w:rFonts w:ascii="Calibri" w:eastAsia="Calibri" w:hAnsi="Calibri" w:cs="Calibri"/>
          <w:color w:val="FFFFFF"/>
          <w:shd w:val="clear" w:color="auto" w:fill="585858"/>
        </w:rPr>
        <w:t>ÉLÉMENTS CLÉS DU CONTRAT</w:t>
      </w:r>
    </w:p>
    <w:p w14:paraId="4C793559" w14:textId="77777777" w:rsidR="008C601D" w:rsidRDefault="008C601D" w:rsidP="008C601D">
      <w:pPr>
        <w:pBdr>
          <w:top w:val="nil"/>
          <w:left w:val="nil"/>
          <w:bottom w:val="nil"/>
          <w:right w:val="nil"/>
          <w:between w:val="nil"/>
        </w:pBdr>
        <w:spacing w:before="73" w:after="1"/>
        <w:rPr>
          <w:color w:val="000000"/>
          <w:sz w:val="20"/>
          <w:szCs w:val="20"/>
        </w:rPr>
      </w:pPr>
    </w:p>
    <w:tbl>
      <w:tblPr>
        <w:tblStyle w:val="4"/>
        <w:tblW w:w="8752" w:type="dxa"/>
        <w:tblInd w:w="148" w:type="dxa"/>
        <w:tblLayout w:type="fixed"/>
        <w:tblLook w:val="0000" w:firstRow="0" w:lastRow="0" w:firstColumn="0" w:lastColumn="0" w:noHBand="0" w:noVBand="0"/>
      </w:tblPr>
      <w:tblGrid>
        <w:gridCol w:w="2870"/>
        <w:gridCol w:w="5882"/>
      </w:tblGrid>
      <w:tr w:rsidR="009F5215" w14:paraId="2E15D7C7" w14:textId="77777777" w:rsidTr="00AF5C5F">
        <w:trPr>
          <w:trHeight w:val="1176"/>
        </w:trPr>
        <w:tc>
          <w:tcPr>
            <w:tcW w:w="2870" w:type="dxa"/>
            <w:shd w:val="clear" w:color="auto" w:fill="585858"/>
          </w:tcPr>
          <w:p w14:paraId="4A8A4800" w14:textId="77777777" w:rsidR="009F5215" w:rsidRDefault="009F5215" w:rsidP="00AF5C5F">
            <w:pPr>
              <w:pBdr>
                <w:top w:val="nil"/>
                <w:left w:val="nil"/>
                <w:bottom w:val="nil"/>
                <w:right w:val="nil"/>
                <w:between w:val="nil"/>
              </w:pBdr>
              <w:tabs>
                <w:tab w:val="left" w:pos="724"/>
              </w:tabs>
              <w:spacing w:before="40"/>
              <w:ind w:left="196"/>
              <w:rPr>
                <w:color w:val="000000"/>
              </w:rPr>
            </w:pPr>
            <w:r>
              <w:rPr>
                <w:noProof/>
                <w:color w:val="000000"/>
                <w:sz w:val="36"/>
                <w:szCs w:val="36"/>
                <w:vertAlign w:val="subscript"/>
              </w:rPr>
              <w:drawing>
                <wp:inline distT="0" distB="0" distL="0" distR="0" wp14:anchorId="5AFFDC4C" wp14:editId="24B3398F">
                  <wp:extent cx="120649" cy="114617"/>
                  <wp:effectExtent l="0" t="0" r="0" b="0"/>
                  <wp:docPr id="2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120649" cy="114617"/>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Objet du contrat</w:t>
            </w:r>
          </w:p>
        </w:tc>
        <w:tc>
          <w:tcPr>
            <w:tcW w:w="5882" w:type="dxa"/>
            <w:shd w:val="clear" w:color="auto" w:fill="F1F1F1"/>
          </w:tcPr>
          <w:p w14:paraId="35F90A88" w14:textId="77777777" w:rsidR="009F5215" w:rsidRDefault="009F5215" w:rsidP="00AF5C5F">
            <w:pPr>
              <w:pBdr>
                <w:top w:val="nil"/>
                <w:left w:val="nil"/>
                <w:bottom w:val="nil"/>
                <w:right w:val="nil"/>
                <w:between w:val="nil"/>
              </w:pBdr>
              <w:spacing w:before="40"/>
              <w:ind w:left="266" w:right="248"/>
              <w:jc w:val="both"/>
              <w:rPr>
                <w:color w:val="000000"/>
              </w:rPr>
            </w:pPr>
            <w:r>
              <w:rPr>
                <w:color w:val="000000"/>
              </w:rPr>
              <w:t>Fourniture, livraison, mise en service et maintenance préventive d’un ICP-MS (spectromètre de masse à plasma à couplage inductif)</w:t>
            </w:r>
          </w:p>
        </w:tc>
      </w:tr>
      <w:tr w:rsidR="009F5215" w14:paraId="2F9DE708" w14:textId="77777777" w:rsidTr="00AF5C5F">
        <w:trPr>
          <w:trHeight w:val="356"/>
        </w:trPr>
        <w:tc>
          <w:tcPr>
            <w:tcW w:w="2870" w:type="dxa"/>
            <w:shd w:val="clear" w:color="auto" w:fill="585858"/>
          </w:tcPr>
          <w:p w14:paraId="1703B501" w14:textId="77777777" w:rsidR="009F5215" w:rsidRDefault="009F5215" w:rsidP="00AF5C5F">
            <w:pPr>
              <w:pBdr>
                <w:top w:val="nil"/>
                <w:left w:val="nil"/>
                <w:bottom w:val="nil"/>
                <w:right w:val="nil"/>
                <w:between w:val="nil"/>
              </w:pBdr>
              <w:tabs>
                <w:tab w:val="left" w:pos="724"/>
              </w:tabs>
              <w:spacing w:before="18"/>
              <w:ind w:left="196"/>
              <w:rPr>
                <w:color w:val="000000"/>
              </w:rPr>
            </w:pPr>
            <w:r>
              <w:rPr>
                <w:noProof/>
                <w:color w:val="000000"/>
              </w:rPr>
              <w:drawing>
                <wp:inline distT="0" distB="0" distL="0" distR="0" wp14:anchorId="0AB3F6A6" wp14:editId="3509EDA9">
                  <wp:extent cx="120649" cy="93503"/>
                  <wp:effectExtent l="0" t="0" r="0" b="0"/>
                  <wp:docPr id="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120649" cy="93503"/>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Acheteur</w:t>
            </w:r>
          </w:p>
        </w:tc>
        <w:tc>
          <w:tcPr>
            <w:tcW w:w="5882" w:type="dxa"/>
            <w:shd w:val="clear" w:color="auto" w:fill="F1F1F1"/>
          </w:tcPr>
          <w:p w14:paraId="04439453" w14:textId="77777777" w:rsidR="009F5215" w:rsidRDefault="009F5215" w:rsidP="00AF5C5F">
            <w:pPr>
              <w:pBdr>
                <w:top w:val="nil"/>
                <w:left w:val="nil"/>
                <w:bottom w:val="nil"/>
                <w:right w:val="nil"/>
                <w:between w:val="nil"/>
              </w:pBdr>
              <w:spacing w:before="18"/>
              <w:ind w:left="266"/>
              <w:rPr>
                <w:color w:val="000000"/>
              </w:rPr>
            </w:pPr>
            <w:r>
              <w:rPr>
                <w:color w:val="000000"/>
              </w:rPr>
              <w:t>IRD</w:t>
            </w:r>
          </w:p>
        </w:tc>
      </w:tr>
      <w:tr w:rsidR="009F5215" w14:paraId="79BA4DA2" w14:textId="77777777" w:rsidTr="00AF5C5F">
        <w:trPr>
          <w:trHeight w:val="2019"/>
        </w:trPr>
        <w:tc>
          <w:tcPr>
            <w:tcW w:w="2870" w:type="dxa"/>
            <w:shd w:val="clear" w:color="auto" w:fill="585858"/>
          </w:tcPr>
          <w:p w14:paraId="57B4DE32" w14:textId="77777777" w:rsidR="009F5215" w:rsidRDefault="009F5215" w:rsidP="00AF5C5F">
            <w:pPr>
              <w:pBdr>
                <w:top w:val="nil"/>
                <w:left w:val="nil"/>
                <w:bottom w:val="nil"/>
                <w:right w:val="nil"/>
                <w:between w:val="nil"/>
              </w:pBdr>
              <w:tabs>
                <w:tab w:val="left" w:pos="724"/>
              </w:tabs>
              <w:spacing w:before="26"/>
              <w:ind w:left="196"/>
              <w:rPr>
                <w:color w:val="000000"/>
              </w:rPr>
            </w:pPr>
            <w:r>
              <w:rPr>
                <w:noProof/>
                <w:color w:val="000000"/>
                <w:sz w:val="36"/>
                <w:szCs w:val="36"/>
                <w:vertAlign w:val="subscript"/>
              </w:rPr>
              <w:drawing>
                <wp:inline distT="0" distB="0" distL="0" distR="0" wp14:anchorId="58EF3E71" wp14:editId="6D3B4AEB">
                  <wp:extent cx="120649" cy="120649"/>
                  <wp:effectExtent l="0" t="0" r="0" b="0"/>
                  <wp:docPr id="2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
                          <a:srcRect/>
                          <a:stretch>
                            <a:fillRect/>
                          </a:stretch>
                        </pic:blipFill>
                        <pic:spPr>
                          <a:xfrm>
                            <a:off x="0" y="0"/>
                            <a:ext cx="120649" cy="120649"/>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Type de contrat</w:t>
            </w:r>
          </w:p>
        </w:tc>
        <w:tc>
          <w:tcPr>
            <w:tcW w:w="5882" w:type="dxa"/>
            <w:shd w:val="clear" w:color="auto" w:fill="F1F1F1"/>
          </w:tcPr>
          <w:p w14:paraId="50BCF828" w14:textId="77777777" w:rsidR="009F5215" w:rsidRDefault="009F5215" w:rsidP="00AF5C5F">
            <w:pPr>
              <w:pBdr>
                <w:top w:val="nil"/>
                <w:left w:val="nil"/>
                <w:bottom w:val="nil"/>
                <w:right w:val="nil"/>
                <w:between w:val="nil"/>
              </w:pBdr>
              <w:spacing w:before="26"/>
              <w:ind w:left="259"/>
              <w:rPr>
                <w:color w:val="000000"/>
              </w:rPr>
            </w:pPr>
            <w:r>
              <w:rPr>
                <w:color w:val="000000"/>
              </w:rPr>
              <w:t>M</w:t>
            </w:r>
            <w:r w:rsidRPr="00B6594E">
              <w:rPr>
                <w:color w:val="000000"/>
              </w:rPr>
              <w:t>arché public composite comportant une partie conclue sous la forme d’un marché ordinaire à prix global et forfaitaire et une partie conclue sous la forme d’un accord-cadre mono-attributaire exécuté au fur et à mesure de l’émission de bons de commande, conformément aux articles R. 2162-1 à R. 2162-6 et R. 2162-13 à R. 2162-14 du Code de la commande publique.</w:t>
            </w:r>
          </w:p>
          <w:p w14:paraId="7C89081F" w14:textId="77777777" w:rsidR="009F5215" w:rsidRDefault="009F5215" w:rsidP="00AF5C5F">
            <w:pPr>
              <w:pBdr>
                <w:top w:val="nil"/>
                <w:left w:val="nil"/>
                <w:bottom w:val="nil"/>
                <w:right w:val="nil"/>
                <w:between w:val="nil"/>
              </w:pBdr>
              <w:spacing w:before="80"/>
              <w:ind w:left="259"/>
              <w:rPr>
                <w:color w:val="000000"/>
              </w:rPr>
            </w:pPr>
            <w:r>
              <w:rPr>
                <w:color w:val="000000"/>
              </w:rPr>
              <w:t>Marché de fournitures</w:t>
            </w:r>
          </w:p>
          <w:p w14:paraId="30097530" w14:textId="77777777" w:rsidR="009F5215" w:rsidRDefault="009F5215" w:rsidP="00AF5C5F">
            <w:pPr>
              <w:pBdr>
                <w:top w:val="nil"/>
                <w:left w:val="nil"/>
                <w:bottom w:val="nil"/>
                <w:right w:val="nil"/>
                <w:between w:val="nil"/>
              </w:pBdr>
              <w:spacing w:before="161"/>
              <w:rPr>
                <w:color w:val="000000"/>
              </w:rPr>
            </w:pPr>
          </w:p>
          <w:p w14:paraId="75E189E0" w14:textId="77777777" w:rsidR="009F5215" w:rsidRDefault="009F5215" w:rsidP="00AF5C5F">
            <w:pPr>
              <w:pBdr>
                <w:top w:val="nil"/>
                <w:left w:val="nil"/>
                <w:bottom w:val="nil"/>
                <w:right w:val="nil"/>
                <w:between w:val="nil"/>
              </w:pBdr>
              <w:ind w:left="266"/>
              <w:rPr>
                <w:b/>
                <w:bCs/>
                <w:color w:val="000000"/>
              </w:rPr>
            </w:pPr>
            <w:r>
              <w:rPr>
                <w:color w:val="000000"/>
              </w:rPr>
              <w:t>Pour la partie marché ordinaire à prix forfaitaire, le montant estimé du marché pour l’acquisition du matériel, son installation, sa mise en service, sa maintenance pour un an et la formation du personnel :</w:t>
            </w:r>
            <w:r>
              <w:rPr>
                <w:b/>
                <w:bCs/>
                <w:color w:val="000000"/>
              </w:rPr>
              <w:t xml:space="preserve"> 148 000 € HT</w:t>
            </w:r>
          </w:p>
          <w:p w14:paraId="6873559A" w14:textId="77777777" w:rsidR="009F5215" w:rsidRDefault="009F5215" w:rsidP="00AF5C5F">
            <w:pPr>
              <w:pBdr>
                <w:top w:val="nil"/>
                <w:left w:val="nil"/>
                <w:bottom w:val="nil"/>
                <w:right w:val="nil"/>
                <w:between w:val="nil"/>
              </w:pBdr>
              <w:ind w:left="266"/>
              <w:rPr>
                <w:color w:val="000000"/>
              </w:rPr>
            </w:pPr>
          </w:p>
          <w:p w14:paraId="2BA7DF45" w14:textId="77777777" w:rsidR="009F5215" w:rsidRDefault="009F5215" w:rsidP="00AF5C5F">
            <w:pPr>
              <w:pBdr>
                <w:top w:val="nil"/>
                <w:left w:val="nil"/>
                <w:bottom w:val="nil"/>
                <w:right w:val="nil"/>
                <w:between w:val="nil"/>
              </w:pBdr>
              <w:ind w:left="266"/>
              <w:rPr>
                <w:color w:val="000000"/>
              </w:rPr>
            </w:pPr>
            <w:r>
              <w:rPr>
                <w:color w:val="000000"/>
              </w:rPr>
              <w:t xml:space="preserve">Pour la partie accord-cadre à bons de commande, le montant maximum du contrat : </w:t>
            </w:r>
            <w:r>
              <w:rPr>
                <w:b/>
                <w:bCs/>
                <w:color w:val="000000"/>
              </w:rPr>
              <w:t>350 000 € HT</w:t>
            </w:r>
          </w:p>
          <w:p w14:paraId="622D2A3D" w14:textId="77777777" w:rsidR="009F5215" w:rsidRDefault="009F5215" w:rsidP="00AF5C5F">
            <w:pPr>
              <w:pBdr>
                <w:top w:val="nil"/>
                <w:left w:val="nil"/>
                <w:bottom w:val="nil"/>
                <w:right w:val="nil"/>
                <w:between w:val="nil"/>
              </w:pBdr>
              <w:ind w:left="266"/>
              <w:rPr>
                <w:color w:val="000000"/>
              </w:rPr>
            </w:pPr>
          </w:p>
        </w:tc>
      </w:tr>
      <w:tr w:rsidR="009F5215" w14:paraId="51118094" w14:textId="77777777" w:rsidTr="00AF5C5F">
        <w:trPr>
          <w:trHeight w:val="526"/>
        </w:trPr>
        <w:tc>
          <w:tcPr>
            <w:tcW w:w="2870" w:type="dxa"/>
            <w:shd w:val="clear" w:color="auto" w:fill="585858"/>
          </w:tcPr>
          <w:p w14:paraId="7B413A22" w14:textId="77777777" w:rsidR="009F5215" w:rsidRDefault="009F5215" w:rsidP="00AF5C5F">
            <w:pPr>
              <w:pBdr>
                <w:top w:val="nil"/>
                <w:left w:val="nil"/>
                <w:bottom w:val="nil"/>
                <w:right w:val="nil"/>
                <w:between w:val="nil"/>
              </w:pBdr>
              <w:tabs>
                <w:tab w:val="left" w:pos="724"/>
              </w:tabs>
              <w:spacing w:before="18"/>
              <w:ind w:left="196"/>
              <w:rPr>
                <w:color w:val="000000"/>
              </w:rPr>
            </w:pPr>
            <w:r>
              <w:rPr>
                <w:noProof/>
                <w:color w:val="000000"/>
              </w:rPr>
              <w:drawing>
                <wp:inline distT="0" distB="0" distL="0" distR="0" wp14:anchorId="16B5F95B" wp14:editId="5E2BE5C2">
                  <wp:extent cx="120647" cy="99525"/>
                  <wp:effectExtent l="0" t="0" r="0" b="0"/>
                  <wp:docPr id="2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120647" cy="99525"/>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Structure</w:t>
            </w:r>
          </w:p>
        </w:tc>
        <w:tc>
          <w:tcPr>
            <w:tcW w:w="5882" w:type="dxa"/>
            <w:shd w:val="clear" w:color="auto" w:fill="F1F1F1"/>
          </w:tcPr>
          <w:p w14:paraId="106014FA" w14:textId="77777777" w:rsidR="009F5215" w:rsidRDefault="009F5215" w:rsidP="00AF5C5F">
            <w:pPr>
              <w:pBdr>
                <w:top w:val="nil"/>
                <w:left w:val="nil"/>
                <w:bottom w:val="nil"/>
                <w:right w:val="nil"/>
                <w:between w:val="nil"/>
              </w:pBdr>
              <w:spacing w:before="18"/>
              <w:ind w:left="266"/>
              <w:rPr>
                <w:color w:val="000000"/>
              </w:rPr>
            </w:pPr>
            <w:r>
              <w:rPr>
                <w:color w:val="000000"/>
              </w:rPr>
              <w:t>Lot unique</w:t>
            </w:r>
          </w:p>
        </w:tc>
      </w:tr>
      <w:tr w:rsidR="009F5215" w14:paraId="1B2A7D8D" w14:textId="77777777" w:rsidTr="00AF5C5F">
        <w:trPr>
          <w:trHeight w:val="1749"/>
        </w:trPr>
        <w:tc>
          <w:tcPr>
            <w:tcW w:w="2870" w:type="dxa"/>
            <w:shd w:val="clear" w:color="auto" w:fill="585858"/>
          </w:tcPr>
          <w:p w14:paraId="277E8BBA" w14:textId="77777777" w:rsidR="009F5215" w:rsidRDefault="009F5215" w:rsidP="00AF5C5F">
            <w:pPr>
              <w:pBdr>
                <w:top w:val="nil"/>
                <w:left w:val="nil"/>
                <w:bottom w:val="nil"/>
                <w:right w:val="nil"/>
                <w:between w:val="nil"/>
              </w:pBdr>
              <w:tabs>
                <w:tab w:val="left" w:pos="724"/>
              </w:tabs>
              <w:spacing w:before="197"/>
              <w:ind w:left="225"/>
              <w:rPr>
                <w:color w:val="000000"/>
              </w:rPr>
            </w:pPr>
            <w:r>
              <w:rPr>
                <w:noProof/>
                <w:color w:val="000000"/>
                <w:sz w:val="36"/>
                <w:szCs w:val="36"/>
                <w:vertAlign w:val="subscript"/>
              </w:rPr>
              <w:drawing>
                <wp:inline distT="0" distB="0" distL="0" distR="0" wp14:anchorId="551A2B2D" wp14:editId="67F7462C">
                  <wp:extent cx="84454" cy="120649"/>
                  <wp:effectExtent l="0" t="0" r="0" b="0"/>
                  <wp:docPr id="2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84454" cy="120649"/>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Lieu d’exécution</w:t>
            </w:r>
          </w:p>
        </w:tc>
        <w:tc>
          <w:tcPr>
            <w:tcW w:w="5882" w:type="dxa"/>
            <w:shd w:val="clear" w:color="auto" w:fill="F1F1F1"/>
          </w:tcPr>
          <w:p w14:paraId="3CC32FDE" w14:textId="77777777" w:rsidR="009F5215" w:rsidRDefault="009F5215" w:rsidP="00AF5C5F">
            <w:pPr>
              <w:pBdr>
                <w:top w:val="nil"/>
                <w:left w:val="nil"/>
                <w:bottom w:val="nil"/>
                <w:right w:val="nil"/>
                <w:between w:val="nil"/>
              </w:pBdr>
              <w:spacing w:line="265" w:lineRule="auto"/>
              <w:ind w:left="307"/>
              <w:rPr>
                <w:color w:val="000000"/>
              </w:rPr>
            </w:pPr>
          </w:p>
          <w:p w14:paraId="27103490" w14:textId="77777777" w:rsidR="009F5215" w:rsidRDefault="009F5215" w:rsidP="00AF5C5F">
            <w:pPr>
              <w:pBdr>
                <w:top w:val="nil"/>
                <w:left w:val="nil"/>
                <w:bottom w:val="nil"/>
                <w:right w:val="nil"/>
                <w:between w:val="nil"/>
              </w:pBdr>
              <w:spacing w:line="265" w:lineRule="auto"/>
              <w:ind w:left="307"/>
              <w:rPr>
                <w:color w:val="000000"/>
              </w:rPr>
            </w:pPr>
            <w:bookmarkStart w:id="0" w:name="_heading=h.vrtpzebysvbj" w:colFirst="0" w:colLast="0"/>
            <w:bookmarkEnd w:id="0"/>
            <w:r>
              <w:rPr>
                <w:color w:val="000000"/>
              </w:rPr>
              <w:t>Laboratoire des Moyens Analytiques (LAMA)</w:t>
            </w:r>
          </w:p>
          <w:p w14:paraId="33BD34C8" w14:textId="77777777" w:rsidR="009F5215" w:rsidRDefault="009F5215" w:rsidP="00AF5C5F">
            <w:pPr>
              <w:pBdr>
                <w:top w:val="nil"/>
                <w:left w:val="nil"/>
                <w:bottom w:val="nil"/>
                <w:right w:val="nil"/>
                <w:between w:val="nil"/>
              </w:pBdr>
              <w:spacing w:line="265" w:lineRule="auto"/>
              <w:ind w:left="307"/>
              <w:rPr>
                <w:color w:val="000000"/>
              </w:rPr>
            </w:pPr>
            <w:r>
              <w:rPr>
                <w:color w:val="000000"/>
              </w:rPr>
              <w:t>Représentation de l’IRD en Nouvelle-Calédonie</w:t>
            </w:r>
          </w:p>
          <w:p w14:paraId="7C9EA688" w14:textId="77777777" w:rsidR="009F5215" w:rsidRDefault="009F5215" w:rsidP="00AF5C5F">
            <w:pPr>
              <w:pBdr>
                <w:top w:val="nil"/>
                <w:left w:val="nil"/>
                <w:bottom w:val="nil"/>
                <w:right w:val="nil"/>
                <w:between w:val="nil"/>
              </w:pBdr>
              <w:spacing w:line="265" w:lineRule="auto"/>
              <w:ind w:left="307"/>
              <w:rPr>
                <w:color w:val="000000"/>
              </w:rPr>
            </w:pPr>
            <w:r>
              <w:rPr>
                <w:color w:val="000000"/>
              </w:rPr>
              <w:t>101 Promenade Roger Laroque</w:t>
            </w:r>
            <w:r>
              <w:rPr>
                <w:color w:val="000000"/>
              </w:rPr>
              <w:br/>
              <w:t>BP A5 </w:t>
            </w:r>
          </w:p>
          <w:p w14:paraId="6D67B35A" w14:textId="77777777" w:rsidR="009F5215" w:rsidRDefault="009F5215" w:rsidP="00AF5C5F">
            <w:pPr>
              <w:pBdr>
                <w:top w:val="nil"/>
                <w:left w:val="nil"/>
                <w:bottom w:val="nil"/>
                <w:right w:val="nil"/>
                <w:between w:val="nil"/>
              </w:pBdr>
              <w:spacing w:line="265" w:lineRule="auto"/>
              <w:ind w:left="307"/>
              <w:rPr>
                <w:color w:val="000000"/>
              </w:rPr>
            </w:pPr>
            <w:r>
              <w:rPr>
                <w:color w:val="000000"/>
              </w:rPr>
              <w:t>98848 Nouméa Cedex</w:t>
            </w:r>
          </w:p>
          <w:p w14:paraId="3E587EF4" w14:textId="77777777" w:rsidR="009F5215" w:rsidRDefault="009F5215" w:rsidP="00AF5C5F">
            <w:pPr>
              <w:pBdr>
                <w:top w:val="nil"/>
                <w:left w:val="nil"/>
                <w:bottom w:val="nil"/>
                <w:right w:val="nil"/>
                <w:between w:val="nil"/>
              </w:pBdr>
              <w:spacing w:line="265" w:lineRule="auto"/>
              <w:ind w:left="307"/>
              <w:rPr>
                <w:color w:val="000000"/>
              </w:rPr>
            </w:pPr>
            <w:r>
              <w:rPr>
                <w:color w:val="000000"/>
              </w:rPr>
              <w:t>Nouvelle-Calédonie</w:t>
            </w:r>
          </w:p>
          <w:p w14:paraId="640B28D6" w14:textId="77777777" w:rsidR="009F5215" w:rsidRDefault="009F5215" w:rsidP="00AF5C5F">
            <w:pPr>
              <w:pBdr>
                <w:top w:val="nil"/>
                <w:left w:val="nil"/>
                <w:bottom w:val="nil"/>
                <w:right w:val="nil"/>
                <w:between w:val="nil"/>
              </w:pBdr>
              <w:spacing w:line="265" w:lineRule="auto"/>
              <w:ind w:left="307"/>
              <w:rPr>
                <w:color w:val="000000"/>
              </w:rPr>
            </w:pPr>
          </w:p>
        </w:tc>
      </w:tr>
      <w:tr w:rsidR="009F5215" w14:paraId="092D827F" w14:textId="77777777" w:rsidTr="00AF5C5F">
        <w:trPr>
          <w:trHeight w:val="663"/>
        </w:trPr>
        <w:tc>
          <w:tcPr>
            <w:tcW w:w="2870" w:type="dxa"/>
            <w:shd w:val="clear" w:color="auto" w:fill="585858"/>
          </w:tcPr>
          <w:p w14:paraId="481F3B9A" w14:textId="77777777" w:rsidR="009F5215" w:rsidRDefault="009F5215" w:rsidP="00AF5C5F">
            <w:pPr>
              <w:pBdr>
                <w:top w:val="nil"/>
                <w:left w:val="nil"/>
                <w:bottom w:val="nil"/>
                <w:right w:val="nil"/>
                <w:between w:val="nil"/>
              </w:pBdr>
              <w:tabs>
                <w:tab w:val="left" w:pos="724"/>
              </w:tabs>
              <w:spacing w:before="197"/>
              <w:ind w:left="196"/>
              <w:rPr>
                <w:color w:val="000000"/>
              </w:rPr>
            </w:pPr>
            <w:r>
              <w:rPr>
                <w:noProof/>
                <w:color w:val="000000"/>
                <w:sz w:val="36"/>
                <w:szCs w:val="36"/>
                <w:vertAlign w:val="subscript"/>
              </w:rPr>
              <w:drawing>
                <wp:inline distT="0" distB="0" distL="0" distR="0" wp14:anchorId="144BE43F" wp14:editId="3E800BB2">
                  <wp:extent cx="120647" cy="120642"/>
                  <wp:effectExtent l="0" t="0" r="0" b="0"/>
                  <wp:docPr id="2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9"/>
                          <a:srcRect/>
                          <a:stretch>
                            <a:fillRect/>
                          </a:stretch>
                        </pic:blipFill>
                        <pic:spPr>
                          <a:xfrm>
                            <a:off x="0" y="0"/>
                            <a:ext cx="120647" cy="120642"/>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Durée</w:t>
            </w:r>
          </w:p>
        </w:tc>
        <w:tc>
          <w:tcPr>
            <w:tcW w:w="5882" w:type="dxa"/>
            <w:shd w:val="clear" w:color="auto" w:fill="F1F1F1"/>
          </w:tcPr>
          <w:p w14:paraId="713E5151" w14:textId="77777777" w:rsidR="009F5215" w:rsidRDefault="009F5215" w:rsidP="00AF5C5F">
            <w:pPr>
              <w:pBdr>
                <w:top w:val="nil"/>
                <w:left w:val="nil"/>
                <w:bottom w:val="nil"/>
                <w:right w:val="nil"/>
                <w:between w:val="nil"/>
              </w:pBdr>
              <w:spacing w:before="197"/>
              <w:ind w:left="266"/>
              <w:rPr>
                <w:color w:val="000000"/>
              </w:rPr>
            </w:pPr>
            <w:r>
              <w:rPr>
                <w:color w:val="000000"/>
              </w:rPr>
              <w:t xml:space="preserve"> Partie marché : 18 mois maximum (6 mois maximum d’exécution + 12 mois de 1</w:t>
            </w:r>
            <w:r w:rsidRPr="00AF5C5F">
              <w:rPr>
                <w:color w:val="000000"/>
                <w:vertAlign w:val="superscript"/>
              </w:rPr>
              <w:t>ère</w:t>
            </w:r>
            <w:r>
              <w:rPr>
                <w:color w:val="000000"/>
              </w:rPr>
              <w:t xml:space="preserve"> année de maintenance)</w:t>
            </w:r>
          </w:p>
          <w:p w14:paraId="7EC2907A" w14:textId="77777777" w:rsidR="009F5215" w:rsidRDefault="009F5215" w:rsidP="00AF5C5F">
            <w:pPr>
              <w:pBdr>
                <w:top w:val="nil"/>
                <w:left w:val="nil"/>
                <w:bottom w:val="nil"/>
                <w:right w:val="nil"/>
                <w:between w:val="nil"/>
              </w:pBdr>
              <w:spacing w:before="197"/>
              <w:ind w:left="266"/>
              <w:rPr>
                <w:color w:val="000000"/>
              </w:rPr>
            </w:pPr>
            <w:r>
              <w:rPr>
                <w:color w:val="000000"/>
              </w:rPr>
              <w:t>Partie à bons de commande : : 2 ans fermes à compter de l’admission de l’ICP-MS puis reconductible tacitement une fois deux ans.</w:t>
            </w:r>
          </w:p>
        </w:tc>
      </w:tr>
      <w:tr w:rsidR="009F5215" w14:paraId="4140B7E4" w14:textId="77777777" w:rsidTr="00AF5C5F">
        <w:trPr>
          <w:trHeight w:val="756"/>
        </w:trPr>
        <w:tc>
          <w:tcPr>
            <w:tcW w:w="2870" w:type="dxa"/>
            <w:shd w:val="clear" w:color="auto" w:fill="585858"/>
          </w:tcPr>
          <w:p w14:paraId="31F40473" w14:textId="77777777" w:rsidR="009F5215" w:rsidRDefault="009F5215" w:rsidP="00AF5C5F">
            <w:pPr>
              <w:pBdr>
                <w:top w:val="nil"/>
                <w:left w:val="nil"/>
                <w:bottom w:val="nil"/>
                <w:right w:val="nil"/>
                <w:between w:val="nil"/>
              </w:pBdr>
              <w:tabs>
                <w:tab w:val="left" w:pos="724"/>
              </w:tabs>
              <w:spacing w:before="161" w:line="232" w:lineRule="auto"/>
              <w:ind w:left="724" w:right="676" w:hanging="514"/>
              <w:rPr>
                <w:color w:val="000000"/>
              </w:rPr>
            </w:pPr>
            <w:r>
              <w:rPr>
                <w:noProof/>
                <w:color w:val="000000"/>
                <w:sz w:val="36"/>
                <w:szCs w:val="36"/>
                <w:vertAlign w:val="subscript"/>
              </w:rPr>
              <w:drawing>
                <wp:inline distT="0" distB="0" distL="0" distR="0" wp14:anchorId="514D7817" wp14:editId="2404EEB0">
                  <wp:extent cx="102552" cy="120649"/>
                  <wp:effectExtent l="0" t="0" r="0" b="0"/>
                  <wp:docPr id="2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0"/>
                          <a:srcRect/>
                          <a:stretch>
                            <a:fillRect/>
                          </a:stretch>
                        </pic:blipFill>
                        <pic:spPr>
                          <a:xfrm>
                            <a:off x="0" y="0"/>
                            <a:ext cx="102552" cy="120649"/>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Développement durable</w:t>
            </w:r>
          </w:p>
        </w:tc>
        <w:tc>
          <w:tcPr>
            <w:tcW w:w="5882" w:type="dxa"/>
            <w:shd w:val="clear" w:color="auto" w:fill="F1F1F1"/>
          </w:tcPr>
          <w:p w14:paraId="795B8019" w14:textId="46CDE9BF" w:rsidR="009F5215" w:rsidRDefault="009F5215" w:rsidP="00AF5C5F">
            <w:pPr>
              <w:pBdr>
                <w:top w:val="nil"/>
                <w:left w:val="nil"/>
                <w:bottom w:val="nil"/>
                <w:right w:val="nil"/>
                <w:between w:val="nil"/>
              </w:pBdr>
              <w:spacing w:before="155"/>
              <w:ind w:left="266"/>
              <w:rPr>
                <w:color w:val="000000"/>
              </w:rPr>
            </w:pPr>
            <w:r>
              <w:rPr>
                <w:color w:val="000000"/>
              </w:rPr>
              <w:t xml:space="preserve">Clause environnementale et </w:t>
            </w:r>
            <w:r w:rsidR="0073723B">
              <w:rPr>
                <w:color w:val="000000"/>
              </w:rPr>
              <w:t xml:space="preserve">clause </w:t>
            </w:r>
            <w:r>
              <w:rPr>
                <w:color w:val="000000"/>
              </w:rPr>
              <w:t>sociale</w:t>
            </w:r>
          </w:p>
          <w:p w14:paraId="464E347F" w14:textId="77777777" w:rsidR="009F5215" w:rsidRDefault="009F5215" w:rsidP="00AF5C5F">
            <w:pPr>
              <w:pBdr>
                <w:top w:val="nil"/>
                <w:left w:val="nil"/>
                <w:bottom w:val="nil"/>
                <w:right w:val="nil"/>
                <w:between w:val="nil"/>
              </w:pBdr>
              <w:spacing w:before="155"/>
              <w:ind w:left="266"/>
              <w:rPr>
                <w:color w:val="000000"/>
              </w:rPr>
            </w:pPr>
            <w:r>
              <w:rPr>
                <w:color w:val="000000"/>
              </w:rPr>
              <w:t>Critère environnemental</w:t>
            </w:r>
          </w:p>
        </w:tc>
      </w:tr>
      <w:tr w:rsidR="009F5215" w14:paraId="301F8370" w14:textId="77777777" w:rsidTr="00AF5C5F">
        <w:trPr>
          <w:trHeight w:val="358"/>
        </w:trPr>
        <w:tc>
          <w:tcPr>
            <w:tcW w:w="2870" w:type="dxa"/>
            <w:shd w:val="clear" w:color="auto" w:fill="585858"/>
          </w:tcPr>
          <w:p w14:paraId="6ADB71CE" w14:textId="77777777" w:rsidR="009F5215" w:rsidRDefault="009F5215" w:rsidP="00AF5C5F">
            <w:pPr>
              <w:pBdr>
                <w:top w:val="nil"/>
                <w:left w:val="nil"/>
                <w:bottom w:val="nil"/>
                <w:right w:val="nil"/>
                <w:between w:val="nil"/>
              </w:pBdr>
              <w:tabs>
                <w:tab w:val="left" w:pos="724"/>
              </w:tabs>
              <w:spacing w:before="20"/>
              <w:ind w:left="196"/>
              <w:rPr>
                <w:color w:val="000000"/>
              </w:rPr>
            </w:pPr>
            <w:r>
              <w:rPr>
                <w:noProof/>
                <w:color w:val="000000"/>
                <w:sz w:val="36"/>
                <w:szCs w:val="36"/>
                <w:vertAlign w:val="subscript"/>
              </w:rPr>
              <w:drawing>
                <wp:inline distT="0" distB="0" distL="0" distR="0" wp14:anchorId="6C4591BA" wp14:editId="43F48AD3">
                  <wp:extent cx="120649" cy="120649"/>
                  <wp:effectExtent l="0" t="0" r="0" b="0"/>
                  <wp:docPr id="3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a:stretch>
                            <a:fillRect/>
                          </a:stretch>
                        </pic:blipFill>
                        <pic:spPr>
                          <a:xfrm>
                            <a:off x="0" y="0"/>
                            <a:ext cx="120649" cy="120649"/>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Pénalités de retard</w:t>
            </w:r>
          </w:p>
        </w:tc>
        <w:tc>
          <w:tcPr>
            <w:tcW w:w="5882" w:type="dxa"/>
            <w:shd w:val="clear" w:color="auto" w:fill="F1F1F1"/>
          </w:tcPr>
          <w:p w14:paraId="7FA9CCB7" w14:textId="77777777" w:rsidR="009F5215" w:rsidRDefault="009F5215" w:rsidP="00AF5C5F">
            <w:pPr>
              <w:pBdr>
                <w:top w:val="nil"/>
                <w:left w:val="nil"/>
                <w:bottom w:val="nil"/>
                <w:right w:val="nil"/>
                <w:between w:val="nil"/>
              </w:pBdr>
              <w:spacing w:before="20"/>
              <w:ind w:left="266"/>
              <w:rPr>
                <w:color w:val="000000"/>
              </w:rPr>
            </w:pPr>
            <w:r>
              <w:rPr>
                <w:color w:val="000000"/>
              </w:rPr>
              <w:t>OUI (voir article 9.1)</w:t>
            </w:r>
          </w:p>
        </w:tc>
      </w:tr>
      <w:tr w:rsidR="009F5215" w14:paraId="4D391AB7" w14:textId="77777777" w:rsidTr="00AF5C5F">
        <w:trPr>
          <w:trHeight w:val="363"/>
        </w:trPr>
        <w:tc>
          <w:tcPr>
            <w:tcW w:w="2870" w:type="dxa"/>
            <w:shd w:val="clear" w:color="auto" w:fill="585858"/>
          </w:tcPr>
          <w:p w14:paraId="44023C60" w14:textId="77777777" w:rsidR="009F5215" w:rsidRDefault="009F5215" w:rsidP="00AF5C5F">
            <w:pPr>
              <w:pBdr>
                <w:top w:val="nil"/>
                <w:left w:val="nil"/>
                <w:bottom w:val="nil"/>
                <w:right w:val="nil"/>
                <w:between w:val="nil"/>
              </w:pBdr>
              <w:tabs>
                <w:tab w:val="left" w:pos="724"/>
              </w:tabs>
              <w:spacing w:before="26"/>
              <w:ind w:left="196"/>
              <w:rPr>
                <w:color w:val="000000"/>
              </w:rPr>
            </w:pPr>
            <w:r>
              <w:rPr>
                <w:noProof/>
                <w:color w:val="000000"/>
              </w:rPr>
              <w:drawing>
                <wp:inline distT="0" distB="0" distL="0" distR="0" wp14:anchorId="177E9D0B" wp14:editId="6F5B610C">
                  <wp:extent cx="120649" cy="93503"/>
                  <wp:effectExtent l="0" t="0" r="0" b="0"/>
                  <wp:docPr id="2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a:stretch>
                            <a:fillRect/>
                          </a:stretch>
                        </pic:blipFill>
                        <pic:spPr>
                          <a:xfrm>
                            <a:off x="0" y="0"/>
                            <a:ext cx="120649" cy="93503"/>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Variation des prix</w:t>
            </w:r>
          </w:p>
        </w:tc>
        <w:tc>
          <w:tcPr>
            <w:tcW w:w="5882" w:type="dxa"/>
            <w:shd w:val="clear" w:color="auto" w:fill="F1F1F1"/>
          </w:tcPr>
          <w:p w14:paraId="24D2FCCD" w14:textId="77777777" w:rsidR="009F5215" w:rsidRDefault="009F5215" w:rsidP="00AF5C5F">
            <w:pPr>
              <w:pBdr>
                <w:top w:val="nil"/>
                <w:left w:val="nil"/>
                <w:bottom w:val="nil"/>
                <w:right w:val="nil"/>
                <w:between w:val="nil"/>
              </w:pBdr>
              <w:spacing w:before="26"/>
              <w:ind w:left="266"/>
              <w:rPr>
                <w:color w:val="000000"/>
              </w:rPr>
            </w:pPr>
            <w:r>
              <w:rPr>
                <w:color w:val="000000"/>
              </w:rPr>
              <w:t>OUI (voir article 6.4)</w:t>
            </w:r>
          </w:p>
        </w:tc>
      </w:tr>
      <w:tr w:rsidR="009F5215" w14:paraId="159A496F" w14:textId="77777777" w:rsidTr="00AF5C5F">
        <w:trPr>
          <w:trHeight w:val="350"/>
        </w:trPr>
        <w:tc>
          <w:tcPr>
            <w:tcW w:w="2870" w:type="dxa"/>
            <w:shd w:val="clear" w:color="auto" w:fill="585858"/>
          </w:tcPr>
          <w:p w14:paraId="22C2BAF2" w14:textId="77777777" w:rsidR="009F5215" w:rsidRDefault="009F5215" w:rsidP="00AF5C5F">
            <w:pPr>
              <w:pBdr>
                <w:top w:val="nil"/>
                <w:left w:val="nil"/>
                <w:bottom w:val="nil"/>
                <w:right w:val="nil"/>
                <w:between w:val="nil"/>
              </w:pBdr>
              <w:tabs>
                <w:tab w:val="left" w:pos="724"/>
              </w:tabs>
              <w:spacing w:before="28"/>
              <w:ind w:left="196"/>
              <w:rPr>
                <w:color w:val="000000"/>
              </w:rPr>
            </w:pPr>
            <w:r>
              <w:rPr>
                <w:noProof/>
                <w:color w:val="000000"/>
              </w:rPr>
              <w:drawing>
                <wp:inline distT="0" distB="0" distL="0" distR="0" wp14:anchorId="1FA6F017" wp14:editId="62555707">
                  <wp:extent cx="120649" cy="99536"/>
                  <wp:effectExtent l="0" t="0" r="0" b="0"/>
                  <wp:docPr id="3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120649" cy="99536"/>
                          </a:xfrm>
                          <a:prstGeom prst="rect">
                            <a:avLst/>
                          </a:prstGeom>
                          <a:ln/>
                        </pic:spPr>
                      </pic:pic>
                    </a:graphicData>
                  </a:graphic>
                </wp:inline>
              </w:drawing>
            </w:r>
            <w:r>
              <w:rPr>
                <w:rFonts w:ascii="Times New Roman" w:eastAsia="Times New Roman" w:hAnsi="Times New Roman" w:cs="Times New Roman"/>
                <w:color w:val="000000"/>
                <w:sz w:val="20"/>
                <w:szCs w:val="20"/>
              </w:rPr>
              <w:tab/>
            </w:r>
            <w:r>
              <w:rPr>
                <w:color w:val="000000"/>
              </w:rPr>
              <w:t>Nature des prix</w:t>
            </w:r>
          </w:p>
        </w:tc>
        <w:tc>
          <w:tcPr>
            <w:tcW w:w="5882" w:type="dxa"/>
            <w:shd w:val="clear" w:color="auto" w:fill="F1F1F1"/>
          </w:tcPr>
          <w:p w14:paraId="238A8EF0" w14:textId="77777777" w:rsidR="009F5215" w:rsidRDefault="009F5215" w:rsidP="00AF5C5F">
            <w:pPr>
              <w:pBdr>
                <w:top w:val="nil"/>
                <w:left w:val="nil"/>
                <w:bottom w:val="nil"/>
                <w:right w:val="nil"/>
                <w:between w:val="nil"/>
              </w:pBdr>
              <w:spacing w:before="28"/>
              <w:ind w:left="266"/>
              <w:rPr>
                <w:color w:val="000000"/>
                <w:sz w:val="20"/>
                <w:szCs w:val="20"/>
              </w:rPr>
            </w:pPr>
            <w:r>
              <w:rPr>
                <w:color w:val="000000"/>
                <w:sz w:val="20"/>
                <w:szCs w:val="20"/>
              </w:rPr>
              <w:t>Prix mixtes</w:t>
            </w:r>
          </w:p>
        </w:tc>
      </w:tr>
    </w:tbl>
    <w:p w14:paraId="480A02AC" w14:textId="77777777" w:rsidR="009F5215" w:rsidRDefault="009F5215">
      <w:pPr>
        <w:spacing w:before="266"/>
        <w:ind w:left="1" w:right="141"/>
        <w:jc w:val="both"/>
        <w:rPr>
          <w:b/>
          <w:bCs/>
          <w:sz w:val="20"/>
          <w:szCs w:val="20"/>
          <w:u w:val="single"/>
        </w:rPr>
      </w:pPr>
    </w:p>
    <w:p w14:paraId="40ED4F68" w14:textId="77777777" w:rsidR="008C601D" w:rsidRDefault="008C601D">
      <w:pPr>
        <w:spacing w:before="266"/>
        <w:ind w:left="1" w:right="141"/>
        <w:jc w:val="both"/>
        <w:rPr>
          <w:b/>
          <w:bCs/>
          <w:sz w:val="20"/>
          <w:szCs w:val="20"/>
          <w:u w:val="single"/>
        </w:rPr>
      </w:pPr>
      <w:r>
        <w:rPr>
          <w:b/>
          <w:bCs/>
          <w:sz w:val="20"/>
          <w:szCs w:val="20"/>
          <w:u w:val="single"/>
        </w:rPr>
        <w:br w:type="page"/>
      </w:r>
    </w:p>
    <w:p w14:paraId="464DE504" w14:textId="0C62AF57" w:rsidR="00DB68BF" w:rsidRDefault="00BF2199">
      <w:pPr>
        <w:spacing w:before="266"/>
        <w:ind w:left="1" w:right="141"/>
        <w:jc w:val="both"/>
        <w:rPr>
          <w:b/>
          <w:bCs/>
          <w:sz w:val="20"/>
          <w:szCs w:val="20"/>
          <w:u w:val="single"/>
        </w:rPr>
      </w:pPr>
      <w:r>
        <w:rPr>
          <w:b/>
          <w:bCs/>
          <w:sz w:val="20"/>
          <w:szCs w:val="20"/>
          <w:u w:val="single"/>
        </w:rPr>
        <w:lastRenderedPageBreak/>
        <w:t>Rappel des exigences</w:t>
      </w:r>
    </w:p>
    <w:p w14:paraId="464DE505" w14:textId="0B0D059E" w:rsidR="00DB68BF" w:rsidRDefault="009D5FB7">
      <w:pPr>
        <w:spacing w:before="266"/>
        <w:ind w:left="1" w:right="141"/>
        <w:jc w:val="both"/>
        <w:rPr>
          <w:b/>
          <w:bCs/>
          <w:sz w:val="20"/>
          <w:szCs w:val="20"/>
        </w:rPr>
      </w:pPr>
      <w:r w:rsidRPr="009D5FB7">
        <w:rPr>
          <w:b/>
          <w:bCs/>
          <w:sz w:val="20"/>
          <w:szCs w:val="20"/>
        </w:rPr>
        <w:t>Le tableau ci-dessous rappelle les principales exigences minimales de la consultation. Il ne se substitue pas aux stipulations du CCP, dont l’ensemble des exigences demeure applicable. Le candidat doit vérifier la conformité de sa solution à l’intégralité du CCP et apporter, dans son offre technique, les éléments permettant d’en apprécier le respect.</w:t>
      </w:r>
    </w:p>
    <w:p w14:paraId="464DE506" w14:textId="0333A9CF" w:rsidR="00DB68BF" w:rsidRDefault="00BF2199">
      <w:pPr>
        <w:spacing w:before="266" w:after="240"/>
        <w:ind w:left="1" w:right="141"/>
        <w:jc w:val="both"/>
        <w:rPr>
          <w:b/>
          <w:bCs/>
          <w:sz w:val="20"/>
          <w:szCs w:val="20"/>
        </w:rPr>
      </w:pPr>
      <w:r>
        <w:rPr>
          <w:b/>
          <w:bCs/>
          <w:sz w:val="20"/>
          <w:szCs w:val="20"/>
        </w:rPr>
        <w:t xml:space="preserve">L’attention des candidats est attirée sur le fait que le non-respect de l’une de ces exigences minimales, l’absence de réponse ou une réponse ne permettant pas d’en vérifier le respect est susceptible d’entraîner la qualification de l’offre comme irrégulière et son élimination avant l’analyse et la notation des critères </w:t>
      </w:r>
      <w:r w:rsidR="00EB6FCB">
        <w:rPr>
          <w:b/>
          <w:bCs/>
          <w:sz w:val="20"/>
          <w:szCs w:val="20"/>
        </w:rPr>
        <w:t>de jugement des offres</w:t>
      </w:r>
      <w:r>
        <w:rPr>
          <w:b/>
          <w:bCs/>
          <w:sz w:val="20"/>
          <w:szCs w:val="20"/>
        </w:rPr>
        <w:t>, sous réserve de la faculté dont dispose l’acheteur de demander, lorsqu’elle est juridiquement possible, la régularisation de l’offre.</w:t>
      </w:r>
    </w:p>
    <w:tbl>
      <w:tblPr>
        <w:tblStyle w:val="a0"/>
        <w:tblW w:w="99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89"/>
        <w:gridCol w:w="7738"/>
      </w:tblGrid>
      <w:tr w:rsidR="00DB68BF" w14:paraId="464DE509" w14:textId="77777777">
        <w:trPr>
          <w:tblHeader/>
        </w:trPr>
        <w:tc>
          <w:tcPr>
            <w:tcW w:w="2189" w:type="dxa"/>
            <w:vAlign w:val="center"/>
          </w:tcPr>
          <w:p w14:paraId="464DE507" w14:textId="77777777" w:rsidR="00DB68BF" w:rsidRDefault="00BF2199">
            <w:pPr>
              <w:rPr>
                <w:sz w:val="20"/>
                <w:szCs w:val="20"/>
              </w:rPr>
            </w:pPr>
            <w:r>
              <w:rPr>
                <w:sz w:val="20"/>
                <w:szCs w:val="20"/>
              </w:rPr>
              <w:t>Domaine</w:t>
            </w:r>
          </w:p>
        </w:tc>
        <w:tc>
          <w:tcPr>
            <w:tcW w:w="7738" w:type="dxa"/>
            <w:vAlign w:val="center"/>
          </w:tcPr>
          <w:p w14:paraId="464DE508" w14:textId="77777777" w:rsidR="00DB68BF" w:rsidRDefault="00BF2199">
            <w:pPr>
              <w:rPr>
                <w:sz w:val="20"/>
                <w:szCs w:val="20"/>
              </w:rPr>
            </w:pPr>
            <w:r>
              <w:rPr>
                <w:sz w:val="20"/>
                <w:szCs w:val="20"/>
              </w:rPr>
              <w:t>Exigence</w:t>
            </w:r>
          </w:p>
        </w:tc>
      </w:tr>
      <w:tr w:rsidR="00DB68BF" w14:paraId="464DE50C" w14:textId="77777777">
        <w:tc>
          <w:tcPr>
            <w:tcW w:w="2189" w:type="dxa"/>
            <w:vAlign w:val="center"/>
          </w:tcPr>
          <w:p w14:paraId="464DE50A" w14:textId="77777777" w:rsidR="00DB68BF" w:rsidRDefault="00BF2199">
            <w:pPr>
              <w:rPr>
                <w:sz w:val="20"/>
                <w:szCs w:val="20"/>
              </w:rPr>
            </w:pPr>
            <w:r>
              <w:rPr>
                <w:sz w:val="20"/>
                <w:szCs w:val="20"/>
              </w:rPr>
              <w:t>Type d’équipement</w:t>
            </w:r>
          </w:p>
        </w:tc>
        <w:tc>
          <w:tcPr>
            <w:tcW w:w="7738" w:type="dxa"/>
            <w:vAlign w:val="center"/>
          </w:tcPr>
          <w:p w14:paraId="464DE50B" w14:textId="77777777" w:rsidR="00DB68BF" w:rsidRDefault="00BF2199">
            <w:pPr>
              <w:rPr>
                <w:sz w:val="20"/>
                <w:szCs w:val="20"/>
              </w:rPr>
            </w:pPr>
            <w:r>
              <w:rPr>
                <w:sz w:val="20"/>
                <w:szCs w:val="20"/>
              </w:rPr>
              <w:t xml:space="preserve">Spectromètre de masse à plasma à couplage inductif quadripolaire (ICP-MS) permettant l’analyse </w:t>
            </w:r>
            <w:proofErr w:type="spellStart"/>
            <w:r>
              <w:rPr>
                <w:sz w:val="20"/>
                <w:szCs w:val="20"/>
              </w:rPr>
              <w:t>multiélémentaire</w:t>
            </w:r>
            <w:proofErr w:type="spellEnd"/>
          </w:p>
        </w:tc>
      </w:tr>
      <w:tr w:rsidR="00DB68BF" w14:paraId="464DE50F" w14:textId="77777777">
        <w:tc>
          <w:tcPr>
            <w:tcW w:w="2189" w:type="dxa"/>
            <w:vAlign w:val="center"/>
          </w:tcPr>
          <w:p w14:paraId="464DE50D" w14:textId="77777777" w:rsidR="00DB68BF" w:rsidRDefault="00BF2199">
            <w:pPr>
              <w:rPr>
                <w:sz w:val="20"/>
                <w:szCs w:val="20"/>
              </w:rPr>
            </w:pPr>
            <w:r>
              <w:rPr>
                <w:sz w:val="20"/>
                <w:szCs w:val="20"/>
              </w:rPr>
              <w:t>Domaine d’application</w:t>
            </w:r>
          </w:p>
        </w:tc>
        <w:tc>
          <w:tcPr>
            <w:tcW w:w="7738" w:type="dxa"/>
            <w:vAlign w:val="center"/>
          </w:tcPr>
          <w:p w14:paraId="464DE50E" w14:textId="77777777" w:rsidR="00DB68BF" w:rsidRDefault="00BF2199">
            <w:pPr>
              <w:rPr>
                <w:sz w:val="20"/>
                <w:szCs w:val="20"/>
              </w:rPr>
            </w:pPr>
            <w:r>
              <w:rPr>
                <w:sz w:val="20"/>
                <w:szCs w:val="20"/>
              </w:rPr>
              <w:t xml:space="preserve">Analyse qualitative et quantitative </w:t>
            </w:r>
            <w:proofErr w:type="spellStart"/>
            <w:r>
              <w:rPr>
                <w:sz w:val="20"/>
                <w:szCs w:val="20"/>
              </w:rPr>
              <w:t>multiélémentaire</w:t>
            </w:r>
            <w:proofErr w:type="spellEnd"/>
            <w:r>
              <w:rPr>
                <w:sz w:val="20"/>
                <w:szCs w:val="20"/>
              </w:rPr>
              <w:t xml:space="preserve"> sur matrices variées, incluant la détermination d’éléments présents à l’état de traces et d’ultra-traces.</w:t>
            </w:r>
          </w:p>
        </w:tc>
      </w:tr>
      <w:tr w:rsidR="00DB68BF" w14:paraId="464DE512" w14:textId="77777777">
        <w:tc>
          <w:tcPr>
            <w:tcW w:w="2189" w:type="dxa"/>
            <w:vAlign w:val="center"/>
          </w:tcPr>
          <w:p w14:paraId="464DE510" w14:textId="77777777" w:rsidR="00DB68BF" w:rsidRDefault="00BF2199">
            <w:pPr>
              <w:rPr>
                <w:sz w:val="20"/>
                <w:szCs w:val="20"/>
              </w:rPr>
            </w:pPr>
            <w:r>
              <w:rPr>
                <w:sz w:val="20"/>
                <w:szCs w:val="20"/>
              </w:rPr>
              <w:t>Gamme élémentaire</w:t>
            </w:r>
          </w:p>
        </w:tc>
        <w:tc>
          <w:tcPr>
            <w:tcW w:w="7738" w:type="dxa"/>
            <w:vAlign w:val="center"/>
          </w:tcPr>
          <w:p w14:paraId="464DE511" w14:textId="77777777" w:rsidR="00DB68BF" w:rsidRDefault="00BF2199">
            <w:pPr>
              <w:rPr>
                <w:sz w:val="20"/>
                <w:szCs w:val="20"/>
              </w:rPr>
            </w:pPr>
            <w:r>
              <w:rPr>
                <w:sz w:val="20"/>
                <w:szCs w:val="20"/>
              </w:rPr>
              <w:t>L’équipement devra permettre l’analyse d’une large gamme d’éléments, incluant des éléments légers et lourds, ainsi que des éléments majeurs, traces et ultra-traces.</w:t>
            </w:r>
          </w:p>
        </w:tc>
      </w:tr>
      <w:tr w:rsidR="00DB68BF" w14:paraId="464DE515" w14:textId="77777777">
        <w:tc>
          <w:tcPr>
            <w:tcW w:w="2189" w:type="dxa"/>
            <w:vAlign w:val="center"/>
          </w:tcPr>
          <w:p w14:paraId="464DE513" w14:textId="77777777" w:rsidR="00DB68BF" w:rsidRDefault="00BF2199">
            <w:pPr>
              <w:rPr>
                <w:sz w:val="20"/>
                <w:szCs w:val="20"/>
              </w:rPr>
            </w:pPr>
            <w:r>
              <w:rPr>
                <w:sz w:val="20"/>
                <w:szCs w:val="20"/>
              </w:rPr>
              <w:t>Source plasma</w:t>
            </w:r>
          </w:p>
        </w:tc>
        <w:tc>
          <w:tcPr>
            <w:tcW w:w="7738" w:type="dxa"/>
            <w:vAlign w:val="center"/>
          </w:tcPr>
          <w:p w14:paraId="464DE514" w14:textId="77777777" w:rsidR="00DB68BF" w:rsidRDefault="00BF2199">
            <w:pPr>
              <w:rPr>
                <w:sz w:val="20"/>
                <w:szCs w:val="20"/>
              </w:rPr>
            </w:pPr>
            <w:r>
              <w:rPr>
                <w:sz w:val="20"/>
                <w:szCs w:val="20"/>
              </w:rPr>
              <w:t>Source plasma inductif permettant l’analyse fiable d’échantillons à matrices variables, y compris des matrices complexes, tout en maintenant la stabilité du signal et les performances analytiques attendues.</w:t>
            </w:r>
          </w:p>
        </w:tc>
      </w:tr>
      <w:tr w:rsidR="00DB68BF" w14:paraId="464DE518" w14:textId="77777777">
        <w:tc>
          <w:tcPr>
            <w:tcW w:w="2189" w:type="dxa"/>
            <w:vAlign w:val="center"/>
          </w:tcPr>
          <w:p w14:paraId="464DE516" w14:textId="77777777" w:rsidR="00DB68BF" w:rsidRDefault="00BF2199">
            <w:pPr>
              <w:rPr>
                <w:sz w:val="20"/>
                <w:szCs w:val="20"/>
              </w:rPr>
            </w:pPr>
            <w:r>
              <w:rPr>
                <w:sz w:val="20"/>
                <w:szCs w:val="20"/>
              </w:rPr>
              <w:t>Système d’introduction des échantillons</w:t>
            </w:r>
          </w:p>
        </w:tc>
        <w:tc>
          <w:tcPr>
            <w:tcW w:w="7738" w:type="dxa"/>
            <w:vAlign w:val="center"/>
          </w:tcPr>
          <w:p w14:paraId="464DE517" w14:textId="77777777" w:rsidR="00DB68BF" w:rsidRDefault="00BF2199">
            <w:pPr>
              <w:rPr>
                <w:sz w:val="20"/>
                <w:szCs w:val="20"/>
              </w:rPr>
            </w:pPr>
            <w:r>
              <w:rPr>
                <w:sz w:val="20"/>
                <w:szCs w:val="20"/>
              </w:rPr>
              <w:t>Configuration permettant l’analyse d’échantillons présentant des concentrations et des charges matricielles variables, avec limitation des contaminations, des effets mémoire et des dérives analytiques.</w:t>
            </w:r>
          </w:p>
        </w:tc>
      </w:tr>
      <w:tr w:rsidR="00DB68BF" w14:paraId="464DE51B" w14:textId="77777777">
        <w:tc>
          <w:tcPr>
            <w:tcW w:w="2189" w:type="dxa"/>
            <w:vAlign w:val="center"/>
          </w:tcPr>
          <w:p w14:paraId="464DE519" w14:textId="77777777" w:rsidR="00DB68BF" w:rsidRDefault="00BF2199">
            <w:pPr>
              <w:rPr>
                <w:sz w:val="20"/>
                <w:szCs w:val="20"/>
              </w:rPr>
            </w:pPr>
            <w:r>
              <w:rPr>
                <w:sz w:val="20"/>
                <w:szCs w:val="20"/>
              </w:rPr>
              <w:t>Gestion des matrices complexes</w:t>
            </w:r>
          </w:p>
        </w:tc>
        <w:tc>
          <w:tcPr>
            <w:tcW w:w="7738" w:type="dxa"/>
            <w:vAlign w:val="center"/>
          </w:tcPr>
          <w:p w14:paraId="464DE51A" w14:textId="77777777" w:rsidR="00DB68BF" w:rsidRDefault="00BF2199">
            <w:pPr>
              <w:rPr>
                <w:sz w:val="20"/>
                <w:szCs w:val="20"/>
              </w:rPr>
            </w:pPr>
            <w:r>
              <w:rPr>
                <w:sz w:val="20"/>
                <w:szCs w:val="20"/>
              </w:rPr>
              <w:t>L’équipement devra permettre l’analyse de matrices complexes, notamment fortement chargées en sels dissous, tout en maintenant des performances analytiques compatibles avec les analyses en traces et ultra-traces.</w:t>
            </w:r>
          </w:p>
        </w:tc>
      </w:tr>
      <w:tr w:rsidR="00DB68BF" w14:paraId="464DE51E" w14:textId="77777777">
        <w:tc>
          <w:tcPr>
            <w:tcW w:w="2189" w:type="dxa"/>
            <w:vAlign w:val="center"/>
          </w:tcPr>
          <w:p w14:paraId="464DE51C" w14:textId="77777777" w:rsidR="00DB68BF" w:rsidRDefault="00BF2199">
            <w:pPr>
              <w:rPr>
                <w:sz w:val="20"/>
                <w:szCs w:val="20"/>
              </w:rPr>
            </w:pPr>
            <w:r>
              <w:rPr>
                <w:sz w:val="20"/>
                <w:szCs w:val="20"/>
              </w:rPr>
              <w:t>Analyseur de masse</w:t>
            </w:r>
          </w:p>
        </w:tc>
        <w:tc>
          <w:tcPr>
            <w:tcW w:w="7738" w:type="dxa"/>
            <w:vAlign w:val="center"/>
          </w:tcPr>
          <w:p w14:paraId="464DE51D" w14:textId="77777777" w:rsidR="00DB68BF" w:rsidRDefault="00BF2199">
            <w:pPr>
              <w:rPr>
                <w:sz w:val="20"/>
                <w:szCs w:val="20"/>
              </w:rPr>
            </w:pPr>
            <w:r>
              <w:rPr>
                <w:sz w:val="20"/>
                <w:szCs w:val="20"/>
              </w:rPr>
              <w:t xml:space="preserve">Analyseur quadripolaire permettant l’analyse </w:t>
            </w:r>
            <w:proofErr w:type="spellStart"/>
            <w:r>
              <w:rPr>
                <w:sz w:val="20"/>
                <w:szCs w:val="20"/>
              </w:rPr>
              <w:t>multiélémentaire</w:t>
            </w:r>
            <w:proofErr w:type="spellEnd"/>
            <w:r>
              <w:rPr>
                <w:sz w:val="20"/>
                <w:szCs w:val="20"/>
              </w:rPr>
              <w:t xml:space="preserve"> et la sélection des masses isotopiques nécessaires aux applications du laboratoire.</w:t>
            </w:r>
          </w:p>
        </w:tc>
      </w:tr>
      <w:tr w:rsidR="00DB68BF" w14:paraId="464DE521" w14:textId="77777777">
        <w:tc>
          <w:tcPr>
            <w:tcW w:w="2189" w:type="dxa"/>
            <w:vAlign w:val="center"/>
          </w:tcPr>
          <w:p w14:paraId="464DE51F" w14:textId="77777777" w:rsidR="00DB68BF" w:rsidRDefault="00BF2199">
            <w:pPr>
              <w:rPr>
                <w:sz w:val="20"/>
                <w:szCs w:val="20"/>
              </w:rPr>
            </w:pPr>
            <w:r>
              <w:rPr>
                <w:sz w:val="20"/>
                <w:szCs w:val="20"/>
              </w:rPr>
              <w:t>détection</w:t>
            </w:r>
          </w:p>
        </w:tc>
        <w:tc>
          <w:tcPr>
            <w:tcW w:w="7738" w:type="dxa"/>
            <w:vAlign w:val="center"/>
          </w:tcPr>
          <w:p w14:paraId="464DE520" w14:textId="77777777" w:rsidR="00DB68BF" w:rsidRDefault="00BF2199">
            <w:pPr>
              <w:rPr>
                <w:sz w:val="20"/>
                <w:szCs w:val="20"/>
              </w:rPr>
            </w:pPr>
            <w:r>
              <w:rPr>
                <w:sz w:val="20"/>
                <w:szCs w:val="20"/>
              </w:rPr>
              <w:t>Système de détection permettant la mesure d’éléments présents à de faibles concentrations, avec des performances compatibles avec les analyses en traces et ultra-traces en termes de sensibilité, dynamique de mesure, stabilité et reproductibilité.</w:t>
            </w:r>
          </w:p>
        </w:tc>
      </w:tr>
      <w:tr w:rsidR="00DB68BF" w14:paraId="464DE524" w14:textId="77777777">
        <w:tc>
          <w:tcPr>
            <w:tcW w:w="2189" w:type="dxa"/>
            <w:vAlign w:val="center"/>
          </w:tcPr>
          <w:p w14:paraId="464DE522" w14:textId="77777777" w:rsidR="00DB68BF" w:rsidRDefault="00BF2199">
            <w:pPr>
              <w:rPr>
                <w:sz w:val="20"/>
                <w:szCs w:val="20"/>
              </w:rPr>
            </w:pPr>
            <w:r>
              <w:rPr>
                <w:sz w:val="20"/>
                <w:szCs w:val="20"/>
              </w:rPr>
              <w:t>Cellule collision/réaction</w:t>
            </w:r>
          </w:p>
        </w:tc>
        <w:tc>
          <w:tcPr>
            <w:tcW w:w="7738" w:type="dxa"/>
            <w:vAlign w:val="center"/>
          </w:tcPr>
          <w:p w14:paraId="464DE523" w14:textId="77777777" w:rsidR="00DB68BF" w:rsidRDefault="00BF2199">
            <w:pPr>
              <w:rPr>
                <w:sz w:val="20"/>
                <w:szCs w:val="20"/>
              </w:rPr>
            </w:pPr>
            <w:r>
              <w:rPr>
                <w:sz w:val="20"/>
                <w:szCs w:val="20"/>
              </w:rPr>
              <w:t>Cellule collision/réaction intégrée permettant la réduction des interférences spectrales et polyatomiques, avec fonctionnement en mode hélium-KED ou technologie équivalente.</w:t>
            </w:r>
          </w:p>
        </w:tc>
      </w:tr>
      <w:tr w:rsidR="00DB68BF" w14:paraId="464DE527" w14:textId="77777777">
        <w:tc>
          <w:tcPr>
            <w:tcW w:w="2189" w:type="dxa"/>
            <w:vAlign w:val="center"/>
          </w:tcPr>
          <w:p w14:paraId="464DE525" w14:textId="77777777" w:rsidR="00DB68BF" w:rsidRDefault="00BF2199">
            <w:pPr>
              <w:rPr>
                <w:sz w:val="20"/>
                <w:szCs w:val="20"/>
              </w:rPr>
            </w:pPr>
            <w:r>
              <w:rPr>
                <w:sz w:val="20"/>
                <w:szCs w:val="20"/>
              </w:rPr>
              <w:t>Performances analytiques</w:t>
            </w:r>
          </w:p>
        </w:tc>
        <w:tc>
          <w:tcPr>
            <w:tcW w:w="7738" w:type="dxa"/>
            <w:vAlign w:val="center"/>
          </w:tcPr>
          <w:p w14:paraId="464DE526" w14:textId="77777777" w:rsidR="00DB68BF" w:rsidRDefault="00BF2199">
            <w:pPr>
              <w:rPr>
                <w:sz w:val="20"/>
                <w:szCs w:val="20"/>
              </w:rPr>
            </w:pPr>
            <w:r>
              <w:rPr>
                <w:sz w:val="20"/>
                <w:szCs w:val="20"/>
              </w:rPr>
              <w:t>Performances compatibles avec les besoins du laboratoire en termes de sensibilité, limites de détection, stabilité, répétabilité, reproductibilité et robustesse.</w:t>
            </w:r>
          </w:p>
        </w:tc>
      </w:tr>
      <w:tr w:rsidR="00DB68BF" w14:paraId="464DE52A" w14:textId="77777777">
        <w:tc>
          <w:tcPr>
            <w:tcW w:w="2189" w:type="dxa"/>
            <w:vAlign w:val="center"/>
          </w:tcPr>
          <w:p w14:paraId="464DE528" w14:textId="77777777" w:rsidR="00DB68BF" w:rsidRDefault="00BF2199">
            <w:pPr>
              <w:rPr>
                <w:sz w:val="20"/>
                <w:szCs w:val="20"/>
              </w:rPr>
            </w:pPr>
            <w:r>
              <w:rPr>
                <w:sz w:val="20"/>
                <w:szCs w:val="20"/>
              </w:rPr>
              <w:t>Logiciel</w:t>
            </w:r>
          </w:p>
        </w:tc>
        <w:tc>
          <w:tcPr>
            <w:tcW w:w="7738" w:type="dxa"/>
            <w:vAlign w:val="center"/>
          </w:tcPr>
          <w:p w14:paraId="464DE529" w14:textId="77777777" w:rsidR="00DB68BF" w:rsidRDefault="00BF2199">
            <w:pPr>
              <w:rPr>
                <w:sz w:val="20"/>
                <w:szCs w:val="20"/>
              </w:rPr>
            </w:pPr>
            <w:r>
              <w:rPr>
                <w:sz w:val="20"/>
                <w:szCs w:val="20"/>
              </w:rPr>
              <w:t>Logiciel assurant le pilotage de l’instrument, l’acquisition, le traitement des données, la gestion des méthodes, les contrôles qualité et l’export des résultats.</w:t>
            </w:r>
          </w:p>
        </w:tc>
      </w:tr>
      <w:tr w:rsidR="00DB68BF" w14:paraId="464DE52D" w14:textId="77777777">
        <w:tc>
          <w:tcPr>
            <w:tcW w:w="2189" w:type="dxa"/>
            <w:vAlign w:val="center"/>
          </w:tcPr>
          <w:p w14:paraId="464DE52B" w14:textId="77777777" w:rsidR="00DB68BF" w:rsidRDefault="00BF2199">
            <w:pPr>
              <w:rPr>
                <w:sz w:val="20"/>
                <w:szCs w:val="20"/>
              </w:rPr>
            </w:pPr>
            <w:r>
              <w:rPr>
                <w:sz w:val="20"/>
                <w:szCs w:val="20"/>
              </w:rPr>
              <w:t>Maintenance et disponibilité</w:t>
            </w:r>
          </w:p>
        </w:tc>
        <w:tc>
          <w:tcPr>
            <w:tcW w:w="7738" w:type="dxa"/>
            <w:vAlign w:val="center"/>
          </w:tcPr>
          <w:p w14:paraId="464DE52C" w14:textId="77777777" w:rsidR="00DB68BF" w:rsidRDefault="00BF2199">
            <w:pPr>
              <w:rPr>
                <w:sz w:val="20"/>
                <w:szCs w:val="20"/>
              </w:rPr>
            </w:pPr>
            <w:r>
              <w:rPr>
                <w:sz w:val="20"/>
                <w:szCs w:val="20"/>
              </w:rPr>
              <w:t>Conception permettant de limiter les opérations de maintenance et d’assurer une disponibilité élevée de l’équipement.</w:t>
            </w:r>
          </w:p>
        </w:tc>
      </w:tr>
      <w:tr w:rsidR="00DB68BF" w14:paraId="464DE530" w14:textId="77777777">
        <w:tc>
          <w:tcPr>
            <w:tcW w:w="2189" w:type="dxa"/>
            <w:vAlign w:val="center"/>
          </w:tcPr>
          <w:p w14:paraId="464DE52E" w14:textId="77777777" w:rsidR="00DB68BF" w:rsidRDefault="00BF2199">
            <w:pPr>
              <w:rPr>
                <w:sz w:val="20"/>
                <w:szCs w:val="20"/>
              </w:rPr>
            </w:pPr>
            <w:r>
              <w:rPr>
                <w:sz w:val="20"/>
                <w:szCs w:val="20"/>
              </w:rPr>
              <w:t>Évolutivité</w:t>
            </w:r>
          </w:p>
        </w:tc>
        <w:tc>
          <w:tcPr>
            <w:tcW w:w="7738" w:type="dxa"/>
            <w:vAlign w:val="center"/>
          </w:tcPr>
          <w:p w14:paraId="464DE52F" w14:textId="77777777" w:rsidR="00DB68BF" w:rsidRDefault="00BF2199">
            <w:pPr>
              <w:rPr>
                <w:sz w:val="20"/>
                <w:szCs w:val="20"/>
              </w:rPr>
            </w:pPr>
            <w:r>
              <w:rPr>
                <w:sz w:val="20"/>
                <w:szCs w:val="20"/>
              </w:rPr>
              <w:t>Compatibilité avec des accessoires et fonctionnalités complémentaires permettant l’évolution future des applications analytiques.</w:t>
            </w:r>
          </w:p>
        </w:tc>
      </w:tr>
      <w:tr w:rsidR="00DB68BF" w14:paraId="464DE533" w14:textId="77777777">
        <w:tc>
          <w:tcPr>
            <w:tcW w:w="2189" w:type="dxa"/>
            <w:vAlign w:val="center"/>
          </w:tcPr>
          <w:p w14:paraId="464DE531" w14:textId="77777777" w:rsidR="00DB68BF" w:rsidRDefault="00BF2199">
            <w:pPr>
              <w:rPr>
                <w:sz w:val="20"/>
                <w:szCs w:val="20"/>
              </w:rPr>
            </w:pPr>
            <w:r>
              <w:rPr>
                <w:sz w:val="20"/>
                <w:szCs w:val="20"/>
              </w:rPr>
              <w:t>Documentation et accompagnement</w:t>
            </w:r>
          </w:p>
        </w:tc>
        <w:tc>
          <w:tcPr>
            <w:tcW w:w="7738" w:type="dxa"/>
            <w:vAlign w:val="center"/>
          </w:tcPr>
          <w:p w14:paraId="464DE532" w14:textId="77777777" w:rsidR="00DB68BF" w:rsidRDefault="00BF2199">
            <w:pPr>
              <w:rPr>
                <w:sz w:val="20"/>
                <w:szCs w:val="20"/>
              </w:rPr>
            </w:pPr>
            <w:r>
              <w:rPr>
                <w:sz w:val="20"/>
                <w:szCs w:val="20"/>
              </w:rPr>
              <w:t>Fourniture de la documentation technique, installation, mise en service, formation des utilisateurs et support technique par du personnel compétent sur l’équipement proposé.</w:t>
            </w:r>
          </w:p>
        </w:tc>
      </w:tr>
    </w:tbl>
    <w:p w14:paraId="464DE534" w14:textId="77777777" w:rsidR="00DB68BF" w:rsidRDefault="00BF2199">
      <w:pPr>
        <w:rPr>
          <w:b/>
          <w:bCs/>
          <w:sz w:val="20"/>
          <w:szCs w:val="20"/>
        </w:rPr>
      </w:pPr>
      <w:r>
        <w:br w:type="page"/>
      </w:r>
    </w:p>
    <w:p w14:paraId="464DE535" w14:textId="77777777" w:rsidR="00DB68BF" w:rsidRDefault="00BF2199">
      <w:pPr>
        <w:numPr>
          <w:ilvl w:val="0"/>
          <w:numId w:val="2"/>
        </w:numPr>
        <w:pBdr>
          <w:top w:val="nil"/>
          <w:left w:val="nil"/>
          <w:bottom w:val="nil"/>
          <w:right w:val="nil"/>
          <w:between w:val="nil"/>
        </w:pBdr>
        <w:jc w:val="both"/>
        <w:rPr>
          <w:b/>
          <w:bCs/>
          <w:color w:val="000000"/>
          <w:sz w:val="20"/>
          <w:szCs w:val="20"/>
        </w:rPr>
      </w:pPr>
      <w:bookmarkStart w:id="1" w:name="bookmark=id.oh20dcgopyox" w:colFirst="0" w:colLast="0"/>
      <w:bookmarkEnd w:id="1"/>
      <w:r>
        <w:rPr>
          <w:b/>
          <w:bCs/>
          <w:color w:val="000000"/>
          <w:sz w:val="20"/>
          <w:szCs w:val="20"/>
        </w:rPr>
        <w:lastRenderedPageBreak/>
        <w:t>Qualité technique de l’offre – 60 points</w:t>
      </w:r>
    </w:p>
    <w:p w14:paraId="464DE536" w14:textId="77777777" w:rsidR="00DB68BF" w:rsidRDefault="00DB68BF">
      <w:pPr>
        <w:jc w:val="both"/>
        <w:rPr>
          <w:b/>
          <w:bCs/>
          <w:sz w:val="20"/>
          <w:szCs w:val="20"/>
        </w:rPr>
      </w:pPr>
    </w:p>
    <w:p w14:paraId="464DE537" w14:textId="64CE162E" w:rsidR="00DB68BF" w:rsidRDefault="00BF2199">
      <w:pPr>
        <w:jc w:val="both"/>
        <w:rPr>
          <w:b/>
          <w:bCs/>
          <w:sz w:val="20"/>
          <w:szCs w:val="20"/>
        </w:rPr>
      </w:pPr>
      <w:r>
        <w:rPr>
          <w:b/>
          <w:bCs/>
          <w:sz w:val="20"/>
          <w:szCs w:val="20"/>
        </w:rPr>
        <w:t xml:space="preserve">1.1 </w:t>
      </w:r>
      <w:r w:rsidR="00537122" w:rsidRPr="00A1373C">
        <w:rPr>
          <w:b/>
          <w:bCs/>
          <w:sz w:val="20"/>
          <w:szCs w:val="20"/>
        </w:rPr>
        <w:t>Qualité et niveau de performance de la solution technique proposée au regard des besoins du laboratoir</w:t>
      </w:r>
      <w:r w:rsidR="005F694D">
        <w:rPr>
          <w:b/>
          <w:bCs/>
          <w:sz w:val="20"/>
          <w:szCs w:val="20"/>
        </w:rPr>
        <w:t>e</w:t>
      </w:r>
      <w:r>
        <w:rPr>
          <w:b/>
          <w:bCs/>
          <w:sz w:val="20"/>
          <w:szCs w:val="20"/>
        </w:rPr>
        <w:t xml:space="preserve"> – </w:t>
      </w:r>
      <w:r w:rsidR="00526300">
        <w:rPr>
          <w:b/>
          <w:bCs/>
          <w:sz w:val="20"/>
          <w:szCs w:val="20"/>
        </w:rPr>
        <w:t>4</w:t>
      </w:r>
      <w:r>
        <w:rPr>
          <w:b/>
          <w:bCs/>
          <w:sz w:val="20"/>
          <w:szCs w:val="20"/>
        </w:rPr>
        <w:t>0 points</w:t>
      </w:r>
    </w:p>
    <w:p w14:paraId="464DE538" w14:textId="5135CFE1" w:rsidR="00DB68BF" w:rsidRDefault="00BF2199">
      <w:pPr>
        <w:jc w:val="both"/>
        <w:rPr>
          <w:color w:val="EE0000"/>
          <w:sz w:val="20"/>
          <w:szCs w:val="20"/>
        </w:rPr>
      </w:pPr>
      <w:r>
        <w:rPr>
          <w:sz w:val="20"/>
          <w:szCs w:val="20"/>
        </w:rPr>
        <w:t>Ce sous-critère porte sur l’aptitude de l’ICP-MS proposé, dans sa configuration incluse au titre de l’offre, à répondre aux besoins analytiques du laboratoire et aux exigences du CCP.</w:t>
      </w:r>
    </w:p>
    <w:p w14:paraId="464DE539" w14:textId="77777777" w:rsidR="00DB68BF" w:rsidRDefault="00DB68BF">
      <w:pPr>
        <w:jc w:val="both"/>
        <w:rPr>
          <w:sz w:val="20"/>
          <w:szCs w:val="20"/>
        </w:rPr>
      </w:pPr>
    </w:p>
    <w:p w14:paraId="464DE53A" w14:textId="77777777" w:rsidR="00DB68BF" w:rsidRDefault="00BF2199">
      <w:pPr>
        <w:jc w:val="both"/>
        <w:rPr>
          <w:sz w:val="20"/>
          <w:szCs w:val="20"/>
        </w:rPr>
      </w:pPr>
      <w:r>
        <w:rPr>
          <w:sz w:val="20"/>
          <w:szCs w:val="20"/>
        </w:rPr>
        <w:t>L’analyse prendra notamment en compte :</w:t>
      </w:r>
    </w:p>
    <w:p w14:paraId="464DE53B" w14:textId="77777777" w:rsidR="00DB68BF" w:rsidRDefault="00BF2199">
      <w:pPr>
        <w:widowControl/>
        <w:numPr>
          <w:ilvl w:val="0"/>
          <w:numId w:val="3"/>
        </w:numPr>
        <w:spacing w:line="276" w:lineRule="auto"/>
      </w:pPr>
      <w:r>
        <w:rPr>
          <w:sz w:val="20"/>
          <w:szCs w:val="20"/>
        </w:rPr>
        <w:t xml:space="preserve">la configuration générale de l’équipement proposé ; </w:t>
      </w:r>
    </w:p>
    <w:p w14:paraId="7F2715D9" w14:textId="2BAD6FAA" w:rsidR="008015BD" w:rsidRPr="00496372" w:rsidRDefault="00A34A65" w:rsidP="008015BD">
      <w:pPr>
        <w:widowControl/>
        <w:numPr>
          <w:ilvl w:val="0"/>
          <w:numId w:val="3"/>
        </w:numPr>
        <w:spacing w:after="100" w:afterAutospacing="1" w:line="276" w:lineRule="auto"/>
        <w:rPr>
          <w:sz w:val="20"/>
          <w:szCs w:val="20"/>
        </w:rPr>
      </w:pPr>
      <w:r>
        <w:rPr>
          <w:sz w:val="20"/>
          <w:szCs w:val="20"/>
        </w:rPr>
        <w:t>la p</w:t>
      </w:r>
      <w:r w:rsidR="008015BD">
        <w:rPr>
          <w:sz w:val="20"/>
          <w:szCs w:val="20"/>
        </w:rPr>
        <w:t xml:space="preserve">ertinence </w:t>
      </w:r>
      <w:r w:rsidR="008015BD" w:rsidRPr="00496372">
        <w:rPr>
          <w:sz w:val="20"/>
          <w:szCs w:val="20"/>
        </w:rPr>
        <w:t xml:space="preserve">des différents modules et accessoires inclus ; </w:t>
      </w:r>
    </w:p>
    <w:p w14:paraId="464DE53D" w14:textId="77777777" w:rsidR="00DB68BF" w:rsidRDefault="00BF2199">
      <w:pPr>
        <w:widowControl/>
        <w:numPr>
          <w:ilvl w:val="0"/>
          <w:numId w:val="3"/>
        </w:numPr>
        <w:spacing w:line="276" w:lineRule="auto"/>
      </w:pPr>
      <w:r>
        <w:rPr>
          <w:sz w:val="20"/>
          <w:szCs w:val="20"/>
        </w:rPr>
        <w:t xml:space="preserve">les performances analytiques annoncées et le niveau de documentation permettant de les justifier ; </w:t>
      </w:r>
    </w:p>
    <w:p w14:paraId="464DE53E" w14:textId="77777777" w:rsidR="00DB68BF" w:rsidRDefault="00BF2199">
      <w:pPr>
        <w:widowControl/>
        <w:numPr>
          <w:ilvl w:val="0"/>
          <w:numId w:val="3"/>
        </w:numPr>
        <w:spacing w:line="276" w:lineRule="auto"/>
      </w:pPr>
      <w:r>
        <w:rPr>
          <w:sz w:val="20"/>
          <w:szCs w:val="20"/>
        </w:rPr>
        <w:t>les capacités d’analyse en traces et ultra-traces notamment dans des matrices complexes</w:t>
      </w:r>
    </w:p>
    <w:p w14:paraId="464DE540" w14:textId="77777777" w:rsidR="00DB68BF" w:rsidRDefault="00BF2199">
      <w:pPr>
        <w:widowControl/>
        <w:numPr>
          <w:ilvl w:val="0"/>
          <w:numId w:val="3"/>
        </w:numPr>
        <w:spacing w:line="276" w:lineRule="auto"/>
      </w:pPr>
      <w:r>
        <w:rPr>
          <w:sz w:val="20"/>
          <w:szCs w:val="20"/>
        </w:rPr>
        <w:t xml:space="preserve">les capacités d’analyse </w:t>
      </w:r>
      <w:proofErr w:type="spellStart"/>
      <w:r>
        <w:rPr>
          <w:sz w:val="20"/>
          <w:szCs w:val="20"/>
        </w:rPr>
        <w:t>multiélémentaire</w:t>
      </w:r>
      <w:proofErr w:type="spellEnd"/>
      <w:r>
        <w:rPr>
          <w:sz w:val="20"/>
          <w:szCs w:val="20"/>
        </w:rPr>
        <w:t xml:space="preserve"> couvrant une large gamme d’éléments, des éléments légers aux éléments lourds, ainsi que les performances associées ;</w:t>
      </w:r>
    </w:p>
    <w:p w14:paraId="464DE541" w14:textId="77777777" w:rsidR="00DB68BF" w:rsidRDefault="00BF2199">
      <w:pPr>
        <w:widowControl/>
        <w:numPr>
          <w:ilvl w:val="0"/>
          <w:numId w:val="3"/>
        </w:numPr>
        <w:spacing w:line="276" w:lineRule="auto"/>
      </w:pPr>
      <w:r>
        <w:rPr>
          <w:sz w:val="20"/>
          <w:szCs w:val="20"/>
        </w:rPr>
        <w:t xml:space="preserve">les performances et fonctionnalités de la cellule de collision/réaction ; </w:t>
      </w:r>
    </w:p>
    <w:p w14:paraId="464DE542" w14:textId="77777777" w:rsidR="00DB68BF" w:rsidRDefault="00BF2199">
      <w:pPr>
        <w:widowControl/>
        <w:numPr>
          <w:ilvl w:val="0"/>
          <w:numId w:val="3"/>
        </w:numPr>
        <w:spacing w:line="276" w:lineRule="auto"/>
      </w:pPr>
      <w:r>
        <w:rPr>
          <w:sz w:val="20"/>
          <w:szCs w:val="20"/>
        </w:rPr>
        <w:t xml:space="preserve">les capacités de réduction des interférences spectrales ; </w:t>
      </w:r>
    </w:p>
    <w:p w14:paraId="464DE543" w14:textId="77777777" w:rsidR="00DB68BF" w:rsidRDefault="00BF2199">
      <w:pPr>
        <w:widowControl/>
        <w:numPr>
          <w:ilvl w:val="0"/>
          <w:numId w:val="3"/>
        </w:numPr>
        <w:spacing w:line="276" w:lineRule="auto"/>
      </w:pPr>
      <w:r>
        <w:rPr>
          <w:sz w:val="20"/>
          <w:szCs w:val="20"/>
        </w:rPr>
        <w:t>la gestion des échantillons présentant des matrices variables ou complexes notamment fortement chargées en sels dissous telles que les matrices marines</w:t>
      </w:r>
    </w:p>
    <w:p w14:paraId="464DE544" w14:textId="77777777" w:rsidR="00DB68BF" w:rsidRDefault="00BF2199">
      <w:pPr>
        <w:widowControl/>
        <w:numPr>
          <w:ilvl w:val="0"/>
          <w:numId w:val="3"/>
        </w:numPr>
        <w:spacing w:line="276" w:lineRule="auto"/>
      </w:pPr>
      <w:r>
        <w:rPr>
          <w:sz w:val="20"/>
          <w:szCs w:val="20"/>
        </w:rPr>
        <w:t xml:space="preserve">la robustesse et la stabilité de fonctionnement de l’équipement dans le cadre d’une utilisation en routine ; </w:t>
      </w:r>
    </w:p>
    <w:p w14:paraId="464DE545" w14:textId="77777777" w:rsidR="00DB68BF" w:rsidRDefault="00BF2199">
      <w:pPr>
        <w:widowControl/>
        <w:numPr>
          <w:ilvl w:val="0"/>
          <w:numId w:val="3"/>
        </w:numPr>
        <w:spacing w:line="276" w:lineRule="auto"/>
      </w:pPr>
      <w:r>
        <w:rPr>
          <w:sz w:val="20"/>
          <w:szCs w:val="20"/>
        </w:rPr>
        <w:t xml:space="preserve">les fonctionnalités du logiciel d’acquisition, de traitement des données et d’aide à l’exploitation ; </w:t>
      </w:r>
    </w:p>
    <w:p w14:paraId="2038EF89" w14:textId="77777777" w:rsidR="00622858" w:rsidRPr="00496372" w:rsidRDefault="00622858" w:rsidP="00622858">
      <w:pPr>
        <w:widowControl/>
        <w:numPr>
          <w:ilvl w:val="0"/>
          <w:numId w:val="3"/>
        </w:numPr>
        <w:spacing w:after="100" w:afterAutospacing="1" w:line="276" w:lineRule="auto"/>
        <w:rPr>
          <w:sz w:val="20"/>
          <w:szCs w:val="20"/>
        </w:rPr>
      </w:pPr>
      <w:r w:rsidRPr="00496372">
        <w:rPr>
          <w:sz w:val="20"/>
          <w:szCs w:val="20"/>
        </w:rPr>
        <w:t xml:space="preserve">la compatibilité avec les équipements du laboratoire. </w:t>
      </w:r>
    </w:p>
    <w:p w14:paraId="464DE547" w14:textId="77777777" w:rsidR="00DB68BF" w:rsidRPr="00FA54AD" w:rsidRDefault="00DB68BF">
      <w:pPr>
        <w:jc w:val="both"/>
        <w:rPr>
          <w:sz w:val="20"/>
          <w:szCs w:val="20"/>
        </w:rPr>
      </w:pPr>
    </w:p>
    <w:p w14:paraId="464DE548" w14:textId="77777777" w:rsidR="00DB68BF" w:rsidRPr="00FA54AD" w:rsidRDefault="00BF2199">
      <w:pPr>
        <w:jc w:val="both"/>
        <w:rPr>
          <w:b/>
          <w:bCs/>
          <w:sz w:val="20"/>
          <w:szCs w:val="20"/>
          <w:u w:val="single"/>
        </w:rPr>
      </w:pPr>
      <w:r w:rsidRPr="00FA54AD">
        <w:rPr>
          <w:b/>
          <w:bCs/>
          <w:sz w:val="20"/>
          <w:szCs w:val="20"/>
          <w:u w:val="single"/>
        </w:rPr>
        <w:t>Réponse du candidat (Ci-dessous ou dans son propre mémoire technique):</w:t>
      </w:r>
    </w:p>
    <w:p w14:paraId="464DE549" w14:textId="77777777" w:rsidR="00DB68BF" w:rsidRPr="00FA54AD" w:rsidRDefault="00BF2199">
      <w:pPr>
        <w:jc w:val="both"/>
        <w:rPr>
          <w:sz w:val="20"/>
          <w:szCs w:val="20"/>
        </w:rPr>
      </w:pPr>
      <w:r w:rsidRPr="00FA54AD">
        <w:rPr>
          <w:sz w:val="20"/>
          <w:szCs w:val="20"/>
        </w:rPr>
        <w:t>Le candidat décrit les éléments permettant d’apprécier ces différents points. Il fournit également en annexe les documents constructeurs.</w:t>
      </w:r>
    </w:p>
    <w:p w14:paraId="464DE54A" w14:textId="77777777" w:rsidR="00DB68BF" w:rsidRPr="00FA54AD" w:rsidRDefault="00DB68BF">
      <w:pPr>
        <w:jc w:val="both"/>
        <w:rPr>
          <w:sz w:val="20"/>
          <w:szCs w:val="20"/>
        </w:rPr>
      </w:pPr>
    </w:p>
    <w:p w14:paraId="464DE54B" w14:textId="77777777" w:rsidR="00DB68BF" w:rsidRPr="00FA54AD"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4C" w14:textId="77777777" w:rsidR="00DB68BF" w:rsidRPr="00FA54AD"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4D" w14:textId="77777777" w:rsidR="00DB68BF"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587A0629"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4AB25D76"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347F85CC"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04CD6095"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2E419FE8"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6E483BA2"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6F382B1B"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53253A5B"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6F92D913"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318221E9"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208B2135"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685D74CA"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5F998E22"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7A364E1B"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375F51E8"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512B3BD3"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4140DFCC"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6AB6881E"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0AEDB9EB"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3428298B"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22FD89B3"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34AC6480"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74DEBE7B"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15454F2A" w14:textId="77777777" w:rsid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15CB8514" w14:textId="77777777" w:rsidR="00FA54AD" w:rsidRPr="00FA54AD" w:rsidRDefault="00FA54AD">
      <w:pPr>
        <w:pBdr>
          <w:top w:val="single" w:sz="4" w:space="1" w:color="000000"/>
          <w:left w:val="single" w:sz="4" w:space="4" w:color="000000"/>
          <w:bottom w:val="single" w:sz="4" w:space="1" w:color="000000"/>
          <w:right w:val="single" w:sz="4" w:space="4" w:color="000000"/>
        </w:pBdr>
        <w:jc w:val="both"/>
        <w:rPr>
          <w:sz w:val="20"/>
          <w:szCs w:val="20"/>
        </w:rPr>
      </w:pPr>
    </w:p>
    <w:p w14:paraId="464DE54E" w14:textId="77777777" w:rsidR="00DB68BF" w:rsidRPr="00FA54AD"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4F" w14:textId="77777777" w:rsidR="00DB68BF" w:rsidRPr="00FA54AD"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50" w14:textId="77777777" w:rsidR="00DB68BF" w:rsidRPr="00FA54AD"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51" w14:textId="77777777" w:rsidR="00DB68BF" w:rsidRPr="00FA54AD"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53" w14:textId="77777777" w:rsidR="00DB68BF" w:rsidRDefault="00DB68BF">
      <w:pPr>
        <w:jc w:val="both"/>
        <w:rPr>
          <w:b/>
          <w:bCs/>
          <w:sz w:val="20"/>
          <w:szCs w:val="20"/>
        </w:rPr>
      </w:pPr>
    </w:p>
    <w:p w14:paraId="464DE554" w14:textId="0CB6C639" w:rsidR="00DB68BF" w:rsidRDefault="00BF2199">
      <w:pPr>
        <w:jc w:val="both"/>
        <w:rPr>
          <w:b/>
          <w:bCs/>
          <w:sz w:val="20"/>
          <w:szCs w:val="20"/>
        </w:rPr>
      </w:pPr>
      <w:r>
        <w:rPr>
          <w:b/>
          <w:bCs/>
          <w:sz w:val="20"/>
          <w:szCs w:val="20"/>
        </w:rPr>
        <w:t>1.2 Qualité des prestations d’installation, formation,</w:t>
      </w:r>
      <w:r w:rsidR="003D74F3">
        <w:rPr>
          <w:b/>
          <w:bCs/>
          <w:sz w:val="20"/>
          <w:szCs w:val="20"/>
        </w:rPr>
        <w:t xml:space="preserve"> de </w:t>
      </w:r>
      <w:r>
        <w:rPr>
          <w:b/>
          <w:bCs/>
          <w:sz w:val="20"/>
          <w:szCs w:val="20"/>
        </w:rPr>
        <w:t>maintenance et service après-vente – 20 points</w:t>
      </w:r>
    </w:p>
    <w:p w14:paraId="464DE555" w14:textId="77777777" w:rsidR="00DB68BF" w:rsidRDefault="00BF2199">
      <w:pPr>
        <w:jc w:val="both"/>
        <w:rPr>
          <w:sz w:val="20"/>
          <w:szCs w:val="20"/>
        </w:rPr>
      </w:pPr>
      <w:r>
        <w:rPr>
          <w:sz w:val="20"/>
          <w:szCs w:val="20"/>
        </w:rPr>
        <w:t>Ce sous-critère porte sur la qualité de l’accompagnement proposé par le candidat pour assurer l’installation, la prise en main et le maintien en conditions opérationnelles de l’équipement.</w:t>
      </w:r>
    </w:p>
    <w:p w14:paraId="464DE556" w14:textId="77777777" w:rsidR="00DB68BF" w:rsidRDefault="00DB68BF">
      <w:pPr>
        <w:jc w:val="both"/>
        <w:rPr>
          <w:sz w:val="20"/>
          <w:szCs w:val="20"/>
        </w:rPr>
      </w:pPr>
    </w:p>
    <w:p w14:paraId="464DE557" w14:textId="77777777" w:rsidR="00DB68BF" w:rsidRDefault="00BF2199">
      <w:pPr>
        <w:jc w:val="both"/>
        <w:rPr>
          <w:sz w:val="20"/>
          <w:szCs w:val="20"/>
        </w:rPr>
      </w:pPr>
      <w:r>
        <w:rPr>
          <w:sz w:val="20"/>
          <w:szCs w:val="20"/>
        </w:rPr>
        <w:t>L’analyse prendra notamment en compte :</w:t>
      </w:r>
    </w:p>
    <w:p w14:paraId="464DE558" w14:textId="77777777" w:rsidR="00DB68BF" w:rsidRDefault="00DB68BF">
      <w:pPr>
        <w:jc w:val="both"/>
        <w:rPr>
          <w:b/>
          <w:bCs/>
          <w:sz w:val="20"/>
          <w:szCs w:val="20"/>
        </w:rPr>
      </w:pPr>
    </w:p>
    <w:p w14:paraId="464DE559" w14:textId="77777777" w:rsidR="00DB68BF" w:rsidRDefault="00BF2199">
      <w:pPr>
        <w:jc w:val="both"/>
        <w:rPr>
          <w:sz w:val="20"/>
          <w:szCs w:val="20"/>
          <w:u w:val="single"/>
        </w:rPr>
      </w:pPr>
      <w:r>
        <w:rPr>
          <w:b/>
          <w:bCs/>
          <w:sz w:val="20"/>
          <w:szCs w:val="20"/>
          <w:u w:val="single"/>
        </w:rPr>
        <w:t>Installation et mise en service</w:t>
      </w:r>
    </w:p>
    <w:p w14:paraId="0479F5D6" w14:textId="77777777" w:rsidR="009E5666" w:rsidRPr="009E5666" w:rsidRDefault="009E5666" w:rsidP="009E5666">
      <w:pPr>
        <w:widowControl/>
        <w:numPr>
          <w:ilvl w:val="0"/>
          <w:numId w:val="1"/>
        </w:numPr>
        <w:tabs>
          <w:tab w:val="num" w:pos="720"/>
        </w:tabs>
        <w:spacing w:after="160" w:line="259" w:lineRule="auto"/>
        <w:jc w:val="both"/>
        <w:rPr>
          <w:sz w:val="20"/>
          <w:szCs w:val="20"/>
        </w:rPr>
      </w:pPr>
      <w:r w:rsidRPr="009E5666">
        <w:rPr>
          <w:sz w:val="20"/>
          <w:szCs w:val="20"/>
        </w:rPr>
        <w:t xml:space="preserve">l’organisation et le phasage prévus pour l’installation et la mise en service, au regard des contraintes du site ; </w:t>
      </w:r>
    </w:p>
    <w:p w14:paraId="55D8D0C8" w14:textId="77777777" w:rsidR="009E5666" w:rsidRPr="009E5666" w:rsidRDefault="009E5666" w:rsidP="009E5666">
      <w:pPr>
        <w:widowControl/>
        <w:numPr>
          <w:ilvl w:val="0"/>
          <w:numId w:val="1"/>
        </w:numPr>
        <w:tabs>
          <w:tab w:val="num" w:pos="720"/>
        </w:tabs>
        <w:spacing w:after="160" w:line="259" w:lineRule="auto"/>
        <w:jc w:val="both"/>
        <w:rPr>
          <w:sz w:val="20"/>
          <w:szCs w:val="20"/>
        </w:rPr>
      </w:pPr>
      <w:r w:rsidRPr="009E5666">
        <w:rPr>
          <w:sz w:val="20"/>
          <w:szCs w:val="20"/>
        </w:rPr>
        <w:t xml:space="preserve">les moyens humains mobilisés, au regard de leurs qualifications, compétences et expérience sur l’équipement proposé ou des équipements comparables ; </w:t>
      </w:r>
    </w:p>
    <w:p w14:paraId="79CE71C7" w14:textId="77777777" w:rsidR="009E5666" w:rsidRPr="009E5666" w:rsidRDefault="009E5666" w:rsidP="009E5666">
      <w:pPr>
        <w:widowControl/>
        <w:numPr>
          <w:ilvl w:val="0"/>
          <w:numId w:val="1"/>
        </w:numPr>
        <w:tabs>
          <w:tab w:val="num" w:pos="720"/>
        </w:tabs>
        <w:spacing w:after="160" w:line="259" w:lineRule="auto"/>
        <w:jc w:val="both"/>
        <w:rPr>
          <w:sz w:val="20"/>
          <w:szCs w:val="20"/>
        </w:rPr>
      </w:pPr>
      <w:r w:rsidRPr="009E5666">
        <w:rPr>
          <w:sz w:val="20"/>
          <w:szCs w:val="20"/>
        </w:rPr>
        <w:t>les modalités de vérification des performances après installation et mise en service.</w:t>
      </w:r>
    </w:p>
    <w:p w14:paraId="464DE55E" w14:textId="77777777" w:rsidR="00DB68BF" w:rsidRDefault="00DB68BF">
      <w:pPr>
        <w:jc w:val="both"/>
        <w:rPr>
          <w:b/>
          <w:bCs/>
          <w:sz w:val="20"/>
          <w:szCs w:val="20"/>
        </w:rPr>
      </w:pPr>
    </w:p>
    <w:p w14:paraId="464DE55F" w14:textId="77777777" w:rsidR="00DB68BF" w:rsidRDefault="00BF2199">
      <w:pPr>
        <w:jc w:val="both"/>
        <w:rPr>
          <w:sz w:val="20"/>
          <w:szCs w:val="20"/>
          <w:u w:val="single"/>
        </w:rPr>
      </w:pPr>
      <w:r>
        <w:rPr>
          <w:b/>
          <w:bCs/>
          <w:sz w:val="20"/>
          <w:szCs w:val="20"/>
          <w:u w:val="single"/>
        </w:rPr>
        <w:t>Formation des utilisateurs</w:t>
      </w:r>
    </w:p>
    <w:p w14:paraId="464DE560" w14:textId="77777777" w:rsidR="00DB68BF" w:rsidRDefault="00BF2199">
      <w:pPr>
        <w:widowControl/>
        <w:numPr>
          <w:ilvl w:val="0"/>
          <w:numId w:val="1"/>
        </w:numPr>
        <w:spacing w:after="160" w:line="259" w:lineRule="auto"/>
        <w:jc w:val="both"/>
      </w:pPr>
      <w:r>
        <w:rPr>
          <w:sz w:val="20"/>
          <w:szCs w:val="20"/>
        </w:rPr>
        <w:t>la qualification du formateur, notamment sa formation certifiée ou délivrée par le constructeur sur l’équipement proposé ;</w:t>
      </w:r>
    </w:p>
    <w:p w14:paraId="464DE561" w14:textId="77777777" w:rsidR="00DB68BF" w:rsidRDefault="00BF2199">
      <w:pPr>
        <w:widowControl/>
        <w:numPr>
          <w:ilvl w:val="0"/>
          <w:numId w:val="1"/>
        </w:numPr>
        <w:spacing w:after="160" w:line="259" w:lineRule="auto"/>
        <w:jc w:val="both"/>
      </w:pPr>
      <w:r>
        <w:rPr>
          <w:sz w:val="20"/>
          <w:szCs w:val="20"/>
        </w:rPr>
        <w:t>l’expérience pratique du formateur sur l’exploitation et la formation aux équipements ICP-MS proposés ;</w:t>
      </w:r>
    </w:p>
    <w:p w14:paraId="464DE562" w14:textId="77777777" w:rsidR="00DB68BF" w:rsidRDefault="00BF2199">
      <w:pPr>
        <w:widowControl/>
        <w:numPr>
          <w:ilvl w:val="0"/>
          <w:numId w:val="1"/>
        </w:numPr>
        <w:spacing w:after="160" w:line="259" w:lineRule="auto"/>
        <w:jc w:val="both"/>
      </w:pPr>
      <w:r>
        <w:rPr>
          <w:sz w:val="20"/>
          <w:szCs w:val="20"/>
        </w:rPr>
        <w:t>sa capacité à accompagner les utilisateurs sur les applications analytiques du laboratoire ;</w:t>
      </w:r>
    </w:p>
    <w:p w14:paraId="1BFD0750" w14:textId="77777777" w:rsidR="0092076A" w:rsidRPr="00496372" w:rsidRDefault="0092076A" w:rsidP="0092076A">
      <w:pPr>
        <w:widowControl/>
        <w:numPr>
          <w:ilvl w:val="0"/>
          <w:numId w:val="1"/>
        </w:numPr>
        <w:spacing w:line="259" w:lineRule="auto"/>
        <w:jc w:val="both"/>
        <w:rPr>
          <w:sz w:val="20"/>
          <w:szCs w:val="20"/>
        </w:rPr>
      </w:pPr>
      <w:r w:rsidRPr="00496372">
        <w:rPr>
          <w:sz w:val="20"/>
          <w:szCs w:val="20"/>
        </w:rPr>
        <w:t xml:space="preserve">la qualité du programme de formation </w:t>
      </w:r>
      <w:r>
        <w:rPr>
          <w:sz w:val="20"/>
          <w:szCs w:val="20"/>
        </w:rPr>
        <w:t xml:space="preserve">et son adaptation </w:t>
      </w:r>
      <w:r w:rsidRPr="00496372">
        <w:rPr>
          <w:sz w:val="20"/>
          <w:szCs w:val="20"/>
        </w:rPr>
        <w:t>aux besoins du laboratoire ;</w:t>
      </w:r>
    </w:p>
    <w:p w14:paraId="464DE564" w14:textId="77777777" w:rsidR="00DB68BF" w:rsidRDefault="00BF2199">
      <w:pPr>
        <w:widowControl/>
        <w:numPr>
          <w:ilvl w:val="0"/>
          <w:numId w:val="1"/>
        </w:numPr>
        <w:spacing w:after="160" w:line="259" w:lineRule="auto"/>
        <w:jc w:val="both"/>
      </w:pPr>
      <w:r>
        <w:rPr>
          <w:sz w:val="20"/>
          <w:szCs w:val="20"/>
        </w:rPr>
        <w:t>la langue, les modalités et la durée de la formation proposée ;</w:t>
      </w:r>
    </w:p>
    <w:p w14:paraId="464DE565" w14:textId="77777777" w:rsidR="00DB68BF" w:rsidRDefault="00BF2199">
      <w:pPr>
        <w:widowControl/>
        <w:numPr>
          <w:ilvl w:val="0"/>
          <w:numId w:val="1"/>
        </w:numPr>
        <w:spacing w:after="160" w:line="259" w:lineRule="auto"/>
        <w:jc w:val="both"/>
      </w:pPr>
      <w:r>
        <w:rPr>
          <w:sz w:val="20"/>
          <w:szCs w:val="20"/>
        </w:rPr>
        <w:t>la durée et les modalités d’accompagnement proposées ;</w:t>
      </w:r>
    </w:p>
    <w:p w14:paraId="464DE566" w14:textId="77777777" w:rsidR="00DB68BF" w:rsidRDefault="00BF2199">
      <w:pPr>
        <w:widowControl/>
        <w:numPr>
          <w:ilvl w:val="0"/>
          <w:numId w:val="1"/>
        </w:numPr>
        <w:spacing w:after="160" w:line="259" w:lineRule="auto"/>
        <w:jc w:val="both"/>
      </w:pPr>
      <w:r>
        <w:rPr>
          <w:sz w:val="20"/>
          <w:szCs w:val="20"/>
        </w:rPr>
        <w:t>les possibilités d’accompagnement complémentaire.</w:t>
      </w:r>
    </w:p>
    <w:p w14:paraId="464DE567" w14:textId="77777777" w:rsidR="00DB68BF" w:rsidRDefault="00BF2199">
      <w:pPr>
        <w:rPr>
          <w:sz w:val="20"/>
          <w:szCs w:val="20"/>
        </w:rPr>
      </w:pPr>
      <w:r>
        <w:rPr>
          <w:sz w:val="20"/>
          <w:szCs w:val="20"/>
        </w:rPr>
        <w:t>La formation initiale devra être réalisée en présentiel sur le site du laboratoire et dispensée par un personnel compétent sur l’équipement proposé.</w:t>
      </w:r>
    </w:p>
    <w:p w14:paraId="464DE568" w14:textId="77777777" w:rsidR="00DB68BF" w:rsidRDefault="00DB68BF">
      <w:pPr>
        <w:jc w:val="both"/>
        <w:rPr>
          <w:sz w:val="20"/>
          <w:szCs w:val="20"/>
        </w:rPr>
      </w:pPr>
    </w:p>
    <w:p w14:paraId="464DE569" w14:textId="77777777" w:rsidR="00DB68BF" w:rsidRDefault="00BF2199">
      <w:pPr>
        <w:jc w:val="both"/>
        <w:rPr>
          <w:sz w:val="20"/>
          <w:szCs w:val="20"/>
          <w:u w:val="single"/>
        </w:rPr>
      </w:pPr>
      <w:r>
        <w:rPr>
          <w:b/>
          <w:bCs/>
          <w:sz w:val="20"/>
          <w:szCs w:val="20"/>
          <w:u w:val="single"/>
        </w:rPr>
        <w:t>Maintenance et service après-vente</w:t>
      </w:r>
    </w:p>
    <w:p w14:paraId="464DE56A" w14:textId="77777777" w:rsidR="00DB68BF" w:rsidRDefault="00BF2199">
      <w:pPr>
        <w:widowControl/>
        <w:numPr>
          <w:ilvl w:val="0"/>
          <w:numId w:val="4"/>
        </w:numPr>
        <w:spacing w:after="160" w:line="259" w:lineRule="auto"/>
        <w:jc w:val="both"/>
      </w:pPr>
      <w:r>
        <w:rPr>
          <w:sz w:val="20"/>
          <w:szCs w:val="20"/>
        </w:rPr>
        <w:t>l’organisation du support technique et du service après-vente ;</w:t>
      </w:r>
    </w:p>
    <w:p w14:paraId="464DE56B" w14:textId="77777777" w:rsidR="00DB68BF" w:rsidRDefault="00BF2199">
      <w:pPr>
        <w:widowControl/>
        <w:numPr>
          <w:ilvl w:val="0"/>
          <w:numId w:val="4"/>
        </w:numPr>
        <w:spacing w:after="160" w:line="259" w:lineRule="auto"/>
        <w:jc w:val="both"/>
      </w:pPr>
      <w:r>
        <w:rPr>
          <w:sz w:val="20"/>
          <w:szCs w:val="20"/>
        </w:rPr>
        <w:t>les qualifications, l’expérience et les compétences des personnels intervenants ;</w:t>
      </w:r>
    </w:p>
    <w:p w14:paraId="464DE56C" w14:textId="77777777" w:rsidR="00DB68BF" w:rsidRDefault="00BF2199">
      <w:pPr>
        <w:widowControl/>
        <w:numPr>
          <w:ilvl w:val="0"/>
          <w:numId w:val="4"/>
        </w:numPr>
        <w:spacing w:after="160" w:line="259" w:lineRule="auto"/>
        <w:jc w:val="both"/>
      </w:pPr>
      <w:r>
        <w:rPr>
          <w:sz w:val="20"/>
          <w:szCs w:val="20"/>
        </w:rPr>
        <w:t>les formations constructeur suivies ou les compétences équivalentes démontrées sur l’équipement proposé ;</w:t>
      </w:r>
    </w:p>
    <w:p w14:paraId="464DE56D" w14:textId="77777777" w:rsidR="00DB68BF" w:rsidRDefault="00BF2199">
      <w:pPr>
        <w:widowControl/>
        <w:numPr>
          <w:ilvl w:val="0"/>
          <w:numId w:val="4"/>
        </w:numPr>
        <w:spacing w:after="160" w:line="259" w:lineRule="auto"/>
        <w:jc w:val="both"/>
      </w:pPr>
      <w:r>
        <w:rPr>
          <w:sz w:val="20"/>
          <w:szCs w:val="20"/>
        </w:rPr>
        <w:t>les moyens humains mobilisés ;</w:t>
      </w:r>
    </w:p>
    <w:p w14:paraId="464DE56E" w14:textId="77777777" w:rsidR="00DB68BF" w:rsidRDefault="00BF2199">
      <w:pPr>
        <w:widowControl/>
        <w:numPr>
          <w:ilvl w:val="0"/>
          <w:numId w:val="4"/>
        </w:numPr>
        <w:spacing w:after="160" w:line="259" w:lineRule="auto"/>
        <w:jc w:val="both"/>
      </w:pPr>
      <w:r>
        <w:rPr>
          <w:sz w:val="20"/>
          <w:szCs w:val="20"/>
        </w:rPr>
        <w:t>les modalités d’assistance, de diagnostic et d’intervention ;</w:t>
      </w:r>
    </w:p>
    <w:p w14:paraId="464DE56F" w14:textId="77777777" w:rsidR="00DB68BF" w:rsidRDefault="00BF2199">
      <w:pPr>
        <w:widowControl/>
        <w:numPr>
          <w:ilvl w:val="0"/>
          <w:numId w:val="4"/>
        </w:numPr>
        <w:spacing w:after="160" w:line="259" w:lineRule="auto"/>
        <w:jc w:val="both"/>
      </w:pPr>
      <w:r>
        <w:rPr>
          <w:sz w:val="20"/>
          <w:szCs w:val="20"/>
        </w:rPr>
        <w:t>les délais de prise en charge et d’intervention ;</w:t>
      </w:r>
    </w:p>
    <w:p w14:paraId="464DE570" w14:textId="77777777" w:rsidR="00DB68BF" w:rsidRDefault="00BF2199">
      <w:pPr>
        <w:widowControl/>
        <w:numPr>
          <w:ilvl w:val="0"/>
          <w:numId w:val="4"/>
        </w:numPr>
        <w:spacing w:after="160" w:line="259" w:lineRule="auto"/>
        <w:jc w:val="both"/>
      </w:pPr>
      <w:r>
        <w:rPr>
          <w:sz w:val="20"/>
          <w:szCs w:val="20"/>
        </w:rPr>
        <w:t>les dispositions permettant d’assurer la disponibilité et la continuité d’exploitation de l’équipement</w:t>
      </w:r>
    </w:p>
    <w:p w14:paraId="464DE571" w14:textId="77777777" w:rsidR="00DB68BF" w:rsidRDefault="00BF2199">
      <w:pPr>
        <w:widowControl/>
        <w:numPr>
          <w:ilvl w:val="0"/>
          <w:numId w:val="4"/>
        </w:numPr>
        <w:spacing w:after="160" w:line="259" w:lineRule="auto"/>
        <w:jc w:val="both"/>
      </w:pPr>
      <w:r>
        <w:rPr>
          <w:sz w:val="20"/>
          <w:szCs w:val="20"/>
        </w:rPr>
        <w:t>la durée et les conditions de garantie proposées au-delà des exigences minimales du CCP ;</w:t>
      </w:r>
    </w:p>
    <w:p w14:paraId="464DE572" w14:textId="77777777" w:rsidR="00DB68BF" w:rsidRDefault="00BF2199">
      <w:pPr>
        <w:widowControl/>
        <w:numPr>
          <w:ilvl w:val="0"/>
          <w:numId w:val="4"/>
        </w:numPr>
        <w:spacing w:after="160" w:line="259" w:lineRule="auto"/>
        <w:jc w:val="both"/>
      </w:pPr>
      <w:r>
        <w:rPr>
          <w:sz w:val="20"/>
          <w:szCs w:val="20"/>
        </w:rPr>
        <w:t>les dispositions prévues en cas d’immobilisation prolongée de l’équipement.</w:t>
      </w:r>
    </w:p>
    <w:p w14:paraId="464DE573" w14:textId="77777777" w:rsidR="00DB68BF" w:rsidRPr="00976B10" w:rsidRDefault="00DB68BF">
      <w:pPr>
        <w:jc w:val="both"/>
        <w:rPr>
          <w:sz w:val="20"/>
          <w:szCs w:val="20"/>
        </w:rPr>
      </w:pPr>
    </w:p>
    <w:p w14:paraId="464DE574" w14:textId="77777777" w:rsidR="00DB68BF" w:rsidRPr="00976B10" w:rsidRDefault="00BF2199">
      <w:pPr>
        <w:jc w:val="both"/>
        <w:rPr>
          <w:b/>
          <w:bCs/>
          <w:sz w:val="20"/>
          <w:szCs w:val="20"/>
          <w:u w:val="single"/>
        </w:rPr>
      </w:pPr>
      <w:r w:rsidRPr="00976B10">
        <w:rPr>
          <w:b/>
          <w:bCs/>
          <w:sz w:val="20"/>
          <w:szCs w:val="20"/>
          <w:u w:val="single"/>
        </w:rPr>
        <w:t>Réponse du candidat (Ci-dessous ou dans son propre mémoire technique):</w:t>
      </w:r>
    </w:p>
    <w:p w14:paraId="464DE575" w14:textId="77777777" w:rsidR="00DB68BF" w:rsidRPr="00976B10" w:rsidRDefault="00BF2199">
      <w:pPr>
        <w:jc w:val="both"/>
        <w:rPr>
          <w:sz w:val="20"/>
          <w:szCs w:val="20"/>
        </w:rPr>
      </w:pPr>
      <w:r w:rsidRPr="00976B10">
        <w:rPr>
          <w:sz w:val="20"/>
          <w:szCs w:val="20"/>
        </w:rPr>
        <w:t>Le candidat décrit précisément son organisation, ses moyens, ses engagements et les modalités d’exécution proposées pour chacun des points ci-dessus.</w:t>
      </w:r>
    </w:p>
    <w:p w14:paraId="464DE576" w14:textId="77777777" w:rsidR="00DB68BF" w:rsidRPr="00976B10"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77" w14:textId="77777777" w:rsidR="00DB68BF"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E835765"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20EE6F81"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6C0EFF06"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284A1DE3"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6B11DF80"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5C9A6347"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7D3F545F"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43F6CF8A"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7428698C"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623953F0"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1A078B7C"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51238C91"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000168B9"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1D1CBF9A"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5E40ABA0"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46AF93F3"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17DAF64C"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7610B8A4"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5B31D0B7" w14:textId="77777777" w:rsidR="006A59D1" w:rsidRPr="00976B10"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464DE578" w14:textId="77777777" w:rsidR="00DB68BF" w:rsidRPr="00976B10"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79" w14:textId="77777777" w:rsidR="00DB68BF" w:rsidRPr="00976B10"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7A" w14:textId="77777777" w:rsidR="00DB68BF" w:rsidRPr="00976B10"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7B" w14:textId="77777777" w:rsidR="00DB68BF" w:rsidRPr="00976B10"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7C" w14:textId="77777777" w:rsidR="00DB68BF" w:rsidRPr="00976B10"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98" w14:textId="77777777" w:rsidR="00DB68BF" w:rsidRDefault="00DB68BF">
      <w:pPr>
        <w:jc w:val="both"/>
        <w:rPr>
          <w:sz w:val="20"/>
          <w:szCs w:val="20"/>
        </w:rPr>
      </w:pPr>
    </w:p>
    <w:p w14:paraId="464DE599" w14:textId="77777777" w:rsidR="00DB68BF" w:rsidRDefault="00BF2199">
      <w:pPr>
        <w:spacing w:before="280" w:after="280"/>
        <w:rPr>
          <w:sz w:val="20"/>
          <w:szCs w:val="20"/>
        </w:rPr>
      </w:pPr>
      <w:r>
        <w:rPr>
          <w:b/>
          <w:bCs/>
          <w:sz w:val="20"/>
          <w:szCs w:val="20"/>
        </w:rPr>
        <w:t>2. Qualité environnementale de l’équipement proposé – 10 points</w:t>
      </w:r>
    </w:p>
    <w:p w14:paraId="464DE59A" w14:textId="77777777" w:rsidR="00DB68BF" w:rsidRDefault="00BF2199">
      <w:pPr>
        <w:spacing w:before="280" w:after="280"/>
        <w:rPr>
          <w:sz w:val="20"/>
          <w:szCs w:val="20"/>
        </w:rPr>
      </w:pPr>
      <w:r>
        <w:rPr>
          <w:sz w:val="20"/>
          <w:szCs w:val="20"/>
        </w:rPr>
        <w:t>Ce critère porte sur les performances environnementales intrinsèques de l’équipement proposé.</w:t>
      </w:r>
    </w:p>
    <w:p w14:paraId="464DE59B" w14:textId="77777777" w:rsidR="00DB68BF" w:rsidRDefault="00BF2199">
      <w:pPr>
        <w:spacing w:before="280" w:after="280"/>
        <w:rPr>
          <w:sz w:val="20"/>
          <w:szCs w:val="20"/>
        </w:rPr>
      </w:pPr>
      <w:r>
        <w:rPr>
          <w:sz w:val="20"/>
          <w:szCs w:val="20"/>
        </w:rPr>
        <w:t>L’analyse prendra notamment en compte :</w:t>
      </w:r>
    </w:p>
    <w:p w14:paraId="464DE59C" w14:textId="77777777" w:rsidR="00DB68BF" w:rsidRDefault="00BF2199">
      <w:pPr>
        <w:widowControl/>
        <w:numPr>
          <w:ilvl w:val="0"/>
          <w:numId w:val="4"/>
        </w:numPr>
        <w:spacing w:after="160" w:line="259" w:lineRule="auto"/>
        <w:jc w:val="both"/>
      </w:pPr>
      <w:r>
        <w:rPr>
          <w:sz w:val="20"/>
          <w:szCs w:val="20"/>
        </w:rPr>
        <w:t>la consommation énergétique de l’équipement en fonctionnement et en veille ;</w:t>
      </w:r>
    </w:p>
    <w:p w14:paraId="464DE59D" w14:textId="77777777" w:rsidR="00DB68BF" w:rsidRDefault="00BF2199">
      <w:pPr>
        <w:widowControl/>
        <w:numPr>
          <w:ilvl w:val="0"/>
          <w:numId w:val="4"/>
        </w:numPr>
        <w:spacing w:after="160" w:line="259" w:lineRule="auto"/>
        <w:jc w:val="both"/>
      </w:pPr>
      <w:r>
        <w:rPr>
          <w:sz w:val="20"/>
          <w:szCs w:val="20"/>
        </w:rPr>
        <w:t>la consommation de gaz nécessaires au fonctionnement de l’instrument ;</w:t>
      </w:r>
    </w:p>
    <w:p w14:paraId="464DE59E" w14:textId="77777777" w:rsidR="00DB68BF" w:rsidRDefault="00BF2199">
      <w:pPr>
        <w:widowControl/>
        <w:numPr>
          <w:ilvl w:val="0"/>
          <w:numId w:val="4"/>
        </w:numPr>
        <w:spacing w:after="160" w:line="259" w:lineRule="auto"/>
        <w:jc w:val="both"/>
      </w:pPr>
      <w:r>
        <w:rPr>
          <w:sz w:val="20"/>
          <w:szCs w:val="20"/>
        </w:rPr>
        <w:t>les besoins associés aux installations techniques (extraction, ventilation, refroidissement) ;</w:t>
      </w:r>
    </w:p>
    <w:p w14:paraId="464DE59F" w14:textId="77777777" w:rsidR="00DB68BF" w:rsidRDefault="00BF2199">
      <w:pPr>
        <w:widowControl/>
        <w:numPr>
          <w:ilvl w:val="0"/>
          <w:numId w:val="4"/>
        </w:numPr>
        <w:spacing w:after="160" w:line="259" w:lineRule="auto"/>
        <w:jc w:val="both"/>
      </w:pPr>
      <w:r>
        <w:rPr>
          <w:sz w:val="20"/>
          <w:szCs w:val="20"/>
        </w:rPr>
        <w:t>la durée de vie estimée de l’équipement et les dispositions favorisant sa pérennité ;</w:t>
      </w:r>
    </w:p>
    <w:p w14:paraId="464DE5A0" w14:textId="77777777" w:rsidR="00DB68BF" w:rsidRDefault="00BF2199">
      <w:pPr>
        <w:widowControl/>
        <w:numPr>
          <w:ilvl w:val="0"/>
          <w:numId w:val="4"/>
        </w:numPr>
        <w:spacing w:after="160" w:line="259" w:lineRule="auto"/>
        <w:jc w:val="both"/>
      </w:pPr>
      <w:r>
        <w:rPr>
          <w:sz w:val="20"/>
          <w:szCs w:val="20"/>
        </w:rPr>
        <w:t>la disponibilité des pièces détachées et la réparabilité de l’équipement ;</w:t>
      </w:r>
    </w:p>
    <w:p w14:paraId="464DE5A1" w14:textId="77777777" w:rsidR="00DB68BF" w:rsidRDefault="00BF2199">
      <w:pPr>
        <w:widowControl/>
        <w:numPr>
          <w:ilvl w:val="0"/>
          <w:numId w:val="4"/>
        </w:numPr>
        <w:spacing w:after="160" w:line="259" w:lineRule="auto"/>
        <w:jc w:val="both"/>
      </w:pPr>
      <w:r>
        <w:rPr>
          <w:sz w:val="20"/>
          <w:szCs w:val="20"/>
        </w:rPr>
        <w:t>la gestion des consommables, des déchets générés et des emballages ;</w:t>
      </w:r>
    </w:p>
    <w:p w14:paraId="464DE5A2" w14:textId="77777777" w:rsidR="00DB68BF" w:rsidRDefault="00BF2199">
      <w:pPr>
        <w:widowControl/>
        <w:numPr>
          <w:ilvl w:val="0"/>
          <w:numId w:val="4"/>
        </w:numPr>
        <w:spacing w:after="160" w:line="259" w:lineRule="auto"/>
        <w:jc w:val="both"/>
      </w:pPr>
      <w:r>
        <w:rPr>
          <w:sz w:val="20"/>
          <w:szCs w:val="20"/>
        </w:rPr>
        <w:t>les actions proposées pour réduire l’impact environnemental lié à l’utilisation et à la maintenance de l’équipement.</w:t>
      </w:r>
    </w:p>
    <w:p w14:paraId="464DE5A3" w14:textId="77777777" w:rsidR="00DB68BF" w:rsidRPr="006A59D1" w:rsidRDefault="00DB68BF">
      <w:pPr>
        <w:pBdr>
          <w:top w:val="nil"/>
          <w:left w:val="nil"/>
          <w:bottom w:val="nil"/>
          <w:right w:val="nil"/>
          <w:between w:val="nil"/>
        </w:pBdr>
        <w:rPr>
          <w:b/>
          <w:bCs/>
          <w:sz w:val="20"/>
          <w:szCs w:val="20"/>
        </w:rPr>
      </w:pPr>
    </w:p>
    <w:p w14:paraId="464DE5A4" w14:textId="77777777" w:rsidR="00DB68BF" w:rsidRPr="006A59D1" w:rsidRDefault="00BF2199">
      <w:pPr>
        <w:jc w:val="both"/>
        <w:rPr>
          <w:b/>
          <w:bCs/>
          <w:sz w:val="20"/>
          <w:szCs w:val="20"/>
          <w:u w:val="single"/>
        </w:rPr>
      </w:pPr>
      <w:r w:rsidRPr="006A59D1">
        <w:rPr>
          <w:b/>
          <w:bCs/>
          <w:sz w:val="20"/>
          <w:szCs w:val="20"/>
          <w:u w:val="single"/>
        </w:rPr>
        <w:t>Réponse du candidat (Ci-dessous ou dans son propre mémoire technique):</w:t>
      </w:r>
    </w:p>
    <w:p w14:paraId="464DE5A5" w14:textId="77777777" w:rsidR="00DB68BF" w:rsidRPr="006A59D1" w:rsidRDefault="00BF2199">
      <w:pPr>
        <w:jc w:val="both"/>
        <w:rPr>
          <w:sz w:val="20"/>
          <w:szCs w:val="20"/>
        </w:rPr>
      </w:pPr>
      <w:r w:rsidRPr="006A59D1">
        <w:rPr>
          <w:sz w:val="20"/>
          <w:szCs w:val="20"/>
        </w:rPr>
        <w:t>Le candidat fournit les éléments techniques, données constructeur ou justificatifs permettant d’apprécier ces caractéristiques.</w:t>
      </w:r>
    </w:p>
    <w:p w14:paraId="464DE5A6" w14:textId="77777777" w:rsidR="00DB68BF" w:rsidRPr="006A59D1"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A7" w14:textId="77777777" w:rsidR="00DB68BF"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088DA2A1"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173C512D"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7B00165E"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030F3A47"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55BADCCC"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56F2B4CE"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3A6F409E"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280C74AD"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686B3AD9"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285DD126" w14:textId="77777777" w:rsid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12FC0054" w14:textId="77777777" w:rsidR="006A59D1" w:rsidRPr="006A59D1" w:rsidRDefault="006A59D1">
      <w:pPr>
        <w:pBdr>
          <w:top w:val="single" w:sz="4" w:space="1" w:color="000000"/>
          <w:left w:val="single" w:sz="4" w:space="4" w:color="000000"/>
          <w:bottom w:val="single" w:sz="4" w:space="1" w:color="000000"/>
          <w:right w:val="single" w:sz="4" w:space="4" w:color="000000"/>
        </w:pBdr>
        <w:jc w:val="both"/>
        <w:rPr>
          <w:sz w:val="20"/>
          <w:szCs w:val="20"/>
        </w:rPr>
      </w:pPr>
    </w:p>
    <w:p w14:paraId="464DE5A8" w14:textId="77777777" w:rsidR="00DB68BF" w:rsidRPr="006A59D1"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A9" w14:textId="77777777" w:rsidR="00DB68BF" w:rsidRPr="006A59D1"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AA" w14:textId="77777777" w:rsidR="00DB68BF" w:rsidRPr="006A59D1"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AB" w14:textId="77777777" w:rsidR="00DB68BF" w:rsidRPr="006A59D1" w:rsidRDefault="00DB68BF">
      <w:pPr>
        <w:pBdr>
          <w:top w:val="single" w:sz="4" w:space="1" w:color="000000"/>
          <w:left w:val="single" w:sz="4" w:space="4" w:color="000000"/>
          <w:bottom w:val="single" w:sz="4" w:space="1" w:color="000000"/>
          <w:right w:val="single" w:sz="4" w:space="4" w:color="000000"/>
        </w:pBdr>
        <w:jc w:val="both"/>
        <w:rPr>
          <w:sz w:val="20"/>
          <w:szCs w:val="20"/>
        </w:rPr>
      </w:pPr>
    </w:p>
    <w:p w14:paraId="464DE5AF" w14:textId="77777777" w:rsidR="00DB68BF" w:rsidRDefault="00DB68BF">
      <w:pPr>
        <w:pBdr>
          <w:top w:val="nil"/>
          <w:left w:val="nil"/>
          <w:bottom w:val="nil"/>
          <w:right w:val="nil"/>
          <w:between w:val="nil"/>
        </w:pBdr>
        <w:rPr>
          <w:color w:val="000000"/>
          <w:sz w:val="20"/>
          <w:szCs w:val="20"/>
        </w:rPr>
      </w:pPr>
    </w:p>
    <w:p w14:paraId="464DE5B0" w14:textId="77777777" w:rsidR="00DB68BF" w:rsidRDefault="00BF2199">
      <w:pPr>
        <w:rPr>
          <w:sz w:val="20"/>
          <w:szCs w:val="20"/>
        </w:rPr>
      </w:pPr>
      <w:r>
        <w:br w:type="page"/>
      </w:r>
    </w:p>
    <w:p w14:paraId="464DE5B1" w14:textId="77777777" w:rsidR="00DB68BF" w:rsidRDefault="00DB68BF">
      <w:pPr>
        <w:pBdr>
          <w:top w:val="nil"/>
          <w:left w:val="nil"/>
          <w:bottom w:val="nil"/>
          <w:right w:val="nil"/>
          <w:between w:val="nil"/>
        </w:pBdr>
        <w:jc w:val="both"/>
        <w:rPr>
          <w:color w:val="000000"/>
          <w:sz w:val="20"/>
          <w:szCs w:val="20"/>
        </w:rPr>
      </w:pPr>
    </w:p>
    <w:sdt>
      <w:sdtPr>
        <w:tag w:val="goog_rdk_3"/>
        <w:id w:val="-764920845"/>
      </w:sdtPr>
      <w:sdtEndPr/>
      <w:sdtContent>
        <w:p w14:paraId="464DE5B2" w14:textId="4C452390" w:rsidR="00DB68BF" w:rsidRPr="0073723B" w:rsidRDefault="00120C8F">
          <w:pPr>
            <w:spacing w:before="280" w:after="280"/>
            <w:rPr>
              <w:b/>
              <w:bCs/>
              <w:sz w:val="20"/>
              <w:szCs w:val="20"/>
            </w:rPr>
          </w:pPr>
          <w:sdt>
            <w:sdtPr>
              <w:tag w:val="goog_rdk_1"/>
              <w:id w:val="-1032540232"/>
            </w:sdtPr>
            <w:sdtEndPr/>
            <w:sdtContent>
              <w:sdt>
                <w:sdtPr>
                  <w:tag w:val="goog_rdk_2"/>
                  <w:id w:val="561908267"/>
                </w:sdtPr>
                <w:sdtEndPr/>
                <w:sdtContent>
                  <w:r w:rsidR="00BF2199" w:rsidRPr="0073723B">
                    <w:rPr>
                      <w:b/>
                      <w:bCs/>
                      <w:sz w:val="20"/>
                      <w:szCs w:val="20"/>
                    </w:rPr>
                    <w:t xml:space="preserve">A titre d’information, le dernier critère établi pour le jugement des offres est le </w:t>
                  </w:r>
                  <w:r w:rsidR="00240180" w:rsidRPr="0073723B">
                    <w:rPr>
                      <w:b/>
                      <w:bCs/>
                      <w:sz w:val="20"/>
                      <w:szCs w:val="20"/>
                    </w:rPr>
                    <w:t>suivant :</w:t>
                  </w:r>
                </w:sdtContent>
              </w:sdt>
            </w:sdtContent>
          </w:sdt>
        </w:p>
      </w:sdtContent>
    </w:sdt>
    <w:p w14:paraId="464DE5B3" w14:textId="77777777" w:rsidR="00DB68BF" w:rsidRDefault="00120C8F">
      <w:pPr>
        <w:spacing w:before="280" w:after="280"/>
        <w:rPr>
          <w:b/>
          <w:bCs/>
          <w:sz w:val="20"/>
          <w:szCs w:val="20"/>
        </w:rPr>
      </w:pPr>
      <w:sdt>
        <w:sdtPr>
          <w:tag w:val="goog_rdk_4"/>
          <w:id w:val="-815480451"/>
        </w:sdtPr>
        <w:sdtEndPr/>
        <w:sdtContent>
          <w:sdt>
            <w:sdtPr>
              <w:tag w:val="goog_rdk_5"/>
              <w:id w:val="-1294497541"/>
            </w:sdtPr>
            <w:sdtEndPr/>
            <w:sdtContent>
              <w:r w:rsidR="00BF2199" w:rsidRPr="0073723B">
                <w:rPr>
                  <w:b/>
                  <w:bCs/>
                  <w:sz w:val="20"/>
                  <w:szCs w:val="20"/>
                </w:rPr>
                <w:t xml:space="preserve"> </w:t>
              </w:r>
            </w:sdtContent>
          </w:sdt>
        </w:sdtContent>
      </w:sdt>
      <w:r w:rsidR="00BF2199">
        <w:rPr>
          <w:b/>
          <w:bCs/>
          <w:sz w:val="20"/>
          <w:szCs w:val="20"/>
        </w:rPr>
        <w:t>3. Prix des prestations indiqué dans le Détail Quantitatif Estimatif – 30 points</w:t>
      </w:r>
    </w:p>
    <w:p w14:paraId="464DE5B4" w14:textId="77777777" w:rsidR="00DB68BF" w:rsidRDefault="00BF2199">
      <w:pPr>
        <w:spacing w:before="280" w:after="280"/>
        <w:rPr>
          <w:sz w:val="20"/>
          <w:szCs w:val="20"/>
        </w:rPr>
      </w:pPr>
      <w:r>
        <w:rPr>
          <w:sz w:val="20"/>
          <w:szCs w:val="20"/>
        </w:rPr>
        <w:t xml:space="preserve">Le prix sera apprécié sur la base du montant total hors taxes indiqué dans le </w:t>
      </w:r>
      <w:r w:rsidRPr="0043066C">
        <w:rPr>
          <w:b/>
          <w:bCs/>
          <w:sz w:val="20"/>
          <w:szCs w:val="20"/>
          <w:u w:val="single"/>
        </w:rPr>
        <w:t>Détail Quantitatif Estimatif.</w:t>
      </w:r>
    </w:p>
    <w:p w14:paraId="464DE5B5" w14:textId="77777777" w:rsidR="00DB68BF" w:rsidRDefault="00BF2199">
      <w:pPr>
        <w:spacing w:before="280" w:after="280"/>
        <w:rPr>
          <w:sz w:val="20"/>
          <w:szCs w:val="20"/>
        </w:rPr>
      </w:pPr>
      <w:r>
        <w:rPr>
          <w:sz w:val="20"/>
          <w:szCs w:val="20"/>
        </w:rPr>
        <w:t>L’offre la moins-disante obtiendra la note maximale. Les autres offres seront notées proportionnellement, selon la formule suivante :</w:t>
      </w:r>
    </w:p>
    <w:sdt>
      <w:sdtPr>
        <w:tag w:val="goog_rdk_6"/>
        <w:id w:val="37626040"/>
      </w:sdtPr>
      <w:sdtEndPr/>
      <w:sdtContent>
        <w:p w14:paraId="464DE5B6" w14:textId="77777777" w:rsidR="00DB68BF" w:rsidRDefault="00BF2199" w:rsidP="0073723B">
          <w:pPr>
            <w:spacing w:before="280" w:after="280"/>
            <w:jc w:val="center"/>
            <w:rPr>
              <w:sz w:val="20"/>
              <w:szCs w:val="20"/>
            </w:rPr>
          </w:pPr>
          <w:r>
            <w:rPr>
              <w:sz w:val="20"/>
              <w:szCs w:val="20"/>
            </w:rPr>
            <w:t>Note prix = 30 × montant total de l’offre la moins-disante / montant total de l’offre analysée</w:t>
          </w:r>
        </w:p>
      </w:sdtContent>
    </w:sdt>
    <w:p w14:paraId="464DE5BB" w14:textId="77777777" w:rsidR="00DB68BF" w:rsidRDefault="00DB68BF">
      <w:pPr>
        <w:pBdr>
          <w:top w:val="nil"/>
          <w:left w:val="nil"/>
          <w:bottom w:val="nil"/>
          <w:right w:val="nil"/>
          <w:between w:val="nil"/>
        </w:pBdr>
        <w:jc w:val="both"/>
        <w:rPr>
          <w:color w:val="000000"/>
          <w:sz w:val="20"/>
          <w:szCs w:val="20"/>
        </w:rPr>
      </w:pPr>
    </w:p>
    <w:p w14:paraId="464DE5BC" w14:textId="77777777" w:rsidR="00DB68BF" w:rsidRDefault="00DB68BF">
      <w:pPr>
        <w:pBdr>
          <w:top w:val="nil"/>
          <w:left w:val="nil"/>
          <w:bottom w:val="nil"/>
          <w:right w:val="nil"/>
          <w:between w:val="nil"/>
        </w:pBdr>
        <w:jc w:val="both"/>
        <w:rPr>
          <w:color w:val="000000"/>
          <w:sz w:val="20"/>
          <w:szCs w:val="20"/>
        </w:rPr>
      </w:pPr>
    </w:p>
    <w:p w14:paraId="464DE5BD" w14:textId="3884FB9F" w:rsidR="00DB68BF" w:rsidRDefault="00DB68BF">
      <w:pPr>
        <w:pBdr>
          <w:top w:val="nil"/>
          <w:left w:val="nil"/>
          <w:bottom w:val="nil"/>
          <w:right w:val="nil"/>
          <w:between w:val="nil"/>
        </w:pBdr>
        <w:jc w:val="center"/>
        <w:rPr>
          <w:b/>
          <w:bCs/>
          <w:color w:val="000000"/>
          <w:u w:val="single"/>
        </w:rPr>
      </w:pPr>
    </w:p>
    <w:p w14:paraId="464DE5BE" w14:textId="77777777" w:rsidR="00DB68BF" w:rsidRDefault="00BF2199">
      <w:pPr>
        <w:pBdr>
          <w:top w:val="nil"/>
          <w:left w:val="nil"/>
          <w:bottom w:val="nil"/>
          <w:right w:val="nil"/>
          <w:between w:val="nil"/>
        </w:pBdr>
        <w:jc w:val="center"/>
        <w:rPr>
          <w:b/>
          <w:bCs/>
          <w:color w:val="000000"/>
          <w:u w:val="single"/>
        </w:rPr>
      </w:pPr>
      <w:r>
        <w:rPr>
          <w:b/>
          <w:bCs/>
          <w:color w:val="000000"/>
          <w:u w:val="single"/>
        </w:rPr>
        <w:t>Dernier rappel à l’attention des candidats :</w:t>
      </w:r>
    </w:p>
    <w:p w14:paraId="464DE5BF" w14:textId="77777777" w:rsidR="00DB68BF" w:rsidRDefault="00DB68BF">
      <w:pPr>
        <w:pBdr>
          <w:top w:val="nil"/>
          <w:left w:val="nil"/>
          <w:bottom w:val="nil"/>
          <w:right w:val="nil"/>
          <w:between w:val="nil"/>
        </w:pBdr>
        <w:rPr>
          <w:color w:val="000000"/>
        </w:rPr>
      </w:pPr>
    </w:p>
    <w:p w14:paraId="464DE5C0" w14:textId="77777777" w:rsidR="00DB68BF" w:rsidRDefault="00BF2199">
      <w:pPr>
        <w:pBdr>
          <w:top w:val="nil"/>
          <w:left w:val="nil"/>
          <w:bottom w:val="nil"/>
          <w:right w:val="nil"/>
          <w:between w:val="nil"/>
        </w:pBdr>
        <w:rPr>
          <w:b/>
          <w:bCs/>
          <w:color w:val="000000"/>
        </w:rPr>
      </w:pPr>
      <w:r>
        <w:rPr>
          <w:b/>
          <w:bCs/>
          <w:color w:val="000000"/>
        </w:rPr>
        <w:t>Le candidat apporte une réponse distincte et explicite à chacun des éléments mentionnés ci-dessus. Tout renvoi à un document annexe précise le nom du document et la page concernée.</w:t>
      </w:r>
    </w:p>
    <w:p w14:paraId="464DE5C1" w14:textId="77777777" w:rsidR="00DB68BF" w:rsidRDefault="00DB68BF">
      <w:pPr>
        <w:pBdr>
          <w:top w:val="nil"/>
          <w:left w:val="nil"/>
          <w:bottom w:val="nil"/>
          <w:right w:val="nil"/>
          <w:between w:val="nil"/>
        </w:pBdr>
        <w:rPr>
          <w:b/>
          <w:bCs/>
          <w:color w:val="000000"/>
        </w:rPr>
      </w:pPr>
    </w:p>
    <w:p w14:paraId="464DE5C2" w14:textId="77777777" w:rsidR="00DB68BF" w:rsidRDefault="00BF2199">
      <w:pPr>
        <w:pBdr>
          <w:top w:val="nil"/>
          <w:left w:val="nil"/>
          <w:bottom w:val="nil"/>
          <w:right w:val="nil"/>
          <w:between w:val="nil"/>
        </w:pBdr>
        <w:rPr>
          <w:b/>
          <w:bCs/>
          <w:color w:val="000000"/>
        </w:rPr>
      </w:pPr>
      <w:r>
        <w:rPr>
          <w:b/>
          <w:bCs/>
          <w:color w:val="000000"/>
        </w:rPr>
        <w:t>L’absence de réponse à l’un des éléments pourra conduire à ne pas valoriser le point correspondant lors de l’analyse.</w:t>
      </w:r>
    </w:p>
    <w:p w14:paraId="464DE5C3" w14:textId="77777777" w:rsidR="00DB68BF" w:rsidRDefault="00DB68BF">
      <w:pPr>
        <w:pBdr>
          <w:top w:val="nil"/>
          <w:left w:val="nil"/>
          <w:bottom w:val="nil"/>
          <w:right w:val="nil"/>
          <w:between w:val="nil"/>
        </w:pBdr>
        <w:rPr>
          <w:color w:val="000000"/>
        </w:rPr>
      </w:pPr>
    </w:p>
    <w:p w14:paraId="464DE5C4" w14:textId="77777777" w:rsidR="00DB68BF" w:rsidRDefault="00DB68BF">
      <w:pPr>
        <w:pBdr>
          <w:top w:val="nil"/>
          <w:left w:val="nil"/>
          <w:bottom w:val="nil"/>
          <w:right w:val="nil"/>
          <w:between w:val="nil"/>
        </w:pBdr>
        <w:rPr>
          <w:color w:val="000000"/>
        </w:rPr>
      </w:pPr>
    </w:p>
    <w:p w14:paraId="464DE5C5" w14:textId="77777777" w:rsidR="00DB68BF" w:rsidRDefault="00DB68BF">
      <w:pPr>
        <w:pBdr>
          <w:top w:val="nil"/>
          <w:left w:val="nil"/>
          <w:bottom w:val="nil"/>
          <w:right w:val="nil"/>
          <w:between w:val="nil"/>
        </w:pBdr>
        <w:spacing w:before="1"/>
        <w:rPr>
          <w:color w:val="000000"/>
        </w:rPr>
      </w:pPr>
    </w:p>
    <w:p w14:paraId="464DE5C6" w14:textId="77777777" w:rsidR="00DB68BF" w:rsidRDefault="00BF2199">
      <w:pPr>
        <w:tabs>
          <w:tab w:val="left" w:pos="4393"/>
        </w:tabs>
        <w:spacing w:before="1"/>
        <w:ind w:left="4033"/>
        <w:rPr>
          <w:b/>
          <w:bCs/>
        </w:rPr>
      </w:pPr>
      <w:r>
        <w:t>-</w:t>
      </w:r>
      <w:r>
        <w:tab/>
      </w:r>
      <w:r>
        <w:rPr>
          <w:b/>
          <w:bCs/>
        </w:rPr>
        <w:t>FIN DU DOCUMENT –</w:t>
      </w:r>
    </w:p>
    <w:sectPr w:rsidR="00DB68BF">
      <w:footerReference w:type="default" r:id="rId24"/>
      <w:pgSz w:w="11920" w:h="16850"/>
      <w:pgMar w:top="800" w:right="1133" w:bottom="940" w:left="850" w:header="0" w:footer="66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44689" w14:textId="77777777" w:rsidR="00120C8F" w:rsidRDefault="00120C8F">
      <w:r>
        <w:separator/>
      </w:r>
    </w:p>
  </w:endnote>
  <w:endnote w:type="continuationSeparator" w:id="0">
    <w:p w14:paraId="6FC1F475" w14:textId="77777777" w:rsidR="00120C8F" w:rsidRDefault="00120C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082B8C7-5BB7-4E78-82AC-ABF9BC4D33E7}"/>
  </w:font>
  <w:font w:name="Corbel">
    <w:panose1 w:val="020B0503020204020204"/>
    <w:charset w:val="00"/>
    <w:family w:val="swiss"/>
    <w:pitch w:val="variable"/>
    <w:sig w:usb0="A00002EF" w:usb1="4000A44B" w:usb2="00000000" w:usb3="00000000" w:csb0="0000019F" w:csb1="00000000"/>
    <w:embedRegular r:id="rId2" w:fontKey="{9E93BBD4-03B9-4B65-BF1E-A9119B283732}"/>
    <w:embedBold r:id="rId3" w:fontKey="{9A21E26B-36C4-41A5-A0BD-2249A7E20F67}"/>
  </w:font>
  <w:font w:name="Cambria">
    <w:panose1 w:val="02040503050406030204"/>
    <w:charset w:val="00"/>
    <w:family w:val="roman"/>
    <w:pitch w:val="variable"/>
    <w:sig w:usb0="E00006FF" w:usb1="420024FF" w:usb2="02000000" w:usb3="00000000" w:csb0="0000019F" w:csb1="00000000"/>
    <w:embedRegular r:id="rId4" w:fontKey="{AFA7AE2F-408C-4E73-AB40-25EEACADA56A}"/>
  </w:font>
  <w:font w:name="Georgia">
    <w:panose1 w:val="02040502050405020303"/>
    <w:charset w:val="00"/>
    <w:family w:val="roman"/>
    <w:pitch w:val="variable"/>
    <w:sig w:usb0="00000287" w:usb1="00000000" w:usb2="00000000" w:usb3="00000000" w:csb0="0000009F" w:csb1="00000000"/>
    <w:embedItalic r:id="rId5" w:fontKey="{65854F8D-14CB-42F4-BFB9-0A56002864D3}"/>
  </w:font>
  <w:font w:name="Calibri">
    <w:panose1 w:val="020F0502020204030204"/>
    <w:charset w:val="00"/>
    <w:family w:val="swiss"/>
    <w:pitch w:val="variable"/>
    <w:sig w:usb0="E4002EFF" w:usb1="C200247B" w:usb2="00000009" w:usb3="00000000" w:csb0="000001FF" w:csb1="00000000"/>
    <w:embedRegular r:id="rId6" w:fontKey="{245AC998-E1E0-400D-9D88-1429293644B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DE5D1" w14:textId="77777777" w:rsidR="00DB68BF" w:rsidRDefault="00BF2199">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8240" behindDoc="1" locked="0" layoutInCell="1" hidden="0" allowOverlap="1" wp14:anchorId="464DE5D2" wp14:editId="464DE5D3">
              <wp:simplePos x="0" y="0"/>
              <wp:positionH relativeFrom="column">
                <wp:posOffset>7365</wp:posOffset>
              </wp:positionH>
              <wp:positionV relativeFrom="paragraph">
                <wp:posOffset>-123691</wp:posOffset>
              </wp:positionV>
              <wp:extent cx="5849620" cy="123825"/>
              <wp:effectExtent l="0" t="0" r="0" b="0"/>
              <wp:wrapNone/>
              <wp:docPr id="1" name="Groupe 1"/>
              <wp:cNvGraphicFramePr/>
              <a:graphic xmlns:a="http://schemas.openxmlformats.org/drawingml/2006/main">
                <a:graphicData uri="http://schemas.microsoft.com/office/word/2010/wordprocessingGroup">
                  <wpg:wgp>
                    <wpg:cNvGrpSpPr/>
                    <wpg:grpSpPr>
                      <a:xfrm>
                        <a:off x="0" y="0"/>
                        <a:ext cx="5849620" cy="123825"/>
                        <a:chOff x="2421175" y="3718075"/>
                        <a:chExt cx="5849625" cy="123850"/>
                      </a:xfrm>
                    </wpg:grpSpPr>
                    <wpg:grpSp>
                      <wpg:cNvPr id="2104797574" name="Groupe 2104797574"/>
                      <wpg:cNvGrpSpPr/>
                      <wpg:grpSpPr>
                        <a:xfrm>
                          <a:off x="2421190" y="3718088"/>
                          <a:ext cx="5849620" cy="123825"/>
                          <a:chOff x="0" y="0"/>
                          <a:chExt cx="5849620" cy="123825"/>
                        </a:xfrm>
                      </wpg:grpSpPr>
                      <wps:wsp>
                        <wps:cNvPr id="369840795" name="Rectangle 369840795"/>
                        <wps:cNvSpPr/>
                        <wps:spPr>
                          <a:xfrm>
                            <a:off x="0" y="0"/>
                            <a:ext cx="5849600" cy="123825"/>
                          </a:xfrm>
                          <a:prstGeom prst="rect">
                            <a:avLst/>
                          </a:prstGeom>
                          <a:noFill/>
                          <a:ln>
                            <a:noFill/>
                          </a:ln>
                        </wps:spPr>
                        <wps:txbx>
                          <w:txbxContent>
                            <w:p w14:paraId="464DE5DC" w14:textId="77777777" w:rsidR="00DB68BF" w:rsidRDefault="00DB68BF">
                              <w:pPr>
                                <w:textDirection w:val="btLr"/>
                              </w:pPr>
                            </w:p>
                          </w:txbxContent>
                        </wps:txbx>
                        <wps:bodyPr spcFirstLastPara="1" wrap="square" lIns="91425" tIns="91425" rIns="91425" bIns="91425" anchor="ctr" anchorCtr="0">
                          <a:noAutofit/>
                        </wps:bodyPr>
                      </wps:wsp>
                      <wps:wsp>
                        <wps:cNvPr id="965702786" name="Forme libre : forme 965702786"/>
                        <wps:cNvSpPr/>
                        <wps:spPr>
                          <a:xfrm>
                            <a:off x="5288279" y="6108"/>
                            <a:ext cx="561340" cy="117475"/>
                          </a:xfrm>
                          <a:custGeom>
                            <a:avLst/>
                            <a:gdLst/>
                            <a:ahLst/>
                            <a:cxnLst/>
                            <a:rect l="l" t="t" r="r" b="b"/>
                            <a:pathLst>
                              <a:path w="561340" h="117475" extrusionOk="0">
                                <a:moveTo>
                                  <a:pt x="560831" y="0"/>
                                </a:moveTo>
                                <a:lnTo>
                                  <a:pt x="0" y="0"/>
                                </a:lnTo>
                                <a:lnTo>
                                  <a:pt x="0" y="117348"/>
                                </a:lnTo>
                                <a:lnTo>
                                  <a:pt x="560831" y="117348"/>
                                </a:lnTo>
                                <a:lnTo>
                                  <a:pt x="560831" y="0"/>
                                </a:lnTo>
                                <a:close/>
                              </a:path>
                            </a:pathLst>
                          </a:custGeom>
                          <a:solidFill>
                            <a:srgbClr val="585858"/>
                          </a:solidFill>
                          <a:ln>
                            <a:noFill/>
                          </a:ln>
                        </wps:spPr>
                        <wps:bodyPr spcFirstLastPara="1" wrap="square" lIns="91425" tIns="91425" rIns="91425" bIns="91425" anchor="ctr" anchorCtr="0">
                          <a:noAutofit/>
                        </wps:bodyPr>
                      </wps:wsp>
                      <wps:wsp>
                        <wps:cNvPr id="344808849" name="Forme libre : forme 344808849"/>
                        <wps:cNvSpPr/>
                        <wps:spPr>
                          <a:xfrm>
                            <a:off x="0" y="0"/>
                            <a:ext cx="5849620" cy="6350"/>
                          </a:xfrm>
                          <a:custGeom>
                            <a:avLst/>
                            <a:gdLst/>
                            <a:ahLst/>
                            <a:cxnLst/>
                            <a:rect l="l" t="t" r="r" b="b"/>
                            <a:pathLst>
                              <a:path w="5849620" h="6350" extrusionOk="0">
                                <a:moveTo>
                                  <a:pt x="5289791" y="0"/>
                                </a:moveTo>
                                <a:lnTo>
                                  <a:pt x="0" y="0"/>
                                </a:lnTo>
                                <a:lnTo>
                                  <a:pt x="0" y="6108"/>
                                </a:lnTo>
                                <a:lnTo>
                                  <a:pt x="5289791" y="6108"/>
                                </a:lnTo>
                                <a:lnTo>
                                  <a:pt x="5289791" y="0"/>
                                </a:lnTo>
                                <a:close/>
                              </a:path>
                              <a:path w="5849620" h="6350" extrusionOk="0">
                                <a:moveTo>
                                  <a:pt x="5849112" y="0"/>
                                </a:moveTo>
                                <a:lnTo>
                                  <a:pt x="5295900" y="0"/>
                                </a:lnTo>
                                <a:lnTo>
                                  <a:pt x="5289804" y="0"/>
                                </a:lnTo>
                                <a:lnTo>
                                  <a:pt x="5289804" y="6108"/>
                                </a:lnTo>
                                <a:lnTo>
                                  <a:pt x="5295900" y="6108"/>
                                </a:lnTo>
                                <a:lnTo>
                                  <a:pt x="5849112" y="6108"/>
                                </a:lnTo>
                                <a:lnTo>
                                  <a:pt x="5849112" y="0"/>
                                </a:lnTo>
                                <a:close/>
                              </a:path>
                            </a:pathLst>
                          </a:custGeom>
                          <a:solidFill>
                            <a:srgbClr val="BEBEBE"/>
                          </a:solidFill>
                          <a:ln>
                            <a:noFill/>
                          </a:ln>
                        </wps:spPr>
                        <wps:bodyPr spcFirstLastPara="1" wrap="square" lIns="91425" tIns="91425" rIns="91425" bIns="91425" anchor="ctr" anchorCtr="0">
                          <a:noAutofit/>
                        </wps:bodyPr>
                      </wps:wsp>
                    </wpg:grpSp>
                  </wpg:wgp>
                </a:graphicData>
              </a:graphic>
            </wp:anchor>
          </w:drawing>
        </mc:Choice>
        <mc:Fallback>
          <w:pict>
            <v:group w14:anchorId="464DE5D2" id="Groupe 1" o:spid="_x0000_s1028" style="position:absolute;margin-left:.6pt;margin-top:-9.75pt;width:460.6pt;height:9.75pt;z-index:-251658240;mso-wrap-distance-left:0;mso-wrap-distance-right:0" coordorigin="24211,37180" coordsize="58496,1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">
              <v:group id="Groupe 2104797574" o:spid="_x0000_s1029" style="position:absolute;left:24211;top:37180;width:58497;height:1239" coordsize="5849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">
                <v:rect id="Rectangle 369840795" o:spid="_x0000_s1030" style="position:absolute;width:58496;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" filled="f" stroked="f">
                  <v:textbox inset="2.53958mm,2.53958mm,2.53958mm,2.53958mm">
                    <w:txbxContent>
                      <w:p w14:paraId="464DE5DC" w14:textId="77777777" w:rsidR="00DB68BF" w:rsidRDefault="00DB68BF">
                        <w:pPr>
                          <w:textDirection w:val="btLr"/>
                        </w:pPr>
                      </w:p>
                    </w:txbxContent>
                  </v:textbox>
                </v:rect>
                <v:shape id="Forme libre : forme 965702786" o:spid="_x0000_s1031" style="position:absolute;left:52882;top:61;width:5614;height:1174;visibility:visible;mso-wrap-style:square;v-text-anchor:middle" coordsize="561340,11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" path="m560831,l,,,117348r560831,l560831,xe" fillcolor="#585858" stroked="f">
                  <v:path arrowok="t" o:extrusionok="f"/>
                </v:shape>
                <v:shape id="Forme libre : forme 344808849" o:spid="_x0000_s1032" style="position:absolute;width:58496;height:63;visibility:visible;mso-wrap-style:square;v-text-anchor:middle" coordsize="58496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" path="m5289791,l,,,6108r5289791,l5289791,xem5849112,l5295900,r-6096,l5289804,6108r6096,l5849112,6108r,-6108xe" fillcolor="#bebebe" stroked="f">
                  <v:path arrowok="t" o:extrusionok="f"/>
                </v:shape>
              </v:group>
            </v:group>
          </w:pict>
        </mc:Fallback>
      </mc:AlternateContent>
    </w:r>
    <w:r>
      <w:rPr>
        <w:noProof/>
      </w:rPr>
      <mc:AlternateContent>
        <mc:Choice Requires="wps">
          <w:drawing>
            <wp:anchor distT="0" distB="0" distL="0" distR="0" simplePos="0" relativeHeight="251659264" behindDoc="1" locked="0" layoutInCell="1" hidden="0" allowOverlap="1" wp14:anchorId="464DE5D4" wp14:editId="464DE5D5">
              <wp:simplePos x="0" y="0"/>
              <wp:positionH relativeFrom="column">
                <wp:posOffset>61543</wp:posOffset>
              </wp:positionH>
              <wp:positionV relativeFrom="paragraph">
                <wp:posOffset>-127200</wp:posOffset>
              </wp:positionV>
              <wp:extent cx="1593776" cy="190279"/>
              <wp:effectExtent l="0" t="0" r="0" b="0"/>
              <wp:wrapNone/>
              <wp:docPr id="5" name="Rectangle 5"/>
              <wp:cNvGraphicFramePr/>
              <a:graphic xmlns:a="http://schemas.openxmlformats.org/drawingml/2006/main">
                <a:graphicData uri="http://schemas.microsoft.com/office/word/2010/wordprocessingShape">
                  <wps:wsp>
                    <wps:cNvSpPr/>
                    <wps:spPr>
                      <a:xfrm>
                        <a:off x="4553875" y="3689623"/>
                        <a:ext cx="1584251" cy="180754"/>
                      </a:xfrm>
                      <a:prstGeom prst="rect">
                        <a:avLst/>
                      </a:prstGeom>
                      <a:noFill/>
                      <a:ln>
                        <a:noFill/>
                      </a:ln>
                    </wps:spPr>
                    <wps:txbx>
                      <w:txbxContent>
                        <w:p w14:paraId="464DE5DD" w14:textId="77777777" w:rsidR="00DB68BF" w:rsidRDefault="00BF2199">
                          <w:pPr>
                            <w:spacing w:before="15"/>
                            <w:ind w:left="20" w:firstLine="20"/>
                            <w:textDirection w:val="btLr"/>
                          </w:pPr>
                          <w:r>
                            <w:rPr>
                              <w:rFonts w:ascii="Arial" w:eastAsia="Arial" w:hAnsi="Arial" w:cs="Arial"/>
                              <w:color w:val="585858"/>
                              <w:sz w:val="16"/>
                            </w:rPr>
                            <w:t>Marché n° 2026821RNCF300</w:t>
                          </w:r>
                        </w:p>
                      </w:txbxContent>
                    </wps:txbx>
                    <wps:bodyPr spcFirstLastPara="1" wrap="square" lIns="0" tIns="0" rIns="0" bIns="0" anchor="t" anchorCtr="0">
                      <a:noAutofit/>
                    </wps:bodyPr>
                  </wps:wsp>
                </a:graphicData>
              </a:graphic>
            </wp:anchor>
          </w:drawing>
        </mc:Choice>
        <mc:Fallback>
          <w:pict>
            <v:rect w14:anchorId="464DE5D4" id="Rectangle 5" o:spid="_x0000_s1033" style="position:absolute;margin-left:4.85pt;margin-top:-10pt;width:125.5pt;height:1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" filled="f" stroked="f">
              <v:textbox inset="0,0,0,0">
                <w:txbxContent>
                  <w:p w14:paraId="464DE5DD" w14:textId="77777777" w:rsidR="00DB68BF" w:rsidRDefault="00BF2199">
                    <w:pPr>
                      <w:spacing w:before="15"/>
                      <w:ind w:left="20" w:firstLine="20"/>
                      <w:textDirection w:val="btLr"/>
                    </w:pPr>
                    <w:r>
                      <w:rPr>
                        <w:rFonts w:ascii="Arial" w:eastAsia="Arial" w:hAnsi="Arial" w:cs="Arial"/>
                        <w:color w:val="585858"/>
                        <w:sz w:val="16"/>
                      </w:rPr>
                      <w:t>Marché n° 2026821RNCF300</w:t>
                    </w:r>
                  </w:p>
                </w:txbxContent>
              </v:textbox>
            </v:rect>
          </w:pict>
        </mc:Fallback>
      </mc:AlternateContent>
    </w:r>
    <w:r>
      <w:rPr>
        <w:noProof/>
      </w:rPr>
      <mc:AlternateContent>
        <mc:Choice Requires="wps">
          <w:drawing>
            <wp:anchor distT="0" distB="0" distL="0" distR="0" simplePos="0" relativeHeight="251660288" behindDoc="1" locked="0" layoutInCell="1" hidden="0" allowOverlap="1" wp14:anchorId="464DE5D6" wp14:editId="464DE5D7">
              <wp:simplePos x="0" y="0"/>
              <wp:positionH relativeFrom="column">
                <wp:posOffset>2833688</wp:posOffset>
              </wp:positionH>
              <wp:positionV relativeFrom="paragraph">
                <wp:posOffset>-131469</wp:posOffset>
              </wp:positionV>
              <wp:extent cx="243204" cy="149225"/>
              <wp:effectExtent l="0" t="0" r="0" b="0"/>
              <wp:wrapNone/>
              <wp:docPr id="3" name="Rectangle 3"/>
              <wp:cNvGraphicFramePr/>
              <a:graphic xmlns:a="http://schemas.openxmlformats.org/drawingml/2006/main">
                <a:graphicData uri="http://schemas.microsoft.com/office/word/2010/wordprocessingShape">
                  <wps:wsp>
                    <wps:cNvSpPr/>
                    <wps:spPr>
                      <a:xfrm>
                        <a:off x="5229161" y="3710150"/>
                        <a:ext cx="233679" cy="139700"/>
                      </a:xfrm>
                      <a:prstGeom prst="rect">
                        <a:avLst/>
                      </a:prstGeom>
                      <a:noFill/>
                      <a:ln>
                        <a:noFill/>
                      </a:ln>
                    </wps:spPr>
                    <wps:txbx>
                      <w:txbxContent>
                        <w:p w14:paraId="464DE5DE" w14:textId="77777777" w:rsidR="00DB68BF" w:rsidRDefault="00BF2199">
                          <w:pPr>
                            <w:spacing w:before="15"/>
                            <w:ind w:left="20" w:firstLine="20"/>
                            <w:textDirection w:val="btLr"/>
                          </w:pPr>
                          <w:r>
                            <w:rPr>
                              <w:rFonts w:ascii="Arial" w:eastAsia="Arial" w:hAnsi="Arial" w:cs="Arial"/>
                              <w:color w:val="585858"/>
                              <w:sz w:val="16"/>
                            </w:rPr>
                            <w:t>CRT</w:t>
                          </w:r>
                        </w:p>
                      </w:txbxContent>
                    </wps:txbx>
                    <wps:bodyPr spcFirstLastPara="1" wrap="square" lIns="0" tIns="0" rIns="0" bIns="0" anchor="t" anchorCtr="0">
                      <a:noAutofit/>
                    </wps:bodyPr>
                  </wps:wsp>
                </a:graphicData>
              </a:graphic>
            </wp:anchor>
          </w:drawing>
        </mc:Choice>
        <mc:Fallback>
          <w:pict>
            <v:rect w14:anchorId="464DE5D6" id="Rectangle 3" o:spid="_x0000_s1034" style="position:absolute;margin-left:223.15pt;margin-top:-10.35pt;width:19.15pt;height:11.7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" filled="f" stroked="f">
              <v:textbox inset="0,0,0,0">
                <w:txbxContent>
                  <w:p w14:paraId="464DE5DE" w14:textId="77777777" w:rsidR="00DB68BF" w:rsidRDefault="00BF2199">
                    <w:pPr>
                      <w:spacing w:before="15"/>
                      <w:ind w:left="20" w:firstLine="20"/>
                      <w:textDirection w:val="btLr"/>
                    </w:pPr>
                    <w:r>
                      <w:rPr>
                        <w:rFonts w:ascii="Arial" w:eastAsia="Arial" w:hAnsi="Arial" w:cs="Arial"/>
                        <w:color w:val="585858"/>
                        <w:sz w:val="16"/>
                      </w:rPr>
                      <w:t>CRT</w:t>
                    </w:r>
                  </w:p>
                </w:txbxContent>
              </v:textbox>
            </v:rect>
          </w:pict>
        </mc:Fallback>
      </mc:AlternateContent>
    </w:r>
    <w:r>
      <w:rPr>
        <w:noProof/>
      </w:rPr>
      <mc:AlternateContent>
        <mc:Choice Requires="wps">
          <w:drawing>
            <wp:anchor distT="0" distB="0" distL="0" distR="0" simplePos="0" relativeHeight="251661312" behindDoc="1" locked="0" layoutInCell="1" hidden="0" allowOverlap="1" wp14:anchorId="464DE5D8" wp14:editId="464DE5D9">
              <wp:simplePos x="0" y="0"/>
              <wp:positionH relativeFrom="column">
                <wp:posOffset>5418390</wp:posOffset>
              </wp:positionH>
              <wp:positionV relativeFrom="paragraph">
                <wp:posOffset>-131469</wp:posOffset>
              </wp:positionV>
              <wp:extent cx="358775" cy="149225"/>
              <wp:effectExtent l="0" t="0" r="0" b="0"/>
              <wp:wrapNone/>
              <wp:docPr id="2" name="Rectangle 2"/>
              <wp:cNvGraphicFramePr/>
              <a:graphic xmlns:a="http://schemas.openxmlformats.org/drawingml/2006/main">
                <a:graphicData uri="http://schemas.microsoft.com/office/word/2010/wordprocessingShape">
                  <wps:wsp>
                    <wps:cNvSpPr/>
                    <wps:spPr>
                      <a:xfrm>
                        <a:off x="5171375" y="3710150"/>
                        <a:ext cx="349250" cy="139700"/>
                      </a:xfrm>
                      <a:prstGeom prst="rect">
                        <a:avLst/>
                      </a:prstGeom>
                      <a:noFill/>
                      <a:ln>
                        <a:noFill/>
                      </a:ln>
                    </wps:spPr>
                    <wps:txbx>
                      <w:txbxContent>
                        <w:p w14:paraId="464DE5DF" w14:textId="31DA4B1B" w:rsidR="00DB68BF" w:rsidRDefault="0006313E">
                          <w:pPr>
                            <w:spacing w:before="15"/>
                            <w:ind w:left="20" w:firstLine="20"/>
                            <w:textDirection w:val="btLr"/>
                          </w:pPr>
                          <w:r w:rsidRPr="0006313E">
                            <w:rPr>
                              <w:rFonts w:ascii="Arial" w:eastAsia="Arial" w:hAnsi="Arial" w:cs="Arial"/>
                              <w:color w:val="FFFFFF"/>
                              <w:sz w:val="16"/>
                            </w:rPr>
                            <w:fldChar w:fldCharType="begin"/>
                          </w:r>
                          <w:r w:rsidRPr="0006313E">
                            <w:rPr>
                              <w:rFonts w:ascii="Arial" w:eastAsia="Arial" w:hAnsi="Arial" w:cs="Arial"/>
                              <w:color w:val="FFFFFF"/>
                              <w:sz w:val="16"/>
                            </w:rPr>
                            <w:instrText>PAGE   \* MERGEFORMAT</w:instrText>
                          </w:r>
                          <w:r w:rsidRPr="0006313E">
                            <w:rPr>
                              <w:rFonts w:ascii="Arial" w:eastAsia="Arial" w:hAnsi="Arial" w:cs="Arial"/>
                              <w:color w:val="FFFFFF"/>
                              <w:sz w:val="16"/>
                            </w:rPr>
                            <w:fldChar w:fldCharType="separate"/>
                          </w:r>
                          <w:r w:rsidRPr="0006313E">
                            <w:rPr>
                              <w:rFonts w:ascii="Arial" w:eastAsia="Arial" w:hAnsi="Arial" w:cs="Arial"/>
                              <w:color w:val="FFFFFF"/>
                              <w:sz w:val="16"/>
                              <w:lang w:val="fr-FR"/>
                            </w:rPr>
                            <w:t>1</w:t>
                          </w:r>
                          <w:r w:rsidRPr="0006313E">
                            <w:rPr>
                              <w:rFonts w:ascii="Arial" w:eastAsia="Arial" w:hAnsi="Arial" w:cs="Arial"/>
                              <w:color w:val="FFFFFF"/>
                              <w:sz w:val="16"/>
                            </w:rPr>
                            <w:fldChar w:fldCharType="end"/>
                          </w:r>
                          <w:r w:rsidR="00BF2199">
                            <w:rPr>
                              <w:rFonts w:ascii="Arial" w:eastAsia="Arial" w:hAnsi="Arial" w:cs="Arial"/>
                              <w:color w:val="FFFFFF"/>
                              <w:sz w:val="16"/>
                            </w:rPr>
                            <w:t xml:space="preserve"> - / </w:t>
                          </w:r>
                          <w:r w:rsidR="00240180">
                            <w:rPr>
                              <w:rFonts w:ascii="Arial" w:eastAsia="Arial" w:hAnsi="Arial" w:cs="Arial"/>
                              <w:color w:val="FFFFFF"/>
                              <w:sz w:val="16"/>
                            </w:rPr>
                            <w:t>7</w:t>
                          </w:r>
                        </w:p>
                      </w:txbxContent>
                    </wps:txbx>
                    <wps:bodyPr spcFirstLastPara="1" wrap="square" lIns="0" tIns="0" rIns="0" bIns="0" anchor="t" anchorCtr="0">
                      <a:noAutofit/>
                    </wps:bodyPr>
                  </wps:wsp>
                </a:graphicData>
              </a:graphic>
            </wp:anchor>
          </w:drawing>
        </mc:Choice>
        <mc:Fallback>
          <w:pict>
            <v:rect w14:anchorId="464DE5D8" id="Rectangle 2" o:spid="_x0000_s1035" style="position:absolute;margin-left:426.65pt;margin-top:-10.35pt;width:28.25pt;height:11.7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" filled="f" stroked="f">
              <v:textbox inset="0,0,0,0">
                <w:txbxContent>
                  <w:p w14:paraId="464DE5DF" w14:textId="31DA4B1B" w:rsidR="00DB68BF" w:rsidRDefault="0006313E">
                    <w:pPr>
                      <w:spacing w:before="15"/>
                      <w:ind w:left="20" w:firstLine="20"/>
                      <w:textDirection w:val="btLr"/>
                    </w:pPr>
                    <w:r w:rsidRPr="0006313E">
                      <w:rPr>
                        <w:rFonts w:ascii="Arial" w:eastAsia="Arial" w:hAnsi="Arial" w:cs="Arial"/>
                        <w:color w:val="FFFFFF"/>
                        <w:sz w:val="16"/>
                      </w:rPr>
                      <w:fldChar w:fldCharType="begin"/>
                    </w:r>
                    <w:r w:rsidRPr="0006313E">
                      <w:rPr>
                        <w:rFonts w:ascii="Arial" w:eastAsia="Arial" w:hAnsi="Arial" w:cs="Arial"/>
                        <w:color w:val="FFFFFF"/>
                        <w:sz w:val="16"/>
                      </w:rPr>
                      <w:instrText>PAGE   \* MERGEFORMAT</w:instrText>
                    </w:r>
                    <w:r w:rsidRPr="0006313E">
                      <w:rPr>
                        <w:rFonts w:ascii="Arial" w:eastAsia="Arial" w:hAnsi="Arial" w:cs="Arial"/>
                        <w:color w:val="FFFFFF"/>
                        <w:sz w:val="16"/>
                      </w:rPr>
                      <w:fldChar w:fldCharType="separate"/>
                    </w:r>
                    <w:r w:rsidRPr="0006313E">
                      <w:rPr>
                        <w:rFonts w:ascii="Arial" w:eastAsia="Arial" w:hAnsi="Arial" w:cs="Arial"/>
                        <w:color w:val="FFFFFF"/>
                        <w:sz w:val="16"/>
                        <w:lang w:val="fr-FR"/>
                      </w:rPr>
                      <w:t>1</w:t>
                    </w:r>
                    <w:r w:rsidRPr="0006313E">
                      <w:rPr>
                        <w:rFonts w:ascii="Arial" w:eastAsia="Arial" w:hAnsi="Arial" w:cs="Arial"/>
                        <w:color w:val="FFFFFF"/>
                        <w:sz w:val="16"/>
                      </w:rPr>
                      <w:fldChar w:fldCharType="end"/>
                    </w:r>
                    <w:r w:rsidR="00BF2199">
                      <w:rPr>
                        <w:rFonts w:ascii="Arial" w:eastAsia="Arial" w:hAnsi="Arial" w:cs="Arial"/>
                        <w:color w:val="FFFFFF"/>
                        <w:sz w:val="16"/>
                      </w:rPr>
                      <w:t xml:space="preserve"> - / </w:t>
                    </w:r>
                    <w:r w:rsidR="00240180">
                      <w:rPr>
                        <w:rFonts w:ascii="Arial" w:eastAsia="Arial" w:hAnsi="Arial" w:cs="Arial"/>
                        <w:color w:val="FFFFFF"/>
                        <w:sz w:val="16"/>
                      </w:rPr>
                      <w:t>7</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884BBE" w14:textId="77777777" w:rsidR="00120C8F" w:rsidRDefault="00120C8F">
      <w:r>
        <w:separator/>
      </w:r>
    </w:p>
  </w:footnote>
  <w:footnote w:type="continuationSeparator" w:id="0">
    <w:p w14:paraId="13F6140E" w14:textId="77777777" w:rsidR="00120C8F" w:rsidRDefault="00120C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34F6A"/>
    <w:multiLevelType w:val="multilevel"/>
    <w:tmpl w:val="AD620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E6095A"/>
    <w:multiLevelType w:val="multilevel"/>
    <w:tmpl w:val="C7A47E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D771DAB"/>
    <w:multiLevelType w:val="multilevel"/>
    <w:tmpl w:val="C054F2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5512B2D"/>
    <w:multiLevelType w:val="multilevel"/>
    <w:tmpl w:val="47C825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1F51F28"/>
    <w:multiLevelType w:val="multilevel"/>
    <w:tmpl w:val="F3629D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91B4391"/>
    <w:multiLevelType w:val="multilevel"/>
    <w:tmpl w:val="A1329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7856867">
    <w:abstractNumId w:val="3"/>
  </w:num>
  <w:num w:numId="2" w16cid:durableId="48187339">
    <w:abstractNumId w:val="4"/>
  </w:num>
  <w:num w:numId="3" w16cid:durableId="1876427036">
    <w:abstractNumId w:val="1"/>
  </w:num>
  <w:num w:numId="4" w16cid:durableId="1496531761">
    <w:abstractNumId w:val="2"/>
  </w:num>
  <w:num w:numId="5" w16cid:durableId="580256521">
    <w:abstractNumId w:val="0"/>
  </w:num>
  <w:num w:numId="6" w16cid:durableId="33931020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68BF"/>
    <w:rsid w:val="0006313E"/>
    <w:rsid w:val="0009635A"/>
    <w:rsid w:val="00120C8F"/>
    <w:rsid w:val="001E0FA4"/>
    <w:rsid w:val="00231106"/>
    <w:rsid w:val="00240180"/>
    <w:rsid w:val="00284CB6"/>
    <w:rsid w:val="00313675"/>
    <w:rsid w:val="00336D3E"/>
    <w:rsid w:val="00362364"/>
    <w:rsid w:val="003671E8"/>
    <w:rsid w:val="003C5567"/>
    <w:rsid w:val="003D74F3"/>
    <w:rsid w:val="0043066C"/>
    <w:rsid w:val="00455477"/>
    <w:rsid w:val="004A52A6"/>
    <w:rsid w:val="005238E9"/>
    <w:rsid w:val="00526300"/>
    <w:rsid w:val="00537122"/>
    <w:rsid w:val="005F694D"/>
    <w:rsid w:val="00622858"/>
    <w:rsid w:val="00625A67"/>
    <w:rsid w:val="00672017"/>
    <w:rsid w:val="006A59D1"/>
    <w:rsid w:val="0073723B"/>
    <w:rsid w:val="00766D2E"/>
    <w:rsid w:val="00777347"/>
    <w:rsid w:val="007A7530"/>
    <w:rsid w:val="007B44AB"/>
    <w:rsid w:val="008015BD"/>
    <w:rsid w:val="008C601D"/>
    <w:rsid w:val="0092076A"/>
    <w:rsid w:val="00976B10"/>
    <w:rsid w:val="00990640"/>
    <w:rsid w:val="009D5FB7"/>
    <w:rsid w:val="009E5666"/>
    <w:rsid w:val="009F5215"/>
    <w:rsid w:val="00A34A65"/>
    <w:rsid w:val="00A45115"/>
    <w:rsid w:val="00A55EDB"/>
    <w:rsid w:val="00AD5EF6"/>
    <w:rsid w:val="00BF2199"/>
    <w:rsid w:val="00C81BB8"/>
    <w:rsid w:val="00CB31C3"/>
    <w:rsid w:val="00DB68BF"/>
    <w:rsid w:val="00E13809"/>
    <w:rsid w:val="00EB6FCB"/>
    <w:rsid w:val="00F11C60"/>
    <w:rsid w:val="00F375BB"/>
    <w:rsid w:val="00FA54A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4DE4DF"/>
  <w15:docId w15:val="{D332B267-5C3F-460E-AFD7-8B43CA1D9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Corbel" w:hAnsi="Corbel" w:cs="Corbel"/>
        <w:sz w:val="22"/>
        <w:szCs w:val="22"/>
        <w:lang w:val="fr" w:eastAsia="fr-F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ind w:left="1"/>
      <w:outlineLvl w:val="0"/>
    </w:pPr>
    <w:rPr>
      <w:b/>
      <w:bCs/>
    </w:rPr>
  </w:style>
  <w:style w:type="paragraph" w:styleId="Titre2">
    <w:name w:val="heading 2"/>
    <w:basedOn w:val="Normal"/>
    <w:next w:val="Normal"/>
    <w:uiPriority w:val="9"/>
    <w:semiHidden/>
    <w:unhideWhenUsed/>
    <w:qFormat/>
    <w:pPr>
      <w:keepNext/>
      <w:keepLines/>
      <w:spacing w:before="40"/>
      <w:outlineLvl w:val="1"/>
    </w:pPr>
    <w:rPr>
      <w:rFonts w:ascii="Cambria" w:eastAsia="Cambria" w:hAnsi="Cambria" w:cs="Cambria"/>
      <w:color w:val="366091"/>
      <w:sz w:val="26"/>
      <w:szCs w:val="26"/>
    </w:rPr>
  </w:style>
  <w:style w:type="paragraph" w:styleId="Titre3">
    <w:name w:val="heading 3"/>
    <w:basedOn w:val="Normal"/>
    <w:next w:val="Normal"/>
    <w:uiPriority w:val="9"/>
    <w:semiHidden/>
    <w:unhideWhenUsed/>
    <w:qFormat/>
    <w:pPr>
      <w:keepNext/>
      <w:keepLines/>
      <w:spacing w:before="40"/>
      <w:outlineLvl w:val="2"/>
    </w:pPr>
    <w:rPr>
      <w:rFonts w:ascii="Cambria" w:eastAsia="Cambria" w:hAnsi="Cambria" w:cs="Cambria"/>
      <w:color w:val="243F61"/>
      <w:sz w:val="24"/>
      <w:szCs w:val="24"/>
    </w:rPr>
  </w:style>
  <w:style w:type="paragraph" w:styleId="Titre4">
    <w:name w:val="heading 4"/>
    <w:basedOn w:val="Normal"/>
    <w:next w:val="Normal"/>
    <w:uiPriority w:val="9"/>
    <w:semiHidden/>
    <w:unhideWhenUsed/>
    <w:qFormat/>
    <w:pPr>
      <w:keepNext/>
      <w:keepLines/>
      <w:spacing w:before="240" w:after="40"/>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bCs/>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spacing w:before="261"/>
      <w:ind w:left="11"/>
      <w:jc w:val="center"/>
    </w:pPr>
    <w:rPr>
      <w:b/>
      <w:bCs/>
      <w:sz w:val="28"/>
      <w:szCs w:val="28"/>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4">
    <w:name w:val="4"/>
    <w:basedOn w:val="TableNormal"/>
    <w:rsid w:val="008C601D"/>
    <w:tblPr>
      <w:tblStyleRowBandSize w:val="1"/>
      <w:tblStyleColBandSize w:val="1"/>
      <w:tblCellMar>
        <w:top w:w="0" w:type="dxa"/>
        <w:left w:w="0" w:type="dxa"/>
        <w:bottom w:w="0" w:type="dxa"/>
        <w:right w:w="0" w:type="dxa"/>
      </w:tblCellMar>
    </w:tblPr>
  </w:style>
  <w:style w:type="paragraph" w:styleId="Rvision">
    <w:name w:val="Revision"/>
    <w:hidden/>
    <w:uiPriority w:val="99"/>
    <w:semiHidden/>
    <w:rsid w:val="00455477"/>
    <w:pPr>
      <w:widowControl/>
    </w:pPr>
  </w:style>
  <w:style w:type="paragraph" w:styleId="Commentaire">
    <w:name w:val="annotation text"/>
    <w:basedOn w:val="Normal"/>
    <w:link w:val="CommentaireCar"/>
    <w:uiPriority w:val="99"/>
    <w:unhideWhenUsed/>
    <w:rsid w:val="003671E8"/>
    <w:rPr>
      <w:sz w:val="20"/>
      <w:szCs w:val="20"/>
    </w:rPr>
  </w:style>
  <w:style w:type="character" w:customStyle="1" w:styleId="CommentaireCar">
    <w:name w:val="Commentaire Car"/>
    <w:basedOn w:val="Policepardfaut"/>
    <w:link w:val="Commentaire"/>
    <w:uiPriority w:val="99"/>
    <w:rsid w:val="003671E8"/>
    <w:rPr>
      <w:sz w:val="20"/>
      <w:szCs w:val="20"/>
    </w:rPr>
  </w:style>
  <w:style w:type="character" w:styleId="Marquedecommentaire">
    <w:name w:val="annotation reference"/>
    <w:basedOn w:val="Policepardfaut"/>
    <w:uiPriority w:val="99"/>
    <w:semiHidden/>
    <w:unhideWhenUsed/>
    <w:rsid w:val="003671E8"/>
    <w:rPr>
      <w:sz w:val="16"/>
      <w:szCs w:val="16"/>
    </w:rPr>
  </w:style>
  <w:style w:type="paragraph" w:styleId="En-tte">
    <w:name w:val="header"/>
    <w:basedOn w:val="Normal"/>
    <w:link w:val="En-tteCar"/>
    <w:uiPriority w:val="99"/>
    <w:unhideWhenUsed/>
    <w:rsid w:val="0006313E"/>
    <w:pPr>
      <w:tabs>
        <w:tab w:val="center" w:pos="4536"/>
        <w:tab w:val="right" w:pos="9072"/>
      </w:tabs>
    </w:pPr>
  </w:style>
  <w:style w:type="character" w:customStyle="1" w:styleId="En-tteCar">
    <w:name w:val="En-tête Car"/>
    <w:basedOn w:val="Policepardfaut"/>
    <w:link w:val="En-tte"/>
    <w:uiPriority w:val="99"/>
    <w:rsid w:val="0006313E"/>
  </w:style>
  <w:style w:type="paragraph" w:styleId="Pieddepage">
    <w:name w:val="footer"/>
    <w:basedOn w:val="Normal"/>
    <w:link w:val="PieddepageCar"/>
    <w:uiPriority w:val="99"/>
    <w:unhideWhenUsed/>
    <w:rsid w:val="0006313E"/>
    <w:pPr>
      <w:tabs>
        <w:tab w:val="center" w:pos="4536"/>
        <w:tab w:val="right" w:pos="9072"/>
      </w:tabs>
    </w:pPr>
  </w:style>
  <w:style w:type="character" w:customStyle="1" w:styleId="PieddepageCar">
    <w:name w:val="Pied de page Car"/>
    <w:basedOn w:val="Policepardfaut"/>
    <w:link w:val="Pieddepage"/>
    <w:uiPriority w:val="99"/>
    <w:rsid w:val="000631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EQIvENNOrcqsFPeJ+wGoUA59gQ==">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E94CF7D3B1392843933E4193F7A6EA54" ma:contentTypeVersion="16" ma:contentTypeDescription="Crée un document." ma:contentTypeScope="" ma:versionID="3ba89c1dc133e12ed003eb16dbb327a4">
  <xsd:schema xmlns:xsd="http://www.w3.org/2001/XMLSchema" xmlns:xs="http://www.w3.org/2001/XMLSchema" xmlns:p="http://schemas.microsoft.com/office/2006/metadata/properties" xmlns:ns2="8f9e5b5e-7aa6-4129-9554-dfd692787558" xmlns:ns3="548778ef-fa46-424a-b0a5-7e9abf7a1df5" targetNamespace="http://schemas.microsoft.com/office/2006/metadata/properties" ma:root="true" ma:fieldsID="f8de7b806493eb5b62b27455f2640276" ns2:_="" ns3:_="">
    <xsd:import namespace="8f9e5b5e-7aa6-4129-9554-dfd692787558"/>
    <xsd:import namespace="548778ef-fa46-424a-b0a5-7e9abf7a1df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9e5b5e-7aa6-4129-9554-dfd6927875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7484397f-158f-4c14-8d2a-9ab5197cb08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8778ef-fa46-424a-b0a5-7e9abf7a1df5"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4" nillable="true" ma:displayName="Taxonomy Catch All Column" ma:hidden="true" ma:list="{2e55fda1-7ad2-4b51-b052-9f1b95cf8d73}" ma:internalName="TaxCatchAll" ma:showField="CatchAllData" ma:web="548778ef-fa46-424a-b0a5-7e9abf7a1df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f9e5b5e-7aa6-4129-9554-dfd692787558">
      <Terms xmlns="http://schemas.microsoft.com/office/infopath/2007/PartnerControls"/>
    </lcf76f155ced4ddcb4097134ff3c332f>
    <TaxCatchAll xmlns="548778ef-fa46-424a-b0a5-7e9abf7a1df5"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B00BAC5-F63A-412D-806F-6A5EBEAA08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9e5b5e-7aa6-4129-9554-dfd692787558"/>
    <ds:schemaRef ds:uri="548778ef-fa46-424a-b0a5-7e9abf7a1d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02D1E3-231D-4178-82BC-8FF7A55329FA}">
  <ds:schemaRefs>
    <ds:schemaRef ds:uri="http://schemas.microsoft.com/sharepoint/v3/contenttype/forms"/>
  </ds:schemaRefs>
</ds:datastoreItem>
</file>

<file path=customXml/itemProps4.xml><?xml version="1.0" encoding="utf-8"?>
<ds:datastoreItem xmlns:ds="http://schemas.openxmlformats.org/officeDocument/2006/customXml" ds:itemID="{535C146E-2B74-4B39-88C2-434F67919DC5}">
  <ds:schemaRefs>
    <ds:schemaRef ds:uri="http://schemas.microsoft.com/office/2006/metadata/properties"/>
    <ds:schemaRef ds:uri="http://schemas.microsoft.com/office/infopath/2007/PartnerControls"/>
    <ds:schemaRef ds:uri="8f9e5b5e-7aa6-4129-9554-dfd692787558"/>
    <ds:schemaRef ds:uri="548778ef-fa46-424a-b0a5-7e9abf7a1df5"/>
  </ds:schemaRefs>
</ds:datastoreItem>
</file>

<file path=docMetadata/LabelInfo.xml><?xml version="1.0" encoding="utf-8"?>
<clbl:labelList xmlns:clbl="http://schemas.microsoft.com/office/2020/mipLabelMetadata">
  <clbl:label id="{88a9f758-a31c-44be-b5c9-5d6b996c65a5}" enabled="0" method="" siteId="{88a9f758-a31c-44be-b5c9-5d6b996c65a5}" removed="1"/>
</clbl:labelList>
</file>

<file path=docProps/app.xml><?xml version="1.0" encoding="utf-8"?>
<Properties xmlns="http://schemas.openxmlformats.org/officeDocument/2006/extended-properties" xmlns:vt="http://schemas.openxmlformats.org/officeDocument/2006/docPropsVTypes">
  <Template>Normal</Template>
  <TotalTime>24</TotalTime>
  <Pages>7</Pages>
  <Words>1856</Words>
  <Characters>10211</Characters>
  <Application>Microsoft Office Word</Application>
  <DocSecurity>0</DocSecurity>
  <Lines>85</Lines>
  <Paragraphs>24</Paragraphs>
  <ScaleCrop>false</ScaleCrop>
  <Company/>
  <LinksUpToDate>false</LinksUpToDate>
  <CharactersWithSpaces>12043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Wilfrid DREANO</cp:lastModifiedBy>
  <cp:revision>35</cp:revision>
  <dcterms:created xsi:type="dcterms:W3CDTF">2026-07-29T03:58:00Z</dcterms:created>
  <dcterms:modified xsi:type="dcterms:W3CDTF">2026-08-11T05:53:00Z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2024-06-28T00:00:00Z</vt:lpwstr>
  </property>
  <property fmtid="{D5CDD505-2E9C-101B-9397-08002B2CF9AE}" pid="4" name="Creator">
    <vt:lpwstr>Acrobat PDFMaker 24 for Word</vt:lpwstr>
  </property>
  <property fmtid="{D5CDD505-2E9C-101B-9397-08002B2CF9AE}" pid="5" name="LastSaved">
    <vt:lpwstr>2026-07-15T00:00:00Z</vt:lpwstr>
  </property>
  <property fmtid="{D5CDD505-2E9C-101B-9397-08002B2CF9AE}" pid="6" name="Producer">
    <vt:lpwstr>Adobe PDF Library 24.2.121</vt:lpwstr>
  </property>
  <property fmtid="{D5CDD505-2E9C-101B-9397-08002B2CF9AE}" pid="7" name="SourceModified">
    <vt:lpwstr>SourceModified</vt:lpwstr>
  </property>
  <property fmtid="{D5CDD505-2E9C-101B-9397-08002B2CF9AE}" pid="8" name="ContentTypeId">
    <vt:lpwstr>0x010100E94CF7D3B1392843933E4193F7A6EA54</vt:lpwstr>
  </property>
  <property fmtid="{D5CDD505-2E9C-101B-9397-08002B2CF9AE}" pid="9" name="MediaServiceImageTags">
    <vt:lpwstr>MediaServiceImageTags</vt:lpwstr>
  </property>
</Properties>
</file>