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9CA249" w14:textId="52075F1E" w:rsidR="008C7EB2" w:rsidRDefault="00F11FBB">
      <w:pPr>
        <w:rPr>
          <w:rFonts w:hint="eastAsia"/>
          <w:sz w:val="18"/>
        </w:rPr>
      </w:pPr>
      <w:r>
        <w:rPr>
          <w:rFonts w:eastAsia="Times New Roman;Times New Roman"/>
          <w:sz w:val="18"/>
        </w:rPr>
        <w:t xml:space="preserve">   </w:t>
      </w:r>
      <w:bookmarkStart w:id="0" w:name="TRX"/>
      <w:bookmarkEnd w:id="0"/>
      <w:r>
        <w:rPr>
          <w:rFonts w:eastAsia="Times New Roman;Times New Roman"/>
          <w:sz w:val="18"/>
        </w:rPr>
        <w:t xml:space="preserve"> </w:t>
      </w:r>
    </w:p>
    <w:p w14:paraId="4B0A8D81" w14:textId="77777777" w:rsidR="008C7EB2" w:rsidRDefault="00F11FBB">
      <w:pPr>
        <w:pStyle w:val="Trame"/>
        <w:ind w:right="6"/>
        <w:rPr>
          <w:rFonts w:hint="eastAsia"/>
          <w:sz w:val="32"/>
        </w:rPr>
      </w:pPr>
      <w:r>
        <w:rPr>
          <w:sz w:val="32"/>
        </w:rPr>
        <w:t>MARCHE PUBLIC DE TRAVAUX</w:t>
      </w:r>
    </w:p>
    <w:p w14:paraId="6EE37689" w14:textId="77777777" w:rsidR="008C7EB2" w:rsidRDefault="008C7EB2">
      <w:pPr>
        <w:rPr>
          <w:rFonts w:hint="eastAsia"/>
        </w:rPr>
      </w:pPr>
    </w:p>
    <w:p w14:paraId="27475C75" w14:textId="77777777" w:rsidR="008C7EB2" w:rsidRDefault="008C7EB2">
      <w:pPr>
        <w:rPr>
          <w:rFonts w:hint="eastAsia"/>
        </w:rPr>
      </w:pPr>
    </w:p>
    <w:p w14:paraId="77B2C38D" w14:textId="77777777" w:rsidR="008C7EB2" w:rsidRDefault="00F11FBB">
      <w:pPr>
        <w:pStyle w:val="Cadrerelief"/>
        <w:shd w:val="clear" w:color="auto" w:fill="F2F2F2"/>
        <w:jc w:val="center"/>
        <w:rPr>
          <w:rFonts w:hint="eastAsia"/>
        </w:rPr>
      </w:pPr>
      <w:r>
        <w:rPr>
          <w:b/>
          <w:sz w:val="32"/>
        </w:rPr>
        <w:t>REGLEMENT DE LA CONSULTATION</w:t>
      </w:r>
      <w:r>
        <w:rPr>
          <w:b/>
          <w:sz w:val="32"/>
        </w:rPr>
        <w:br/>
        <w:t>(RC)</w:t>
      </w:r>
    </w:p>
    <w:p w14:paraId="2004EA44" w14:textId="77777777" w:rsidR="008C7EB2" w:rsidRDefault="008C7EB2">
      <w:pPr>
        <w:rPr>
          <w:rFonts w:hint="eastAsia"/>
        </w:rPr>
      </w:pPr>
    </w:p>
    <w:p w14:paraId="779BF7DC" w14:textId="77777777" w:rsidR="008C7EB2" w:rsidRDefault="008C7EB2">
      <w:pPr>
        <w:rPr>
          <w:rFonts w:hint="eastAsia"/>
        </w:rPr>
      </w:pPr>
    </w:p>
    <w:tbl>
      <w:tblPr>
        <w:tblW w:w="9426" w:type="dxa"/>
        <w:tblLayout w:type="fixed"/>
        <w:tblCellMar>
          <w:left w:w="70" w:type="dxa"/>
          <w:right w:w="70" w:type="dxa"/>
        </w:tblCellMar>
        <w:tblLook w:val="04A0" w:firstRow="1" w:lastRow="0" w:firstColumn="1" w:lastColumn="0" w:noHBand="0" w:noVBand="1"/>
      </w:tblPr>
      <w:tblGrid>
        <w:gridCol w:w="9426"/>
      </w:tblGrid>
      <w:tr w:rsidR="008C7EB2" w14:paraId="2367DB57" w14:textId="77777777">
        <w:tc>
          <w:tcPr>
            <w:tcW w:w="9426" w:type="dxa"/>
            <w:tcBorders>
              <w:top w:val="double" w:sz="4" w:space="0" w:color="000000"/>
              <w:left w:val="double" w:sz="4" w:space="0" w:color="000000"/>
              <w:bottom w:val="single" w:sz="4" w:space="0" w:color="000000"/>
              <w:right w:val="double" w:sz="4" w:space="0" w:color="000000"/>
            </w:tcBorders>
            <w:shd w:val="clear" w:color="auto" w:fill="CCCCCC"/>
          </w:tcPr>
          <w:p w14:paraId="3580A5DD" w14:textId="77777777" w:rsidR="008C7EB2" w:rsidRDefault="00F11FBB">
            <w:pPr>
              <w:snapToGrid w:val="0"/>
              <w:jc w:val="center"/>
              <w:rPr>
                <w:rFonts w:hint="eastAsia"/>
                <w:b/>
                <w:bCs/>
                <w:i/>
                <w:iCs/>
                <w:color w:val="000000"/>
                <w:sz w:val="28"/>
                <w:szCs w:val="28"/>
              </w:rPr>
            </w:pPr>
            <w:r>
              <w:rPr>
                <w:b/>
                <w:bCs/>
                <w:i/>
                <w:iCs/>
                <w:color w:val="000000"/>
                <w:sz w:val="28"/>
                <w:szCs w:val="28"/>
              </w:rPr>
              <w:t>L’acheteur exerçant la maîtrise d'ouvrage</w:t>
            </w:r>
          </w:p>
        </w:tc>
      </w:tr>
      <w:tr w:rsidR="008C7EB2" w14:paraId="25CB1B1E" w14:textId="77777777">
        <w:tc>
          <w:tcPr>
            <w:tcW w:w="9426" w:type="dxa"/>
            <w:tcBorders>
              <w:top w:val="single" w:sz="4" w:space="0" w:color="000000"/>
              <w:left w:val="double" w:sz="4" w:space="0" w:color="000000"/>
              <w:right w:val="double" w:sz="4" w:space="0" w:color="000000"/>
            </w:tcBorders>
          </w:tcPr>
          <w:p w14:paraId="62565A17" w14:textId="77777777" w:rsidR="008C7EB2" w:rsidRDefault="008C7EB2">
            <w:pPr>
              <w:pStyle w:val="Reponse"/>
              <w:snapToGrid w:val="0"/>
              <w:jc w:val="left"/>
              <w:rPr>
                <w:rFonts w:hint="eastAsia"/>
                <w:sz w:val="6"/>
                <w:szCs w:val="6"/>
              </w:rPr>
            </w:pPr>
          </w:p>
        </w:tc>
      </w:tr>
      <w:tr w:rsidR="008C7EB2" w14:paraId="7E0230EA" w14:textId="77777777">
        <w:tc>
          <w:tcPr>
            <w:tcW w:w="9426" w:type="dxa"/>
            <w:tcBorders>
              <w:left w:val="double" w:sz="4" w:space="0" w:color="000000"/>
              <w:right w:val="double" w:sz="4" w:space="0" w:color="000000"/>
            </w:tcBorders>
          </w:tcPr>
          <w:p w14:paraId="7BDC23EA" w14:textId="77777777" w:rsidR="008C7EB2" w:rsidRDefault="00F11FBB">
            <w:pPr>
              <w:ind w:left="567" w:right="497"/>
              <w:jc w:val="center"/>
              <w:rPr>
                <w:rFonts w:hint="eastAsia"/>
              </w:rPr>
            </w:pPr>
            <w:bookmarkStart w:id="1" w:name="R0_p2_a"/>
            <w:r>
              <w:t>Ministère de la Justice - Département Immobilier de Paris</w:t>
            </w:r>
            <w:bookmarkEnd w:id="1"/>
          </w:p>
          <w:p w14:paraId="475AB5ED" w14:textId="77777777" w:rsidR="008C7EB2" w:rsidRDefault="00F11FBB">
            <w:pPr>
              <w:ind w:left="567" w:right="497"/>
              <w:jc w:val="center"/>
              <w:rPr>
                <w:rFonts w:hint="eastAsia"/>
              </w:rPr>
            </w:pPr>
            <w:r>
              <w:t>1 Quai de Corse - 75004 Paris</w:t>
            </w:r>
          </w:p>
        </w:tc>
      </w:tr>
      <w:tr w:rsidR="008C7EB2" w14:paraId="7D694D38" w14:textId="77777777">
        <w:tc>
          <w:tcPr>
            <w:tcW w:w="9426" w:type="dxa"/>
            <w:tcBorders>
              <w:left w:val="double" w:sz="4" w:space="0" w:color="000000"/>
              <w:bottom w:val="double" w:sz="4" w:space="0" w:color="000000"/>
              <w:right w:val="double" w:sz="4" w:space="0" w:color="000000"/>
            </w:tcBorders>
          </w:tcPr>
          <w:p w14:paraId="351B8FD2" w14:textId="77777777" w:rsidR="008C7EB2" w:rsidRDefault="008C7EB2">
            <w:pPr>
              <w:pStyle w:val="Reponse"/>
              <w:snapToGrid w:val="0"/>
              <w:jc w:val="center"/>
              <w:rPr>
                <w:rFonts w:hint="eastAsia"/>
                <w:sz w:val="6"/>
                <w:szCs w:val="6"/>
              </w:rPr>
            </w:pPr>
          </w:p>
        </w:tc>
      </w:tr>
    </w:tbl>
    <w:p w14:paraId="4BC446B1" w14:textId="77777777" w:rsidR="008C7EB2" w:rsidRDefault="008C7EB2">
      <w:pPr>
        <w:jc w:val="center"/>
        <w:rPr>
          <w:rFonts w:hint="eastAsia"/>
        </w:rPr>
      </w:pPr>
    </w:p>
    <w:p w14:paraId="43D8DD20" w14:textId="77777777" w:rsidR="008C7EB2" w:rsidRDefault="008C7EB2">
      <w:pPr>
        <w:jc w:val="center"/>
        <w:rPr>
          <w:rFonts w:hint="eastAsia"/>
        </w:rPr>
      </w:pPr>
    </w:p>
    <w:tbl>
      <w:tblPr>
        <w:tblW w:w="9471" w:type="dxa"/>
        <w:tblInd w:w="-22" w:type="dxa"/>
        <w:tblLayout w:type="fixed"/>
        <w:tblCellMar>
          <w:left w:w="70" w:type="dxa"/>
          <w:right w:w="70" w:type="dxa"/>
        </w:tblCellMar>
        <w:tblLook w:val="04A0" w:firstRow="1" w:lastRow="0" w:firstColumn="1" w:lastColumn="0" w:noHBand="0" w:noVBand="1"/>
      </w:tblPr>
      <w:tblGrid>
        <w:gridCol w:w="9471"/>
      </w:tblGrid>
      <w:tr w:rsidR="008C7EB2" w14:paraId="531DB545" w14:textId="77777777">
        <w:tc>
          <w:tcPr>
            <w:tcW w:w="9471" w:type="dxa"/>
            <w:tcBorders>
              <w:top w:val="double" w:sz="2" w:space="0" w:color="000000"/>
              <w:left w:val="double" w:sz="2" w:space="0" w:color="000000"/>
              <w:bottom w:val="single" w:sz="4" w:space="0" w:color="000000"/>
              <w:right w:val="double" w:sz="2" w:space="0" w:color="000000"/>
            </w:tcBorders>
            <w:shd w:val="clear" w:color="auto" w:fill="CCCCCC"/>
          </w:tcPr>
          <w:p w14:paraId="71A7F2E2" w14:textId="77777777" w:rsidR="008C7EB2" w:rsidRDefault="00F11FBB">
            <w:pPr>
              <w:snapToGrid w:val="0"/>
              <w:jc w:val="center"/>
              <w:rPr>
                <w:rFonts w:hint="eastAsia"/>
              </w:rPr>
            </w:pPr>
            <w:r>
              <w:rPr>
                <w:b/>
                <w:i/>
                <w:color w:val="000000"/>
                <w:sz w:val="28"/>
              </w:rPr>
              <w:t>Représentant de l’acheteur (RPA)</w:t>
            </w:r>
          </w:p>
        </w:tc>
      </w:tr>
      <w:tr w:rsidR="008C7EB2" w14:paraId="237037C3" w14:textId="77777777">
        <w:tc>
          <w:tcPr>
            <w:tcW w:w="9471" w:type="dxa"/>
            <w:tcBorders>
              <w:left w:val="double" w:sz="2" w:space="0" w:color="000000"/>
              <w:right w:val="double" w:sz="2" w:space="0" w:color="000000"/>
            </w:tcBorders>
          </w:tcPr>
          <w:p w14:paraId="35C00AEF" w14:textId="77777777" w:rsidR="008C7EB2" w:rsidRDefault="008C7EB2">
            <w:pPr>
              <w:snapToGrid w:val="0"/>
              <w:jc w:val="center"/>
              <w:rPr>
                <w:rFonts w:hint="eastAsia"/>
                <w:b/>
                <w:i/>
                <w:sz w:val="6"/>
              </w:rPr>
            </w:pPr>
          </w:p>
        </w:tc>
      </w:tr>
      <w:tr w:rsidR="008C7EB2" w14:paraId="67B2D8DA" w14:textId="77777777">
        <w:tc>
          <w:tcPr>
            <w:tcW w:w="9471" w:type="dxa"/>
            <w:tcBorders>
              <w:left w:val="double" w:sz="2" w:space="0" w:color="000000"/>
              <w:right w:val="double" w:sz="2" w:space="0" w:color="000000"/>
            </w:tcBorders>
          </w:tcPr>
          <w:p w14:paraId="2317EB83" w14:textId="77777777" w:rsidR="008C7EB2" w:rsidRDefault="00F11FBB">
            <w:pPr>
              <w:snapToGrid w:val="0"/>
              <w:ind w:left="567" w:right="499"/>
              <w:jc w:val="center"/>
              <w:rPr>
                <w:rFonts w:hint="eastAsia"/>
              </w:rPr>
            </w:pPr>
            <w:r>
              <w:t>Madame Élodie MONTAIN</w:t>
            </w:r>
          </w:p>
        </w:tc>
      </w:tr>
      <w:tr w:rsidR="008C7EB2" w14:paraId="02B8DB7F" w14:textId="77777777">
        <w:tc>
          <w:tcPr>
            <w:tcW w:w="9471" w:type="dxa"/>
            <w:tcBorders>
              <w:left w:val="double" w:sz="2" w:space="0" w:color="000000"/>
              <w:bottom w:val="double" w:sz="2" w:space="0" w:color="000000"/>
              <w:right w:val="double" w:sz="2" w:space="0" w:color="000000"/>
            </w:tcBorders>
          </w:tcPr>
          <w:p w14:paraId="53362259" w14:textId="77777777" w:rsidR="008C7EB2" w:rsidRDefault="00F11FBB">
            <w:pPr>
              <w:ind w:left="567" w:right="497"/>
              <w:jc w:val="center"/>
              <w:rPr>
                <w:rFonts w:hint="eastAsia"/>
              </w:rPr>
            </w:pPr>
            <w:r>
              <w:t>Cheffe du département immobilier de Paris</w:t>
            </w:r>
          </w:p>
          <w:p w14:paraId="5ED09389" w14:textId="77777777" w:rsidR="008C7EB2" w:rsidRDefault="008C7EB2">
            <w:pPr>
              <w:snapToGrid w:val="0"/>
              <w:jc w:val="center"/>
              <w:rPr>
                <w:rFonts w:hint="eastAsia"/>
                <w:sz w:val="6"/>
              </w:rPr>
            </w:pPr>
          </w:p>
        </w:tc>
      </w:tr>
    </w:tbl>
    <w:p w14:paraId="08C939C2" w14:textId="77777777" w:rsidR="008C7EB2" w:rsidRDefault="008C7EB2">
      <w:pPr>
        <w:rPr>
          <w:rFonts w:hint="eastAsia"/>
        </w:rPr>
      </w:pPr>
    </w:p>
    <w:tbl>
      <w:tblPr>
        <w:tblW w:w="9426" w:type="dxa"/>
        <w:tblLayout w:type="fixed"/>
        <w:tblCellMar>
          <w:left w:w="70" w:type="dxa"/>
          <w:right w:w="70" w:type="dxa"/>
        </w:tblCellMar>
        <w:tblLook w:val="04A0" w:firstRow="1" w:lastRow="0" w:firstColumn="1" w:lastColumn="0" w:noHBand="0" w:noVBand="1"/>
      </w:tblPr>
      <w:tblGrid>
        <w:gridCol w:w="9426"/>
      </w:tblGrid>
      <w:tr w:rsidR="008C7EB2" w14:paraId="283610BD" w14:textId="77777777">
        <w:tc>
          <w:tcPr>
            <w:tcW w:w="9426" w:type="dxa"/>
            <w:tcBorders>
              <w:top w:val="double" w:sz="4" w:space="0" w:color="000000"/>
              <w:left w:val="double" w:sz="4" w:space="0" w:color="000000"/>
              <w:bottom w:val="single" w:sz="4" w:space="0" w:color="000000"/>
              <w:right w:val="double" w:sz="4" w:space="0" w:color="000000"/>
            </w:tcBorders>
            <w:shd w:val="clear" w:color="auto" w:fill="CCCCCC"/>
          </w:tcPr>
          <w:p w14:paraId="2AB977CF" w14:textId="77777777" w:rsidR="008C7EB2" w:rsidRDefault="00F11FBB">
            <w:pPr>
              <w:jc w:val="center"/>
              <w:rPr>
                <w:rFonts w:hint="eastAsia"/>
                <w:b/>
                <w:bCs/>
                <w:i/>
                <w:iCs/>
                <w:sz w:val="28"/>
                <w:szCs w:val="28"/>
              </w:rPr>
            </w:pPr>
            <w:r>
              <w:rPr>
                <w:b/>
                <w:bCs/>
                <w:i/>
                <w:iCs/>
                <w:sz w:val="28"/>
                <w:szCs w:val="28"/>
              </w:rPr>
              <w:t>Objet de la consultation</w:t>
            </w:r>
          </w:p>
        </w:tc>
      </w:tr>
      <w:tr w:rsidR="008C7EB2" w14:paraId="011AA509" w14:textId="77777777">
        <w:tc>
          <w:tcPr>
            <w:tcW w:w="9426" w:type="dxa"/>
            <w:tcBorders>
              <w:top w:val="single" w:sz="4" w:space="0" w:color="000000"/>
              <w:left w:val="double" w:sz="4" w:space="0" w:color="000000"/>
              <w:right w:val="double" w:sz="4" w:space="0" w:color="000000"/>
            </w:tcBorders>
          </w:tcPr>
          <w:p w14:paraId="3D2CF75E" w14:textId="77777777" w:rsidR="008C7EB2" w:rsidRDefault="008C7EB2">
            <w:pPr>
              <w:snapToGrid w:val="0"/>
              <w:ind w:left="567" w:right="641"/>
              <w:rPr>
                <w:rFonts w:hint="eastAsia"/>
                <w:sz w:val="6"/>
                <w:szCs w:val="6"/>
              </w:rPr>
            </w:pPr>
          </w:p>
        </w:tc>
      </w:tr>
      <w:tr w:rsidR="008C7EB2" w14:paraId="7E792916" w14:textId="77777777">
        <w:tc>
          <w:tcPr>
            <w:tcW w:w="9426" w:type="dxa"/>
            <w:tcBorders>
              <w:left w:val="double" w:sz="4" w:space="0" w:color="000000"/>
              <w:right w:val="double" w:sz="4" w:space="0" w:color="000000"/>
            </w:tcBorders>
          </w:tcPr>
          <w:p w14:paraId="7639F7D3" w14:textId="77777777" w:rsidR="008C7EB2" w:rsidRDefault="00F11FBB">
            <w:pPr>
              <w:ind w:left="567" w:right="497"/>
              <w:jc w:val="center"/>
              <w:rPr>
                <w:rFonts w:hint="eastAsia"/>
              </w:rPr>
            </w:pPr>
            <w:r>
              <w:t>Travaux de réhabilitation post-incendie</w:t>
            </w:r>
          </w:p>
          <w:p w14:paraId="28E54447" w14:textId="77777777" w:rsidR="008C7EB2" w:rsidRDefault="00F11FBB">
            <w:pPr>
              <w:ind w:left="567" w:right="497"/>
              <w:jc w:val="center"/>
              <w:rPr>
                <w:rFonts w:hint="eastAsia"/>
              </w:rPr>
            </w:pPr>
            <w:r>
              <w:t>Tribunal de Proximité d'Asnières-sur-Seine (92)</w:t>
            </w:r>
          </w:p>
        </w:tc>
      </w:tr>
      <w:tr w:rsidR="008C7EB2" w14:paraId="3323F789" w14:textId="77777777">
        <w:tc>
          <w:tcPr>
            <w:tcW w:w="9426" w:type="dxa"/>
            <w:tcBorders>
              <w:left w:val="double" w:sz="4" w:space="0" w:color="000000"/>
              <w:bottom w:val="double" w:sz="4" w:space="0" w:color="000000"/>
              <w:right w:val="double" w:sz="4" w:space="0" w:color="000000"/>
            </w:tcBorders>
          </w:tcPr>
          <w:p w14:paraId="092A3445" w14:textId="77777777" w:rsidR="008C7EB2" w:rsidRDefault="008C7EB2">
            <w:pPr>
              <w:snapToGrid w:val="0"/>
              <w:ind w:left="567" w:right="641"/>
              <w:rPr>
                <w:rFonts w:hint="eastAsia"/>
                <w:sz w:val="6"/>
                <w:szCs w:val="6"/>
              </w:rPr>
            </w:pPr>
          </w:p>
        </w:tc>
      </w:tr>
    </w:tbl>
    <w:p w14:paraId="05DC0CA7" w14:textId="77777777" w:rsidR="008C7EB2" w:rsidRDefault="008C7EB2">
      <w:pPr>
        <w:rPr>
          <w:rFonts w:hint="eastAsia"/>
        </w:rPr>
      </w:pPr>
    </w:p>
    <w:p w14:paraId="65DE19E3" w14:textId="77777777" w:rsidR="008C7EB2" w:rsidRDefault="008C7EB2">
      <w:pPr>
        <w:rPr>
          <w:rFonts w:hint="eastAsia"/>
        </w:rPr>
      </w:pPr>
    </w:p>
    <w:tbl>
      <w:tblPr>
        <w:tblW w:w="9471" w:type="dxa"/>
        <w:tblInd w:w="-22" w:type="dxa"/>
        <w:tblLayout w:type="fixed"/>
        <w:tblCellMar>
          <w:left w:w="70" w:type="dxa"/>
          <w:right w:w="70" w:type="dxa"/>
        </w:tblCellMar>
        <w:tblLook w:val="04A0" w:firstRow="1" w:lastRow="0" w:firstColumn="1" w:lastColumn="0" w:noHBand="0" w:noVBand="1"/>
      </w:tblPr>
      <w:tblGrid>
        <w:gridCol w:w="9471"/>
      </w:tblGrid>
      <w:tr w:rsidR="008C7EB2" w14:paraId="0FE8EF76" w14:textId="77777777">
        <w:tc>
          <w:tcPr>
            <w:tcW w:w="9471" w:type="dxa"/>
            <w:tcBorders>
              <w:top w:val="double" w:sz="2" w:space="0" w:color="000000"/>
              <w:left w:val="double" w:sz="2" w:space="0" w:color="000000"/>
              <w:bottom w:val="single" w:sz="4" w:space="0" w:color="000000"/>
              <w:right w:val="double" w:sz="2" w:space="0" w:color="000000"/>
            </w:tcBorders>
            <w:shd w:val="clear" w:color="auto" w:fill="CCCCCC"/>
          </w:tcPr>
          <w:p w14:paraId="149414A6" w14:textId="77777777" w:rsidR="008C7EB2" w:rsidRDefault="00F11FBB">
            <w:pPr>
              <w:snapToGrid w:val="0"/>
              <w:jc w:val="center"/>
              <w:rPr>
                <w:rFonts w:hint="eastAsia"/>
                <w:b/>
                <w:i/>
                <w:sz w:val="28"/>
              </w:rPr>
            </w:pPr>
            <w:r>
              <w:rPr>
                <w:b/>
                <w:i/>
                <w:sz w:val="28"/>
              </w:rPr>
              <w:t>Remise des offres</w:t>
            </w:r>
          </w:p>
        </w:tc>
      </w:tr>
      <w:tr w:rsidR="008C7EB2" w14:paraId="4017565B" w14:textId="77777777">
        <w:tc>
          <w:tcPr>
            <w:tcW w:w="9471" w:type="dxa"/>
            <w:tcBorders>
              <w:left w:val="double" w:sz="2" w:space="0" w:color="000000"/>
              <w:right w:val="double" w:sz="2" w:space="0" w:color="000000"/>
            </w:tcBorders>
          </w:tcPr>
          <w:p w14:paraId="76373C75" w14:textId="77777777" w:rsidR="008C7EB2" w:rsidRDefault="008C7EB2">
            <w:pPr>
              <w:snapToGrid w:val="0"/>
              <w:ind w:left="567" w:right="499"/>
              <w:rPr>
                <w:rFonts w:hint="eastAsia"/>
                <w:b/>
                <w:i/>
                <w:sz w:val="6"/>
              </w:rPr>
            </w:pPr>
          </w:p>
        </w:tc>
      </w:tr>
      <w:tr w:rsidR="008C7EB2" w14:paraId="54D3997C" w14:textId="77777777">
        <w:tc>
          <w:tcPr>
            <w:tcW w:w="9471" w:type="dxa"/>
            <w:tcBorders>
              <w:left w:val="double" w:sz="2" w:space="0" w:color="000000"/>
              <w:right w:val="double" w:sz="2" w:space="0" w:color="000000"/>
            </w:tcBorders>
          </w:tcPr>
          <w:p w14:paraId="5A58B2A7" w14:textId="77777777" w:rsidR="008C7EB2" w:rsidRDefault="00F11FBB">
            <w:pPr>
              <w:snapToGrid w:val="0"/>
              <w:ind w:left="567" w:right="499"/>
              <w:jc w:val="center"/>
              <w:rPr>
                <w:rFonts w:hint="eastAsia"/>
              </w:rPr>
            </w:pPr>
            <w:r>
              <w:t>Date et heure limites de réception :</w:t>
            </w:r>
            <w:bookmarkStart w:id="2" w:name="R0_p6_a"/>
          </w:p>
          <w:p w14:paraId="17CAA975" w14:textId="118DD45D" w:rsidR="008C7EB2" w:rsidRDefault="00D04D6D">
            <w:pPr>
              <w:snapToGrid w:val="0"/>
              <w:ind w:left="567" w:right="499"/>
              <w:jc w:val="center"/>
              <w:rPr>
                <w:rFonts w:hint="eastAsia"/>
                <w:b/>
                <w:bCs/>
              </w:rPr>
            </w:pPr>
            <w:r>
              <w:rPr>
                <w:b/>
                <w:bCs/>
              </w:rPr>
              <w:t>09 octobre 2026</w:t>
            </w:r>
            <w:r w:rsidR="005261C9">
              <w:rPr>
                <w:b/>
                <w:bCs/>
              </w:rPr>
              <w:t xml:space="preserve"> à 12 h </w:t>
            </w:r>
            <w:bookmarkEnd w:id="2"/>
            <w:r w:rsidR="005261C9">
              <w:rPr>
                <w:b/>
                <w:bCs/>
              </w:rPr>
              <w:t>00 (12 : 00 : 00 - heure de Paris)</w:t>
            </w:r>
          </w:p>
        </w:tc>
      </w:tr>
      <w:tr w:rsidR="008C7EB2" w14:paraId="1C9AE3E2" w14:textId="77777777">
        <w:tc>
          <w:tcPr>
            <w:tcW w:w="9471" w:type="dxa"/>
            <w:tcBorders>
              <w:left w:val="double" w:sz="2" w:space="0" w:color="000000"/>
              <w:bottom w:val="double" w:sz="2" w:space="0" w:color="000000"/>
              <w:right w:val="double" w:sz="2" w:space="0" w:color="000000"/>
            </w:tcBorders>
          </w:tcPr>
          <w:p w14:paraId="54B41BC9" w14:textId="77777777" w:rsidR="008C7EB2" w:rsidRDefault="008C7EB2">
            <w:pPr>
              <w:snapToGrid w:val="0"/>
              <w:ind w:left="567" w:right="499"/>
              <w:rPr>
                <w:rFonts w:hint="eastAsia"/>
                <w:b/>
                <w:bCs/>
                <w:sz w:val="6"/>
              </w:rPr>
            </w:pPr>
          </w:p>
        </w:tc>
      </w:tr>
    </w:tbl>
    <w:p w14:paraId="7D252439" w14:textId="77777777" w:rsidR="008C7EB2" w:rsidRDefault="008C7EB2">
      <w:pPr>
        <w:rPr>
          <w:rFonts w:hint="eastAsia"/>
        </w:rPr>
      </w:pPr>
    </w:p>
    <w:p w14:paraId="14EB97B8" w14:textId="77777777" w:rsidR="008C7EB2" w:rsidRDefault="008C7EB2">
      <w:pPr>
        <w:rPr>
          <w:rFonts w:hint="eastAsia"/>
        </w:rPr>
      </w:pPr>
    </w:p>
    <w:tbl>
      <w:tblPr>
        <w:tblW w:w="9426" w:type="dxa"/>
        <w:tblLayout w:type="fixed"/>
        <w:tblCellMar>
          <w:left w:w="70" w:type="dxa"/>
          <w:right w:w="70" w:type="dxa"/>
        </w:tblCellMar>
        <w:tblLook w:val="04A0" w:firstRow="1" w:lastRow="0" w:firstColumn="1" w:lastColumn="0" w:noHBand="0" w:noVBand="1"/>
      </w:tblPr>
      <w:tblGrid>
        <w:gridCol w:w="9426"/>
      </w:tblGrid>
      <w:tr w:rsidR="008C7EB2" w14:paraId="7998812E" w14:textId="77777777">
        <w:tc>
          <w:tcPr>
            <w:tcW w:w="9426" w:type="dxa"/>
            <w:tcBorders>
              <w:top w:val="double" w:sz="4" w:space="0" w:color="000000"/>
              <w:left w:val="double" w:sz="4" w:space="0" w:color="000000"/>
              <w:bottom w:val="single" w:sz="4" w:space="0" w:color="000000"/>
              <w:right w:val="double" w:sz="4" w:space="0" w:color="000000"/>
            </w:tcBorders>
            <w:shd w:val="clear" w:color="auto" w:fill="CCCCCC"/>
          </w:tcPr>
          <w:p w14:paraId="2D282ECF" w14:textId="77777777" w:rsidR="008C7EB2" w:rsidRDefault="00F11FBB">
            <w:pPr>
              <w:jc w:val="center"/>
              <w:rPr>
                <w:rFonts w:hint="eastAsia"/>
              </w:rPr>
            </w:pPr>
            <w:r>
              <w:rPr>
                <w:b/>
                <w:bCs/>
                <w:i/>
                <w:iCs/>
                <w:sz w:val="28"/>
                <w:szCs w:val="28"/>
              </w:rPr>
              <w:t>Lien vers la consultation PLACE</w:t>
            </w:r>
          </w:p>
        </w:tc>
      </w:tr>
      <w:tr w:rsidR="008C7EB2" w14:paraId="323C56C7" w14:textId="77777777">
        <w:tc>
          <w:tcPr>
            <w:tcW w:w="9426" w:type="dxa"/>
            <w:tcBorders>
              <w:top w:val="single" w:sz="4" w:space="0" w:color="000000"/>
              <w:left w:val="double" w:sz="4" w:space="0" w:color="000000"/>
              <w:right w:val="double" w:sz="4" w:space="0" w:color="000000"/>
            </w:tcBorders>
          </w:tcPr>
          <w:p w14:paraId="6AA0B493" w14:textId="77777777" w:rsidR="008C7EB2" w:rsidRDefault="008C7EB2">
            <w:pPr>
              <w:snapToGrid w:val="0"/>
              <w:ind w:left="567" w:right="641"/>
              <w:rPr>
                <w:rFonts w:hint="eastAsia"/>
                <w:sz w:val="6"/>
                <w:szCs w:val="6"/>
              </w:rPr>
            </w:pPr>
          </w:p>
        </w:tc>
      </w:tr>
      <w:tr w:rsidR="008C7EB2" w14:paraId="71E47AF7" w14:textId="77777777">
        <w:tc>
          <w:tcPr>
            <w:tcW w:w="9426" w:type="dxa"/>
            <w:tcBorders>
              <w:left w:val="double" w:sz="4" w:space="0" w:color="000000"/>
              <w:right w:val="double" w:sz="4" w:space="0" w:color="000000"/>
            </w:tcBorders>
          </w:tcPr>
          <w:p w14:paraId="4FD9CEEF" w14:textId="77777777" w:rsidR="008C7EB2" w:rsidRDefault="00F11FBB">
            <w:pPr>
              <w:ind w:left="567" w:right="497"/>
              <w:jc w:val="center"/>
              <w:rPr>
                <w:rFonts w:hint="eastAsia"/>
              </w:rPr>
            </w:pPr>
            <w:r>
              <w:t>**********</w:t>
            </w:r>
          </w:p>
        </w:tc>
      </w:tr>
      <w:tr w:rsidR="008C7EB2" w14:paraId="0929A4D0" w14:textId="77777777">
        <w:tc>
          <w:tcPr>
            <w:tcW w:w="9426" w:type="dxa"/>
            <w:tcBorders>
              <w:left w:val="double" w:sz="4" w:space="0" w:color="000000"/>
              <w:bottom w:val="double" w:sz="4" w:space="0" w:color="000000"/>
              <w:right w:val="double" w:sz="4" w:space="0" w:color="000000"/>
            </w:tcBorders>
          </w:tcPr>
          <w:p w14:paraId="654E5542" w14:textId="77777777" w:rsidR="008C7EB2" w:rsidRDefault="008C7EB2">
            <w:pPr>
              <w:snapToGrid w:val="0"/>
              <w:ind w:left="567" w:right="641"/>
              <w:rPr>
                <w:rFonts w:hint="eastAsia"/>
                <w:sz w:val="6"/>
                <w:szCs w:val="6"/>
              </w:rPr>
            </w:pPr>
          </w:p>
        </w:tc>
      </w:tr>
    </w:tbl>
    <w:p w14:paraId="1DA47F41" w14:textId="77777777" w:rsidR="008C7EB2" w:rsidRDefault="008C7EB2">
      <w:pPr>
        <w:rPr>
          <w:rFonts w:hint="eastAsia"/>
        </w:rPr>
      </w:pPr>
    </w:p>
    <w:p w14:paraId="4AB2A339" w14:textId="77777777" w:rsidR="008C7EB2" w:rsidRDefault="008C7EB2">
      <w:pPr>
        <w:rPr>
          <w:rFonts w:hint="eastAsia"/>
          <w:sz w:val="32"/>
          <w:szCs w:val="32"/>
        </w:rPr>
      </w:pPr>
    </w:p>
    <w:p w14:paraId="422CADE7" w14:textId="77777777" w:rsidR="008C7EB2" w:rsidRDefault="00F11FBB">
      <w:pPr>
        <w:jc w:val="center"/>
        <w:rPr>
          <w:rFonts w:eastAsia="Calibri"/>
          <w:b/>
          <w:bCs/>
          <w:color w:val="000000"/>
          <w:sz w:val="32"/>
          <w:szCs w:val="32"/>
        </w:rPr>
      </w:pPr>
      <w:r>
        <w:rPr>
          <w:rFonts w:eastAsia="Calibri"/>
          <w:b/>
          <w:bCs/>
          <w:color w:val="000000"/>
          <w:sz w:val="32"/>
          <w:szCs w:val="32"/>
        </w:rPr>
        <w:t>Labellisation du ministère de la Justice 2024-2027</w:t>
      </w:r>
    </w:p>
    <w:p w14:paraId="47185BD9" w14:textId="77777777" w:rsidR="008C7EB2" w:rsidRDefault="008C7EB2">
      <w:pPr>
        <w:jc w:val="center"/>
        <w:rPr>
          <w:rFonts w:ascii="Marianne" w:eastAsia="Calibri" w:hAnsi="Marianne" w:cs="Marianne"/>
          <w:b/>
          <w:bCs/>
          <w:color w:val="000000"/>
          <w:sz w:val="14"/>
          <w:szCs w:val="14"/>
        </w:rPr>
      </w:pPr>
    </w:p>
    <w:p w14:paraId="0C886103" w14:textId="5779147D" w:rsidR="008C7EB2" w:rsidRDefault="00124992">
      <w:pPr>
        <w:jc w:val="center"/>
        <w:rPr>
          <w:rFonts w:ascii="Marianne" w:eastAsia="Calibri" w:hAnsi="Marianne" w:cs="Marianne"/>
          <w:color w:val="000000"/>
          <w:sz w:val="14"/>
          <w:szCs w:val="20"/>
          <w:lang w:val="en-US" w:eastAsia="en-US"/>
        </w:rPr>
      </w:pPr>
      <w:r>
        <w:rPr>
          <w:rFonts w:ascii="Marianne" w:eastAsia="Calibri" w:hAnsi="Marianne" w:cs="Marianne"/>
          <w:noProof/>
          <w:color w:val="000000"/>
          <w:sz w:val="14"/>
          <w:szCs w:val="20"/>
          <w:lang w:val="en-US" w:eastAsia="en-US"/>
        </w:rPr>
        <w:drawing>
          <wp:inline distT="0" distB="0" distL="0" distR="0" wp14:anchorId="6B62130E" wp14:editId="42FF4EA6">
            <wp:extent cx="914400" cy="914400"/>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l="-63" t="-63" r="-63" b="-63"/>
                    <a:stretch>
                      <a:fillRect/>
                    </a:stretch>
                  </pic:blipFill>
                  <pic:spPr bwMode="auto">
                    <a:xfrm>
                      <a:off x="0" y="0"/>
                      <a:ext cx="914400" cy="914400"/>
                    </a:xfrm>
                    <a:prstGeom prst="rect">
                      <a:avLst/>
                    </a:prstGeom>
                    <a:noFill/>
                    <a:ln>
                      <a:noFill/>
                    </a:ln>
                  </pic:spPr>
                </pic:pic>
              </a:graphicData>
            </a:graphic>
          </wp:inline>
        </w:drawing>
      </w:r>
      <w:r>
        <w:br w:type="page"/>
      </w:r>
    </w:p>
    <w:p w14:paraId="66FE6703" w14:textId="77777777" w:rsidR="008C7EB2" w:rsidRDefault="008C7EB2">
      <w:pPr>
        <w:rPr>
          <w:rFonts w:hint="eastAsia"/>
        </w:rPr>
      </w:pPr>
    </w:p>
    <w:p w14:paraId="48C2BD66" w14:textId="77777777" w:rsidR="008C7EB2" w:rsidRDefault="00F11FBB">
      <w:pPr>
        <w:pStyle w:val="Cadrerelief"/>
        <w:shd w:val="clear" w:color="auto" w:fill="F2F2F2"/>
        <w:ind w:right="424"/>
        <w:jc w:val="center"/>
        <w:rPr>
          <w:rFonts w:hint="eastAsia"/>
        </w:rPr>
      </w:pPr>
      <w:r>
        <w:rPr>
          <w:b/>
          <w:bCs/>
          <w:sz w:val="32"/>
          <w:szCs w:val="32"/>
        </w:rPr>
        <w:t>REGLEMENT DE LA CONSULTATION</w:t>
      </w:r>
    </w:p>
    <w:p w14:paraId="71E8CDB0" w14:textId="77777777" w:rsidR="008C7EB2" w:rsidRDefault="00F11FBB">
      <w:pPr>
        <w:spacing w:before="240"/>
        <w:jc w:val="center"/>
        <w:rPr>
          <w:rFonts w:hint="eastAsia"/>
          <w:b/>
          <w:sz w:val="28"/>
          <w:u w:val="single"/>
        </w:rPr>
      </w:pPr>
      <w:r>
        <w:rPr>
          <w:b/>
          <w:sz w:val="28"/>
          <w:u w:val="single"/>
        </w:rPr>
        <w:t>SOMMAIRE</w:t>
      </w:r>
      <w:bookmarkStart w:id="3" w:name="Sommaire"/>
      <w:bookmarkEnd w:id="3"/>
    </w:p>
    <w:p w14:paraId="0B27DEC3" w14:textId="77777777" w:rsidR="008C7EB2" w:rsidRDefault="00F11FBB">
      <w:pPr>
        <w:jc w:val="right"/>
        <w:rPr>
          <w:rFonts w:hint="eastAsia"/>
        </w:rPr>
      </w:pPr>
      <w:r>
        <w:t>Pages</w:t>
      </w:r>
    </w:p>
    <w:p w14:paraId="20C9A661" w14:textId="18BE9DF2" w:rsidR="00E20D2F" w:rsidRDefault="00C107A3">
      <w:pPr>
        <w:pStyle w:val="TM1"/>
        <w:rPr>
          <w:rFonts w:asciiTheme="minorHAnsi" w:eastAsiaTheme="minorEastAsia" w:hAnsiTheme="minorHAnsi" w:cstheme="minorBidi"/>
          <w:b w:val="0"/>
          <w:noProof/>
          <w:kern w:val="2"/>
          <w:lang w:eastAsia="fr-FR"/>
          <w14:ligatures w14:val="standardContextual"/>
        </w:rPr>
      </w:pPr>
      <w:r>
        <w:fldChar w:fldCharType="begin"/>
      </w:r>
      <w:r w:rsidR="009C75CA">
        <w:rPr>
          <w:rStyle w:val="IndexLink"/>
          <w:lang w:val="en-US" w:eastAsia="en-US"/>
        </w:rPr>
        <w:instrText xml:space="preserve"> TOC \f \o "1-2" \h</w:instrText>
      </w:r>
      <w:r>
        <w:rPr>
          <w:rStyle w:val="IndexLink"/>
          <w:lang w:val="en-US" w:eastAsia="en-US"/>
        </w:rPr>
        <w:fldChar w:fldCharType="separate"/>
      </w:r>
      <w:hyperlink w:anchor="_Toc236813680" w:history="1">
        <w:r w:rsidR="00E20D2F" w:rsidRPr="005C3D5A">
          <w:rPr>
            <w:rStyle w:val="Lienhypertexte"/>
            <w:noProof/>
          </w:rPr>
          <w:t>ARTICLE PREMIER. OBJET DE LA CONSULTATION</w:t>
        </w:r>
        <w:r w:rsidR="00E20D2F">
          <w:rPr>
            <w:noProof/>
          </w:rPr>
          <w:tab/>
        </w:r>
        <w:r w:rsidR="00E20D2F">
          <w:rPr>
            <w:noProof/>
          </w:rPr>
          <w:fldChar w:fldCharType="begin"/>
        </w:r>
        <w:r w:rsidR="00E20D2F">
          <w:rPr>
            <w:noProof/>
          </w:rPr>
          <w:instrText xml:space="preserve"> PAGEREF _Toc236813680 \h </w:instrText>
        </w:r>
        <w:r w:rsidR="00E20D2F">
          <w:rPr>
            <w:noProof/>
          </w:rPr>
        </w:r>
        <w:r w:rsidR="00E20D2F">
          <w:rPr>
            <w:noProof/>
          </w:rPr>
          <w:fldChar w:fldCharType="separate"/>
        </w:r>
        <w:r w:rsidR="00E20D2F">
          <w:rPr>
            <w:rFonts w:hint="eastAsia"/>
            <w:noProof/>
          </w:rPr>
          <w:t>4</w:t>
        </w:r>
        <w:r w:rsidR="00E20D2F">
          <w:rPr>
            <w:noProof/>
          </w:rPr>
          <w:fldChar w:fldCharType="end"/>
        </w:r>
      </w:hyperlink>
    </w:p>
    <w:p w14:paraId="73008A09" w14:textId="71CF07D3"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681" w:history="1">
        <w:r w:rsidR="00E20D2F" w:rsidRPr="005C3D5A">
          <w:rPr>
            <w:rStyle w:val="Lienhypertexte"/>
            <w:noProof/>
          </w:rPr>
          <w:t>ARTICLE 2. CONDITIONS DE LA CONSULTATION</w:t>
        </w:r>
        <w:r w:rsidR="00E20D2F">
          <w:rPr>
            <w:noProof/>
          </w:rPr>
          <w:tab/>
        </w:r>
        <w:r w:rsidR="00E20D2F">
          <w:rPr>
            <w:noProof/>
          </w:rPr>
          <w:fldChar w:fldCharType="begin"/>
        </w:r>
        <w:r w:rsidR="00E20D2F">
          <w:rPr>
            <w:noProof/>
          </w:rPr>
          <w:instrText xml:space="preserve"> PAGEREF _Toc236813681 \h </w:instrText>
        </w:r>
        <w:r w:rsidR="00E20D2F">
          <w:rPr>
            <w:noProof/>
          </w:rPr>
        </w:r>
        <w:r w:rsidR="00E20D2F">
          <w:rPr>
            <w:noProof/>
          </w:rPr>
          <w:fldChar w:fldCharType="separate"/>
        </w:r>
        <w:r w:rsidR="00E20D2F">
          <w:rPr>
            <w:rFonts w:hint="eastAsia"/>
            <w:noProof/>
          </w:rPr>
          <w:t>4</w:t>
        </w:r>
        <w:r w:rsidR="00E20D2F">
          <w:rPr>
            <w:noProof/>
          </w:rPr>
          <w:fldChar w:fldCharType="end"/>
        </w:r>
      </w:hyperlink>
    </w:p>
    <w:p w14:paraId="76BC8150" w14:textId="42EAB5F5"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2" w:history="1">
        <w:r w:rsidR="00E20D2F" w:rsidRPr="005C3D5A">
          <w:rPr>
            <w:rStyle w:val="Lienhypertexte"/>
            <w:noProof/>
          </w:rPr>
          <w:t>2-1. Définition de la procédure</w:t>
        </w:r>
        <w:r w:rsidR="00E20D2F">
          <w:rPr>
            <w:noProof/>
          </w:rPr>
          <w:tab/>
        </w:r>
        <w:r w:rsidR="00E20D2F">
          <w:rPr>
            <w:noProof/>
          </w:rPr>
          <w:fldChar w:fldCharType="begin"/>
        </w:r>
        <w:r w:rsidR="00E20D2F">
          <w:rPr>
            <w:noProof/>
          </w:rPr>
          <w:instrText xml:space="preserve"> PAGEREF _Toc236813682 \h </w:instrText>
        </w:r>
        <w:r w:rsidR="00E20D2F">
          <w:rPr>
            <w:noProof/>
          </w:rPr>
        </w:r>
        <w:r w:rsidR="00E20D2F">
          <w:rPr>
            <w:noProof/>
          </w:rPr>
          <w:fldChar w:fldCharType="separate"/>
        </w:r>
        <w:r w:rsidR="00E20D2F">
          <w:rPr>
            <w:rFonts w:hint="eastAsia"/>
            <w:noProof/>
          </w:rPr>
          <w:t>4</w:t>
        </w:r>
        <w:r w:rsidR="00E20D2F">
          <w:rPr>
            <w:noProof/>
          </w:rPr>
          <w:fldChar w:fldCharType="end"/>
        </w:r>
      </w:hyperlink>
    </w:p>
    <w:p w14:paraId="38B9D89E" w14:textId="562DCC1F"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3" w:history="1">
        <w:r w:rsidR="00E20D2F" w:rsidRPr="005C3D5A">
          <w:rPr>
            <w:rStyle w:val="Lienhypertexte"/>
            <w:noProof/>
          </w:rPr>
          <w:t>2-2. Décomposition en lots</w:t>
        </w:r>
        <w:r w:rsidR="00E20D2F">
          <w:rPr>
            <w:noProof/>
          </w:rPr>
          <w:tab/>
        </w:r>
        <w:r w:rsidR="00E20D2F">
          <w:rPr>
            <w:noProof/>
          </w:rPr>
          <w:fldChar w:fldCharType="begin"/>
        </w:r>
        <w:r w:rsidR="00E20D2F">
          <w:rPr>
            <w:noProof/>
          </w:rPr>
          <w:instrText xml:space="preserve"> PAGEREF _Toc236813683 \h </w:instrText>
        </w:r>
        <w:r w:rsidR="00E20D2F">
          <w:rPr>
            <w:noProof/>
          </w:rPr>
        </w:r>
        <w:r w:rsidR="00E20D2F">
          <w:rPr>
            <w:noProof/>
          </w:rPr>
          <w:fldChar w:fldCharType="separate"/>
        </w:r>
        <w:r w:rsidR="00E20D2F">
          <w:rPr>
            <w:rFonts w:hint="eastAsia"/>
            <w:noProof/>
          </w:rPr>
          <w:t>4</w:t>
        </w:r>
        <w:r w:rsidR="00E20D2F">
          <w:rPr>
            <w:noProof/>
          </w:rPr>
          <w:fldChar w:fldCharType="end"/>
        </w:r>
      </w:hyperlink>
    </w:p>
    <w:p w14:paraId="4CB7F74B" w14:textId="4E03C889"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4" w:history="1">
        <w:r w:rsidR="00E20D2F" w:rsidRPr="005C3D5A">
          <w:rPr>
            <w:rStyle w:val="Lienhypertexte"/>
            <w:noProof/>
          </w:rPr>
          <w:t>2-3. Nature de l'attributaire</w:t>
        </w:r>
        <w:r w:rsidR="00E20D2F">
          <w:rPr>
            <w:noProof/>
          </w:rPr>
          <w:tab/>
        </w:r>
        <w:r w:rsidR="00E20D2F">
          <w:rPr>
            <w:noProof/>
          </w:rPr>
          <w:fldChar w:fldCharType="begin"/>
        </w:r>
        <w:r w:rsidR="00E20D2F">
          <w:rPr>
            <w:noProof/>
          </w:rPr>
          <w:instrText xml:space="preserve"> PAGEREF _Toc236813684 \h </w:instrText>
        </w:r>
        <w:r w:rsidR="00E20D2F">
          <w:rPr>
            <w:noProof/>
          </w:rPr>
        </w:r>
        <w:r w:rsidR="00E20D2F">
          <w:rPr>
            <w:noProof/>
          </w:rPr>
          <w:fldChar w:fldCharType="separate"/>
        </w:r>
        <w:r w:rsidR="00E20D2F">
          <w:rPr>
            <w:rFonts w:hint="eastAsia"/>
            <w:noProof/>
          </w:rPr>
          <w:t>5</w:t>
        </w:r>
        <w:r w:rsidR="00E20D2F">
          <w:rPr>
            <w:noProof/>
          </w:rPr>
          <w:fldChar w:fldCharType="end"/>
        </w:r>
      </w:hyperlink>
    </w:p>
    <w:p w14:paraId="4896E68A" w14:textId="5A6A1A7B"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5" w:history="1">
        <w:r w:rsidR="00E20D2F" w:rsidRPr="005C3D5A">
          <w:rPr>
            <w:rStyle w:val="Lienhypertexte"/>
            <w:noProof/>
          </w:rPr>
          <w:t>2-4. Compléments à apporter au cahier des clauses techniques particulières</w:t>
        </w:r>
        <w:r w:rsidR="00E20D2F">
          <w:rPr>
            <w:noProof/>
          </w:rPr>
          <w:tab/>
        </w:r>
        <w:r w:rsidR="00E20D2F">
          <w:rPr>
            <w:noProof/>
          </w:rPr>
          <w:fldChar w:fldCharType="begin"/>
        </w:r>
        <w:r w:rsidR="00E20D2F">
          <w:rPr>
            <w:noProof/>
          </w:rPr>
          <w:instrText xml:space="preserve"> PAGEREF _Toc236813685 \h </w:instrText>
        </w:r>
        <w:r w:rsidR="00E20D2F">
          <w:rPr>
            <w:noProof/>
          </w:rPr>
        </w:r>
        <w:r w:rsidR="00E20D2F">
          <w:rPr>
            <w:noProof/>
          </w:rPr>
          <w:fldChar w:fldCharType="separate"/>
        </w:r>
        <w:r w:rsidR="00E20D2F">
          <w:rPr>
            <w:rFonts w:hint="eastAsia"/>
            <w:noProof/>
          </w:rPr>
          <w:t>5</w:t>
        </w:r>
        <w:r w:rsidR="00E20D2F">
          <w:rPr>
            <w:noProof/>
          </w:rPr>
          <w:fldChar w:fldCharType="end"/>
        </w:r>
      </w:hyperlink>
    </w:p>
    <w:p w14:paraId="6017245B" w14:textId="73EAC419"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6" w:history="1">
        <w:r w:rsidR="00E20D2F" w:rsidRPr="005C3D5A">
          <w:rPr>
            <w:rStyle w:val="Lienhypertexte"/>
            <w:noProof/>
          </w:rPr>
          <w:t>2-5. Variantes</w:t>
        </w:r>
        <w:r w:rsidR="00E20D2F">
          <w:rPr>
            <w:noProof/>
          </w:rPr>
          <w:tab/>
        </w:r>
        <w:r w:rsidR="00E20D2F">
          <w:rPr>
            <w:noProof/>
          </w:rPr>
          <w:fldChar w:fldCharType="begin"/>
        </w:r>
        <w:r w:rsidR="00E20D2F">
          <w:rPr>
            <w:noProof/>
          </w:rPr>
          <w:instrText xml:space="preserve"> PAGEREF _Toc236813686 \h </w:instrText>
        </w:r>
        <w:r w:rsidR="00E20D2F">
          <w:rPr>
            <w:noProof/>
          </w:rPr>
        </w:r>
        <w:r w:rsidR="00E20D2F">
          <w:rPr>
            <w:noProof/>
          </w:rPr>
          <w:fldChar w:fldCharType="separate"/>
        </w:r>
        <w:r w:rsidR="00E20D2F">
          <w:rPr>
            <w:rFonts w:hint="eastAsia"/>
            <w:noProof/>
          </w:rPr>
          <w:t>5</w:t>
        </w:r>
        <w:r w:rsidR="00E20D2F">
          <w:rPr>
            <w:noProof/>
          </w:rPr>
          <w:fldChar w:fldCharType="end"/>
        </w:r>
      </w:hyperlink>
    </w:p>
    <w:p w14:paraId="72DAAA4C" w14:textId="68896721"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7" w:history="1">
        <w:r w:rsidR="00E20D2F" w:rsidRPr="005C3D5A">
          <w:rPr>
            <w:rStyle w:val="Lienhypertexte"/>
            <w:noProof/>
          </w:rPr>
          <w:t>2-6. Prestations supplémentaires éventuelles</w:t>
        </w:r>
        <w:r w:rsidR="00E20D2F">
          <w:rPr>
            <w:noProof/>
          </w:rPr>
          <w:tab/>
        </w:r>
        <w:r w:rsidR="00E20D2F">
          <w:rPr>
            <w:noProof/>
          </w:rPr>
          <w:fldChar w:fldCharType="begin"/>
        </w:r>
        <w:r w:rsidR="00E20D2F">
          <w:rPr>
            <w:noProof/>
          </w:rPr>
          <w:instrText xml:space="preserve"> PAGEREF _Toc236813687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49C40D63" w14:textId="7DA2A8FE"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8" w:history="1">
        <w:r w:rsidR="00E20D2F" w:rsidRPr="005C3D5A">
          <w:rPr>
            <w:rStyle w:val="Lienhypertexte"/>
            <w:noProof/>
          </w:rPr>
          <w:t>2-7. Exigences minimales de la négociation</w:t>
        </w:r>
        <w:r w:rsidR="00E20D2F">
          <w:rPr>
            <w:noProof/>
          </w:rPr>
          <w:tab/>
        </w:r>
        <w:r w:rsidR="00E20D2F">
          <w:rPr>
            <w:noProof/>
          </w:rPr>
          <w:fldChar w:fldCharType="begin"/>
        </w:r>
        <w:r w:rsidR="00E20D2F">
          <w:rPr>
            <w:noProof/>
          </w:rPr>
          <w:instrText xml:space="preserve"> PAGEREF _Toc236813688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01425879" w14:textId="6D57C487"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89" w:history="1">
        <w:r w:rsidR="00E20D2F" w:rsidRPr="005C3D5A">
          <w:rPr>
            <w:rStyle w:val="Lienhypertexte"/>
            <w:noProof/>
          </w:rPr>
          <w:t>2-8. Délai d'exécution des travaux</w:t>
        </w:r>
        <w:r w:rsidR="00E20D2F">
          <w:rPr>
            <w:noProof/>
          </w:rPr>
          <w:tab/>
        </w:r>
        <w:r w:rsidR="00E20D2F">
          <w:rPr>
            <w:noProof/>
          </w:rPr>
          <w:fldChar w:fldCharType="begin"/>
        </w:r>
        <w:r w:rsidR="00E20D2F">
          <w:rPr>
            <w:noProof/>
          </w:rPr>
          <w:instrText xml:space="preserve"> PAGEREF _Toc236813689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6948D4B3" w14:textId="418C792A"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0" w:history="1">
        <w:r w:rsidR="00E20D2F" w:rsidRPr="005C3D5A">
          <w:rPr>
            <w:rStyle w:val="Lienhypertexte"/>
            <w:noProof/>
          </w:rPr>
          <w:t>2-9. Conditions d'obtention des documents de consultation</w:t>
        </w:r>
        <w:r w:rsidR="00E20D2F">
          <w:rPr>
            <w:noProof/>
          </w:rPr>
          <w:tab/>
        </w:r>
        <w:r w:rsidR="00E20D2F">
          <w:rPr>
            <w:noProof/>
          </w:rPr>
          <w:fldChar w:fldCharType="begin"/>
        </w:r>
        <w:r w:rsidR="00E20D2F">
          <w:rPr>
            <w:noProof/>
          </w:rPr>
          <w:instrText xml:space="preserve"> PAGEREF _Toc236813690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2A14C074" w14:textId="66E2B752"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1" w:history="1">
        <w:r w:rsidR="00E20D2F" w:rsidRPr="005C3D5A">
          <w:rPr>
            <w:rStyle w:val="Lienhypertexte"/>
            <w:noProof/>
          </w:rPr>
          <w:t>2-10. Date et heure limite de réception des candidatures</w:t>
        </w:r>
        <w:r w:rsidR="00E20D2F">
          <w:rPr>
            <w:noProof/>
          </w:rPr>
          <w:tab/>
        </w:r>
        <w:r w:rsidR="00E20D2F">
          <w:rPr>
            <w:noProof/>
          </w:rPr>
          <w:fldChar w:fldCharType="begin"/>
        </w:r>
        <w:r w:rsidR="00E20D2F">
          <w:rPr>
            <w:noProof/>
          </w:rPr>
          <w:instrText xml:space="preserve"> PAGEREF _Toc236813691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7927F6E2" w14:textId="4E78284D"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2" w:history="1">
        <w:r w:rsidR="00E20D2F" w:rsidRPr="005C3D5A">
          <w:rPr>
            <w:rStyle w:val="Lienhypertexte"/>
            <w:noProof/>
          </w:rPr>
          <w:t>2-11. Langue devant être utilisée dans l'offre</w:t>
        </w:r>
        <w:r w:rsidR="00E20D2F">
          <w:rPr>
            <w:noProof/>
          </w:rPr>
          <w:tab/>
        </w:r>
        <w:r w:rsidR="00E20D2F">
          <w:rPr>
            <w:noProof/>
          </w:rPr>
          <w:fldChar w:fldCharType="begin"/>
        </w:r>
        <w:r w:rsidR="00E20D2F">
          <w:rPr>
            <w:noProof/>
          </w:rPr>
          <w:instrText xml:space="preserve"> PAGEREF _Toc236813692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0D3726A7" w14:textId="7B372039"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3" w:history="1">
        <w:r w:rsidR="00E20D2F" w:rsidRPr="005C3D5A">
          <w:rPr>
            <w:rStyle w:val="Lienhypertexte"/>
            <w:noProof/>
          </w:rPr>
          <w:t>2-12. Questions et modifications de détail au dossier de consultation</w:t>
        </w:r>
        <w:r w:rsidR="00E20D2F">
          <w:rPr>
            <w:noProof/>
          </w:rPr>
          <w:tab/>
        </w:r>
        <w:r w:rsidR="00E20D2F">
          <w:rPr>
            <w:noProof/>
          </w:rPr>
          <w:fldChar w:fldCharType="begin"/>
        </w:r>
        <w:r w:rsidR="00E20D2F">
          <w:rPr>
            <w:noProof/>
          </w:rPr>
          <w:instrText xml:space="preserve"> PAGEREF _Toc236813693 \h </w:instrText>
        </w:r>
        <w:r w:rsidR="00E20D2F">
          <w:rPr>
            <w:noProof/>
          </w:rPr>
        </w:r>
        <w:r w:rsidR="00E20D2F">
          <w:rPr>
            <w:noProof/>
          </w:rPr>
          <w:fldChar w:fldCharType="separate"/>
        </w:r>
        <w:r w:rsidR="00E20D2F">
          <w:rPr>
            <w:rFonts w:hint="eastAsia"/>
            <w:noProof/>
          </w:rPr>
          <w:t>6</w:t>
        </w:r>
        <w:r w:rsidR="00E20D2F">
          <w:rPr>
            <w:noProof/>
          </w:rPr>
          <w:fldChar w:fldCharType="end"/>
        </w:r>
      </w:hyperlink>
    </w:p>
    <w:p w14:paraId="17D29389" w14:textId="79C1A6A8"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4" w:history="1">
        <w:r w:rsidR="00E20D2F" w:rsidRPr="005C3D5A">
          <w:rPr>
            <w:rStyle w:val="Lienhypertexte"/>
            <w:noProof/>
          </w:rPr>
          <w:t>2-13. Délai de validité des offres</w:t>
        </w:r>
        <w:r w:rsidR="00E20D2F">
          <w:rPr>
            <w:noProof/>
          </w:rPr>
          <w:tab/>
        </w:r>
        <w:r w:rsidR="00E20D2F">
          <w:rPr>
            <w:noProof/>
          </w:rPr>
          <w:fldChar w:fldCharType="begin"/>
        </w:r>
        <w:r w:rsidR="00E20D2F">
          <w:rPr>
            <w:noProof/>
          </w:rPr>
          <w:instrText xml:space="preserve"> PAGEREF _Toc236813694 \h </w:instrText>
        </w:r>
        <w:r w:rsidR="00E20D2F">
          <w:rPr>
            <w:noProof/>
          </w:rPr>
        </w:r>
        <w:r w:rsidR="00E20D2F">
          <w:rPr>
            <w:noProof/>
          </w:rPr>
          <w:fldChar w:fldCharType="separate"/>
        </w:r>
        <w:r w:rsidR="00E20D2F">
          <w:rPr>
            <w:rFonts w:hint="eastAsia"/>
            <w:noProof/>
          </w:rPr>
          <w:t>7</w:t>
        </w:r>
        <w:r w:rsidR="00E20D2F">
          <w:rPr>
            <w:noProof/>
          </w:rPr>
          <w:fldChar w:fldCharType="end"/>
        </w:r>
      </w:hyperlink>
    </w:p>
    <w:p w14:paraId="0472B176" w14:textId="365A762C"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5" w:history="1">
        <w:r w:rsidR="00E20D2F" w:rsidRPr="005C3D5A">
          <w:rPr>
            <w:rStyle w:val="Lienhypertexte"/>
            <w:noProof/>
          </w:rPr>
          <w:t>2-14. Réalisation de prestations similaires</w:t>
        </w:r>
        <w:r w:rsidR="00E20D2F">
          <w:rPr>
            <w:noProof/>
          </w:rPr>
          <w:tab/>
        </w:r>
        <w:r w:rsidR="00E20D2F">
          <w:rPr>
            <w:noProof/>
          </w:rPr>
          <w:fldChar w:fldCharType="begin"/>
        </w:r>
        <w:r w:rsidR="00E20D2F">
          <w:rPr>
            <w:noProof/>
          </w:rPr>
          <w:instrText xml:space="preserve"> PAGEREF _Toc236813695 \h </w:instrText>
        </w:r>
        <w:r w:rsidR="00E20D2F">
          <w:rPr>
            <w:noProof/>
          </w:rPr>
        </w:r>
        <w:r w:rsidR="00E20D2F">
          <w:rPr>
            <w:noProof/>
          </w:rPr>
          <w:fldChar w:fldCharType="separate"/>
        </w:r>
        <w:r w:rsidR="00E20D2F">
          <w:rPr>
            <w:rFonts w:hint="eastAsia"/>
            <w:noProof/>
          </w:rPr>
          <w:t>7</w:t>
        </w:r>
        <w:r w:rsidR="00E20D2F">
          <w:rPr>
            <w:noProof/>
          </w:rPr>
          <w:fldChar w:fldCharType="end"/>
        </w:r>
      </w:hyperlink>
    </w:p>
    <w:p w14:paraId="3F0EA24E" w14:textId="51744411"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6" w:history="1">
        <w:r w:rsidR="00E20D2F" w:rsidRPr="005C3D5A">
          <w:rPr>
            <w:rStyle w:val="Lienhypertexte"/>
            <w:noProof/>
          </w:rPr>
          <w:t>2-15. Clause environnementale</w:t>
        </w:r>
        <w:r w:rsidR="00E20D2F">
          <w:rPr>
            <w:noProof/>
          </w:rPr>
          <w:tab/>
        </w:r>
        <w:r w:rsidR="00E20D2F">
          <w:rPr>
            <w:noProof/>
          </w:rPr>
          <w:fldChar w:fldCharType="begin"/>
        </w:r>
        <w:r w:rsidR="00E20D2F">
          <w:rPr>
            <w:noProof/>
          </w:rPr>
          <w:instrText xml:space="preserve"> PAGEREF _Toc236813696 \h </w:instrText>
        </w:r>
        <w:r w:rsidR="00E20D2F">
          <w:rPr>
            <w:noProof/>
          </w:rPr>
        </w:r>
        <w:r w:rsidR="00E20D2F">
          <w:rPr>
            <w:noProof/>
          </w:rPr>
          <w:fldChar w:fldCharType="separate"/>
        </w:r>
        <w:r w:rsidR="00E20D2F">
          <w:rPr>
            <w:rFonts w:hint="eastAsia"/>
            <w:noProof/>
          </w:rPr>
          <w:t>7</w:t>
        </w:r>
        <w:r w:rsidR="00E20D2F">
          <w:rPr>
            <w:noProof/>
          </w:rPr>
          <w:fldChar w:fldCharType="end"/>
        </w:r>
      </w:hyperlink>
    </w:p>
    <w:p w14:paraId="2F756B25" w14:textId="1A59B2B5"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697" w:history="1">
        <w:r w:rsidR="00E20D2F" w:rsidRPr="005C3D5A">
          <w:rPr>
            <w:rStyle w:val="Lienhypertexte"/>
            <w:noProof/>
          </w:rPr>
          <w:t xml:space="preserve">ARTICLE 3. </w:t>
        </w:r>
        <w:r w:rsidR="00E20D2F" w:rsidRPr="005C3D5A">
          <w:rPr>
            <w:rStyle w:val="Lienhypertexte"/>
            <w:caps/>
            <w:noProof/>
          </w:rPr>
          <w:t>Présentation des candidatures et des offres</w:t>
        </w:r>
        <w:r w:rsidR="00E20D2F">
          <w:rPr>
            <w:noProof/>
          </w:rPr>
          <w:tab/>
        </w:r>
        <w:r w:rsidR="00E20D2F">
          <w:rPr>
            <w:noProof/>
          </w:rPr>
          <w:fldChar w:fldCharType="begin"/>
        </w:r>
        <w:r w:rsidR="00E20D2F">
          <w:rPr>
            <w:noProof/>
          </w:rPr>
          <w:instrText xml:space="preserve"> PAGEREF _Toc236813697 \h </w:instrText>
        </w:r>
        <w:r w:rsidR="00E20D2F">
          <w:rPr>
            <w:noProof/>
          </w:rPr>
        </w:r>
        <w:r w:rsidR="00E20D2F">
          <w:rPr>
            <w:noProof/>
          </w:rPr>
          <w:fldChar w:fldCharType="separate"/>
        </w:r>
        <w:r w:rsidR="00E20D2F">
          <w:rPr>
            <w:rFonts w:hint="eastAsia"/>
            <w:noProof/>
          </w:rPr>
          <w:t>8</w:t>
        </w:r>
        <w:r w:rsidR="00E20D2F">
          <w:rPr>
            <w:noProof/>
          </w:rPr>
          <w:fldChar w:fldCharType="end"/>
        </w:r>
      </w:hyperlink>
    </w:p>
    <w:p w14:paraId="469C37FE" w14:textId="4EAAD91C"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8" w:history="1">
        <w:r w:rsidR="00E20D2F" w:rsidRPr="005C3D5A">
          <w:rPr>
            <w:rStyle w:val="Lienhypertexte"/>
            <w:noProof/>
          </w:rPr>
          <w:t>3-1. Pièces de la candidature</w:t>
        </w:r>
        <w:r w:rsidR="00E20D2F">
          <w:rPr>
            <w:noProof/>
          </w:rPr>
          <w:tab/>
        </w:r>
        <w:r w:rsidR="00E20D2F">
          <w:rPr>
            <w:noProof/>
          </w:rPr>
          <w:fldChar w:fldCharType="begin"/>
        </w:r>
        <w:r w:rsidR="00E20D2F">
          <w:rPr>
            <w:noProof/>
          </w:rPr>
          <w:instrText xml:space="preserve"> PAGEREF _Toc236813698 \h </w:instrText>
        </w:r>
        <w:r w:rsidR="00E20D2F">
          <w:rPr>
            <w:noProof/>
          </w:rPr>
        </w:r>
        <w:r w:rsidR="00E20D2F">
          <w:rPr>
            <w:noProof/>
          </w:rPr>
          <w:fldChar w:fldCharType="separate"/>
        </w:r>
        <w:r w:rsidR="00E20D2F">
          <w:rPr>
            <w:rFonts w:hint="eastAsia"/>
            <w:noProof/>
          </w:rPr>
          <w:t>8</w:t>
        </w:r>
        <w:r w:rsidR="00E20D2F">
          <w:rPr>
            <w:noProof/>
          </w:rPr>
          <w:fldChar w:fldCharType="end"/>
        </w:r>
      </w:hyperlink>
    </w:p>
    <w:p w14:paraId="721CE509" w14:textId="3E6A4B27" w:rsidR="00E20D2F" w:rsidRDefault="0024796A">
      <w:pPr>
        <w:pStyle w:val="TM2"/>
        <w:rPr>
          <w:rFonts w:asciiTheme="minorHAnsi" w:eastAsiaTheme="minorEastAsia" w:hAnsiTheme="minorHAnsi" w:cstheme="minorBidi"/>
          <w:noProof/>
          <w:kern w:val="2"/>
          <w:lang w:eastAsia="fr-FR"/>
          <w14:ligatures w14:val="standardContextual"/>
        </w:rPr>
      </w:pPr>
      <w:hyperlink w:anchor="_Toc236813699" w:history="1">
        <w:r w:rsidR="00E20D2F" w:rsidRPr="005C3D5A">
          <w:rPr>
            <w:rStyle w:val="Lienhypertexte"/>
            <w:noProof/>
          </w:rPr>
          <w:t>3-2. Pièces de l’offre</w:t>
        </w:r>
        <w:r w:rsidR="00E20D2F">
          <w:rPr>
            <w:noProof/>
          </w:rPr>
          <w:tab/>
        </w:r>
        <w:r w:rsidR="00E20D2F">
          <w:rPr>
            <w:noProof/>
          </w:rPr>
          <w:fldChar w:fldCharType="begin"/>
        </w:r>
        <w:r w:rsidR="00E20D2F">
          <w:rPr>
            <w:noProof/>
          </w:rPr>
          <w:instrText xml:space="preserve"> PAGEREF _Toc236813699 \h </w:instrText>
        </w:r>
        <w:r w:rsidR="00E20D2F">
          <w:rPr>
            <w:noProof/>
          </w:rPr>
        </w:r>
        <w:r w:rsidR="00E20D2F">
          <w:rPr>
            <w:noProof/>
          </w:rPr>
          <w:fldChar w:fldCharType="separate"/>
        </w:r>
        <w:r w:rsidR="00E20D2F">
          <w:rPr>
            <w:rFonts w:hint="eastAsia"/>
            <w:noProof/>
          </w:rPr>
          <w:t>9</w:t>
        </w:r>
        <w:r w:rsidR="00E20D2F">
          <w:rPr>
            <w:noProof/>
          </w:rPr>
          <w:fldChar w:fldCharType="end"/>
        </w:r>
      </w:hyperlink>
    </w:p>
    <w:p w14:paraId="598B7B56" w14:textId="79967000"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00" w:history="1">
        <w:r w:rsidR="00E20D2F" w:rsidRPr="005C3D5A">
          <w:rPr>
            <w:rStyle w:val="Lienhypertexte"/>
            <w:noProof/>
          </w:rPr>
          <w:t>3-3. Variantes</w:t>
        </w:r>
        <w:r w:rsidR="00E20D2F">
          <w:rPr>
            <w:noProof/>
          </w:rPr>
          <w:tab/>
        </w:r>
        <w:r w:rsidR="00E20D2F">
          <w:rPr>
            <w:noProof/>
          </w:rPr>
          <w:fldChar w:fldCharType="begin"/>
        </w:r>
        <w:r w:rsidR="00E20D2F">
          <w:rPr>
            <w:noProof/>
          </w:rPr>
          <w:instrText xml:space="preserve"> PAGEREF _Toc236813700 \h </w:instrText>
        </w:r>
        <w:r w:rsidR="00E20D2F">
          <w:rPr>
            <w:noProof/>
          </w:rPr>
        </w:r>
        <w:r w:rsidR="00E20D2F">
          <w:rPr>
            <w:noProof/>
          </w:rPr>
          <w:fldChar w:fldCharType="separate"/>
        </w:r>
        <w:r w:rsidR="00E20D2F">
          <w:rPr>
            <w:rFonts w:hint="eastAsia"/>
            <w:noProof/>
          </w:rPr>
          <w:t>10</w:t>
        </w:r>
        <w:r w:rsidR="00E20D2F">
          <w:rPr>
            <w:noProof/>
          </w:rPr>
          <w:fldChar w:fldCharType="end"/>
        </w:r>
      </w:hyperlink>
    </w:p>
    <w:p w14:paraId="57076FD4" w14:textId="1C19DD79"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701" w:history="1">
        <w:r w:rsidR="00E20D2F" w:rsidRPr="005C3D5A">
          <w:rPr>
            <w:rStyle w:val="Lienhypertexte"/>
            <w:noProof/>
          </w:rPr>
          <w:t>ARTICLE 4. SELECTION  DES CANDIDATURES - JUGEMENT ET CLASSEMENT DES OFFRES</w:t>
        </w:r>
        <w:r w:rsidR="00E20D2F">
          <w:rPr>
            <w:noProof/>
          </w:rPr>
          <w:tab/>
        </w:r>
        <w:r w:rsidR="00E20D2F">
          <w:rPr>
            <w:noProof/>
          </w:rPr>
          <w:fldChar w:fldCharType="begin"/>
        </w:r>
        <w:r w:rsidR="00E20D2F">
          <w:rPr>
            <w:noProof/>
          </w:rPr>
          <w:instrText xml:space="preserve"> PAGEREF _Toc236813701 \h </w:instrText>
        </w:r>
        <w:r w:rsidR="00E20D2F">
          <w:rPr>
            <w:noProof/>
          </w:rPr>
        </w:r>
        <w:r w:rsidR="00E20D2F">
          <w:rPr>
            <w:noProof/>
          </w:rPr>
          <w:fldChar w:fldCharType="separate"/>
        </w:r>
        <w:r w:rsidR="00E20D2F">
          <w:rPr>
            <w:rFonts w:hint="eastAsia"/>
            <w:noProof/>
          </w:rPr>
          <w:t>10</w:t>
        </w:r>
        <w:r w:rsidR="00E20D2F">
          <w:rPr>
            <w:noProof/>
          </w:rPr>
          <w:fldChar w:fldCharType="end"/>
        </w:r>
      </w:hyperlink>
    </w:p>
    <w:p w14:paraId="5359ECD5" w14:textId="11E5FE99"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02" w:history="1">
        <w:r w:rsidR="00E20D2F" w:rsidRPr="005C3D5A">
          <w:rPr>
            <w:rStyle w:val="Lienhypertexte"/>
            <w:noProof/>
          </w:rPr>
          <w:t>4-1. Sélection des candidatures</w:t>
        </w:r>
        <w:r w:rsidR="00E20D2F">
          <w:rPr>
            <w:noProof/>
          </w:rPr>
          <w:tab/>
        </w:r>
        <w:r w:rsidR="00E20D2F">
          <w:rPr>
            <w:noProof/>
          </w:rPr>
          <w:fldChar w:fldCharType="begin"/>
        </w:r>
        <w:r w:rsidR="00E20D2F">
          <w:rPr>
            <w:noProof/>
          </w:rPr>
          <w:instrText xml:space="preserve"> PAGEREF _Toc236813702 \h </w:instrText>
        </w:r>
        <w:r w:rsidR="00E20D2F">
          <w:rPr>
            <w:noProof/>
          </w:rPr>
        </w:r>
        <w:r w:rsidR="00E20D2F">
          <w:rPr>
            <w:noProof/>
          </w:rPr>
          <w:fldChar w:fldCharType="separate"/>
        </w:r>
        <w:r w:rsidR="00E20D2F">
          <w:rPr>
            <w:rFonts w:hint="eastAsia"/>
            <w:noProof/>
          </w:rPr>
          <w:t>10</w:t>
        </w:r>
        <w:r w:rsidR="00E20D2F">
          <w:rPr>
            <w:noProof/>
          </w:rPr>
          <w:fldChar w:fldCharType="end"/>
        </w:r>
      </w:hyperlink>
    </w:p>
    <w:p w14:paraId="3BDF98E5" w14:textId="45E8256B"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03" w:history="1">
        <w:r w:rsidR="00E20D2F" w:rsidRPr="005C3D5A">
          <w:rPr>
            <w:rStyle w:val="Lienhypertexte"/>
            <w:noProof/>
          </w:rPr>
          <w:t>4-2. Jugement et classement des offres</w:t>
        </w:r>
        <w:r w:rsidR="00E20D2F">
          <w:rPr>
            <w:noProof/>
          </w:rPr>
          <w:tab/>
        </w:r>
        <w:r w:rsidR="00E20D2F">
          <w:rPr>
            <w:noProof/>
          </w:rPr>
          <w:fldChar w:fldCharType="begin"/>
        </w:r>
        <w:r w:rsidR="00E20D2F">
          <w:rPr>
            <w:noProof/>
          </w:rPr>
          <w:instrText xml:space="preserve"> PAGEREF _Toc236813703 \h </w:instrText>
        </w:r>
        <w:r w:rsidR="00E20D2F">
          <w:rPr>
            <w:noProof/>
          </w:rPr>
        </w:r>
        <w:r w:rsidR="00E20D2F">
          <w:rPr>
            <w:noProof/>
          </w:rPr>
          <w:fldChar w:fldCharType="separate"/>
        </w:r>
        <w:r w:rsidR="00E20D2F">
          <w:rPr>
            <w:rFonts w:hint="eastAsia"/>
            <w:noProof/>
          </w:rPr>
          <w:t>10</w:t>
        </w:r>
        <w:r w:rsidR="00E20D2F">
          <w:rPr>
            <w:noProof/>
          </w:rPr>
          <w:fldChar w:fldCharType="end"/>
        </w:r>
      </w:hyperlink>
    </w:p>
    <w:p w14:paraId="0BF96A27" w14:textId="07DB0D8D"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04" w:history="1">
        <w:r w:rsidR="00E20D2F" w:rsidRPr="005C3D5A">
          <w:rPr>
            <w:rStyle w:val="Lienhypertexte"/>
            <w:noProof/>
          </w:rPr>
          <w:t>4-3. Suite à donner à la consultation</w:t>
        </w:r>
        <w:r w:rsidR="00E20D2F">
          <w:rPr>
            <w:noProof/>
          </w:rPr>
          <w:tab/>
        </w:r>
        <w:r w:rsidR="00E20D2F">
          <w:rPr>
            <w:noProof/>
          </w:rPr>
          <w:fldChar w:fldCharType="begin"/>
        </w:r>
        <w:r w:rsidR="00E20D2F">
          <w:rPr>
            <w:noProof/>
          </w:rPr>
          <w:instrText xml:space="preserve"> PAGEREF _Toc236813704 \h </w:instrText>
        </w:r>
        <w:r w:rsidR="00E20D2F">
          <w:rPr>
            <w:noProof/>
          </w:rPr>
        </w:r>
        <w:r w:rsidR="00E20D2F">
          <w:rPr>
            <w:noProof/>
          </w:rPr>
          <w:fldChar w:fldCharType="separate"/>
        </w:r>
        <w:r w:rsidR="00E20D2F">
          <w:rPr>
            <w:rFonts w:hint="eastAsia"/>
            <w:noProof/>
          </w:rPr>
          <w:t>12</w:t>
        </w:r>
        <w:r w:rsidR="00E20D2F">
          <w:rPr>
            <w:noProof/>
          </w:rPr>
          <w:fldChar w:fldCharType="end"/>
        </w:r>
      </w:hyperlink>
    </w:p>
    <w:p w14:paraId="7A6A0F4A" w14:textId="6A217459"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705" w:history="1">
        <w:r w:rsidR="00E20D2F" w:rsidRPr="005C3D5A">
          <w:rPr>
            <w:rStyle w:val="Lienhypertexte"/>
            <w:noProof/>
          </w:rPr>
          <w:t>CLE 5. CONDITIONS D'ENVOI OU DE REMISE DE L'OFFRE</w:t>
        </w:r>
        <w:r w:rsidR="00E20D2F">
          <w:rPr>
            <w:noProof/>
          </w:rPr>
          <w:tab/>
        </w:r>
        <w:r w:rsidR="00E20D2F">
          <w:rPr>
            <w:noProof/>
          </w:rPr>
          <w:fldChar w:fldCharType="begin"/>
        </w:r>
        <w:r w:rsidR="00E20D2F">
          <w:rPr>
            <w:noProof/>
          </w:rPr>
          <w:instrText xml:space="preserve"> PAGEREF _Toc236813705 \h </w:instrText>
        </w:r>
        <w:r w:rsidR="00E20D2F">
          <w:rPr>
            <w:noProof/>
          </w:rPr>
        </w:r>
        <w:r w:rsidR="00E20D2F">
          <w:rPr>
            <w:noProof/>
          </w:rPr>
          <w:fldChar w:fldCharType="separate"/>
        </w:r>
        <w:r w:rsidR="00E20D2F">
          <w:rPr>
            <w:rFonts w:hint="eastAsia"/>
            <w:noProof/>
          </w:rPr>
          <w:t>13</w:t>
        </w:r>
        <w:r w:rsidR="00E20D2F">
          <w:rPr>
            <w:noProof/>
          </w:rPr>
          <w:fldChar w:fldCharType="end"/>
        </w:r>
      </w:hyperlink>
    </w:p>
    <w:p w14:paraId="51D981C4" w14:textId="7370BC7F"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06" w:history="1">
        <w:r w:rsidR="00E20D2F" w:rsidRPr="005C3D5A">
          <w:rPr>
            <w:rStyle w:val="Lienhypertexte"/>
            <w:noProof/>
          </w:rPr>
          <w:t>5-1. Mode de transmission</w:t>
        </w:r>
        <w:r w:rsidR="00E20D2F">
          <w:rPr>
            <w:noProof/>
          </w:rPr>
          <w:tab/>
        </w:r>
        <w:r w:rsidR="00E20D2F">
          <w:rPr>
            <w:noProof/>
          </w:rPr>
          <w:fldChar w:fldCharType="begin"/>
        </w:r>
        <w:r w:rsidR="00E20D2F">
          <w:rPr>
            <w:noProof/>
          </w:rPr>
          <w:instrText xml:space="preserve"> PAGEREF _Toc236813706 \h </w:instrText>
        </w:r>
        <w:r w:rsidR="00E20D2F">
          <w:rPr>
            <w:noProof/>
          </w:rPr>
        </w:r>
        <w:r w:rsidR="00E20D2F">
          <w:rPr>
            <w:noProof/>
          </w:rPr>
          <w:fldChar w:fldCharType="separate"/>
        </w:r>
        <w:r w:rsidR="00E20D2F">
          <w:rPr>
            <w:rFonts w:hint="eastAsia"/>
            <w:noProof/>
          </w:rPr>
          <w:t>13</w:t>
        </w:r>
        <w:r w:rsidR="00E20D2F">
          <w:rPr>
            <w:noProof/>
          </w:rPr>
          <w:fldChar w:fldCharType="end"/>
        </w:r>
      </w:hyperlink>
    </w:p>
    <w:p w14:paraId="20542E05" w14:textId="2363D467"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07" w:history="1">
        <w:r w:rsidR="00E20D2F" w:rsidRPr="005C3D5A">
          <w:rPr>
            <w:rStyle w:val="Lienhypertexte"/>
            <w:noProof/>
          </w:rPr>
          <w:t>5-2. Copie de sauvegarde</w:t>
        </w:r>
        <w:r w:rsidR="00E20D2F">
          <w:rPr>
            <w:noProof/>
          </w:rPr>
          <w:tab/>
        </w:r>
        <w:r w:rsidR="00E20D2F">
          <w:rPr>
            <w:noProof/>
          </w:rPr>
          <w:fldChar w:fldCharType="begin"/>
        </w:r>
        <w:r w:rsidR="00E20D2F">
          <w:rPr>
            <w:noProof/>
          </w:rPr>
          <w:instrText xml:space="preserve"> PAGEREF _Toc236813707 \h </w:instrText>
        </w:r>
        <w:r w:rsidR="00E20D2F">
          <w:rPr>
            <w:noProof/>
          </w:rPr>
        </w:r>
        <w:r w:rsidR="00E20D2F">
          <w:rPr>
            <w:noProof/>
          </w:rPr>
          <w:fldChar w:fldCharType="separate"/>
        </w:r>
        <w:r w:rsidR="00E20D2F">
          <w:rPr>
            <w:rFonts w:hint="eastAsia"/>
            <w:noProof/>
          </w:rPr>
          <w:t>16</w:t>
        </w:r>
        <w:r w:rsidR="00E20D2F">
          <w:rPr>
            <w:noProof/>
          </w:rPr>
          <w:fldChar w:fldCharType="end"/>
        </w:r>
      </w:hyperlink>
    </w:p>
    <w:p w14:paraId="58764C48" w14:textId="1F9F105F"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708" w:history="1">
        <w:r w:rsidR="00E20D2F" w:rsidRPr="005C3D5A">
          <w:rPr>
            <w:rStyle w:val="Lienhypertexte"/>
            <w:noProof/>
          </w:rPr>
          <w:t>ARTICLE 6. VISITES</w:t>
        </w:r>
        <w:r w:rsidR="00E20D2F">
          <w:rPr>
            <w:noProof/>
          </w:rPr>
          <w:tab/>
        </w:r>
        <w:r w:rsidR="00E20D2F">
          <w:rPr>
            <w:noProof/>
          </w:rPr>
          <w:fldChar w:fldCharType="begin"/>
        </w:r>
        <w:r w:rsidR="00E20D2F">
          <w:rPr>
            <w:noProof/>
          </w:rPr>
          <w:instrText xml:space="preserve"> PAGEREF _Toc236813708 \h </w:instrText>
        </w:r>
        <w:r w:rsidR="00E20D2F">
          <w:rPr>
            <w:noProof/>
          </w:rPr>
        </w:r>
        <w:r w:rsidR="00E20D2F">
          <w:rPr>
            <w:noProof/>
          </w:rPr>
          <w:fldChar w:fldCharType="separate"/>
        </w:r>
        <w:r w:rsidR="00E20D2F">
          <w:rPr>
            <w:rFonts w:hint="eastAsia"/>
            <w:noProof/>
          </w:rPr>
          <w:t>16</w:t>
        </w:r>
        <w:r w:rsidR="00E20D2F">
          <w:rPr>
            <w:noProof/>
          </w:rPr>
          <w:fldChar w:fldCharType="end"/>
        </w:r>
      </w:hyperlink>
    </w:p>
    <w:p w14:paraId="4D595786" w14:textId="499AB9E9"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709" w:history="1">
        <w:r w:rsidR="00E20D2F" w:rsidRPr="005C3D5A">
          <w:rPr>
            <w:rStyle w:val="Lienhypertexte"/>
            <w:noProof/>
          </w:rPr>
          <w:t xml:space="preserve">ARTICLE 7. </w:t>
        </w:r>
        <w:r w:rsidR="00E20D2F" w:rsidRPr="005C3D5A">
          <w:rPr>
            <w:rStyle w:val="Lienhypertexte"/>
            <w:caps/>
            <w:noProof/>
          </w:rPr>
          <w:t>Contenu du dossier de la consultation</w:t>
        </w:r>
        <w:r w:rsidR="00E20D2F">
          <w:rPr>
            <w:noProof/>
          </w:rPr>
          <w:tab/>
        </w:r>
        <w:r w:rsidR="00E20D2F">
          <w:rPr>
            <w:noProof/>
          </w:rPr>
          <w:fldChar w:fldCharType="begin"/>
        </w:r>
        <w:r w:rsidR="00E20D2F">
          <w:rPr>
            <w:noProof/>
          </w:rPr>
          <w:instrText xml:space="preserve"> PAGEREF _Toc236813709 \h </w:instrText>
        </w:r>
        <w:r w:rsidR="00E20D2F">
          <w:rPr>
            <w:noProof/>
          </w:rPr>
        </w:r>
        <w:r w:rsidR="00E20D2F">
          <w:rPr>
            <w:noProof/>
          </w:rPr>
          <w:fldChar w:fldCharType="separate"/>
        </w:r>
        <w:r w:rsidR="00E20D2F">
          <w:rPr>
            <w:rFonts w:hint="eastAsia"/>
            <w:noProof/>
          </w:rPr>
          <w:t>17</w:t>
        </w:r>
        <w:r w:rsidR="00E20D2F">
          <w:rPr>
            <w:noProof/>
          </w:rPr>
          <w:fldChar w:fldCharType="end"/>
        </w:r>
      </w:hyperlink>
    </w:p>
    <w:p w14:paraId="777F82B2" w14:textId="11371E25"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710" w:history="1">
        <w:r w:rsidR="00E20D2F" w:rsidRPr="005C3D5A">
          <w:rPr>
            <w:rStyle w:val="Lienhypertexte"/>
            <w:noProof/>
          </w:rPr>
          <w:t>ARTICLE 8. COMMUNICATION DES RÉSULTATS</w:t>
        </w:r>
        <w:r w:rsidR="00E20D2F">
          <w:rPr>
            <w:noProof/>
          </w:rPr>
          <w:tab/>
        </w:r>
        <w:r w:rsidR="00E20D2F">
          <w:rPr>
            <w:noProof/>
          </w:rPr>
          <w:fldChar w:fldCharType="begin"/>
        </w:r>
        <w:r w:rsidR="00E20D2F">
          <w:rPr>
            <w:noProof/>
          </w:rPr>
          <w:instrText xml:space="preserve"> PAGEREF _Toc236813710 \h </w:instrText>
        </w:r>
        <w:r w:rsidR="00E20D2F">
          <w:rPr>
            <w:noProof/>
          </w:rPr>
        </w:r>
        <w:r w:rsidR="00E20D2F">
          <w:rPr>
            <w:noProof/>
          </w:rPr>
          <w:fldChar w:fldCharType="separate"/>
        </w:r>
        <w:r w:rsidR="00E20D2F">
          <w:rPr>
            <w:rFonts w:hint="eastAsia"/>
            <w:noProof/>
          </w:rPr>
          <w:t>18</w:t>
        </w:r>
        <w:r w:rsidR="00E20D2F">
          <w:rPr>
            <w:noProof/>
          </w:rPr>
          <w:fldChar w:fldCharType="end"/>
        </w:r>
      </w:hyperlink>
    </w:p>
    <w:p w14:paraId="71C5F0C1" w14:textId="7C9299DD" w:rsidR="00E20D2F" w:rsidRDefault="0024796A">
      <w:pPr>
        <w:pStyle w:val="TM1"/>
        <w:rPr>
          <w:rFonts w:asciiTheme="minorHAnsi" w:eastAsiaTheme="minorEastAsia" w:hAnsiTheme="minorHAnsi" w:cstheme="minorBidi"/>
          <w:b w:val="0"/>
          <w:noProof/>
          <w:kern w:val="2"/>
          <w:lang w:eastAsia="fr-FR"/>
          <w14:ligatures w14:val="standardContextual"/>
        </w:rPr>
      </w:pPr>
      <w:hyperlink w:anchor="_Toc236813711" w:history="1">
        <w:r w:rsidR="00E20D2F" w:rsidRPr="005C3D5A">
          <w:rPr>
            <w:rStyle w:val="Lienhypertexte"/>
            <w:noProof/>
          </w:rPr>
          <w:t>ARTICLE 9. PROCÉDURES DE RECOURS</w:t>
        </w:r>
        <w:r w:rsidR="00E20D2F">
          <w:rPr>
            <w:noProof/>
          </w:rPr>
          <w:tab/>
        </w:r>
        <w:r w:rsidR="00E20D2F">
          <w:rPr>
            <w:noProof/>
          </w:rPr>
          <w:fldChar w:fldCharType="begin"/>
        </w:r>
        <w:r w:rsidR="00E20D2F">
          <w:rPr>
            <w:noProof/>
          </w:rPr>
          <w:instrText xml:space="preserve"> PAGEREF _Toc236813711 \h </w:instrText>
        </w:r>
        <w:r w:rsidR="00E20D2F">
          <w:rPr>
            <w:noProof/>
          </w:rPr>
        </w:r>
        <w:r w:rsidR="00E20D2F">
          <w:rPr>
            <w:noProof/>
          </w:rPr>
          <w:fldChar w:fldCharType="separate"/>
        </w:r>
        <w:r w:rsidR="00E20D2F">
          <w:rPr>
            <w:rFonts w:hint="eastAsia"/>
            <w:noProof/>
          </w:rPr>
          <w:t>18</w:t>
        </w:r>
        <w:r w:rsidR="00E20D2F">
          <w:rPr>
            <w:noProof/>
          </w:rPr>
          <w:fldChar w:fldCharType="end"/>
        </w:r>
      </w:hyperlink>
    </w:p>
    <w:p w14:paraId="51B21353" w14:textId="1D022543"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12" w:history="1">
        <w:r w:rsidR="00E20D2F" w:rsidRPr="005C3D5A">
          <w:rPr>
            <w:rStyle w:val="Lienhypertexte"/>
            <w:noProof/>
          </w:rPr>
          <w:t>9-1. Juridiction compétente</w:t>
        </w:r>
        <w:r w:rsidR="00E20D2F">
          <w:rPr>
            <w:noProof/>
          </w:rPr>
          <w:tab/>
        </w:r>
        <w:r w:rsidR="00E20D2F">
          <w:rPr>
            <w:noProof/>
          </w:rPr>
          <w:fldChar w:fldCharType="begin"/>
        </w:r>
        <w:r w:rsidR="00E20D2F">
          <w:rPr>
            <w:noProof/>
          </w:rPr>
          <w:instrText xml:space="preserve"> PAGEREF _Toc236813712 \h </w:instrText>
        </w:r>
        <w:r w:rsidR="00E20D2F">
          <w:rPr>
            <w:noProof/>
          </w:rPr>
        </w:r>
        <w:r w:rsidR="00E20D2F">
          <w:rPr>
            <w:noProof/>
          </w:rPr>
          <w:fldChar w:fldCharType="separate"/>
        </w:r>
        <w:r w:rsidR="00E20D2F">
          <w:rPr>
            <w:rFonts w:hint="eastAsia"/>
            <w:noProof/>
          </w:rPr>
          <w:t>18</w:t>
        </w:r>
        <w:r w:rsidR="00E20D2F">
          <w:rPr>
            <w:noProof/>
          </w:rPr>
          <w:fldChar w:fldCharType="end"/>
        </w:r>
      </w:hyperlink>
    </w:p>
    <w:p w14:paraId="379C30B1" w14:textId="26005330"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13" w:history="1">
        <w:r w:rsidR="00E20D2F" w:rsidRPr="005C3D5A">
          <w:rPr>
            <w:rStyle w:val="Lienhypertexte"/>
            <w:noProof/>
          </w:rPr>
          <w:t>9-2. Référé précontractuel</w:t>
        </w:r>
        <w:r w:rsidR="00E20D2F">
          <w:rPr>
            <w:noProof/>
          </w:rPr>
          <w:tab/>
        </w:r>
        <w:r w:rsidR="00E20D2F">
          <w:rPr>
            <w:noProof/>
          </w:rPr>
          <w:fldChar w:fldCharType="begin"/>
        </w:r>
        <w:r w:rsidR="00E20D2F">
          <w:rPr>
            <w:noProof/>
          </w:rPr>
          <w:instrText xml:space="preserve"> PAGEREF _Toc236813713 \h </w:instrText>
        </w:r>
        <w:r w:rsidR="00E20D2F">
          <w:rPr>
            <w:noProof/>
          </w:rPr>
        </w:r>
        <w:r w:rsidR="00E20D2F">
          <w:rPr>
            <w:noProof/>
          </w:rPr>
          <w:fldChar w:fldCharType="separate"/>
        </w:r>
        <w:r w:rsidR="00E20D2F">
          <w:rPr>
            <w:rFonts w:hint="eastAsia"/>
            <w:noProof/>
          </w:rPr>
          <w:t>18</w:t>
        </w:r>
        <w:r w:rsidR="00E20D2F">
          <w:rPr>
            <w:noProof/>
          </w:rPr>
          <w:fldChar w:fldCharType="end"/>
        </w:r>
      </w:hyperlink>
    </w:p>
    <w:p w14:paraId="7E04D276" w14:textId="21EE937D"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14" w:history="1">
        <w:r w:rsidR="00E20D2F" w:rsidRPr="005C3D5A">
          <w:rPr>
            <w:rStyle w:val="Lienhypertexte"/>
            <w:noProof/>
          </w:rPr>
          <w:t>9-3. Référé contractuel</w:t>
        </w:r>
        <w:r w:rsidR="00E20D2F">
          <w:rPr>
            <w:noProof/>
          </w:rPr>
          <w:tab/>
        </w:r>
        <w:r w:rsidR="00E20D2F">
          <w:rPr>
            <w:noProof/>
          </w:rPr>
          <w:fldChar w:fldCharType="begin"/>
        </w:r>
        <w:r w:rsidR="00E20D2F">
          <w:rPr>
            <w:noProof/>
          </w:rPr>
          <w:instrText xml:space="preserve"> PAGEREF _Toc236813714 \h </w:instrText>
        </w:r>
        <w:r w:rsidR="00E20D2F">
          <w:rPr>
            <w:noProof/>
          </w:rPr>
        </w:r>
        <w:r w:rsidR="00E20D2F">
          <w:rPr>
            <w:noProof/>
          </w:rPr>
          <w:fldChar w:fldCharType="separate"/>
        </w:r>
        <w:r w:rsidR="00E20D2F">
          <w:rPr>
            <w:rFonts w:hint="eastAsia"/>
            <w:noProof/>
          </w:rPr>
          <w:t>18</w:t>
        </w:r>
        <w:r w:rsidR="00E20D2F">
          <w:rPr>
            <w:noProof/>
          </w:rPr>
          <w:fldChar w:fldCharType="end"/>
        </w:r>
      </w:hyperlink>
    </w:p>
    <w:p w14:paraId="1A0AE2BE" w14:textId="43EBA6DF" w:rsidR="00E20D2F" w:rsidRDefault="0024796A">
      <w:pPr>
        <w:pStyle w:val="TM2"/>
        <w:rPr>
          <w:rFonts w:asciiTheme="minorHAnsi" w:eastAsiaTheme="minorEastAsia" w:hAnsiTheme="minorHAnsi" w:cstheme="minorBidi"/>
          <w:noProof/>
          <w:kern w:val="2"/>
          <w:lang w:eastAsia="fr-FR"/>
          <w14:ligatures w14:val="standardContextual"/>
        </w:rPr>
      </w:pPr>
      <w:hyperlink w:anchor="_Toc236813715" w:history="1">
        <w:r w:rsidR="00E20D2F" w:rsidRPr="005C3D5A">
          <w:rPr>
            <w:rStyle w:val="Lienhypertexte"/>
            <w:noProof/>
          </w:rPr>
          <w:t>9-4. Recours de pleine juridiction</w:t>
        </w:r>
        <w:r w:rsidR="00E20D2F">
          <w:rPr>
            <w:noProof/>
          </w:rPr>
          <w:tab/>
        </w:r>
        <w:r w:rsidR="00E20D2F">
          <w:rPr>
            <w:noProof/>
          </w:rPr>
          <w:fldChar w:fldCharType="begin"/>
        </w:r>
        <w:r w:rsidR="00E20D2F">
          <w:rPr>
            <w:noProof/>
          </w:rPr>
          <w:instrText xml:space="preserve"> PAGEREF _Toc236813715 \h </w:instrText>
        </w:r>
        <w:r w:rsidR="00E20D2F">
          <w:rPr>
            <w:noProof/>
          </w:rPr>
        </w:r>
        <w:r w:rsidR="00E20D2F">
          <w:rPr>
            <w:noProof/>
          </w:rPr>
          <w:fldChar w:fldCharType="separate"/>
        </w:r>
        <w:r w:rsidR="00E20D2F">
          <w:rPr>
            <w:rFonts w:hint="eastAsia"/>
            <w:noProof/>
          </w:rPr>
          <w:t>18</w:t>
        </w:r>
        <w:r w:rsidR="00E20D2F">
          <w:rPr>
            <w:noProof/>
          </w:rPr>
          <w:fldChar w:fldCharType="end"/>
        </w:r>
      </w:hyperlink>
    </w:p>
    <w:p w14:paraId="771C1FFA" w14:textId="2EA95FD4" w:rsidR="008C7EB2" w:rsidRDefault="00C107A3">
      <w:pPr>
        <w:pStyle w:val="TM1"/>
        <w:rPr>
          <w:rFonts w:ascii="Calibri" w:eastAsia="Times New Roman;Times New Roman" w:hAnsi="Calibri" w:cs="Times New Roman;Times New Roman"/>
          <w:sz w:val="22"/>
          <w:szCs w:val="22"/>
          <w:lang w:val="en-US" w:eastAsia="en-US"/>
        </w:rPr>
      </w:pPr>
      <w:r>
        <w:rPr>
          <w:rStyle w:val="IndexLink"/>
          <w:b w:val="0"/>
          <w:lang w:val="en-US" w:eastAsia="en-US"/>
        </w:rPr>
        <w:fldChar w:fldCharType="end"/>
      </w:r>
    </w:p>
    <w:p w14:paraId="0D03B874" w14:textId="77777777" w:rsidR="008C7EB2" w:rsidRDefault="00F11FBB">
      <w:pPr>
        <w:spacing w:before="240"/>
        <w:jc w:val="right"/>
        <w:rPr>
          <w:rFonts w:ascii="Arial" w:eastAsia="Arial" w:hAnsi="Arial" w:cs="Arial"/>
          <w:b/>
          <w:bCs/>
          <w:i/>
          <w:iCs/>
          <w:sz w:val="20"/>
          <w:szCs w:val="20"/>
          <w:lang w:val="en-US" w:eastAsia="en-US"/>
        </w:rPr>
      </w:pPr>
      <w:bookmarkStart w:id="4" w:name="MacroEffectuee"/>
      <w:bookmarkEnd w:id="4"/>
      <w:r>
        <w:lastRenderedPageBreak/>
        <w:br w:type="page"/>
      </w:r>
    </w:p>
    <w:p w14:paraId="62C7ECB7" w14:textId="77777777" w:rsidR="008C7EB2" w:rsidRDefault="008C7EB2">
      <w:pPr>
        <w:rPr>
          <w:rFonts w:ascii="Arial" w:eastAsia="Arial" w:hAnsi="Arial" w:cs="Arial"/>
          <w:b/>
          <w:bCs/>
          <w:i/>
          <w:iCs/>
          <w:sz w:val="20"/>
          <w:szCs w:val="20"/>
        </w:rPr>
      </w:pPr>
    </w:p>
    <w:p w14:paraId="2AD119A0" w14:textId="77777777" w:rsidR="008C7EB2" w:rsidRDefault="00F11FBB">
      <w:pPr>
        <w:pStyle w:val="Cadrerelief"/>
        <w:shd w:val="clear" w:color="auto" w:fill="F2F2F2"/>
        <w:ind w:right="424"/>
        <w:jc w:val="center"/>
        <w:rPr>
          <w:rFonts w:hint="eastAsia"/>
          <w:b/>
          <w:bCs/>
          <w:sz w:val="32"/>
          <w:szCs w:val="32"/>
        </w:rPr>
      </w:pPr>
      <w:r>
        <w:rPr>
          <w:b/>
          <w:bCs/>
          <w:sz w:val="32"/>
          <w:szCs w:val="32"/>
        </w:rPr>
        <w:t>REGLEMENT DE LA CONSULTATION</w:t>
      </w:r>
    </w:p>
    <w:p w14:paraId="32D0CD3E" w14:textId="77777777" w:rsidR="008C7EB2" w:rsidRDefault="00F11FBB">
      <w:pPr>
        <w:pStyle w:val="Paragraphe"/>
        <w:spacing w:before="600"/>
        <w:jc w:val="center"/>
        <w:rPr>
          <w:rFonts w:hint="eastAsia"/>
        </w:rPr>
      </w:pPr>
      <w:bookmarkStart w:id="5" w:name="R1_p1F_a"/>
      <w:bookmarkEnd w:id="5"/>
      <w:r>
        <w:rPr>
          <w:rFonts w:ascii="Arial" w:eastAsia="Arial" w:hAnsi="Arial" w:cs="Arial"/>
          <w:b/>
          <w:bCs/>
          <w:i/>
          <w:iCs/>
          <w:sz w:val="20"/>
          <w:szCs w:val="20"/>
        </w:rPr>
        <w:t>Dans tout ce document, le code de la commande publique est désigné par l’abréviation CCP.</w:t>
      </w:r>
    </w:p>
    <w:p w14:paraId="0F5E8D42" w14:textId="77777777" w:rsidR="008C7EB2" w:rsidRDefault="00F11FBB">
      <w:pPr>
        <w:pStyle w:val="Titre1"/>
        <w:tabs>
          <w:tab w:val="left" w:pos="0"/>
        </w:tabs>
        <w:ind w:firstLine="0"/>
        <w:rPr>
          <w:rFonts w:hint="eastAsia"/>
        </w:rPr>
      </w:pPr>
      <w:bookmarkStart w:id="6" w:name="_Toc236813680"/>
      <w:r>
        <w:t>ARTICLE PREMIER. OBJET DE LA CONSULTATION</w:t>
      </w:r>
      <w:bookmarkEnd w:id="6"/>
    </w:p>
    <w:p w14:paraId="395DC643" w14:textId="77777777" w:rsidR="008C7EB2" w:rsidRDefault="008C7EB2">
      <w:pPr>
        <w:pStyle w:val="Paragraphe"/>
        <w:spacing w:before="0"/>
        <w:ind w:left="284" w:hanging="284"/>
        <w:rPr>
          <w:rFonts w:hint="eastAsia"/>
        </w:rPr>
      </w:pPr>
      <w:bookmarkStart w:id="7" w:name="_Hlk236390759"/>
    </w:p>
    <w:p w14:paraId="5D8BD566" w14:textId="77777777" w:rsidR="008C7EB2" w:rsidRDefault="00F11FBB">
      <w:pPr>
        <w:pStyle w:val="Paragraphe"/>
        <w:spacing w:before="0"/>
        <w:ind w:left="284" w:hanging="284"/>
        <w:rPr>
          <w:rFonts w:hint="eastAsia"/>
        </w:rPr>
      </w:pPr>
      <w:r>
        <w:t xml:space="preserve">La présente consultation porte sur les travaux de réhabilitation </w:t>
      </w:r>
      <w:bookmarkEnd w:id="7"/>
      <w:r>
        <w:t>post-incendie du Tribunal de Proximité d’Asnières-sur-Seine (92), suite au sinistre survenu le 26 juin 2023.</w:t>
      </w:r>
    </w:p>
    <w:p w14:paraId="056D381E" w14:textId="77777777" w:rsidR="00D04D6D" w:rsidRDefault="00D04D6D">
      <w:pPr>
        <w:pStyle w:val="Paragraphe"/>
        <w:spacing w:before="0"/>
        <w:ind w:left="284" w:hanging="284"/>
        <w:rPr>
          <w:rFonts w:hint="eastAsia"/>
        </w:rPr>
      </w:pPr>
    </w:p>
    <w:p w14:paraId="0ACF951F" w14:textId="70851D9B" w:rsidR="008C7EB2" w:rsidRPr="0001041E" w:rsidRDefault="00F11FBB" w:rsidP="0001041E">
      <w:pPr>
        <w:pStyle w:val="Paragraphe"/>
        <w:spacing w:before="0"/>
        <w:ind w:left="284" w:hanging="284"/>
        <w:rPr>
          <w:rFonts w:hint="eastAsia"/>
        </w:rPr>
      </w:pPr>
      <w:proofErr w:type="gramStart"/>
      <w:r>
        <w:t>situé</w:t>
      </w:r>
      <w:proofErr w:type="gramEnd"/>
      <w:r>
        <w:t xml:space="preserve"> au :</w:t>
      </w:r>
      <w:r w:rsidR="0001041E">
        <w:t xml:space="preserve"> </w:t>
      </w:r>
      <w:r>
        <w:rPr>
          <w:b/>
          <w:bCs/>
        </w:rPr>
        <w:t>112 avenue de la Redoute 92600 Asnières-sur-Seine</w:t>
      </w:r>
    </w:p>
    <w:p w14:paraId="58988E91" w14:textId="77777777" w:rsidR="008C7EB2" w:rsidRDefault="008C7EB2">
      <w:pPr>
        <w:pStyle w:val="Paragraphe"/>
        <w:spacing w:before="0"/>
        <w:ind w:left="284" w:hanging="284"/>
        <w:rPr>
          <w:rFonts w:hint="eastAsia"/>
        </w:rPr>
      </w:pPr>
    </w:p>
    <w:p w14:paraId="6FA23560" w14:textId="77777777" w:rsidR="008C7EB2" w:rsidRDefault="00F11FBB">
      <w:pPr>
        <w:pStyle w:val="Paragraphe"/>
        <w:spacing w:before="0"/>
        <w:ind w:left="284" w:hanging="284"/>
        <w:rPr>
          <w:rFonts w:hint="eastAsia"/>
        </w:rPr>
      </w:pPr>
      <w:r>
        <w:t>La description des prestations à réaliser figure en annexe (CCTP, DPGF).</w:t>
      </w:r>
    </w:p>
    <w:p w14:paraId="3CE6A8E0" w14:textId="77777777" w:rsidR="008C7EB2" w:rsidRDefault="008C7EB2">
      <w:pPr>
        <w:pStyle w:val="Paragraphe"/>
        <w:spacing w:before="0"/>
        <w:ind w:left="284" w:hanging="284"/>
        <w:rPr>
          <w:rFonts w:hint="eastAsia"/>
        </w:rPr>
      </w:pPr>
    </w:p>
    <w:p w14:paraId="77E95CBC" w14:textId="77777777" w:rsidR="008C7EB2" w:rsidRDefault="00F11FBB">
      <w:pPr>
        <w:pStyle w:val="Paragraphe"/>
        <w:spacing w:before="0"/>
        <w:ind w:left="284" w:hanging="284"/>
        <w:rPr>
          <w:rFonts w:hint="eastAsia"/>
        </w:rPr>
      </w:pPr>
      <w:r>
        <w:t>Le site est libéré pendant les travaux : les utilisateurs sont relocalisés au Tribunal judiciaire de Colombes pour la durée du chantier. Aucune contrainte de continuité de service ne pèse sur le déroulement des travaux.</w:t>
      </w:r>
    </w:p>
    <w:p w14:paraId="4E977D73" w14:textId="77777777" w:rsidR="008C7EB2" w:rsidRDefault="008C7EB2">
      <w:pPr>
        <w:pStyle w:val="Paragraphe"/>
        <w:spacing w:before="0"/>
        <w:ind w:left="284" w:hanging="284"/>
        <w:rPr>
          <w:rFonts w:hint="eastAsia"/>
        </w:rPr>
      </w:pPr>
    </w:p>
    <w:p w14:paraId="24B48703" w14:textId="5F034D07" w:rsidR="008C7EB2" w:rsidRDefault="00F11FBB" w:rsidP="00C346C1">
      <w:pPr>
        <w:pStyle w:val="Paragraphe"/>
        <w:spacing w:before="0"/>
        <w:ind w:left="284" w:hanging="284"/>
        <w:rPr>
          <w:rFonts w:hint="eastAsia"/>
        </w:rPr>
      </w:pPr>
      <w:r>
        <w:t xml:space="preserve">Le démarrage du chantier (notification du marché et OS de préparation) est prévu </w:t>
      </w:r>
      <w:r w:rsidR="00084E00">
        <w:t>au premier trimestre</w:t>
      </w:r>
      <w:r>
        <w:t xml:space="preserve"> 2027 et la réception est prévue pour le mois de décembre 2027 (réception prévisionnelle).</w:t>
      </w:r>
    </w:p>
    <w:p w14:paraId="506D091D" w14:textId="77777777" w:rsidR="005F26B1" w:rsidRDefault="005F26B1">
      <w:pPr>
        <w:pStyle w:val="Paragraphe"/>
        <w:spacing w:before="0"/>
        <w:ind w:left="284" w:hanging="284"/>
        <w:rPr>
          <w:rFonts w:hint="eastAsia"/>
          <w:b/>
          <w:bCs/>
        </w:rPr>
      </w:pPr>
    </w:p>
    <w:p w14:paraId="5D012D46" w14:textId="77777777" w:rsidR="005F26B1" w:rsidRDefault="00F11FBB">
      <w:pPr>
        <w:pStyle w:val="Paragraphe"/>
        <w:spacing w:before="0"/>
        <w:ind w:left="284" w:hanging="284"/>
        <w:rPr>
          <w:rFonts w:hint="eastAsia"/>
          <w:b/>
          <w:bCs/>
        </w:rPr>
      </w:pPr>
      <w:r>
        <w:rPr>
          <w:b/>
          <w:bCs/>
        </w:rPr>
        <w:t xml:space="preserve">Le candidat devra faire une proposition d’optimisation des délais </w:t>
      </w:r>
    </w:p>
    <w:p w14:paraId="3CAC3696" w14:textId="162B2761" w:rsidR="008C7EB2" w:rsidRDefault="00F11FBB">
      <w:pPr>
        <w:pStyle w:val="Paragraphe"/>
        <w:spacing w:before="0"/>
        <w:ind w:left="284" w:hanging="284"/>
        <w:rPr>
          <w:rFonts w:hint="eastAsia"/>
          <w:b/>
          <w:bCs/>
        </w:rPr>
      </w:pPr>
      <w:r>
        <w:rPr>
          <w:b/>
          <w:bCs/>
        </w:rPr>
        <w:t>(</w:t>
      </w:r>
      <w:proofErr w:type="gramStart"/>
      <w:r>
        <w:rPr>
          <w:b/>
          <w:bCs/>
        </w:rPr>
        <w:t>durée</w:t>
      </w:r>
      <w:proofErr w:type="gramEnd"/>
      <w:r>
        <w:rPr>
          <w:b/>
          <w:bCs/>
        </w:rPr>
        <w:t xml:space="preserve"> estimée à optimiser : </w:t>
      </w:r>
      <w:r w:rsidR="001A42BE">
        <w:rPr>
          <w:b/>
          <w:bCs/>
        </w:rPr>
        <w:t>1</w:t>
      </w:r>
      <w:r w:rsidR="004510E3">
        <w:rPr>
          <w:b/>
          <w:bCs/>
        </w:rPr>
        <w:t xml:space="preserve"> mois de préparation + </w:t>
      </w:r>
      <w:r>
        <w:rPr>
          <w:b/>
          <w:bCs/>
        </w:rPr>
        <w:t>11 mois</w:t>
      </w:r>
      <w:r w:rsidR="004510E3">
        <w:rPr>
          <w:b/>
          <w:bCs/>
        </w:rPr>
        <w:t xml:space="preserve"> réalisation</w:t>
      </w:r>
      <w:r>
        <w:rPr>
          <w:b/>
          <w:bCs/>
        </w:rPr>
        <w:t>).</w:t>
      </w:r>
    </w:p>
    <w:p w14:paraId="35B6F0AF" w14:textId="77777777" w:rsidR="008C7EB2" w:rsidRDefault="00F11FBB">
      <w:pPr>
        <w:pStyle w:val="Titre1"/>
        <w:tabs>
          <w:tab w:val="left" w:pos="0"/>
        </w:tabs>
        <w:ind w:firstLine="0"/>
        <w:rPr>
          <w:rFonts w:hint="eastAsia"/>
        </w:rPr>
      </w:pPr>
      <w:bookmarkStart w:id="8" w:name="_Toc236813681"/>
      <w:r>
        <w:t>ARTICLE 2. CONDITIONS DE LA CONSULTATION</w:t>
      </w:r>
      <w:bookmarkEnd w:id="8"/>
    </w:p>
    <w:p w14:paraId="463C3B65" w14:textId="77777777" w:rsidR="008C7EB2" w:rsidRDefault="00F11FBB">
      <w:pPr>
        <w:pStyle w:val="Titre2"/>
        <w:tabs>
          <w:tab w:val="left" w:pos="0"/>
        </w:tabs>
        <w:ind w:firstLine="0"/>
        <w:rPr>
          <w:rFonts w:hint="eastAsia"/>
        </w:rPr>
      </w:pPr>
      <w:bookmarkStart w:id="9" w:name="_Toc236813682"/>
      <w:r>
        <w:t>2-1. Définition de la procédure</w:t>
      </w:r>
      <w:bookmarkEnd w:id="9"/>
    </w:p>
    <w:p w14:paraId="0FBF7905" w14:textId="77777777" w:rsidR="008C7EB2" w:rsidRDefault="00F11FBB">
      <w:pPr>
        <w:pStyle w:val="Paragraphe"/>
        <w:rPr>
          <w:rFonts w:hint="eastAsia"/>
        </w:rPr>
      </w:pPr>
      <w:r>
        <w:t xml:space="preserve">La présente consultation est lancée selon </w:t>
      </w:r>
      <w:r w:rsidRPr="00D04D6D">
        <w:t xml:space="preserve">la procédure </w:t>
      </w:r>
      <w:r w:rsidRPr="00D04D6D">
        <w:rPr>
          <w:b/>
        </w:rPr>
        <w:t>adaptée</w:t>
      </w:r>
      <w:r>
        <w:t xml:space="preserve"> définie aux articles L.2123-1 et R.2123-1 à R.2123-7 du CCP.</w:t>
      </w:r>
    </w:p>
    <w:p w14:paraId="3F927ACD" w14:textId="77777777" w:rsidR="008C7EB2" w:rsidRDefault="00F11FBB">
      <w:pPr>
        <w:pStyle w:val="Titre2"/>
        <w:tabs>
          <w:tab w:val="left" w:pos="0"/>
        </w:tabs>
        <w:ind w:firstLine="0"/>
        <w:rPr>
          <w:rFonts w:hint="eastAsia"/>
        </w:rPr>
      </w:pPr>
      <w:bookmarkStart w:id="10" w:name="_Toc236813683"/>
      <w:r>
        <w:t>2-2. Décomposition en lots</w:t>
      </w:r>
      <w:bookmarkEnd w:id="10"/>
    </w:p>
    <w:p w14:paraId="1DF63F27" w14:textId="46D5D482" w:rsidR="008C7EB2" w:rsidRDefault="00F11FBB">
      <w:pPr>
        <w:pStyle w:val="Paradouble"/>
        <w:spacing w:before="0" w:after="0"/>
        <w:rPr>
          <w:rFonts w:hint="eastAsia"/>
        </w:rPr>
      </w:pPr>
      <w:r>
        <w:t xml:space="preserve">La consultation est allotie, elle porte sur </w:t>
      </w:r>
      <w:r w:rsidR="00D04D6D">
        <w:t>8</w:t>
      </w:r>
      <w:r>
        <w:t xml:space="preserve"> macrolots désignés ci-après qui seront traités par </w:t>
      </w:r>
      <w:r>
        <w:rPr>
          <w:b/>
        </w:rPr>
        <w:t>marchés à lots séparés</w:t>
      </w:r>
      <w:r>
        <w:t> :</w:t>
      </w:r>
    </w:p>
    <w:p w14:paraId="49868F46" w14:textId="77777777" w:rsidR="00D04D6D" w:rsidRDefault="00D04D6D">
      <w:pPr>
        <w:pStyle w:val="Paradouble"/>
        <w:spacing w:before="0" w:after="0"/>
        <w:rPr>
          <w:rFonts w:hint="eastAsia"/>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6"/>
        <w:gridCol w:w="3994"/>
        <w:gridCol w:w="3945"/>
      </w:tblGrid>
      <w:tr w:rsidR="00D04D6D" w:rsidRPr="00D04D6D" w14:paraId="682A8DC3" w14:textId="77777777" w:rsidTr="00D04D6D">
        <w:trPr>
          <w:tblHeader/>
          <w:tblCellSpacing w:w="15" w:type="dxa"/>
        </w:trPr>
        <w:tc>
          <w:tcPr>
            <w:tcW w:w="0" w:type="auto"/>
            <w:vAlign w:val="center"/>
            <w:hideMark/>
          </w:tcPr>
          <w:p w14:paraId="28196470" w14:textId="77777777" w:rsidR="00D04D6D" w:rsidRPr="00D04D6D" w:rsidRDefault="00D04D6D" w:rsidP="00D04D6D">
            <w:pPr>
              <w:widowControl/>
              <w:suppressAutoHyphens w:val="0"/>
              <w:jc w:val="center"/>
              <w:rPr>
                <w:rFonts w:ascii="Times New Roman" w:eastAsia="Times New Roman" w:hAnsi="Times New Roman" w:cs="Times New Roman"/>
                <w:b/>
                <w:bCs/>
                <w:lang w:eastAsia="fr-FR"/>
              </w:rPr>
            </w:pPr>
            <w:r w:rsidRPr="00D04D6D">
              <w:rPr>
                <w:rFonts w:ascii="Times New Roman" w:eastAsia="Times New Roman" w:hAnsi="Times New Roman" w:cs="Times New Roman"/>
                <w:b/>
                <w:bCs/>
                <w:lang w:eastAsia="fr-FR"/>
              </w:rPr>
              <w:t>N° de macrolot</w:t>
            </w:r>
          </w:p>
        </w:tc>
        <w:tc>
          <w:tcPr>
            <w:tcW w:w="0" w:type="auto"/>
            <w:vAlign w:val="center"/>
            <w:hideMark/>
          </w:tcPr>
          <w:p w14:paraId="712EDF4C" w14:textId="77777777" w:rsidR="00D04D6D" w:rsidRPr="00D04D6D" w:rsidRDefault="00D04D6D" w:rsidP="00D04D6D">
            <w:pPr>
              <w:widowControl/>
              <w:suppressAutoHyphens w:val="0"/>
              <w:jc w:val="center"/>
              <w:rPr>
                <w:rFonts w:ascii="Times New Roman" w:eastAsia="Times New Roman" w:hAnsi="Times New Roman" w:cs="Times New Roman"/>
                <w:b/>
                <w:bCs/>
                <w:lang w:eastAsia="fr-FR"/>
              </w:rPr>
            </w:pPr>
            <w:r w:rsidRPr="00D04D6D">
              <w:rPr>
                <w:rFonts w:ascii="Times New Roman" w:eastAsia="Times New Roman" w:hAnsi="Times New Roman" w:cs="Times New Roman"/>
                <w:b/>
                <w:bCs/>
                <w:lang w:eastAsia="fr-FR"/>
              </w:rPr>
              <w:t>Désignation</w:t>
            </w:r>
          </w:p>
        </w:tc>
        <w:tc>
          <w:tcPr>
            <w:tcW w:w="0" w:type="auto"/>
            <w:vAlign w:val="center"/>
            <w:hideMark/>
          </w:tcPr>
          <w:p w14:paraId="2E3952CF" w14:textId="77777777" w:rsidR="00D04D6D" w:rsidRPr="00D04D6D" w:rsidRDefault="00D04D6D" w:rsidP="00D04D6D">
            <w:pPr>
              <w:widowControl/>
              <w:suppressAutoHyphens w:val="0"/>
              <w:jc w:val="center"/>
              <w:rPr>
                <w:rFonts w:ascii="Times New Roman" w:eastAsia="Times New Roman" w:hAnsi="Times New Roman" w:cs="Times New Roman"/>
                <w:b/>
                <w:bCs/>
                <w:lang w:eastAsia="fr-FR"/>
              </w:rPr>
            </w:pPr>
            <w:r w:rsidRPr="00D04D6D">
              <w:rPr>
                <w:rFonts w:ascii="Times New Roman" w:eastAsia="Times New Roman" w:hAnsi="Times New Roman" w:cs="Times New Roman"/>
                <w:b/>
                <w:bCs/>
                <w:lang w:eastAsia="fr-FR"/>
              </w:rPr>
              <w:t>Contenu</w:t>
            </w:r>
          </w:p>
        </w:tc>
      </w:tr>
      <w:tr w:rsidR="00D04D6D" w:rsidRPr="00D04D6D" w14:paraId="7EB91B8B" w14:textId="77777777" w:rsidTr="00D04D6D">
        <w:trPr>
          <w:tblCellSpacing w:w="15" w:type="dxa"/>
        </w:trPr>
        <w:tc>
          <w:tcPr>
            <w:tcW w:w="0" w:type="auto"/>
            <w:vAlign w:val="center"/>
            <w:hideMark/>
          </w:tcPr>
          <w:p w14:paraId="438D6561"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1</w:t>
            </w:r>
          </w:p>
        </w:tc>
        <w:tc>
          <w:tcPr>
            <w:tcW w:w="0" w:type="auto"/>
            <w:vAlign w:val="center"/>
            <w:hideMark/>
          </w:tcPr>
          <w:p w14:paraId="22771787"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Gros-œuvre et aménagements extérieurs</w:t>
            </w:r>
          </w:p>
        </w:tc>
        <w:tc>
          <w:tcPr>
            <w:tcW w:w="0" w:type="auto"/>
            <w:vAlign w:val="center"/>
            <w:hideMark/>
          </w:tcPr>
          <w:p w14:paraId="67484830"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ST1 – Installations de chantier</w:t>
            </w:r>
          </w:p>
          <w:p w14:paraId="742A9180"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ST2 – Curage et démolition</w:t>
            </w:r>
          </w:p>
          <w:p w14:paraId="1E22DCE7"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ST3 – Gros-œuvre</w:t>
            </w:r>
          </w:p>
          <w:p w14:paraId="1E5C0AFB"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ST4 – Façades</w:t>
            </w:r>
          </w:p>
          <w:p w14:paraId="4DCE4EFD" w14:textId="74669481"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ST5 – Aménagements extérieurs</w:t>
            </w:r>
          </w:p>
        </w:tc>
      </w:tr>
      <w:tr w:rsidR="00D04D6D" w:rsidRPr="00D04D6D" w14:paraId="226F9916" w14:textId="77777777" w:rsidTr="00D04D6D">
        <w:trPr>
          <w:tblCellSpacing w:w="15" w:type="dxa"/>
        </w:trPr>
        <w:tc>
          <w:tcPr>
            <w:tcW w:w="0" w:type="auto"/>
            <w:vAlign w:val="center"/>
            <w:hideMark/>
          </w:tcPr>
          <w:p w14:paraId="1E62A952"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2</w:t>
            </w:r>
          </w:p>
        </w:tc>
        <w:tc>
          <w:tcPr>
            <w:tcW w:w="0" w:type="auto"/>
            <w:vAlign w:val="center"/>
            <w:hideMark/>
          </w:tcPr>
          <w:p w14:paraId="4A067226"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Couverture et étanchéité</w:t>
            </w:r>
          </w:p>
        </w:tc>
        <w:tc>
          <w:tcPr>
            <w:tcW w:w="0" w:type="auto"/>
            <w:vAlign w:val="center"/>
            <w:hideMark/>
          </w:tcPr>
          <w:p w14:paraId="745600F4"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Couverture et étanchéité</w:t>
            </w:r>
          </w:p>
        </w:tc>
      </w:tr>
      <w:tr w:rsidR="00D04D6D" w:rsidRPr="00D04D6D" w14:paraId="441951D5" w14:textId="77777777" w:rsidTr="00D04D6D">
        <w:trPr>
          <w:tblCellSpacing w:w="15" w:type="dxa"/>
        </w:trPr>
        <w:tc>
          <w:tcPr>
            <w:tcW w:w="0" w:type="auto"/>
            <w:vAlign w:val="center"/>
            <w:hideMark/>
          </w:tcPr>
          <w:p w14:paraId="2E50B1FE"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lastRenderedPageBreak/>
              <w:t>Macrolot 3</w:t>
            </w:r>
          </w:p>
        </w:tc>
        <w:tc>
          <w:tcPr>
            <w:tcW w:w="0" w:type="auto"/>
            <w:vAlign w:val="center"/>
            <w:hideMark/>
          </w:tcPr>
          <w:p w14:paraId="68C91E4F"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Menuiseries extérieures et métallerie</w:t>
            </w:r>
          </w:p>
        </w:tc>
        <w:tc>
          <w:tcPr>
            <w:tcW w:w="0" w:type="auto"/>
            <w:vAlign w:val="center"/>
            <w:hideMark/>
          </w:tcPr>
          <w:p w14:paraId="6E2D70C6"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ST1 – Menuiseries extérieures</w:t>
            </w:r>
          </w:p>
          <w:p w14:paraId="069CB005" w14:textId="511D5AB3"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ST2 – Métallerie et serrurerie</w:t>
            </w:r>
          </w:p>
        </w:tc>
      </w:tr>
      <w:tr w:rsidR="00D04D6D" w:rsidRPr="00D04D6D" w14:paraId="7E7D86F3" w14:textId="77777777" w:rsidTr="00D04D6D">
        <w:trPr>
          <w:tblCellSpacing w:w="15" w:type="dxa"/>
        </w:trPr>
        <w:tc>
          <w:tcPr>
            <w:tcW w:w="0" w:type="auto"/>
            <w:vAlign w:val="center"/>
            <w:hideMark/>
          </w:tcPr>
          <w:p w14:paraId="1A65440E"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4</w:t>
            </w:r>
          </w:p>
        </w:tc>
        <w:tc>
          <w:tcPr>
            <w:tcW w:w="0" w:type="auto"/>
            <w:vAlign w:val="center"/>
            <w:hideMark/>
          </w:tcPr>
          <w:p w14:paraId="39F0813D"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Électricité</w:t>
            </w:r>
          </w:p>
        </w:tc>
        <w:tc>
          <w:tcPr>
            <w:tcW w:w="0" w:type="auto"/>
            <w:vAlign w:val="center"/>
            <w:hideMark/>
          </w:tcPr>
          <w:p w14:paraId="0DB98F06"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 xml:space="preserve">Électricité, courants forts, courants faibles, </w:t>
            </w:r>
          </w:p>
          <w:p w14:paraId="5A9AC4D2" w14:textId="1C694645" w:rsidR="00D04D6D" w:rsidRPr="00D04D6D" w:rsidRDefault="00D04D6D" w:rsidP="00D04D6D">
            <w:pPr>
              <w:widowControl/>
              <w:suppressAutoHyphens w:val="0"/>
              <w:jc w:val="left"/>
              <w:rPr>
                <w:rFonts w:ascii="Times New Roman" w:eastAsia="Times New Roman" w:hAnsi="Times New Roman" w:cs="Times New Roman"/>
                <w:lang w:eastAsia="fr-FR"/>
              </w:rPr>
            </w:pPr>
            <w:proofErr w:type="gramStart"/>
            <w:r w:rsidRPr="00D04D6D">
              <w:rPr>
                <w:rFonts w:ascii="Times New Roman" w:eastAsia="Times New Roman" w:hAnsi="Times New Roman" w:cs="Times New Roman"/>
                <w:lang w:eastAsia="fr-FR"/>
              </w:rPr>
              <w:t>système</w:t>
            </w:r>
            <w:proofErr w:type="gramEnd"/>
            <w:r w:rsidRPr="00D04D6D">
              <w:rPr>
                <w:rFonts w:ascii="Times New Roman" w:eastAsia="Times New Roman" w:hAnsi="Times New Roman" w:cs="Times New Roman"/>
                <w:lang w:eastAsia="fr-FR"/>
              </w:rPr>
              <w:t xml:space="preserve"> de sécurité incendie (SSI)</w:t>
            </w:r>
          </w:p>
        </w:tc>
      </w:tr>
      <w:tr w:rsidR="00D04D6D" w:rsidRPr="00D04D6D" w14:paraId="0995C198" w14:textId="77777777" w:rsidTr="00D04D6D">
        <w:trPr>
          <w:tblCellSpacing w:w="15" w:type="dxa"/>
        </w:trPr>
        <w:tc>
          <w:tcPr>
            <w:tcW w:w="0" w:type="auto"/>
            <w:vAlign w:val="center"/>
            <w:hideMark/>
          </w:tcPr>
          <w:p w14:paraId="30AF103D"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5</w:t>
            </w:r>
          </w:p>
        </w:tc>
        <w:tc>
          <w:tcPr>
            <w:tcW w:w="0" w:type="auto"/>
            <w:vAlign w:val="center"/>
            <w:hideMark/>
          </w:tcPr>
          <w:p w14:paraId="470EC6A8"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Chauffage, ventilation, climatisation et plomberie</w:t>
            </w:r>
          </w:p>
        </w:tc>
        <w:tc>
          <w:tcPr>
            <w:tcW w:w="0" w:type="auto"/>
            <w:vAlign w:val="center"/>
            <w:hideMark/>
          </w:tcPr>
          <w:p w14:paraId="67DCCB1F" w14:textId="77777777" w:rsid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 xml:space="preserve">Chauffage, ventilation, climatisation (CVC), </w:t>
            </w:r>
          </w:p>
          <w:p w14:paraId="1CE7F459" w14:textId="604C3D69" w:rsidR="00D04D6D" w:rsidRPr="00D04D6D" w:rsidRDefault="00D04D6D" w:rsidP="00D04D6D">
            <w:pPr>
              <w:widowControl/>
              <w:suppressAutoHyphens w:val="0"/>
              <w:jc w:val="left"/>
              <w:rPr>
                <w:rFonts w:ascii="Times New Roman" w:eastAsia="Times New Roman" w:hAnsi="Times New Roman" w:cs="Times New Roman"/>
                <w:lang w:eastAsia="fr-FR"/>
              </w:rPr>
            </w:pPr>
            <w:proofErr w:type="gramStart"/>
            <w:r w:rsidRPr="00D04D6D">
              <w:rPr>
                <w:rFonts w:ascii="Times New Roman" w:eastAsia="Times New Roman" w:hAnsi="Times New Roman" w:cs="Times New Roman"/>
                <w:lang w:eastAsia="fr-FR"/>
              </w:rPr>
              <w:t>plomberie</w:t>
            </w:r>
            <w:proofErr w:type="gramEnd"/>
            <w:r w:rsidRPr="00D04D6D">
              <w:rPr>
                <w:rFonts w:ascii="Times New Roman" w:eastAsia="Times New Roman" w:hAnsi="Times New Roman" w:cs="Times New Roman"/>
                <w:lang w:eastAsia="fr-FR"/>
              </w:rPr>
              <w:t>, gestion technique du bâtiment (GTB)</w:t>
            </w:r>
          </w:p>
        </w:tc>
      </w:tr>
      <w:tr w:rsidR="00D04D6D" w:rsidRPr="00D04D6D" w14:paraId="0BB3971D" w14:textId="77777777" w:rsidTr="00D04D6D">
        <w:trPr>
          <w:tblCellSpacing w:w="15" w:type="dxa"/>
        </w:trPr>
        <w:tc>
          <w:tcPr>
            <w:tcW w:w="0" w:type="auto"/>
            <w:vAlign w:val="center"/>
            <w:hideMark/>
          </w:tcPr>
          <w:p w14:paraId="51308DBA"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6</w:t>
            </w:r>
          </w:p>
        </w:tc>
        <w:tc>
          <w:tcPr>
            <w:tcW w:w="0" w:type="auto"/>
            <w:vAlign w:val="center"/>
            <w:hideMark/>
          </w:tcPr>
          <w:p w14:paraId="4EBA0A89"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Second œuvre</w:t>
            </w:r>
          </w:p>
        </w:tc>
        <w:tc>
          <w:tcPr>
            <w:tcW w:w="0" w:type="auto"/>
            <w:vAlign w:val="center"/>
            <w:hideMark/>
          </w:tcPr>
          <w:p w14:paraId="52330E2C"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Second œuvre, hors agencement et mobilier</w:t>
            </w:r>
          </w:p>
        </w:tc>
      </w:tr>
      <w:tr w:rsidR="00D04D6D" w:rsidRPr="00D04D6D" w14:paraId="5D97B63C" w14:textId="77777777" w:rsidTr="00D04D6D">
        <w:trPr>
          <w:tblCellSpacing w:w="15" w:type="dxa"/>
        </w:trPr>
        <w:tc>
          <w:tcPr>
            <w:tcW w:w="0" w:type="auto"/>
            <w:vAlign w:val="center"/>
            <w:hideMark/>
          </w:tcPr>
          <w:p w14:paraId="03B8E0F2"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7</w:t>
            </w:r>
          </w:p>
        </w:tc>
        <w:tc>
          <w:tcPr>
            <w:tcW w:w="0" w:type="auto"/>
            <w:vAlign w:val="center"/>
            <w:hideMark/>
          </w:tcPr>
          <w:p w14:paraId="669A5A3C"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Agencement et mobilier</w:t>
            </w:r>
          </w:p>
        </w:tc>
        <w:tc>
          <w:tcPr>
            <w:tcW w:w="0" w:type="auto"/>
            <w:vAlign w:val="center"/>
            <w:hideMark/>
          </w:tcPr>
          <w:p w14:paraId="4A84A416"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Agencement et mobilier</w:t>
            </w:r>
          </w:p>
        </w:tc>
      </w:tr>
      <w:tr w:rsidR="00D04D6D" w:rsidRPr="00D04D6D" w14:paraId="73EF56E1" w14:textId="77777777" w:rsidTr="00D04D6D">
        <w:trPr>
          <w:tblCellSpacing w:w="15" w:type="dxa"/>
        </w:trPr>
        <w:tc>
          <w:tcPr>
            <w:tcW w:w="0" w:type="auto"/>
            <w:vAlign w:val="center"/>
            <w:hideMark/>
          </w:tcPr>
          <w:p w14:paraId="2036F843"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Macrolot 8</w:t>
            </w:r>
          </w:p>
        </w:tc>
        <w:tc>
          <w:tcPr>
            <w:tcW w:w="0" w:type="auto"/>
            <w:vAlign w:val="center"/>
            <w:hideMark/>
          </w:tcPr>
          <w:p w14:paraId="77DEDB5B"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Appareil élévateur</w:t>
            </w:r>
          </w:p>
        </w:tc>
        <w:tc>
          <w:tcPr>
            <w:tcW w:w="0" w:type="auto"/>
            <w:vAlign w:val="center"/>
            <w:hideMark/>
          </w:tcPr>
          <w:p w14:paraId="3B923B07" w14:textId="77777777" w:rsidR="00D04D6D" w:rsidRPr="00D04D6D" w:rsidRDefault="00D04D6D" w:rsidP="00D04D6D">
            <w:pPr>
              <w:widowControl/>
              <w:suppressAutoHyphens w:val="0"/>
              <w:jc w:val="left"/>
              <w:rPr>
                <w:rFonts w:ascii="Times New Roman" w:eastAsia="Times New Roman" w:hAnsi="Times New Roman" w:cs="Times New Roman"/>
                <w:lang w:eastAsia="fr-FR"/>
              </w:rPr>
            </w:pPr>
            <w:r w:rsidRPr="00D04D6D">
              <w:rPr>
                <w:rFonts w:ascii="Times New Roman" w:eastAsia="Times New Roman" w:hAnsi="Times New Roman" w:cs="Times New Roman"/>
                <w:lang w:eastAsia="fr-FR"/>
              </w:rPr>
              <w:t>Appareil élévateur</w:t>
            </w:r>
          </w:p>
        </w:tc>
      </w:tr>
    </w:tbl>
    <w:p w14:paraId="2EEB5143" w14:textId="77777777" w:rsidR="00D04D6D" w:rsidRDefault="00D04D6D">
      <w:pPr>
        <w:pStyle w:val="Paradouble"/>
        <w:spacing w:before="0" w:after="0"/>
        <w:rPr>
          <w:rFonts w:hint="eastAsia"/>
        </w:rPr>
      </w:pPr>
    </w:p>
    <w:p w14:paraId="6A356E73" w14:textId="77777777" w:rsidR="00D04D6D" w:rsidRDefault="00D04D6D">
      <w:pPr>
        <w:pStyle w:val="Paradouble"/>
        <w:spacing w:before="0" w:after="0"/>
        <w:rPr>
          <w:rFonts w:hint="eastAsia"/>
        </w:rPr>
      </w:pPr>
    </w:p>
    <w:p w14:paraId="5647E7D3" w14:textId="77777777" w:rsidR="00D04D6D" w:rsidRPr="00C346C1" w:rsidRDefault="00D04D6D">
      <w:pPr>
        <w:pStyle w:val="Paradouble"/>
        <w:spacing w:before="0" w:after="0"/>
        <w:rPr>
          <w:rFonts w:hint="eastAsia"/>
        </w:rPr>
      </w:pPr>
    </w:p>
    <w:p w14:paraId="4D97A3DC" w14:textId="35389ABD" w:rsidR="00D04D6D" w:rsidRPr="00D04D6D" w:rsidRDefault="00F11FBB" w:rsidP="00D04D6D">
      <w:pPr>
        <w:pStyle w:val="Titre2"/>
        <w:tabs>
          <w:tab w:val="left" w:pos="0"/>
        </w:tabs>
        <w:ind w:firstLine="0"/>
        <w:rPr>
          <w:rFonts w:hint="eastAsia"/>
        </w:rPr>
      </w:pPr>
      <w:bookmarkStart w:id="11" w:name="R2_2_p2C_b"/>
      <w:bookmarkStart w:id="12" w:name="_Toc236813684"/>
      <w:bookmarkEnd w:id="11"/>
      <w:r>
        <w:t>2-3. Nature de l'attributaire</w:t>
      </w:r>
      <w:bookmarkEnd w:id="12"/>
    </w:p>
    <w:p w14:paraId="55A1D8EB" w14:textId="77777777" w:rsidR="008C7EB2" w:rsidRDefault="00F11FBB">
      <w:pPr>
        <w:pStyle w:val="Paragraphe"/>
        <w:keepNext/>
        <w:rPr>
          <w:rFonts w:hint="eastAsia"/>
        </w:rPr>
      </w:pPr>
      <w:r>
        <w:t>Chaque marché passé par lots séparés sera conclu :</w:t>
      </w:r>
    </w:p>
    <w:p w14:paraId="3D0B9426" w14:textId="77777777" w:rsidR="008C7EB2" w:rsidRDefault="00F11FBB">
      <w:pPr>
        <w:keepNext/>
        <w:numPr>
          <w:ilvl w:val="0"/>
          <w:numId w:val="2"/>
        </w:numPr>
        <w:tabs>
          <w:tab w:val="left" w:pos="283"/>
        </w:tabs>
        <w:spacing w:before="120"/>
        <w:rPr>
          <w:rFonts w:hint="eastAsia"/>
        </w:rPr>
      </w:pPr>
      <w:proofErr w:type="gramStart"/>
      <w:r>
        <w:t>soit</w:t>
      </w:r>
      <w:proofErr w:type="gramEnd"/>
      <w:r>
        <w:t xml:space="preserve"> avec une entreprise unique ;</w:t>
      </w:r>
    </w:p>
    <w:p w14:paraId="003F5B69" w14:textId="77777777" w:rsidR="008C7EB2" w:rsidRDefault="00F11FBB">
      <w:pPr>
        <w:numPr>
          <w:ilvl w:val="0"/>
          <w:numId w:val="2"/>
        </w:numPr>
        <w:tabs>
          <w:tab w:val="left" w:pos="283"/>
        </w:tabs>
        <w:spacing w:before="120"/>
        <w:rPr>
          <w:rFonts w:hint="eastAsia"/>
        </w:rPr>
      </w:pPr>
      <w:proofErr w:type="gramStart"/>
      <w:r>
        <w:t>soit</w:t>
      </w:r>
      <w:proofErr w:type="gramEnd"/>
      <w:r>
        <w:t xml:space="preserve"> avec des entreprises groupées conjointes ou des entreprises groupées solidaires.</w:t>
      </w:r>
    </w:p>
    <w:p w14:paraId="19A28A50" w14:textId="77777777" w:rsidR="008C7EB2" w:rsidRDefault="00F11FBB">
      <w:pPr>
        <w:pStyle w:val="Paragraphe"/>
        <w:ind w:left="-15"/>
        <w:rPr>
          <w:rFonts w:hint="eastAsia"/>
        </w:rPr>
      </w:pPr>
      <w:r>
        <w:t>Le mandataire du groupement conjoint sera solidaire, pour l'exécution du marché, de chacun des membres du groupement pour ses obligations contractuelles à l'égard du maître d'ouvrage.</w:t>
      </w:r>
    </w:p>
    <w:p w14:paraId="0BA0D744" w14:textId="77777777" w:rsidR="008C7EB2" w:rsidRDefault="00F11FBB">
      <w:pPr>
        <w:pStyle w:val="Paragraphe"/>
        <w:rPr>
          <w:rFonts w:hint="eastAsia"/>
        </w:rPr>
      </w:pPr>
      <w:r>
        <w:t>Conformément aux articles L.2141-13, L.2141-14 du CCP, lorsque le motif d’exclusion de la procédure de passation concerne un membre d’un groupement d’opérateurs économiques, l’acheteur exige son remplacement par une personne qui ne fait pas l’objet d’un motif d’exclusion dans un délai de dix jours à compter de la réception de cette demande par le mandataire du groupement, sous peine d’exclusion du groupement de la procédure.</w:t>
      </w:r>
    </w:p>
    <w:p w14:paraId="346EF007" w14:textId="77777777" w:rsidR="008C7EB2" w:rsidRDefault="00F11FBB">
      <w:pPr>
        <w:pStyle w:val="Paragraphe"/>
        <w:rPr>
          <w:rFonts w:hint="eastAsia"/>
        </w:rPr>
      </w:pPr>
      <w:r>
        <w:t>Lorsqu’un groupement se trouve dans un des cas visés à l'article R.2142-26 du CCP, le maître d’ouvrage peut l'autoriser à continuer la procédure. Dans ce cas, le groupement propose dans les dix jours à l'acceptation du maître d’ouvrage un ou plusieurs nouveaux membres du groupement ou sous-traitants.</w:t>
      </w:r>
    </w:p>
    <w:p w14:paraId="1EFAFB8B" w14:textId="77777777" w:rsidR="008C7EB2" w:rsidRDefault="00F11FBB">
      <w:pPr>
        <w:pStyle w:val="Titre2"/>
        <w:tabs>
          <w:tab w:val="left" w:pos="0"/>
        </w:tabs>
        <w:ind w:firstLine="0"/>
        <w:rPr>
          <w:rFonts w:hint="eastAsia"/>
        </w:rPr>
      </w:pPr>
      <w:bookmarkStart w:id="13" w:name="_Toc236813685"/>
      <w:r>
        <w:t>2-4. Compléments à apporter au cahier des clauses techniques particulières</w:t>
      </w:r>
      <w:bookmarkEnd w:id="13"/>
    </w:p>
    <w:p w14:paraId="1D90B5A0" w14:textId="77777777" w:rsidR="008C7EB2" w:rsidRDefault="00F11FBB">
      <w:pPr>
        <w:pStyle w:val="Paragraphe"/>
        <w:rPr>
          <w:rFonts w:hint="eastAsia"/>
        </w:rPr>
      </w:pPr>
      <w:r>
        <w:t>Les candidats n'ont pas à apporter de complément au Cahier des Clauses Techniques Particulières (CCTP).</w:t>
      </w:r>
    </w:p>
    <w:p w14:paraId="53948275" w14:textId="77777777" w:rsidR="008C7EB2" w:rsidRDefault="00F11FBB">
      <w:pPr>
        <w:pStyle w:val="Titre2"/>
        <w:tabs>
          <w:tab w:val="left" w:pos="0"/>
        </w:tabs>
        <w:ind w:firstLine="0"/>
        <w:rPr>
          <w:rFonts w:hint="eastAsia"/>
        </w:rPr>
      </w:pPr>
      <w:bookmarkStart w:id="14" w:name="_Toc236813686"/>
      <w:r>
        <w:t>2-5. Variantes</w:t>
      </w:r>
      <w:bookmarkEnd w:id="14"/>
    </w:p>
    <w:p w14:paraId="38D0B2D0" w14:textId="0DF61281" w:rsidR="008C7EB2" w:rsidDel="008E0679" w:rsidRDefault="008E0679" w:rsidP="009D787D">
      <w:pPr>
        <w:rPr>
          <w:rFonts w:hint="eastAsia"/>
        </w:rPr>
      </w:pPr>
      <w:r>
        <w:t xml:space="preserve">Les variantes à l'initiative des candidats sont </w:t>
      </w:r>
      <w:r w:rsidRPr="00A21135">
        <w:rPr>
          <w:b/>
          <w:bCs/>
        </w:rPr>
        <w:t>autorisées</w:t>
      </w:r>
      <w:r>
        <w:t xml:space="preserve"> pour le présent marché, dans les conditions fixées à l'article 3-3 du présent règlement.</w:t>
      </w:r>
      <w:r w:rsidR="00A21135">
        <w:t xml:space="preserve"> Les variantes sont à proposer dans l’acte d’engagement dédié aux variantes accompagné de la DPGF pour la variante associée. </w:t>
      </w:r>
    </w:p>
    <w:p w14:paraId="3968BA57" w14:textId="77777777" w:rsidR="008C7EB2" w:rsidRDefault="00F11FBB">
      <w:pPr>
        <w:pStyle w:val="Titre2"/>
        <w:tabs>
          <w:tab w:val="left" w:pos="0"/>
        </w:tabs>
        <w:ind w:firstLine="0"/>
        <w:rPr>
          <w:rFonts w:hint="eastAsia"/>
        </w:rPr>
      </w:pPr>
      <w:bookmarkStart w:id="15" w:name="_Toc236813687"/>
      <w:r>
        <w:lastRenderedPageBreak/>
        <w:t>2-6. Prestations supplémentaires éventuelles</w:t>
      </w:r>
      <w:bookmarkEnd w:id="15"/>
    </w:p>
    <w:p w14:paraId="01C18136" w14:textId="77777777" w:rsidR="008C7EB2" w:rsidRDefault="00F11FBB">
      <w:pPr>
        <w:pStyle w:val="Paragraphe"/>
        <w:rPr>
          <w:rFonts w:hint="eastAsia"/>
        </w:rPr>
      </w:pPr>
      <w:r>
        <w:t>Sans objet.</w:t>
      </w:r>
    </w:p>
    <w:p w14:paraId="7786B3C7" w14:textId="77777777" w:rsidR="008C7EB2" w:rsidRDefault="00F11FBB">
      <w:pPr>
        <w:pStyle w:val="Titre2"/>
        <w:tabs>
          <w:tab w:val="left" w:pos="0"/>
        </w:tabs>
        <w:ind w:firstLine="0"/>
        <w:rPr>
          <w:rFonts w:hint="eastAsia"/>
        </w:rPr>
      </w:pPr>
      <w:bookmarkStart w:id="16" w:name="_Toc236813688"/>
      <w:r>
        <w:t>2-7. Exigences minimales de la négociation</w:t>
      </w:r>
      <w:bookmarkEnd w:id="16"/>
    </w:p>
    <w:p w14:paraId="05ABDE39" w14:textId="77777777" w:rsidR="008C7EB2" w:rsidRDefault="00F11FBB">
      <w:pPr>
        <w:pStyle w:val="Paragraphe"/>
        <w:rPr>
          <w:rFonts w:hint="eastAsia"/>
        </w:rPr>
      </w:pPr>
      <w:r>
        <w:t>L’acheteur se réserve la possibilité de négocier dans les conditions prévues à l’article R.2123-5 du CCP. Les modalités de la négociation sont précisées à l’article 4-3 du présent règlement.</w:t>
      </w:r>
    </w:p>
    <w:p w14:paraId="2D78DDBE" w14:textId="77777777" w:rsidR="008C7EB2" w:rsidRDefault="00F11FBB">
      <w:pPr>
        <w:pStyle w:val="Paragraphe"/>
        <w:rPr>
          <w:rFonts w:hint="eastAsia"/>
        </w:rPr>
      </w:pPr>
      <w:r>
        <w:t>Les exigences minimales que les offres doivent respecter, et qui ne peuvent faire l’objet de négociation, sont les suivantes :</w:t>
      </w:r>
    </w:p>
    <w:p w14:paraId="10DF7BDF" w14:textId="77777777" w:rsidR="008C7EB2" w:rsidRDefault="00F11FBB" w:rsidP="00F11FBB">
      <w:pPr>
        <w:pStyle w:val="Paragraphe"/>
        <w:numPr>
          <w:ilvl w:val="0"/>
          <w:numId w:val="2"/>
        </w:numPr>
        <w:rPr>
          <w:rFonts w:hint="eastAsia"/>
        </w:rPr>
      </w:pPr>
      <w:proofErr w:type="gramStart"/>
      <w:r>
        <w:t>conformité</w:t>
      </w:r>
      <w:proofErr w:type="gramEnd"/>
      <w:r>
        <w:t xml:space="preserve"> aux exigences techniques et réglementaires fixées au CCTP, notamment celles relatives à la sécurité incendie en ERP de type W de 5e catégorie ;</w:t>
      </w:r>
    </w:p>
    <w:p w14:paraId="689FD62D" w14:textId="77777777" w:rsidR="008C7EB2" w:rsidRDefault="00F11FBB" w:rsidP="00F11FBB">
      <w:pPr>
        <w:pStyle w:val="Paragraphe"/>
        <w:numPr>
          <w:ilvl w:val="0"/>
          <w:numId w:val="2"/>
        </w:numPr>
        <w:rPr>
          <w:rFonts w:hint="eastAsia"/>
        </w:rPr>
      </w:pPr>
      <w:proofErr w:type="gramStart"/>
      <w:r>
        <w:t>respect</w:t>
      </w:r>
      <w:proofErr w:type="gramEnd"/>
      <w:r>
        <w:t xml:space="preserve"> des dérogations actées par la Sous-commission départementale de sécurité (SCDS 92) ;</w:t>
      </w:r>
    </w:p>
    <w:p w14:paraId="56E87714" w14:textId="77777777" w:rsidR="008C7EB2" w:rsidRDefault="00F11FBB" w:rsidP="00F11FBB">
      <w:pPr>
        <w:pStyle w:val="Paragraphe"/>
        <w:numPr>
          <w:ilvl w:val="0"/>
          <w:numId w:val="2"/>
        </w:numPr>
        <w:rPr>
          <w:rFonts w:hint="eastAsia"/>
        </w:rPr>
      </w:pPr>
      <w:proofErr w:type="gramStart"/>
      <w:r>
        <w:t>respect</w:t>
      </w:r>
      <w:proofErr w:type="gramEnd"/>
      <w:r>
        <w:t xml:space="preserve"> des prescriptions de la maîtrise d’œuvre, du bureau de contrôle technique et du coordonnateur en matière de sécurité et de protection de la santé ;</w:t>
      </w:r>
    </w:p>
    <w:p w14:paraId="2F2D2856" w14:textId="77777777" w:rsidR="008C7EB2" w:rsidRDefault="00F11FBB" w:rsidP="00F11FBB">
      <w:pPr>
        <w:pStyle w:val="Paragraphe"/>
        <w:numPr>
          <w:ilvl w:val="0"/>
          <w:numId w:val="2"/>
        </w:numPr>
        <w:rPr>
          <w:rFonts w:hint="eastAsia"/>
        </w:rPr>
      </w:pPr>
      <w:proofErr w:type="gramStart"/>
      <w:r>
        <w:t>respect</w:t>
      </w:r>
      <w:proofErr w:type="gramEnd"/>
      <w:r>
        <w:t xml:space="preserve"> des délais d’exécution fixés à l’article 3 de l’acte d’engagement.</w:t>
      </w:r>
    </w:p>
    <w:p w14:paraId="72713E8F" w14:textId="77777777" w:rsidR="008C7EB2" w:rsidRPr="00F11FBB" w:rsidRDefault="00F11FBB">
      <w:pPr>
        <w:pStyle w:val="Titre2"/>
        <w:tabs>
          <w:tab w:val="left" w:pos="0"/>
        </w:tabs>
        <w:ind w:firstLine="0"/>
        <w:rPr>
          <w:rFonts w:hint="eastAsia"/>
        </w:rPr>
      </w:pPr>
      <w:bookmarkStart w:id="17" w:name="_Toc236813689"/>
      <w:r>
        <w:t>2-8. Délai d'exécution des travaux</w:t>
      </w:r>
      <w:bookmarkEnd w:id="17"/>
    </w:p>
    <w:p w14:paraId="7D79F38C" w14:textId="77777777" w:rsidR="008C7EB2" w:rsidRPr="00F11FBB" w:rsidRDefault="00F11FBB">
      <w:pPr>
        <w:pStyle w:val="Paragraphe"/>
        <w:rPr>
          <w:rFonts w:hint="eastAsia"/>
        </w:rPr>
      </w:pPr>
      <w:r>
        <w:t>Le délai d'exécution des travaux est fixé dans l'acte d'engagement.</w:t>
      </w:r>
    </w:p>
    <w:p w14:paraId="4A814EF3" w14:textId="77777777" w:rsidR="008C7EB2" w:rsidRDefault="008C7EB2">
      <w:pPr>
        <w:pStyle w:val="Paragraphe"/>
        <w:rPr>
          <w:rFonts w:hint="eastAsia"/>
        </w:rPr>
      </w:pPr>
    </w:p>
    <w:p w14:paraId="5DBE9B50" w14:textId="77777777" w:rsidR="008C7EB2" w:rsidRDefault="00F11FBB">
      <w:pPr>
        <w:pStyle w:val="Titre2"/>
        <w:tabs>
          <w:tab w:val="left" w:pos="0"/>
        </w:tabs>
        <w:ind w:firstLine="0"/>
        <w:rPr>
          <w:rFonts w:hint="eastAsia"/>
        </w:rPr>
      </w:pPr>
      <w:bookmarkStart w:id="18" w:name="_Toc236813690"/>
      <w:r>
        <w:t>2-9. Conditions d'obtention des documents de consultation</w:t>
      </w:r>
      <w:bookmarkEnd w:id="18"/>
    </w:p>
    <w:p w14:paraId="74594080" w14:textId="77777777" w:rsidR="008C7EB2" w:rsidRDefault="008C7EB2">
      <w:pPr>
        <w:rPr>
          <w:rFonts w:hint="eastAsia"/>
          <w:b/>
        </w:rPr>
      </w:pPr>
    </w:p>
    <w:p w14:paraId="1F0C52AE" w14:textId="37A56094" w:rsidR="008C7EB2" w:rsidRPr="00020FB5" w:rsidRDefault="00F11FBB">
      <w:pPr>
        <w:rPr>
          <w:rFonts w:hint="eastAsia"/>
          <w:highlight w:val="yellow"/>
        </w:rPr>
      </w:pPr>
      <w:r>
        <w:t xml:space="preserve">Les candidats peuvent obtenir les documents de la consultation par téléchargement à l’adresse suivante : </w:t>
      </w:r>
      <w:r>
        <w:rPr>
          <w:u w:val="single"/>
        </w:rPr>
        <w:t>https://www.marches-publics.gouv.fr</w:t>
      </w:r>
      <w:r>
        <w:t xml:space="preserve">, cliquez sur « recherche avancée » puis </w:t>
      </w:r>
      <w:proofErr w:type="gramStart"/>
      <w:r w:rsidRPr="00020FB5">
        <w:rPr>
          <w:highlight w:val="yellow"/>
        </w:rPr>
        <w:t>indiquez  dans</w:t>
      </w:r>
      <w:proofErr w:type="gramEnd"/>
      <w:r w:rsidRPr="00020FB5">
        <w:rPr>
          <w:highlight w:val="yellow"/>
        </w:rPr>
        <w:t xml:space="preserve"> « référence » : </w:t>
      </w:r>
      <w:r w:rsidR="0024796A" w:rsidRPr="0024796A">
        <w:rPr>
          <w:rFonts w:hint="eastAsia"/>
        </w:rPr>
        <w:t>DIP_TVX_REHAB_TP_ASNIERES_2026</w:t>
      </w:r>
    </w:p>
    <w:p w14:paraId="36CCB182" w14:textId="77777777" w:rsidR="008C7EB2" w:rsidRPr="00020FB5" w:rsidRDefault="008C7EB2">
      <w:pPr>
        <w:rPr>
          <w:rFonts w:hint="eastAsia"/>
          <w:b/>
          <w:bCs/>
          <w:highlight w:val="yellow"/>
        </w:rPr>
      </w:pPr>
    </w:p>
    <w:p w14:paraId="65C288F6" w14:textId="77777777" w:rsidR="008C7EB2" w:rsidRPr="00020FB5" w:rsidRDefault="00F11FBB">
      <w:pPr>
        <w:rPr>
          <w:rFonts w:hint="eastAsia"/>
          <w:b/>
          <w:bCs/>
          <w:highlight w:val="yellow"/>
        </w:rPr>
      </w:pPr>
      <w:r w:rsidRPr="00020FB5">
        <w:rPr>
          <w:b/>
          <w:bCs/>
          <w:highlight w:val="yellow"/>
        </w:rPr>
        <w:t>Lien direct :</w:t>
      </w:r>
    </w:p>
    <w:p w14:paraId="730D432B" w14:textId="77777777" w:rsidR="008C7EB2" w:rsidRDefault="00F11FBB">
      <w:pPr>
        <w:rPr>
          <w:rFonts w:hint="eastAsia"/>
          <w:b/>
          <w:bCs/>
        </w:rPr>
      </w:pPr>
      <w:proofErr w:type="gramStart"/>
      <w:r w:rsidRPr="00020FB5">
        <w:rPr>
          <w:highlight w:val="yellow"/>
        </w:rPr>
        <w:t>xx</w:t>
      </w:r>
      <w:proofErr w:type="gramEnd"/>
    </w:p>
    <w:p w14:paraId="5ED6C7D9" w14:textId="77777777" w:rsidR="008C7EB2" w:rsidRDefault="008C7EB2">
      <w:pPr>
        <w:rPr>
          <w:rFonts w:hint="eastAsia"/>
          <w:b/>
          <w:bCs/>
        </w:rPr>
      </w:pPr>
    </w:p>
    <w:p w14:paraId="74CE984E" w14:textId="77777777" w:rsidR="008C7EB2" w:rsidRDefault="008C7EB2">
      <w:pPr>
        <w:rPr>
          <w:rFonts w:hint="eastAsia"/>
          <w:i/>
          <w:sz w:val="20"/>
          <w:szCs w:val="20"/>
        </w:rPr>
      </w:pPr>
    </w:p>
    <w:p w14:paraId="34B5F115" w14:textId="77777777" w:rsidR="008C7EB2" w:rsidRPr="00D04D6D" w:rsidRDefault="00F11FBB">
      <w:pPr>
        <w:pStyle w:val="Titre2"/>
        <w:tabs>
          <w:tab w:val="left" w:pos="0"/>
        </w:tabs>
        <w:ind w:firstLine="0"/>
        <w:rPr>
          <w:rFonts w:hint="eastAsia"/>
        </w:rPr>
      </w:pPr>
      <w:bookmarkStart w:id="19" w:name="_Toc236813691"/>
      <w:r w:rsidRPr="00D04D6D">
        <w:t>2-10. Date et heure limite de réception des candidatures</w:t>
      </w:r>
      <w:bookmarkEnd w:id="19"/>
    </w:p>
    <w:p w14:paraId="42EE7923" w14:textId="77777777" w:rsidR="008C7EB2" w:rsidRPr="00D04D6D" w:rsidRDefault="008C7EB2">
      <w:pPr>
        <w:rPr>
          <w:rFonts w:hint="eastAsia"/>
          <w:sz w:val="20"/>
          <w:szCs w:val="20"/>
        </w:rPr>
      </w:pPr>
    </w:p>
    <w:p w14:paraId="51AA0AA2" w14:textId="6253EDE2" w:rsidR="008C7EB2" w:rsidRDefault="00D04D6D">
      <w:pPr>
        <w:rPr>
          <w:rFonts w:hint="eastAsia"/>
          <w:b/>
          <w:bCs/>
          <w:color w:val="0000FF"/>
          <w:u w:val="single"/>
        </w:rPr>
      </w:pPr>
      <w:r w:rsidRPr="00D04D6D">
        <w:rPr>
          <w:b/>
          <w:bCs/>
          <w:color w:val="0000FF"/>
          <w:u w:val="single"/>
        </w:rPr>
        <w:t>09 octobre 2026</w:t>
      </w:r>
      <w:r w:rsidR="007934D8" w:rsidRPr="00D04D6D">
        <w:rPr>
          <w:b/>
          <w:bCs/>
          <w:color w:val="0000FF"/>
          <w:u w:val="single"/>
        </w:rPr>
        <w:t xml:space="preserve"> </w:t>
      </w:r>
      <w:r w:rsidR="005261C9" w:rsidRPr="00D04D6D">
        <w:rPr>
          <w:b/>
          <w:bCs/>
          <w:color w:val="0000FF"/>
          <w:u w:val="single"/>
        </w:rPr>
        <w:t>à 12h00 (12h 00min 00sec - heure de Paris).</w:t>
      </w:r>
    </w:p>
    <w:p w14:paraId="0366B74E" w14:textId="77777777" w:rsidR="008C7EB2" w:rsidRDefault="008C7EB2">
      <w:pPr>
        <w:rPr>
          <w:rFonts w:hint="eastAsia"/>
          <w:b/>
          <w:bCs/>
          <w:color w:val="0000FF"/>
          <w:sz w:val="20"/>
          <w:szCs w:val="20"/>
          <w:u w:val="single"/>
        </w:rPr>
      </w:pPr>
    </w:p>
    <w:p w14:paraId="1692E5A2" w14:textId="77777777" w:rsidR="008C7EB2" w:rsidRDefault="008C7EB2">
      <w:pPr>
        <w:rPr>
          <w:rFonts w:hint="eastAsia"/>
          <w:b/>
          <w:sz w:val="20"/>
          <w:szCs w:val="20"/>
          <w:u w:val="single"/>
        </w:rPr>
      </w:pPr>
    </w:p>
    <w:p w14:paraId="1C803778" w14:textId="77777777" w:rsidR="008C7EB2" w:rsidRDefault="00F11FBB">
      <w:pPr>
        <w:pStyle w:val="Titre2"/>
        <w:tabs>
          <w:tab w:val="left" w:pos="0"/>
        </w:tabs>
        <w:ind w:firstLine="0"/>
        <w:rPr>
          <w:rFonts w:hint="eastAsia"/>
        </w:rPr>
      </w:pPr>
      <w:bookmarkStart w:id="20" w:name="_Toc236813692"/>
      <w:r>
        <w:t>2-11. Langue devant être utilisée dans l'offre</w:t>
      </w:r>
      <w:bookmarkEnd w:id="20"/>
    </w:p>
    <w:p w14:paraId="7DDCB23C" w14:textId="77777777" w:rsidR="008C7EB2" w:rsidRDefault="00F11FBB">
      <w:pPr>
        <w:rPr>
          <w:rFonts w:hint="eastAsia"/>
        </w:rPr>
      </w:pPr>
      <w:r>
        <w:t>Français.</w:t>
      </w:r>
    </w:p>
    <w:p w14:paraId="16AE981E" w14:textId="77777777" w:rsidR="008C7EB2" w:rsidRDefault="008C7EB2">
      <w:pPr>
        <w:pStyle w:val="Paragraphe"/>
        <w:rPr>
          <w:rFonts w:hint="eastAsia"/>
        </w:rPr>
      </w:pPr>
    </w:p>
    <w:p w14:paraId="430E752A" w14:textId="77777777" w:rsidR="008C7EB2" w:rsidRDefault="00F11FBB">
      <w:pPr>
        <w:pStyle w:val="Titre2"/>
        <w:tabs>
          <w:tab w:val="left" w:pos="0"/>
        </w:tabs>
        <w:ind w:firstLine="0"/>
        <w:rPr>
          <w:rFonts w:hint="eastAsia"/>
        </w:rPr>
      </w:pPr>
      <w:bookmarkStart w:id="21" w:name="_Toc236813693"/>
      <w:r>
        <w:t>2-12. Questions et modifications de détail au dossier de consultation</w:t>
      </w:r>
      <w:bookmarkEnd w:id="21"/>
    </w:p>
    <w:p w14:paraId="1CB1A3ED" w14:textId="77777777" w:rsidR="008C7EB2" w:rsidRDefault="00F11FBB">
      <w:pPr>
        <w:pStyle w:val="Paragraphe"/>
        <w:spacing w:before="0"/>
        <w:rPr>
          <w:rFonts w:hint="eastAsia"/>
        </w:rPr>
      </w:pPr>
      <w:r>
        <w:t>L’acheteur se réserve le droit d'apporter au plus tard dix jours (10) avant la date limite fixée pour la réception des candidatures, des modifications de détail au dossier de consultation.</w:t>
      </w:r>
    </w:p>
    <w:p w14:paraId="65EA8281" w14:textId="77777777" w:rsidR="008C7EB2" w:rsidRDefault="008C7EB2">
      <w:pPr>
        <w:pStyle w:val="Paragraphe"/>
        <w:spacing w:before="0"/>
        <w:rPr>
          <w:rFonts w:hint="eastAsia"/>
        </w:rPr>
      </w:pPr>
    </w:p>
    <w:p w14:paraId="709D6CAC" w14:textId="77777777" w:rsidR="008C7EB2" w:rsidRDefault="00F11FBB">
      <w:pPr>
        <w:pStyle w:val="Paragraphe"/>
        <w:spacing w:before="0"/>
        <w:rPr>
          <w:rFonts w:hint="eastAsia"/>
        </w:rPr>
      </w:pPr>
      <w:r>
        <w:t xml:space="preserve">Il doit informer l'ensemble des candidats dans des conditions respectueuses du principe d'égalité. Les candidats devront alors répondre sur la base du dossier modifié sans pouvoir n’élever aucune </w:t>
      </w:r>
      <w:r>
        <w:lastRenderedPageBreak/>
        <w:t>réclamation à ce sujet.</w:t>
      </w:r>
    </w:p>
    <w:p w14:paraId="625EEC35" w14:textId="77777777" w:rsidR="008C7EB2" w:rsidRDefault="008C7EB2">
      <w:pPr>
        <w:pStyle w:val="Paragraphe"/>
        <w:spacing w:before="0"/>
        <w:rPr>
          <w:rFonts w:hint="eastAsia"/>
        </w:rPr>
      </w:pPr>
    </w:p>
    <w:p w14:paraId="6E98927B" w14:textId="77777777" w:rsidR="008C7EB2" w:rsidRDefault="00F11FBB">
      <w:pPr>
        <w:pStyle w:val="Paragraphe"/>
        <w:spacing w:before="0"/>
        <w:rPr>
          <w:rFonts w:hint="eastAsia"/>
        </w:rPr>
      </w:pPr>
      <w:r>
        <w:t xml:space="preserve">Les candidats peuvent poser leurs questions sur le profil acheteur du maitre d’ouvrage, </w:t>
      </w:r>
      <w:hyperlink r:id="rId9">
        <w:r>
          <w:rPr>
            <w:rStyle w:val="Lienhypertexte"/>
          </w:rPr>
          <w:t>https://www.marches-publics.gouv.fr</w:t>
        </w:r>
      </w:hyperlink>
      <w:r>
        <w:t>, dans la consultation « XXX » au plus tard dix jours (10) avant la date limite fixée pour la réception des candidatures.</w:t>
      </w:r>
    </w:p>
    <w:p w14:paraId="42E2FE34" w14:textId="77777777" w:rsidR="00124992" w:rsidRDefault="00124992">
      <w:pPr>
        <w:pStyle w:val="Paragraphe"/>
        <w:rPr>
          <w:rFonts w:hint="eastAsia"/>
        </w:rPr>
      </w:pPr>
      <w:bookmarkStart w:id="22" w:name="_Hlk236399537"/>
      <w:r>
        <w:rPr>
          <w:b/>
          <w:bCs/>
        </w:rPr>
        <w:t>Il est formellement interdit de contacter directement le maître d’ouvrage ou un de ses représentants sous peine d’exclusion de la procédure.</w:t>
      </w:r>
      <w:r>
        <w:t xml:space="preserve"> </w:t>
      </w:r>
      <w:bookmarkStart w:id="23" w:name="_Hlk236399564"/>
      <w:bookmarkEnd w:id="22"/>
      <w:r>
        <w:t>Tout échange se fait exclusivement via la plateforme PLACE à l’adresse indiquée ci-dessus.</w:t>
      </w:r>
      <w:bookmarkEnd w:id="23"/>
    </w:p>
    <w:p w14:paraId="42F0415A" w14:textId="77777777" w:rsidR="00792994" w:rsidRDefault="00792994">
      <w:pPr>
        <w:pStyle w:val="Paragraphe"/>
        <w:rPr>
          <w:rFonts w:hint="eastAsia"/>
        </w:rPr>
      </w:pPr>
    </w:p>
    <w:p w14:paraId="6E3861BB" w14:textId="77777777" w:rsidR="008C7EB2" w:rsidRDefault="00F11FBB">
      <w:pPr>
        <w:rPr>
          <w:b/>
          <w:bCs/>
          <w:highlight w:val="yellow"/>
        </w:rPr>
      </w:pPr>
      <w:r w:rsidRPr="00D04D6D">
        <w:rPr>
          <w:b/>
          <w:bCs/>
          <w:highlight w:val="yellow"/>
        </w:rPr>
        <w:t>Lien direct :</w:t>
      </w:r>
    </w:p>
    <w:p w14:paraId="06BDCA6D" w14:textId="6F9F932A" w:rsidR="0024796A" w:rsidRPr="00D04D6D" w:rsidRDefault="0024796A">
      <w:pPr>
        <w:rPr>
          <w:rFonts w:hint="eastAsia"/>
          <w:b/>
          <w:bCs/>
          <w:highlight w:val="yellow"/>
        </w:rPr>
      </w:pPr>
      <w:r w:rsidRPr="0024796A">
        <w:rPr>
          <w:rFonts w:hint="eastAsia"/>
          <w:b/>
          <w:bCs/>
        </w:rPr>
        <w:t>DIP_TVX_REHAB_TP_ASNIERES_2026</w:t>
      </w:r>
    </w:p>
    <w:p w14:paraId="040A3641" w14:textId="77777777" w:rsidR="008C7EB2" w:rsidRDefault="0024796A">
      <w:pPr>
        <w:rPr>
          <w:rFonts w:hint="eastAsia"/>
          <w:b/>
          <w:bCs/>
        </w:rPr>
      </w:pPr>
      <w:hyperlink r:id="rId10">
        <w:proofErr w:type="gramStart"/>
        <w:r w:rsidR="00C107A3" w:rsidRPr="00D04D6D">
          <w:rPr>
            <w:rStyle w:val="Lienhypertexte"/>
            <w:highlight w:val="yellow"/>
            <w:shd w:val="clear" w:color="auto" w:fill="F3F1F2"/>
          </w:rPr>
          <w:t>xx</w:t>
        </w:r>
        <w:proofErr w:type="gramEnd"/>
      </w:hyperlink>
      <w:r w:rsidR="00C107A3">
        <w:rPr>
          <w:color w:val="666666"/>
          <w:shd w:val="clear" w:color="auto" w:fill="F3F1F2"/>
        </w:rPr>
        <w:t xml:space="preserve"> </w:t>
      </w:r>
    </w:p>
    <w:p w14:paraId="16CFFDB5" w14:textId="77777777" w:rsidR="008C7EB2" w:rsidRDefault="008C7EB2">
      <w:pPr>
        <w:pStyle w:val="Paragraphe"/>
        <w:spacing w:before="0"/>
        <w:rPr>
          <w:rFonts w:hint="eastAsia"/>
          <w:b/>
          <w:bCs/>
        </w:rPr>
      </w:pPr>
    </w:p>
    <w:p w14:paraId="4444D508" w14:textId="77777777" w:rsidR="008C7EB2" w:rsidRDefault="00F11FBB">
      <w:pPr>
        <w:pStyle w:val="Paragraphe"/>
        <w:spacing w:before="0"/>
        <w:rPr>
          <w:rFonts w:hint="eastAsia"/>
        </w:rPr>
      </w:pPr>
      <w:r>
        <w:t>Les réponses seront disponibles sur cette même plateforme.</w:t>
      </w:r>
    </w:p>
    <w:p w14:paraId="1FAD6A4D" w14:textId="77777777" w:rsidR="008C7EB2" w:rsidRDefault="00F11FBB">
      <w:pPr>
        <w:pStyle w:val="Titre2"/>
        <w:numPr>
          <w:ilvl w:val="2"/>
          <w:numId w:val="1"/>
        </w:numPr>
        <w:rPr>
          <w:rFonts w:hint="eastAsia"/>
        </w:rPr>
      </w:pPr>
      <w:bookmarkStart w:id="24" w:name="_Toc236813694"/>
      <w:r>
        <w:t>2-13. Délai de validité des offres</w:t>
      </w:r>
      <w:bookmarkEnd w:id="24"/>
    </w:p>
    <w:p w14:paraId="5AD3D002" w14:textId="18E39AA4" w:rsidR="008C7EB2" w:rsidRPr="00020FB5" w:rsidRDefault="00F11FBB">
      <w:pPr>
        <w:pStyle w:val="Paragraphe"/>
        <w:rPr>
          <w:rFonts w:hint="eastAsia"/>
          <w:color w:val="000000" w:themeColor="text1"/>
        </w:rPr>
      </w:pPr>
      <w:r w:rsidRPr="00020FB5">
        <w:rPr>
          <w:color w:val="000000" w:themeColor="text1"/>
        </w:rPr>
        <w:t>Le délai de validité des offres</w:t>
      </w:r>
      <w:r w:rsidR="00020FB5" w:rsidRPr="00020FB5">
        <w:rPr>
          <w:color w:val="000000" w:themeColor="text1"/>
        </w:rPr>
        <w:t xml:space="preserve"> : nous </w:t>
      </w:r>
      <w:r w:rsidR="004C188E" w:rsidRPr="00020FB5">
        <w:rPr>
          <w:color w:val="000000" w:themeColor="text1"/>
        </w:rPr>
        <w:t>demandons à ce que les entreprises prévoie</w:t>
      </w:r>
      <w:r w:rsidR="004C188E" w:rsidRPr="00020FB5">
        <w:rPr>
          <w:rFonts w:hint="eastAsia"/>
          <w:color w:val="000000" w:themeColor="text1"/>
        </w:rPr>
        <w:t>nt</w:t>
      </w:r>
      <w:r w:rsidR="004C188E" w:rsidRPr="00020FB5">
        <w:rPr>
          <w:color w:val="000000" w:themeColor="text1"/>
        </w:rPr>
        <w:t xml:space="preserve"> des </w:t>
      </w:r>
      <w:r w:rsidR="004C188E" w:rsidRPr="00020FB5">
        <w:rPr>
          <w:b/>
          <w:bCs/>
          <w:color w:val="000000" w:themeColor="text1"/>
        </w:rPr>
        <w:t xml:space="preserve">offres d’une validité de </w:t>
      </w:r>
      <w:r w:rsidR="001D1114">
        <w:rPr>
          <w:b/>
          <w:bCs/>
          <w:color w:val="000000" w:themeColor="text1"/>
        </w:rPr>
        <w:t>190 jours</w:t>
      </w:r>
      <w:r w:rsidRPr="00020FB5">
        <w:rPr>
          <w:b/>
          <w:bCs/>
          <w:color w:val="000000" w:themeColor="text1"/>
        </w:rPr>
        <w:t>.</w:t>
      </w:r>
      <w:r w:rsidRPr="00020FB5">
        <w:rPr>
          <w:color w:val="000000" w:themeColor="text1"/>
        </w:rPr>
        <w:t xml:space="preserve"> Il court à compter de la date limite fixée pour la remise des offres.</w:t>
      </w:r>
    </w:p>
    <w:p w14:paraId="0ADFB3DF" w14:textId="77777777" w:rsidR="008C7EB2" w:rsidRDefault="008C7EB2">
      <w:pPr>
        <w:pStyle w:val="Paragraphe"/>
        <w:rPr>
          <w:rFonts w:hint="eastAsia"/>
        </w:rPr>
      </w:pPr>
    </w:p>
    <w:p w14:paraId="43042F01" w14:textId="77777777" w:rsidR="008C7EB2" w:rsidRDefault="00F11FBB">
      <w:pPr>
        <w:pStyle w:val="Titre2"/>
        <w:numPr>
          <w:ilvl w:val="2"/>
          <w:numId w:val="1"/>
        </w:numPr>
        <w:tabs>
          <w:tab w:val="left" w:pos="0"/>
        </w:tabs>
        <w:rPr>
          <w:rFonts w:hint="eastAsia"/>
        </w:rPr>
      </w:pPr>
      <w:bookmarkStart w:id="25" w:name="_Toc236813695"/>
      <w:bookmarkStart w:id="26" w:name="_Hlk236399649"/>
      <w:r>
        <w:t>2-14. Réalisation de prestations similaires</w:t>
      </w:r>
      <w:bookmarkEnd w:id="25"/>
    </w:p>
    <w:p w14:paraId="128C0DA9" w14:textId="77777777" w:rsidR="008C7EB2" w:rsidRDefault="00F11FBB">
      <w:pPr>
        <w:pStyle w:val="Paragraphe"/>
        <w:rPr>
          <w:rFonts w:hint="eastAsia"/>
        </w:rPr>
      </w:pPr>
      <w:r>
        <w:t>L’acheteur se réserve la possibilité de confier ultérieurement au titulaire du marché, en application des articles L. 2122-1 et R. 2122-7 du CCP, un ou plusieurs nouveaux marchés ayant pour objet la réalisation de prestations similaires.</w:t>
      </w:r>
    </w:p>
    <w:bookmarkEnd w:id="26"/>
    <w:p w14:paraId="21F4CD22" w14:textId="77777777" w:rsidR="008C7EB2" w:rsidRDefault="008C7EB2">
      <w:pPr>
        <w:pStyle w:val="Paragraphe"/>
        <w:rPr>
          <w:rFonts w:hint="eastAsia"/>
        </w:rPr>
      </w:pPr>
    </w:p>
    <w:p w14:paraId="476E68CB" w14:textId="77777777" w:rsidR="008C7EB2" w:rsidRPr="004C0BDB" w:rsidRDefault="00F11FBB">
      <w:pPr>
        <w:pStyle w:val="Titre2"/>
        <w:tabs>
          <w:tab w:val="left" w:pos="0"/>
        </w:tabs>
        <w:ind w:firstLine="0"/>
        <w:rPr>
          <w:rFonts w:hint="eastAsia"/>
        </w:rPr>
      </w:pPr>
      <w:bookmarkStart w:id="27" w:name="_Toc236813696"/>
      <w:r w:rsidRPr="004C0BDB">
        <w:t>2-15. Clause environnementale</w:t>
      </w:r>
      <w:bookmarkEnd w:id="27"/>
    </w:p>
    <w:p w14:paraId="71B70C9C" w14:textId="77777777" w:rsidR="008C7EB2" w:rsidRPr="004C0BDB" w:rsidRDefault="00F11FBB">
      <w:pPr>
        <w:pStyle w:val="Paragraphe"/>
        <w:rPr>
          <w:rFonts w:hint="eastAsia"/>
        </w:rPr>
      </w:pPr>
      <w:bookmarkStart w:id="28" w:name="_Hlk236400014"/>
      <w:r w:rsidRPr="004C0BDB">
        <w:t>La consultation intègre une clause environnementale conformément à l’article L.2152-7 du CCP et à la politique d’achats responsables du ministère de la Justice. Les exigences environnementales portent notamment sur :</w:t>
      </w:r>
    </w:p>
    <w:p w14:paraId="166BA6D9" w14:textId="77777777" w:rsidR="008C7EB2" w:rsidRPr="004C0BDB" w:rsidRDefault="00F11FBB" w:rsidP="00C71106">
      <w:pPr>
        <w:pStyle w:val="Paragraphe"/>
        <w:numPr>
          <w:ilvl w:val="0"/>
          <w:numId w:val="15"/>
        </w:numPr>
        <w:rPr>
          <w:rFonts w:hint="eastAsia"/>
        </w:rPr>
      </w:pPr>
      <w:proofErr w:type="gramStart"/>
      <w:r w:rsidRPr="004C0BDB">
        <w:t>la</w:t>
      </w:r>
      <w:proofErr w:type="gramEnd"/>
      <w:r w:rsidRPr="004C0BDB">
        <w:t xml:space="preserve"> gestion et la valorisation des déchets de chantier </w:t>
      </w:r>
    </w:p>
    <w:p w14:paraId="3AEC9525" w14:textId="77777777" w:rsidR="008C7EB2" w:rsidRPr="004C0BDB" w:rsidRDefault="00F11FBB" w:rsidP="00C71106">
      <w:pPr>
        <w:pStyle w:val="Paragraphe"/>
        <w:numPr>
          <w:ilvl w:val="0"/>
          <w:numId w:val="15"/>
        </w:numPr>
        <w:rPr>
          <w:rFonts w:hint="eastAsia"/>
        </w:rPr>
      </w:pPr>
      <w:proofErr w:type="gramStart"/>
      <w:r w:rsidRPr="004C0BDB">
        <w:t>le</w:t>
      </w:r>
      <w:proofErr w:type="gramEnd"/>
      <w:r w:rsidRPr="004C0BDB">
        <w:t xml:space="preserve"> réemploi des matériaux et équipements existants ;</w:t>
      </w:r>
    </w:p>
    <w:p w14:paraId="21227CC4" w14:textId="77777777" w:rsidR="008C7EB2" w:rsidRPr="004C0BDB" w:rsidRDefault="00F11FBB" w:rsidP="00C71106">
      <w:pPr>
        <w:pStyle w:val="Paragraphe"/>
        <w:numPr>
          <w:ilvl w:val="0"/>
          <w:numId w:val="15"/>
        </w:numPr>
        <w:rPr>
          <w:rFonts w:hint="eastAsia"/>
        </w:rPr>
      </w:pPr>
      <w:proofErr w:type="gramStart"/>
      <w:r w:rsidRPr="004C0BDB">
        <w:t>la</w:t>
      </w:r>
      <w:proofErr w:type="gramEnd"/>
      <w:r w:rsidRPr="004C0BDB">
        <w:t xml:space="preserve"> limitation des nuisances de chantier (bruit, poussière, émissions) ;</w:t>
      </w:r>
    </w:p>
    <w:p w14:paraId="43193A41" w14:textId="77777777" w:rsidR="008C7EB2" w:rsidRPr="004C0BDB" w:rsidRDefault="00F11FBB" w:rsidP="00C71106">
      <w:pPr>
        <w:pStyle w:val="Paragraphe"/>
        <w:numPr>
          <w:ilvl w:val="0"/>
          <w:numId w:val="15"/>
        </w:numPr>
        <w:rPr>
          <w:rFonts w:hint="eastAsia"/>
        </w:rPr>
      </w:pPr>
      <w:proofErr w:type="gramStart"/>
      <w:r w:rsidRPr="004C0BDB">
        <w:t>l’approvisionnement</w:t>
      </w:r>
      <w:proofErr w:type="gramEnd"/>
      <w:r w:rsidRPr="004C0BDB">
        <w:t xml:space="preserve"> en matériaux à faible impact environnemental, dont le sourcing local lorsque cela est techniquement possible.</w:t>
      </w:r>
    </w:p>
    <w:p w14:paraId="39DC9B4B" w14:textId="1FD9FC49" w:rsidR="008C7EB2" w:rsidRDefault="00F11FBB">
      <w:pPr>
        <w:pStyle w:val="Paragraphe"/>
        <w:rPr>
          <w:rFonts w:hint="eastAsia"/>
        </w:rPr>
      </w:pPr>
      <w:r w:rsidRPr="004C0BDB">
        <w:t>Ces exigences sont précisées au CCAP et au CCTP. Les offres sont analysées au regard d’un critère environnemental dédié (critère 3 — 1</w:t>
      </w:r>
      <w:r w:rsidR="00605153">
        <w:t>0</w:t>
      </w:r>
      <w:r w:rsidRPr="004C0BDB">
        <w:t> %), dont la pondération est fixée à l’article 4-2 du présent règlement. Ce critère est évalué sur la base du descriptif des mesures environnementales remis par le candidat dans son mémoire justificatif, au regard des sous-critères suivants : gestion et valorisation des déchets de chantier (SOGED) ; réemploi des matériaux et diagnostic PEMD ; limitation des nuisances de chantier (bruit, poussières, émissions) ; approvisionnement en matériaux à faible impact environnemental.</w:t>
      </w:r>
    </w:p>
    <w:bookmarkEnd w:id="28"/>
    <w:p w14:paraId="020013EC" w14:textId="77777777" w:rsidR="004C0BDB" w:rsidRDefault="004C0BDB">
      <w:pPr>
        <w:pStyle w:val="Paragraphe"/>
        <w:rPr>
          <w:rFonts w:hint="eastAsia"/>
        </w:rPr>
      </w:pPr>
    </w:p>
    <w:p w14:paraId="6907B9BB" w14:textId="77777777" w:rsidR="004C0BDB" w:rsidRPr="004C0BDB" w:rsidRDefault="004C0BDB">
      <w:pPr>
        <w:pStyle w:val="Paragraphe"/>
        <w:rPr>
          <w:rFonts w:hint="eastAsia"/>
        </w:rPr>
      </w:pPr>
    </w:p>
    <w:p w14:paraId="5F3E5141" w14:textId="77777777" w:rsidR="008C7EB2" w:rsidRDefault="00F11FBB">
      <w:pPr>
        <w:pStyle w:val="Titre1"/>
        <w:tabs>
          <w:tab w:val="left" w:pos="0"/>
        </w:tabs>
        <w:ind w:firstLine="0"/>
        <w:rPr>
          <w:rFonts w:hint="eastAsia"/>
        </w:rPr>
      </w:pPr>
      <w:bookmarkStart w:id="29" w:name="_Toc236813697"/>
      <w:r w:rsidRPr="004C0BDB">
        <w:lastRenderedPageBreak/>
        <w:t xml:space="preserve">ARTICLE 3. </w:t>
      </w:r>
      <w:r w:rsidRPr="004C0BDB">
        <w:rPr>
          <w:caps/>
        </w:rPr>
        <w:t>Présentation des</w:t>
      </w:r>
      <w:r>
        <w:rPr>
          <w:caps/>
        </w:rPr>
        <w:t xml:space="preserve"> candidatures et des offres</w:t>
      </w:r>
      <w:bookmarkEnd w:id="29"/>
    </w:p>
    <w:p w14:paraId="74C00F9D" w14:textId="77777777" w:rsidR="008C7EB2" w:rsidRDefault="00F11FBB">
      <w:pPr>
        <w:rPr>
          <w:rFonts w:hint="eastAsia"/>
        </w:rPr>
      </w:pPr>
      <w:r>
        <w:t>Les offres des candidats seront entièrement rédigées en langue française et exprimées en EURO.</w:t>
      </w:r>
    </w:p>
    <w:p w14:paraId="0723F48C" w14:textId="77777777" w:rsidR="008C7EB2" w:rsidRDefault="008C7EB2">
      <w:pPr>
        <w:rPr>
          <w:rFonts w:hint="eastAsia"/>
          <w:b/>
          <w:bCs/>
          <w:iCs/>
          <w:kern w:val="2"/>
          <w:sz w:val="28"/>
          <w:szCs w:val="28"/>
          <w:u w:val="single"/>
        </w:rPr>
      </w:pPr>
    </w:p>
    <w:p w14:paraId="096951BD" w14:textId="77777777" w:rsidR="008C7EB2" w:rsidRDefault="00F11FBB">
      <w:pPr>
        <w:rPr>
          <w:rFonts w:hint="eastAsia"/>
          <w:b/>
          <w:bCs/>
          <w:iCs/>
          <w:kern w:val="2"/>
          <w:sz w:val="28"/>
          <w:szCs w:val="28"/>
          <w:u w:val="single"/>
        </w:rPr>
      </w:pPr>
      <w:r>
        <w:t>Si les offres des candidats sont rédigées dans une autre langue, elles doivent être accompagnées</w:t>
      </w:r>
      <w:r>
        <w:rPr>
          <w:b/>
          <w:bCs/>
          <w:iCs/>
        </w:rPr>
        <w:t xml:space="preserve"> </w:t>
      </w:r>
      <w:r>
        <w:t>d'une traduction en français, cette traduction doit concerner l'ensemble des documents remis dans l'offre.</w:t>
      </w:r>
    </w:p>
    <w:p w14:paraId="28717FF3" w14:textId="77777777" w:rsidR="008C7EB2" w:rsidRDefault="00F11FBB">
      <w:pPr>
        <w:pStyle w:val="Titre2"/>
        <w:spacing w:line="255" w:lineRule="atLeast"/>
        <w:ind w:left="301" w:right="23"/>
        <w:rPr>
          <w:rFonts w:eastAsia="Times New Roman;Times New Roman"/>
          <w:lang w:eastAsia="fr-FR"/>
        </w:rPr>
      </w:pPr>
      <w:bookmarkStart w:id="30" w:name="_Toc236813698"/>
      <w:r>
        <w:t>3-1. Pièces de la candidature</w:t>
      </w:r>
      <w:bookmarkEnd w:id="30"/>
    </w:p>
    <w:p w14:paraId="25466146" w14:textId="77777777" w:rsidR="008C7EB2" w:rsidRDefault="00F11FBB">
      <w:pPr>
        <w:pStyle w:val="NormalWeb"/>
        <w:spacing w:line="255" w:lineRule="atLeast"/>
        <w:ind w:left="23" w:right="23"/>
        <w:jc w:val="both"/>
      </w:pPr>
      <w:r>
        <w:t>A l’appui de leur candidature, chaque candidat aura à produire un dossier complet comprenant les pièces suivantes :</w:t>
      </w:r>
    </w:p>
    <w:p w14:paraId="180E85A9" w14:textId="77777777" w:rsidR="008C7EB2" w:rsidRDefault="00F11FBB">
      <w:pPr>
        <w:pStyle w:val="NormalWeb"/>
        <w:spacing w:after="0" w:line="255" w:lineRule="atLeast"/>
        <w:ind w:left="23" w:right="-147"/>
        <w:jc w:val="both"/>
      </w:pPr>
      <w:r>
        <w:t>Pièces de la candidature telles que prévues aux articles L. 2142-1, R. 2142-3, R. 2142-4, R. 2143-3 et R. 2143-4 du CCP :</w:t>
      </w:r>
    </w:p>
    <w:p w14:paraId="2C8CAF4E" w14:textId="77777777" w:rsidR="003B43D4" w:rsidRDefault="003B43D4" w:rsidP="004C0BDB">
      <w:pPr>
        <w:pStyle w:val="NormalWeb"/>
        <w:spacing w:after="0" w:line="255" w:lineRule="atLeast"/>
        <w:ind w:right="23"/>
        <w:jc w:val="both"/>
      </w:pPr>
    </w:p>
    <w:p w14:paraId="75963F5E" w14:textId="77777777" w:rsidR="008C7EB2" w:rsidRDefault="00F11FBB">
      <w:pPr>
        <w:pStyle w:val="NormalWeb"/>
        <w:numPr>
          <w:ilvl w:val="1"/>
          <w:numId w:val="2"/>
        </w:numPr>
        <w:spacing w:after="23" w:line="255" w:lineRule="atLeast"/>
        <w:ind w:right="23"/>
        <w:jc w:val="both"/>
        <w:rPr>
          <w:b/>
          <w:bCs/>
        </w:rPr>
      </w:pPr>
      <w:r>
        <w:rPr>
          <w:b/>
          <w:bCs/>
        </w:rPr>
        <w:t>Renseignements concernant la situation juridique de l'entreprise :</w:t>
      </w:r>
    </w:p>
    <w:p w14:paraId="2009F169" w14:textId="77777777" w:rsidR="008C7EB2" w:rsidRDefault="008C7EB2">
      <w:pPr>
        <w:rPr>
          <w:rFonts w:hint="eastAsia"/>
          <w:b/>
          <w:bCs/>
        </w:rPr>
      </w:pPr>
    </w:p>
    <w:p w14:paraId="387F1F8A" w14:textId="77777777" w:rsidR="008C7EB2" w:rsidRDefault="00F11FBB">
      <w:pPr>
        <w:spacing w:line="276" w:lineRule="auto"/>
        <w:rPr>
          <w:rFonts w:hint="eastAsia"/>
        </w:rPr>
      </w:pPr>
      <w:r>
        <w:t xml:space="preserve">* Les documents et renseignements mentionnés à l'article R.2143-3 du CCP, à cet effet le candidat pourra utiliser les formulaires DC1 et DC2 téléchargeables sur le site </w:t>
      </w:r>
      <w:hyperlink r:id="rId11">
        <w:r>
          <w:rPr>
            <w:rStyle w:val="Lienhypertexte"/>
          </w:rPr>
          <w:t>https://www.economie.gouv.fr/daj/formulaires-declaration-du-candidat</w:t>
        </w:r>
      </w:hyperlink>
      <w:r>
        <w:t>.</w:t>
      </w:r>
    </w:p>
    <w:p w14:paraId="7FE9B52A" w14:textId="77777777" w:rsidR="008C7EB2" w:rsidRDefault="008C7EB2">
      <w:pPr>
        <w:spacing w:line="276" w:lineRule="auto"/>
        <w:rPr>
          <w:rFonts w:hint="eastAsia"/>
        </w:rPr>
      </w:pPr>
    </w:p>
    <w:p w14:paraId="43D809C3" w14:textId="77777777" w:rsidR="008C7EB2" w:rsidRDefault="00F11FBB">
      <w:pPr>
        <w:keepNext/>
        <w:numPr>
          <w:ilvl w:val="1"/>
          <w:numId w:val="2"/>
        </w:numPr>
        <w:spacing w:before="120"/>
        <w:rPr>
          <w:rFonts w:hint="eastAsia"/>
          <w:b/>
        </w:rPr>
      </w:pPr>
      <w:bookmarkStart w:id="31" w:name="RC_3_1_2_3a_a"/>
      <w:bookmarkEnd w:id="31"/>
      <w:r>
        <w:rPr>
          <w:b/>
        </w:rPr>
        <w:t>Capacité économique et financière - références requises :</w:t>
      </w:r>
    </w:p>
    <w:p w14:paraId="51FB6145" w14:textId="77777777" w:rsidR="008C7EB2" w:rsidRDefault="008C7EB2">
      <w:pPr>
        <w:rPr>
          <w:rFonts w:hint="eastAsia"/>
          <w:b/>
        </w:rPr>
      </w:pPr>
    </w:p>
    <w:p w14:paraId="33CF6F55" w14:textId="77777777" w:rsidR="008C7EB2" w:rsidRDefault="00F11FBB">
      <w:pPr>
        <w:rPr>
          <w:rFonts w:hint="eastAsia"/>
        </w:rPr>
      </w:pPr>
      <w:r>
        <w:t>* Une déclaration concernant le chiffre d'affaires global et le chiffre d'affaires concernant les travaux objet du marché, réalisés au cours des 3 derniers exercices disponibles ;</w:t>
      </w:r>
    </w:p>
    <w:p w14:paraId="5B04324F" w14:textId="77777777" w:rsidR="00124992" w:rsidRDefault="00124992">
      <w:pPr>
        <w:pStyle w:val="Paragraphe"/>
        <w:rPr>
          <w:rFonts w:hint="eastAsia"/>
        </w:rPr>
      </w:pPr>
      <w:r>
        <w:t>En application de l’article R. 2142-7 du code de la commande publique, le chiffre d’affaires minimal exigé est fixé à deux fois le montant estimé du lot concerné tel qu’indiqué dans l’avis de marché.</w:t>
      </w:r>
    </w:p>
    <w:p w14:paraId="37EECC7F" w14:textId="77777777" w:rsidR="008C7EB2" w:rsidRDefault="00F11FBB">
      <w:pPr>
        <w:rPr>
          <w:rFonts w:hint="eastAsia"/>
        </w:rPr>
      </w:pPr>
      <w:r>
        <w:t>* Une déclaration appropriée de banques ou preuve d'une assurance pour les risques professionnels par attestation conforme à l'article A 243-2 et suivants du code des assurances.</w:t>
      </w:r>
    </w:p>
    <w:p w14:paraId="5F27FBF3" w14:textId="77777777" w:rsidR="008C7EB2" w:rsidRDefault="008C7EB2">
      <w:pPr>
        <w:rPr>
          <w:rFonts w:hint="eastAsia"/>
        </w:rPr>
      </w:pPr>
    </w:p>
    <w:p w14:paraId="1BF994FD" w14:textId="77777777" w:rsidR="008C7EB2" w:rsidRDefault="008C7EB2">
      <w:pPr>
        <w:keepNext/>
        <w:spacing w:before="120"/>
        <w:rPr>
          <w:rFonts w:hint="eastAsia"/>
          <w:b/>
        </w:rPr>
      </w:pPr>
      <w:bookmarkStart w:id="32" w:name="RC_3_2_1_3c_a"/>
      <w:bookmarkEnd w:id="32"/>
    </w:p>
    <w:p w14:paraId="50D55D1D" w14:textId="77777777" w:rsidR="008C7EB2" w:rsidRDefault="00F11FBB">
      <w:pPr>
        <w:keepNext/>
        <w:numPr>
          <w:ilvl w:val="1"/>
          <w:numId w:val="2"/>
        </w:numPr>
        <w:spacing w:before="120"/>
        <w:rPr>
          <w:rFonts w:hint="eastAsia"/>
          <w:b/>
        </w:rPr>
      </w:pPr>
      <w:r>
        <w:rPr>
          <w:b/>
        </w:rPr>
        <w:t>Référence professionnelle et capacité technique - références requises :</w:t>
      </w:r>
    </w:p>
    <w:p w14:paraId="24620C03" w14:textId="77777777" w:rsidR="008C7EB2" w:rsidRDefault="008C7EB2">
      <w:pPr>
        <w:rPr>
          <w:rFonts w:hint="eastAsia"/>
          <w:b/>
        </w:rPr>
      </w:pPr>
    </w:p>
    <w:p w14:paraId="607386D6" w14:textId="77777777" w:rsidR="008C7EB2" w:rsidRDefault="00F11FBB">
      <w:pPr>
        <w:rPr>
          <w:rFonts w:hint="eastAsia"/>
        </w:rPr>
      </w:pPr>
      <w:r>
        <w:t>* La présentation d'une liste des travaux en cours d'exécution ou exécutés au cours des 5 dernières années, appuyée d'attestations de bonne exécution pour les travaux les plus importants. Ces attestations indiquent le montant, l'époque et le lieu d'exécution des travaux et précisent s'ils ont été effectués selon les règles de l'art et menés régulièrement à bonne fin.</w:t>
      </w:r>
    </w:p>
    <w:p w14:paraId="4B089EFA" w14:textId="77777777" w:rsidR="008C7EB2" w:rsidRDefault="00F11FBB">
      <w:pPr>
        <w:rPr>
          <w:rFonts w:hint="eastAsia"/>
        </w:rPr>
      </w:pPr>
      <w:r>
        <w:t>* L'indication des titres d'études et professionnels de l'opérateur économique et/ou des cadres de l'entreprise, et notamment des responsables de conduite des travaux de même nature que celle du marché ;</w:t>
      </w:r>
    </w:p>
    <w:p w14:paraId="24C7B17E" w14:textId="77777777" w:rsidR="008C7EB2" w:rsidRDefault="00F11FBB">
      <w:pPr>
        <w:rPr>
          <w:rFonts w:hint="eastAsia"/>
        </w:rPr>
      </w:pPr>
      <w:r>
        <w:t>* Une déclaration indiquant les effectifs moyens annuels du candidat et l'importance du personnel d'encadrement, pour chacune des 3 dernières années ;</w:t>
      </w:r>
    </w:p>
    <w:p w14:paraId="1BF0EBFE" w14:textId="77777777" w:rsidR="008C7EB2" w:rsidRDefault="00F11FBB">
      <w:pPr>
        <w:rPr>
          <w:rFonts w:hint="eastAsia"/>
        </w:rPr>
      </w:pPr>
      <w:bookmarkStart w:id="33" w:name="RC_3_1_2_3d_a"/>
      <w:r>
        <w:t>* Une déclaration indiquant l'outillage, le matériel et l'équipement technique dont le candidat dispose pour la réalisation du marché public</w:t>
      </w:r>
      <w:bookmarkEnd w:id="33"/>
      <w:r>
        <w:t>.</w:t>
      </w:r>
    </w:p>
    <w:p w14:paraId="049A321D" w14:textId="77777777" w:rsidR="008C7EB2" w:rsidRDefault="008C7EB2">
      <w:pPr>
        <w:rPr>
          <w:rFonts w:hint="eastAsia"/>
        </w:rPr>
      </w:pPr>
    </w:p>
    <w:p w14:paraId="2A8136E9" w14:textId="77777777" w:rsidR="008C7EB2" w:rsidRDefault="008C7EB2">
      <w:pPr>
        <w:pStyle w:val="NormalWeb"/>
        <w:spacing w:after="0" w:line="238" w:lineRule="atLeast"/>
        <w:jc w:val="both"/>
      </w:pPr>
    </w:p>
    <w:p w14:paraId="3A246136" w14:textId="77777777" w:rsidR="008C7EB2" w:rsidRDefault="00F11FBB">
      <w:pPr>
        <w:pStyle w:val="NormalWeb"/>
        <w:spacing w:after="0" w:line="255" w:lineRule="atLeast"/>
        <w:ind w:left="23" w:right="23"/>
        <w:jc w:val="both"/>
      </w:pPr>
      <w:r>
        <w:lastRenderedPageBreak/>
        <w:t xml:space="preserve">Pour justifier des capacités professionnelles, techniques et financières d'autres opérateurs économiques sur lesquels il s'appuie pour présenter sa candidature, le candidat produit les mêmes documents concernant cet opérateur économique que ceux qui lui sont exigés par l’acheteur. </w:t>
      </w:r>
    </w:p>
    <w:p w14:paraId="20B222EB" w14:textId="77777777" w:rsidR="008C7EB2" w:rsidRDefault="00F11FBB">
      <w:pPr>
        <w:pStyle w:val="NormalWeb"/>
        <w:spacing w:after="0" w:line="255" w:lineRule="atLeast"/>
        <w:ind w:left="23" w:right="23"/>
        <w:jc w:val="both"/>
      </w:pPr>
      <w:r>
        <w:t>En outre, pour justifier qu'il dispose des capacités de cet opérateur économique pour l'exécution des prestations, le candidat produit un engagement écrit de l'opérateur économique.</w:t>
      </w:r>
    </w:p>
    <w:p w14:paraId="6CF26417" w14:textId="77777777" w:rsidR="008C7EB2" w:rsidRDefault="008C7EB2">
      <w:pPr>
        <w:pStyle w:val="NormalWeb"/>
        <w:spacing w:after="0" w:line="255" w:lineRule="atLeast"/>
        <w:ind w:left="23" w:right="23"/>
        <w:jc w:val="both"/>
      </w:pPr>
    </w:p>
    <w:p w14:paraId="29F6B494" w14:textId="77777777" w:rsidR="008C7EB2" w:rsidRDefault="00F11FBB">
      <w:pPr>
        <w:pStyle w:val="NormalWeb"/>
        <w:spacing w:after="0" w:line="255" w:lineRule="atLeast"/>
        <w:ind w:left="23" w:right="23"/>
        <w:jc w:val="both"/>
      </w:pPr>
      <w:r>
        <w:t xml:space="preserve">En application de l’article R 2143-13 du CCP : </w:t>
      </w:r>
    </w:p>
    <w:p w14:paraId="787A4CBB" w14:textId="77777777" w:rsidR="008C7EB2" w:rsidRDefault="00F11FBB">
      <w:pPr>
        <w:pStyle w:val="NormalWeb"/>
        <w:spacing w:after="0"/>
        <w:jc w:val="both"/>
      </w:pPr>
      <w:r>
        <w:t xml:space="preserve">« </w:t>
      </w:r>
      <w:r>
        <w:rPr>
          <w:i/>
          <w:iCs/>
        </w:rPr>
        <w:t xml:space="preserve">Les candidats ne sont pas tenus de fournir les documents justificatifs et moyens de preuve que l'acheteur peut obtenir directement par le biais : </w:t>
      </w:r>
    </w:p>
    <w:p w14:paraId="06DEA044" w14:textId="77777777" w:rsidR="008C7EB2" w:rsidRDefault="00F11FBB">
      <w:pPr>
        <w:pStyle w:val="NormalWeb"/>
        <w:spacing w:after="0"/>
        <w:jc w:val="both"/>
      </w:pPr>
      <w:r>
        <w:rPr>
          <w:i/>
          <w:iCs/>
        </w:rPr>
        <w:t xml:space="preserve">1° D'un système électronique de mise à disposition d'informations administré par un organisme officiel à condition que l'accès à celui-ci soit gratuit et, le cas échéant, que figurent dans le dossier de candidature toutes les informations nécessaires à sa consultation ; </w:t>
      </w:r>
    </w:p>
    <w:p w14:paraId="25B70DC6" w14:textId="77777777" w:rsidR="008C7EB2" w:rsidRDefault="00F11FBB">
      <w:pPr>
        <w:pStyle w:val="NormalWeb"/>
        <w:spacing w:after="0"/>
        <w:jc w:val="both"/>
      </w:pPr>
      <w:r>
        <w:rPr>
          <w:i/>
          <w:iCs/>
        </w:rPr>
        <w:t xml:space="preserve">2° D'un espace de stockage numérique, à condition que figurent dans le dossier de candidature toutes les informations nécessaires à sa consultation et que l'accès à ceux-ci soit gratuit </w:t>
      </w:r>
      <w:r>
        <w:t xml:space="preserve">» </w:t>
      </w:r>
    </w:p>
    <w:p w14:paraId="7A9819D3" w14:textId="77777777" w:rsidR="008C7EB2" w:rsidRDefault="00F11FBB">
      <w:pPr>
        <w:pStyle w:val="NormalWeb"/>
        <w:spacing w:after="0"/>
        <w:jc w:val="both"/>
      </w:pPr>
      <w:r>
        <w:t xml:space="preserve">Un coffre-fort électronique est mis à disposition des candidats sur la plateforme des achats de l’Etat PLACE. Il leur permet de déposer certaines pièces de candidatures (Kbis, attestations d'assurance, etc.). Les candidats peuvent s’inscrire et déposer des documents dans ce coffre-fort en suivant le lien : </w:t>
      </w:r>
      <w:hyperlink r:id="rId12">
        <w:r>
          <w:rPr>
            <w:rStyle w:val="Lienhypertexte"/>
          </w:rPr>
          <w:t>https://www.marches-publics.gouv.fr/?page=entreprise.EntrepriseHome</w:t>
        </w:r>
      </w:hyperlink>
      <w:r>
        <w:t xml:space="preserve"> </w:t>
      </w:r>
    </w:p>
    <w:p w14:paraId="3823BCFF" w14:textId="77777777" w:rsidR="008C7EB2" w:rsidRDefault="008C7EB2">
      <w:pPr>
        <w:spacing w:before="120"/>
        <w:rPr>
          <w:rFonts w:hint="eastAsia"/>
          <w:b/>
          <w:i/>
          <w:sz w:val="28"/>
          <w:u w:val="single"/>
        </w:rPr>
      </w:pPr>
    </w:p>
    <w:p w14:paraId="4E165A87" w14:textId="77777777" w:rsidR="008C7EB2" w:rsidRDefault="00F11FBB">
      <w:pPr>
        <w:widowControl/>
        <w:rPr>
          <w:rFonts w:hint="eastAsia"/>
          <w:color w:val="000000"/>
        </w:rPr>
      </w:pPr>
      <w:r>
        <w:rPr>
          <w:color w:val="000000"/>
        </w:rPr>
        <w:t xml:space="preserve">Le document unique de marché européen (DUME) simplifié, rédigé en langue française peut se substituer à certaines pièces du dossier administratif. On peut le compléter ou le remplir en ligne sur le profil de l’acheteur PLACE : </w:t>
      </w:r>
      <w:hyperlink r:id="rId13">
        <w:r>
          <w:rPr>
            <w:rStyle w:val="Lienhypertexte"/>
          </w:rPr>
          <w:t>https://www.marches-publics.gouv.fr/</w:t>
        </w:r>
      </w:hyperlink>
      <w:r>
        <w:rPr>
          <w:color w:val="000000"/>
        </w:rPr>
        <w:t xml:space="preserve"> ou sur site suivant : https://dume.chorus-pro.gouv.fr/  </w:t>
      </w:r>
    </w:p>
    <w:p w14:paraId="4A9BC95B" w14:textId="77777777" w:rsidR="008C7EB2" w:rsidRDefault="00F11FBB">
      <w:pPr>
        <w:widowControl/>
        <w:rPr>
          <w:rFonts w:hint="eastAsia"/>
          <w:color w:val="000000"/>
        </w:rPr>
      </w:pPr>
      <w:r>
        <w:rPr>
          <w:color w:val="000000"/>
        </w:rPr>
        <w:t xml:space="preserve">Ce DUME simplifié se substitue aux pièces suivantes du dossier administratif : </w:t>
      </w:r>
    </w:p>
    <w:p w14:paraId="55887981" w14:textId="77777777" w:rsidR="008C7EB2" w:rsidRDefault="00F11FBB">
      <w:pPr>
        <w:widowControl/>
        <w:spacing w:after="49"/>
        <w:rPr>
          <w:rFonts w:hint="eastAsia"/>
          <w:color w:val="000000"/>
        </w:rPr>
      </w:pPr>
      <w:r>
        <w:rPr>
          <w:color w:val="000000"/>
        </w:rPr>
        <w:t xml:space="preserve">- Chiffre d’affaires global ; </w:t>
      </w:r>
    </w:p>
    <w:p w14:paraId="6FAA34B5" w14:textId="77777777" w:rsidR="008C7EB2" w:rsidRDefault="00F11FBB">
      <w:pPr>
        <w:widowControl/>
        <w:rPr>
          <w:rFonts w:hint="eastAsia"/>
          <w:color w:val="000000"/>
        </w:rPr>
      </w:pPr>
      <w:r>
        <w:rPr>
          <w:color w:val="000000"/>
        </w:rPr>
        <w:t xml:space="preserve">- Déclaration des effectifs moyens annuels. </w:t>
      </w:r>
    </w:p>
    <w:p w14:paraId="6FB504B4" w14:textId="77777777" w:rsidR="008C7EB2" w:rsidRDefault="00F11FBB">
      <w:pPr>
        <w:spacing w:before="120"/>
        <w:rPr>
          <w:rFonts w:hint="eastAsia"/>
          <w:b/>
          <w:i/>
          <w:u w:val="single"/>
        </w:rPr>
      </w:pPr>
      <w:r>
        <w:rPr>
          <w:b/>
          <w:bCs/>
          <w:i/>
          <w:iCs/>
          <w:color w:val="000000"/>
        </w:rPr>
        <w:t xml:space="preserve">Le numéro SIRET du département immobilier de Paris est le suivant : </w:t>
      </w:r>
      <w:r w:rsidRPr="00792994">
        <w:rPr>
          <w:b/>
          <w:bCs/>
          <w:i/>
          <w:iCs/>
          <w:color w:val="000000"/>
        </w:rPr>
        <w:t>11001001400014</w:t>
      </w:r>
    </w:p>
    <w:p w14:paraId="0E825E76" w14:textId="77777777" w:rsidR="008C7EB2" w:rsidRDefault="008C7EB2">
      <w:pPr>
        <w:spacing w:before="120"/>
        <w:rPr>
          <w:rFonts w:hint="eastAsia"/>
          <w:b/>
          <w:i/>
          <w:sz w:val="28"/>
          <w:u w:val="single"/>
        </w:rPr>
      </w:pPr>
    </w:p>
    <w:p w14:paraId="3A6E8C17" w14:textId="77777777" w:rsidR="008C7EB2" w:rsidRDefault="00F11FBB">
      <w:pPr>
        <w:pStyle w:val="Titre2"/>
        <w:spacing w:line="255" w:lineRule="atLeast"/>
        <w:ind w:left="301" w:right="23"/>
        <w:rPr>
          <w:rFonts w:eastAsia="Times New Roman;Times New Roman"/>
          <w:lang w:eastAsia="fr-FR"/>
        </w:rPr>
      </w:pPr>
      <w:bookmarkStart w:id="34" w:name="_Toc236813699"/>
      <w:r>
        <w:t>3-2. Pièces de l’offre</w:t>
      </w:r>
      <w:bookmarkEnd w:id="34"/>
    </w:p>
    <w:p w14:paraId="3E01232D" w14:textId="77777777" w:rsidR="008C7EB2" w:rsidRDefault="00F11FBB">
      <w:pPr>
        <w:pStyle w:val="NormalWeb"/>
        <w:spacing w:after="0" w:line="255" w:lineRule="atLeast"/>
        <w:ind w:left="23" w:right="23"/>
        <w:jc w:val="both"/>
      </w:pPr>
      <w:bookmarkStart w:id="35" w:name="_Hlk202870994"/>
      <w:bookmarkEnd w:id="35"/>
      <w:r>
        <w:t>Chaque candidat aura à produire un dossier d'offre complet comprenant les pièces de l'offre suivantes :</w:t>
      </w:r>
    </w:p>
    <w:p w14:paraId="4CAF4080" w14:textId="77777777" w:rsidR="008C7EB2" w:rsidRDefault="00F11FBB">
      <w:pPr>
        <w:numPr>
          <w:ilvl w:val="0"/>
          <w:numId w:val="3"/>
        </w:numPr>
        <w:tabs>
          <w:tab w:val="clear" w:pos="720"/>
          <w:tab w:val="left" w:pos="1004"/>
        </w:tabs>
        <w:spacing w:before="120"/>
        <w:ind w:left="1004"/>
        <w:rPr>
          <w:rFonts w:hint="eastAsia"/>
        </w:rPr>
      </w:pPr>
      <w:r>
        <w:t>L'acte d'engagement : cadre ci-joint à compléter, par le(s) représentant(s) habilité(s) de l'entreprise ;</w:t>
      </w:r>
    </w:p>
    <w:p w14:paraId="7A4A4F74" w14:textId="77777777" w:rsidR="008C7EB2" w:rsidRDefault="00F11FBB">
      <w:pPr>
        <w:numPr>
          <w:ilvl w:val="0"/>
          <w:numId w:val="3"/>
        </w:numPr>
        <w:tabs>
          <w:tab w:val="clear" w:pos="720"/>
          <w:tab w:val="left" w:pos="1004"/>
        </w:tabs>
        <w:spacing w:before="120"/>
        <w:ind w:left="1004"/>
        <w:rPr>
          <w:rFonts w:hint="eastAsia"/>
        </w:rPr>
      </w:pPr>
      <w:r>
        <w:t>La décomposition du prix global forfaitaire (DPGF) complétée ;</w:t>
      </w:r>
    </w:p>
    <w:p w14:paraId="0FD716FF" w14:textId="77777777" w:rsidR="008C7EB2" w:rsidRDefault="00F11FBB">
      <w:pPr>
        <w:numPr>
          <w:ilvl w:val="0"/>
          <w:numId w:val="3"/>
        </w:numPr>
        <w:tabs>
          <w:tab w:val="clear" w:pos="720"/>
          <w:tab w:val="left" w:pos="1020"/>
        </w:tabs>
        <w:spacing w:before="120"/>
        <w:ind w:left="1004"/>
        <w:rPr>
          <w:rFonts w:hint="eastAsia"/>
        </w:rPr>
      </w:pPr>
      <w:r>
        <w:t>Le certificat de visite (à faire signer sur site) ;</w:t>
      </w:r>
    </w:p>
    <w:p w14:paraId="4999DFDF" w14:textId="77777777" w:rsidR="008C7EB2" w:rsidRDefault="00F11FBB">
      <w:pPr>
        <w:numPr>
          <w:ilvl w:val="0"/>
          <w:numId w:val="3"/>
        </w:numPr>
        <w:tabs>
          <w:tab w:val="clear" w:pos="720"/>
          <w:tab w:val="left" w:pos="1020"/>
        </w:tabs>
        <w:spacing w:before="120"/>
        <w:ind w:left="1004"/>
        <w:rPr>
          <w:rFonts w:hint="eastAsia"/>
        </w:rPr>
      </w:pPr>
      <w:r>
        <w:t>Le mémoire justificatif des dispositions que l'entreprise se propose d'adopter pour l'exécution du contrat qui détaillera notamment les éléments suivants :</w:t>
      </w:r>
    </w:p>
    <w:p w14:paraId="2F2E406F" w14:textId="77777777" w:rsidR="008C7EB2" w:rsidRDefault="00F11FBB" w:rsidP="001E07EA">
      <w:pPr>
        <w:numPr>
          <w:ilvl w:val="0"/>
          <w:numId w:val="13"/>
        </w:numPr>
        <w:tabs>
          <w:tab w:val="left" w:pos="1020"/>
          <w:tab w:val="left" w:pos="1134"/>
        </w:tabs>
        <w:spacing w:before="120"/>
        <w:rPr>
          <w:rFonts w:hint="eastAsia"/>
        </w:rPr>
      </w:pPr>
      <w:r>
        <w:t>Méthodologie proposée pour l’exécution des travaux,</w:t>
      </w:r>
    </w:p>
    <w:p w14:paraId="1C6AB4AC" w14:textId="77777777" w:rsidR="001E07EA" w:rsidRDefault="001E07EA" w:rsidP="001E07EA">
      <w:pPr>
        <w:numPr>
          <w:ilvl w:val="0"/>
          <w:numId w:val="13"/>
        </w:numPr>
        <w:tabs>
          <w:tab w:val="left" w:pos="1020"/>
          <w:tab w:val="left" w:pos="1134"/>
        </w:tabs>
        <w:spacing w:before="120"/>
        <w:rPr>
          <w:rFonts w:hint="eastAsia"/>
        </w:rPr>
      </w:pPr>
      <w:r>
        <w:t>Planning prévisionnel avec phasage proposé et moyens proposées pour respecter les engagements de délai,</w:t>
      </w:r>
    </w:p>
    <w:p w14:paraId="44A1F5DD" w14:textId="77777777" w:rsidR="008C7EB2" w:rsidRDefault="00F11FBB" w:rsidP="001E07EA">
      <w:pPr>
        <w:numPr>
          <w:ilvl w:val="0"/>
          <w:numId w:val="13"/>
        </w:numPr>
        <w:tabs>
          <w:tab w:val="left" w:pos="1020"/>
          <w:tab w:val="left" w:pos="1134"/>
        </w:tabs>
        <w:spacing w:before="120"/>
        <w:rPr>
          <w:rFonts w:hint="eastAsia"/>
        </w:rPr>
      </w:pPr>
      <w:r>
        <w:t>Fiches produits et Fiches techniques,</w:t>
      </w:r>
    </w:p>
    <w:p w14:paraId="1461EEC9" w14:textId="77777777" w:rsidR="008C7EB2" w:rsidRDefault="00F11FBB" w:rsidP="001E07EA">
      <w:pPr>
        <w:numPr>
          <w:ilvl w:val="0"/>
          <w:numId w:val="13"/>
        </w:numPr>
        <w:tabs>
          <w:tab w:val="left" w:pos="1020"/>
          <w:tab w:val="left" w:pos="1134"/>
        </w:tabs>
        <w:spacing w:before="120"/>
        <w:rPr>
          <w:rFonts w:hint="eastAsia"/>
        </w:rPr>
      </w:pPr>
      <w:r>
        <w:t xml:space="preserve">Moyens humains (Liste nominative du personnel qualifié de l’entreprise </w:t>
      </w:r>
      <w:r>
        <w:lastRenderedPageBreak/>
        <w:t>affectée à l’exécution du marché, le CV du conducteur de chantier et du personnel d’exécution en précisant notamment leur qualifications et références) et moyens matériels,</w:t>
      </w:r>
    </w:p>
    <w:p w14:paraId="0C126426" w14:textId="77777777" w:rsidR="008C7EB2" w:rsidRDefault="00F11FBB" w:rsidP="001E07EA">
      <w:pPr>
        <w:numPr>
          <w:ilvl w:val="0"/>
          <w:numId w:val="13"/>
        </w:numPr>
        <w:tabs>
          <w:tab w:val="left" w:pos="1004"/>
          <w:tab w:val="left" w:pos="1134"/>
        </w:tabs>
        <w:spacing w:before="120"/>
        <w:rPr>
          <w:rFonts w:hint="eastAsia"/>
        </w:rPr>
      </w:pPr>
      <w:bookmarkStart w:id="36" w:name="_Hlk193896759"/>
      <w:r>
        <w:t xml:space="preserve">Descriptif du suivi des mesures prises en faveur </w:t>
      </w:r>
      <w:bookmarkEnd w:id="36"/>
      <w:r>
        <w:t>du volet environnemental</w:t>
      </w:r>
    </w:p>
    <w:p w14:paraId="3898B217" w14:textId="77777777" w:rsidR="008C7EB2" w:rsidRDefault="008C7EB2">
      <w:pPr>
        <w:spacing w:before="120"/>
        <w:ind w:left="567"/>
        <w:rPr>
          <w:rFonts w:hint="eastAsia"/>
        </w:rPr>
      </w:pPr>
    </w:p>
    <w:p w14:paraId="54F4DD3E" w14:textId="77777777" w:rsidR="008C7EB2" w:rsidRPr="00792994" w:rsidRDefault="00F11FBB">
      <w:pPr>
        <w:spacing w:before="120"/>
        <w:ind w:left="567"/>
        <w:rPr>
          <w:rFonts w:hint="eastAsia"/>
          <w:b/>
          <w:bCs/>
        </w:rPr>
      </w:pPr>
      <w:r>
        <w:t xml:space="preserve">L'attention des candidats est attirée sur le fait que </w:t>
      </w:r>
      <w:r w:rsidRPr="00792994">
        <w:rPr>
          <w:b/>
          <w:bCs/>
        </w:rPr>
        <w:t>s'ils veulent renoncer au bénéfice de l'avance prévue à l'article 5-2 du CCAP, ils doivent le préciser à l'article 4 de l'acte d'engagement.</w:t>
      </w:r>
    </w:p>
    <w:p w14:paraId="50D878E7" w14:textId="77777777" w:rsidR="008C7EB2" w:rsidRDefault="008C7EB2">
      <w:pPr>
        <w:tabs>
          <w:tab w:val="left" w:pos="1020"/>
        </w:tabs>
        <w:spacing w:before="120"/>
        <w:rPr>
          <w:rFonts w:hint="eastAsia"/>
        </w:rPr>
      </w:pPr>
    </w:p>
    <w:p w14:paraId="1BA3068B" w14:textId="77777777" w:rsidR="008C7EB2" w:rsidRPr="009C75CA" w:rsidRDefault="00F11FBB">
      <w:pPr>
        <w:pStyle w:val="Titre2"/>
        <w:tabs>
          <w:tab w:val="left" w:pos="0"/>
        </w:tabs>
        <w:ind w:firstLine="0"/>
        <w:rPr>
          <w:rFonts w:hint="eastAsia"/>
        </w:rPr>
      </w:pPr>
      <w:bookmarkStart w:id="37" w:name="R3_1_2C_p4_a"/>
      <w:bookmarkStart w:id="38" w:name="_Toc236813700"/>
      <w:bookmarkEnd w:id="37"/>
      <w:r>
        <w:t>3-3. Variantes</w:t>
      </w:r>
      <w:bookmarkEnd w:id="38"/>
    </w:p>
    <w:p w14:paraId="3DE1C693" w14:textId="7B034B09" w:rsidR="008E0679" w:rsidRPr="009C75CA" w:rsidRDefault="00F11FBB" w:rsidP="00124992">
      <w:pPr>
        <w:pStyle w:val="Paragraphe"/>
        <w:rPr>
          <w:rFonts w:hint="eastAsia"/>
        </w:rPr>
      </w:pPr>
      <w:r>
        <w:t xml:space="preserve">Les variantes sont acceptées </w:t>
      </w:r>
    </w:p>
    <w:p w14:paraId="2119630A" w14:textId="66444A2B" w:rsidR="008E0679" w:rsidRPr="009C75CA" w:rsidRDefault="008E0679" w:rsidP="008E0679">
      <w:pPr>
        <w:pStyle w:val="Paragraphe"/>
        <w:rPr>
          <w:rFonts w:hint="eastAsia"/>
        </w:rPr>
      </w:pPr>
      <w:r>
        <w:t>Toute variante</w:t>
      </w:r>
      <w:r w:rsidR="003B5034">
        <w:t xml:space="preserve"> </w:t>
      </w:r>
      <w:r>
        <w:t>est présentée en complément de la solution de base, qui doit obligatoirement être chiffrée. Une variante présentée seule est déclarée irrégulière.</w:t>
      </w:r>
    </w:p>
    <w:p w14:paraId="583EC70E" w14:textId="5B87C47C" w:rsidR="008C7EB2" w:rsidRPr="005D3343" w:rsidRDefault="008E0679">
      <w:pPr>
        <w:pStyle w:val="Paragraphe"/>
        <w:rPr>
          <w:rFonts w:hint="eastAsia"/>
          <w:b/>
          <w:bCs/>
        </w:rPr>
      </w:pPr>
      <w:r w:rsidRPr="003B5034">
        <w:rPr>
          <w:b/>
          <w:bCs/>
        </w:rPr>
        <w:t>Les candidats répondant à une variante pour un des lots transmettent deux actes d'engagement (un pour la solution de base et un pour la variante), deux DPGF et deux mémoires techniques.</w:t>
      </w:r>
    </w:p>
    <w:p w14:paraId="7B6745A4" w14:textId="77777777" w:rsidR="008C7EB2" w:rsidRPr="009C75CA" w:rsidRDefault="00F11FBB">
      <w:pPr>
        <w:pStyle w:val="Titre1"/>
        <w:tabs>
          <w:tab w:val="left" w:pos="0"/>
        </w:tabs>
        <w:ind w:firstLine="0"/>
        <w:rPr>
          <w:rFonts w:hint="eastAsia"/>
        </w:rPr>
      </w:pPr>
      <w:bookmarkStart w:id="39" w:name="_Hlk202871041"/>
      <w:bookmarkStart w:id="40" w:name="_Toc236813701"/>
      <w:bookmarkEnd w:id="39"/>
      <w:r>
        <w:t xml:space="preserve">ARTICLE 4. </w:t>
      </w:r>
      <w:proofErr w:type="gramStart"/>
      <w:r>
        <w:t>SELECTION  DES</w:t>
      </w:r>
      <w:proofErr w:type="gramEnd"/>
      <w:r>
        <w:t xml:space="preserve"> CANDIDATURES - JUGEMENT ET CLASSEMENT DES OFFRES</w:t>
      </w:r>
      <w:bookmarkEnd w:id="40"/>
    </w:p>
    <w:p w14:paraId="43E79173" w14:textId="77777777" w:rsidR="008C7EB2" w:rsidRPr="009C75CA" w:rsidRDefault="00F11FBB">
      <w:pPr>
        <w:rPr>
          <w:rFonts w:hint="eastAsia"/>
        </w:rPr>
      </w:pPr>
      <w:r>
        <w:t xml:space="preserve">En application de l’article R. 2161-4 du CCP, l’acheteur se réserve la possibilité d’examiner les offres avant les candidatures. </w:t>
      </w:r>
    </w:p>
    <w:p w14:paraId="25C3BFC5" w14:textId="77777777" w:rsidR="008C7EB2" w:rsidRPr="009C75CA" w:rsidRDefault="00F11FBB">
      <w:pPr>
        <w:pStyle w:val="Titre2"/>
        <w:tabs>
          <w:tab w:val="left" w:pos="0"/>
        </w:tabs>
        <w:ind w:firstLine="0"/>
        <w:rPr>
          <w:rFonts w:hint="eastAsia"/>
        </w:rPr>
      </w:pPr>
      <w:bookmarkStart w:id="41" w:name="_Hlk202871073"/>
      <w:bookmarkStart w:id="42" w:name="_Toc236813702"/>
      <w:bookmarkEnd w:id="41"/>
      <w:r>
        <w:t>4-1. Sélection des candidatures</w:t>
      </w:r>
      <w:bookmarkEnd w:id="42"/>
    </w:p>
    <w:p w14:paraId="61A0BDFC" w14:textId="77777777" w:rsidR="008C7EB2" w:rsidRPr="009C75CA" w:rsidRDefault="00F11FBB">
      <w:pPr>
        <w:rPr>
          <w:rFonts w:hint="eastAsia"/>
        </w:rPr>
      </w:pPr>
      <w:bookmarkStart w:id="43" w:name="_Hlk236403625"/>
      <w:r>
        <w:t>Avant de procéder à l'analyse des candidatures, s'il apparaît que des pièces du dossier de candidature sont manquantes ou incomplètes, l’acheteur peut décider de demander à tous les candidats concernés de produire ou compléter ces pièces.</w:t>
      </w:r>
    </w:p>
    <w:p w14:paraId="6EA54915" w14:textId="77777777" w:rsidR="008C7EB2" w:rsidRPr="009C75CA" w:rsidRDefault="008C7EB2">
      <w:pPr>
        <w:rPr>
          <w:rFonts w:hint="eastAsia"/>
        </w:rPr>
      </w:pPr>
    </w:p>
    <w:p w14:paraId="55F190FB" w14:textId="77777777" w:rsidR="008C7EB2" w:rsidRPr="009C75CA" w:rsidRDefault="00F11FBB">
      <w:pPr>
        <w:rPr>
          <w:rFonts w:hint="eastAsia"/>
        </w:rPr>
      </w:pPr>
      <w:r>
        <w:t>Les candidatures conformes et recevables seront examinées, à partir des seuls renseignements et documents exigés dans le cadre de cette consultation, pour évaluer leur situation juridique ainsi que leurs capacités professionnelles, techniques et financières.</w:t>
      </w:r>
    </w:p>
    <w:p w14:paraId="2F53CBD2" w14:textId="77777777" w:rsidR="008C7EB2" w:rsidRPr="009C75CA" w:rsidRDefault="008C7EB2">
      <w:pPr>
        <w:rPr>
          <w:rFonts w:hint="eastAsia"/>
        </w:rPr>
      </w:pPr>
      <w:bookmarkStart w:id="44" w:name="_Hlk202871088"/>
      <w:bookmarkEnd w:id="44"/>
      <w:bookmarkEnd w:id="43"/>
    </w:p>
    <w:p w14:paraId="3CBEFA93" w14:textId="77777777" w:rsidR="008C7EB2" w:rsidRPr="009C75CA" w:rsidRDefault="00F11FBB">
      <w:pPr>
        <w:pStyle w:val="Titre2"/>
        <w:tabs>
          <w:tab w:val="left" w:pos="0"/>
        </w:tabs>
        <w:ind w:firstLine="0"/>
        <w:rPr>
          <w:rFonts w:hint="eastAsia"/>
        </w:rPr>
      </w:pPr>
      <w:bookmarkStart w:id="45" w:name="_Toc236813703"/>
      <w:r>
        <w:t>4-2. Jugement et classement des offres</w:t>
      </w:r>
      <w:bookmarkEnd w:id="45"/>
    </w:p>
    <w:p w14:paraId="059FB797" w14:textId="77777777" w:rsidR="008C7EB2" w:rsidRPr="009C75CA" w:rsidRDefault="00F11FBB" w:rsidP="00683E37">
      <w:pPr>
        <w:rPr>
          <w:rFonts w:hint="eastAsia"/>
        </w:rPr>
      </w:pPr>
      <w:r>
        <w:t>L'analyse des offres sera effectuée dans les conditions prévues aux articles L.2152-1 à L.2152-4, R. 2152-1 et R. 2152-2 du CCP et donnera lieu à un classement des offres.</w:t>
      </w:r>
    </w:p>
    <w:p w14:paraId="5B52DBB1" w14:textId="77777777" w:rsidR="008C7EB2" w:rsidRPr="009C75CA" w:rsidRDefault="008C7EB2" w:rsidP="00683E37">
      <w:pPr>
        <w:rPr>
          <w:rFonts w:hint="eastAsia"/>
        </w:rPr>
      </w:pPr>
    </w:p>
    <w:p w14:paraId="14C30C37" w14:textId="77777777" w:rsidR="008C7EB2" w:rsidRPr="009C75CA" w:rsidRDefault="00F11FBB" w:rsidP="00683E37">
      <w:pPr>
        <w:rPr>
          <w:rFonts w:hint="eastAsia"/>
        </w:rPr>
      </w:pPr>
      <w:r>
        <w:t>L'attention des candidats est attirée sur le fait que toute offre irrégulière ou inacceptable pourra être régularisée pendant la négociation, et que seule une offre irrégulière pourra être régularisée en l'absence de négociation. En revanche, toute offre inappropriée sera systématiquement éliminée.</w:t>
      </w:r>
    </w:p>
    <w:p w14:paraId="19B85793" w14:textId="77777777" w:rsidR="008C7EB2" w:rsidRPr="009C75CA" w:rsidRDefault="008C7EB2" w:rsidP="00683E37">
      <w:pPr>
        <w:rPr>
          <w:rFonts w:hint="eastAsia"/>
        </w:rPr>
      </w:pPr>
    </w:p>
    <w:p w14:paraId="500461B7" w14:textId="77777777" w:rsidR="008C7EB2" w:rsidRPr="009C75CA" w:rsidRDefault="00F11FBB" w:rsidP="00683E37">
      <w:pPr>
        <w:rPr>
          <w:rFonts w:hint="eastAsia"/>
        </w:rPr>
      </w:pPr>
      <w:r>
        <w:t>La régularisation d'une offre aura lieu, le cas échéant, dans les conditions et délais fixés par l'acheteur.</w:t>
      </w:r>
    </w:p>
    <w:p w14:paraId="532595FA" w14:textId="77777777" w:rsidR="008C7EB2" w:rsidRPr="009C75CA" w:rsidRDefault="00F11FBB" w:rsidP="00683E37">
      <w:pPr>
        <w:rPr>
          <w:rFonts w:hint="eastAsia"/>
        </w:rPr>
      </w:pPr>
      <w:r>
        <w:t>Les critères retenus pour le jugement des offres sont pondérés de la manière suivante :</w:t>
      </w:r>
    </w:p>
    <w:p w14:paraId="63F77242" w14:textId="77777777" w:rsidR="008C7EB2" w:rsidRPr="009C75CA" w:rsidRDefault="008C7EB2" w:rsidP="00683E37">
      <w:pPr>
        <w:rPr>
          <w:rFonts w:hint="eastAsia"/>
        </w:rPr>
      </w:pPr>
      <w:bookmarkStart w:id="46" w:name="_Hlk202871116"/>
      <w:bookmarkEnd w:id="46"/>
    </w:p>
    <w:p w14:paraId="0E50DEB2" w14:textId="77777777" w:rsidR="008C7EB2" w:rsidRPr="009C75CA" w:rsidRDefault="008C7EB2" w:rsidP="00683E37">
      <w:pPr>
        <w:rPr>
          <w:rFonts w:hint="eastAsia"/>
        </w:rPr>
      </w:pPr>
    </w:p>
    <w:p w14:paraId="4F7BFD86" w14:textId="1061A667" w:rsidR="008C7EB2" w:rsidRPr="009C75CA" w:rsidRDefault="008C7EB2" w:rsidP="00683E37">
      <w:pPr>
        <w:rPr>
          <w:rFonts w:hint="eastAsia"/>
        </w:rPr>
      </w:pPr>
      <w:r>
        <w:rPr>
          <w:b/>
        </w:rPr>
        <w:t xml:space="preserve">Pour </w:t>
      </w:r>
      <w:r w:rsidR="004C0BDB">
        <w:rPr>
          <w:b/>
        </w:rPr>
        <w:t>tous les lots</w:t>
      </w:r>
      <w:r w:rsidR="00020FB5">
        <w:rPr>
          <w:b/>
        </w:rPr>
        <w:t xml:space="preserve"> : </w:t>
      </w:r>
    </w:p>
    <w:tbl>
      <w:tblPr>
        <w:tblW w:w="9214" w:type="dxa"/>
        <w:tblInd w:w="71" w:type="dxa"/>
        <w:tblLayout w:type="fixed"/>
        <w:tblCellMar>
          <w:left w:w="71" w:type="dxa"/>
          <w:right w:w="71" w:type="dxa"/>
        </w:tblCellMar>
        <w:tblLook w:val="04A0" w:firstRow="1" w:lastRow="0" w:firstColumn="1" w:lastColumn="0" w:noHBand="0" w:noVBand="1"/>
      </w:tblPr>
      <w:tblGrid>
        <w:gridCol w:w="7797"/>
        <w:gridCol w:w="1417"/>
      </w:tblGrid>
      <w:tr w:rsidR="00B907E2" w:rsidRPr="009C75CA" w14:paraId="0CC972FD" w14:textId="77777777">
        <w:trPr>
          <w:tblHeader/>
        </w:trPr>
        <w:tc>
          <w:tcPr>
            <w:tcW w:w="7797" w:type="dxa"/>
            <w:tcBorders>
              <w:top w:val="single" w:sz="4" w:space="0" w:color="000000"/>
              <w:left w:val="single" w:sz="4" w:space="0" w:color="000000"/>
            </w:tcBorders>
            <w:shd w:val="clear" w:color="auto" w:fill="BFBFBF"/>
          </w:tcPr>
          <w:p w14:paraId="62B9D39F" w14:textId="77777777" w:rsidR="00B907E2" w:rsidRPr="009C75CA" w:rsidRDefault="005261C9" w:rsidP="00683E37">
            <w:pPr>
              <w:rPr>
                <w:rFonts w:hint="eastAsia"/>
              </w:rPr>
            </w:pPr>
            <w:r>
              <w:rPr>
                <w:b/>
              </w:rPr>
              <w:t>Critère d’attribution</w:t>
            </w:r>
          </w:p>
        </w:tc>
        <w:tc>
          <w:tcPr>
            <w:tcW w:w="1417" w:type="dxa"/>
            <w:tcBorders>
              <w:top w:val="single" w:sz="4" w:space="0" w:color="000000"/>
              <w:left w:val="single" w:sz="4" w:space="0" w:color="000000"/>
              <w:right w:val="single" w:sz="4" w:space="0" w:color="000000"/>
            </w:tcBorders>
            <w:shd w:val="clear" w:color="auto" w:fill="BFBFBF"/>
          </w:tcPr>
          <w:p w14:paraId="0DF861B7" w14:textId="77777777" w:rsidR="00B907E2" w:rsidRPr="009C75CA" w:rsidRDefault="005261C9" w:rsidP="00683E37">
            <w:pPr>
              <w:rPr>
                <w:rFonts w:hint="eastAsia"/>
              </w:rPr>
            </w:pPr>
            <w:r>
              <w:rPr>
                <w:b/>
              </w:rPr>
              <w:t>Pondération</w:t>
            </w:r>
          </w:p>
        </w:tc>
      </w:tr>
      <w:tr w:rsidR="00B907E2" w:rsidRPr="009C75CA" w14:paraId="55F9DB11" w14:textId="77777777">
        <w:tc>
          <w:tcPr>
            <w:tcW w:w="7797" w:type="dxa"/>
            <w:tcBorders>
              <w:top w:val="single" w:sz="4" w:space="0" w:color="000000"/>
              <w:left w:val="single" w:sz="4" w:space="0" w:color="000000"/>
              <w:bottom w:val="single" w:sz="4" w:space="0" w:color="000000"/>
            </w:tcBorders>
          </w:tcPr>
          <w:p w14:paraId="274D0EA8" w14:textId="77777777" w:rsidR="00B907E2" w:rsidRPr="009C75CA" w:rsidRDefault="005261C9" w:rsidP="00683E37">
            <w:pPr>
              <w:rPr>
                <w:rFonts w:hint="eastAsia"/>
              </w:rPr>
            </w:pPr>
            <w:r>
              <w:rPr>
                <w:b/>
              </w:rPr>
              <w:t>1. La valeur technique des prestations</w:t>
            </w:r>
            <w:r>
              <w:t>, appréciée au vu du mémoire justificatif sur la base des sous-critères suivants :</w:t>
            </w:r>
          </w:p>
          <w:p w14:paraId="52380617" w14:textId="543E9C48" w:rsidR="00B907E2" w:rsidRPr="009C75CA" w:rsidRDefault="005261C9" w:rsidP="00683E37">
            <w:pPr>
              <w:rPr>
                <w:rFonts w:hint="eastAsia"/>
              </w:rPr>
            </w:pPr>
            <w:r>
              <w:t xml:space="preserve">Méthodologie </w:t>
            </w:r>
            <w:r w:rsidR="00AD3547">
              <w:t xml:space="preserve">et respect des délais et planning </w:t>
            </w:r>
            <w:r>
              <w:t>proposée pour l’exécution des travaux</w:t>
            </w:r>
          </w:p>
          <w:p w14:paraId="6821D994" w14:textId="409D4034" w:rsidR="00AD3547" w:rsidRPr="009C75CA" w:rsidRDefault="005261C9" w:rsidP="00683E37">
            <w:pPr>
              <w:rPr>
                <w:rFonts w:hint="eastAsia"/>
              </w:rPr>
            </w:pPr>
            <w:r>
              <w:t>Moyens humains et matériels dédiés au chantier</w:t>
            </w:r>
            <w:r w:rsidR="00AD3547">
              <w:t xml:space="preserve"> (taux de présence et notamment le taux d’encadrement du conducteur de travaux ; incluant CV)</w:t>
            </w:r>
          </w:p>
        </w:tc>
        <w:tc>
          <w:tcPr>
            <w:tcW w:w="1417" w:type="dxa"/>
            <w:tcBorders>
              <w:top w:val="single" w:sz="4" w:space="0" w:color="000000"/>
              <w:left w:val="single" w:sz="4" w:space="0" w:color="000000"/>
              <w:bottom w:val="single" w:sz="4" w:space="0" w:color="000000"/>
              <w:right w:val="single" w:sz="4" w:space="0" w:color="000000"/>
            </w:tcBorders>
          </w:tcPr>
          <w:p w14:paraId="75A4FFE5" w14:textId="08883953" w:rsidR="00B907E2" w:rsidRPr="009C75CA" w:rsidRDefault="00AD3547" w:rsidP="00683E37">
            <w:pPr>
              <w:rPr>
                <w:rFonts w:hint="eastAsia"/>
              </w:rPr>
            </w:pPr>
            <w:r>
              <w:rPr>
                <w:b/>
              </w:rPr>
              <w:t>50</w:t>
            </w:r>
            <w:r w:rsidR="005261C9">
              <w:rPr>
                <w:b/>
              </w:rPr>
              <w:t> %</w:t>
            </w:r>
          </w:p>
        </w:tc>
      </w:tr>
      <w:tr w:rsidR="00B907E2" w:rsidRPr="009C75CA" w14:paraId="09C16EEF" w14:textId="77777777">
        <w:trPr>
          <w:trHeight w:val="112"/>
        </w:trPr>
        <w:tc>
          <w:tcPr>
            <w:tcW w:w="7797" w:type="dxa"/>
            <w:tcBorders>
              <w:top w:val="single" w:sz="4" w:space="0" w:color="000000"/>
              <w:left w:val="single" w:sz="4" w:space="0" w:color="000000"/>
              <w:bottom w:val="single" w:sz="4" w:space="0" w:color="000000"/>
            </w:tcBorders>
          </w:tcPr>
          <w:p w14:paraId="6D560426" w14:textId="77777777" w:rsidR="00B907E2" w:rsidRPr="009C75CA" w:rsidRDefault="005261C9" w:rsidP="00683E37">
            <w:pPr>
              <w:rPr>
                <w:rFonts w:hint="eastAsia"/>
              </w:rPr>
            </w:pPr>
            <w:r>
              <w:rPr>
                <w:b/>
              </w:rPr>
              <w:t>2. Le prix des prestations :</w:t>
            </w:r>
          </w:p>
        </w:tc>
        <w:tc>
          <w:tcPr>
            <w:tcW w:w="1417" w:type="dxa"/>
            <w:tcBorders>
              <w:top w:val="single" w:sz="4" w:space="0" w:color="000000"/>
              <w:left w:val="single" w:sz="4" w:space="0" w:color="000000"/>
              <w:bottom w:val="single" w:sz="4" w:space="0" w:color="000000"/>
              <w:right w:val="single" w:sz="4" w:space="0" w:color="000000"/>
            </w:tcBorders>
          </w:tcPr>
          <w:p w14:paraId="17EA1201" w14:textId="6B304FDF" w:rsidR="00B907E2" w:rsidRPr="009C75CA" w:rsidRDefault="00AD3547" w:rsidP="00683E37">
            <w:pPr>
              <w:rPr>
                <w:rFonts w:hint="eastAsia"/>
              </w:rPr>
            </w:pPr>
            <w:r>
              <w:rPr>
                <w:b/>
              </w:rPr>
              <w:t>4</w:t>
            </w:r>
            <w:r w:rsidR="005261C9">
              <w:rPr>
                <w:b/>
              </w:rPr>
              <w:t>0 %</w:t>
            </w:r>
          </w:p>
        </w:tc>
      </w:tr>
      <w:tr w:rsidR="00B907E2" w:rsidRPr="009C75CA" w14:paraId="634784CF" w14:textId="77777777">
        <w:trPr>
          <w:trHeight w:val="112"/>
        </w:trPr>
        <w:tc>
          <w:tcPr>
            <w:tcW w:w="7797" w:type="dxa"/>
            <w:tcBorders>
              <w:top w:val="single" w:sz="4" w:space="0" w:color="000000"/>
              <w:left w:val="single" w:sz="4" w:space="0" w:color="000000"/>
              <w:bottom w:val="single" w:sz="4" w:space="0" w:color="000000"/>
            </w:tcBorders>
          </w:tcPr>
          <w:p w14:paraId="5B753C1B" w14:textId="3B8FB52B" w:rsidR="00B907E2" w:rsidRDefault="005261C9" w:rsidP="00683E37">
            <w:pPr>
              <w:rPr>
                <w:rFonts w:hint="eastAsia"/>
                <w:b/>
              </w:rPr>
            </w:pPr>
            <w:r>
              <w:rPr>
                <w:b/>
              </w:rPr>
              <w:t xml:space="preserve">Volet environnemental (mesures prises en faveur de l’environnement) </w:t>
            </w:r>
          </w:p>
          <w:p w14:paraId="5CC96DA3" w14:textId="0F1CB148" w:rsidR="00AD3547" w:rsidRPr="009C75CA" w:rsidRDefault="00AD3547" w:rsidP="00683E37">
            <w:pPr>
              <w:rPr>
                <w:rFonts w:hint="eastAsia"/>
              </w:rPr>
            </w:pPr>
            <w:r>
              <w:t>Méthodologie pour le r</w:t>
            </w:r>
            <w:r w:rsidRPr="00AD3547">
              <w:t>espect charte chantier propre et à faible nuisance</w:t>
            </w:r>
            <w:r>
              <w:rPr>
                <w:b/>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67FE380" w14:textId="737D49AE" w:rsidR="00B907E2" w:rsidRPr="009C75CA" w:rsidRDefault="005261C9" w:rsidP="00683E37">
            <w:pPr>
              <w:rPr>
                <w:rFonts w:hint="eastAsia"/>
              </w:rPr>
            </w:pPr>
            <w:r>
              <w:rPr>
                <w:b/>
              </w:rPr>
              <w:t>1</w:t>
            </w:r>
            <w:r w:rsidR="00AD3547">
              <w:rPr>
                <w:b/>
              </w:rPr>
              <w:t>0</w:t>
            </w:r>
            <w:r>
              <w:rPr>
                <w:b/>
              </w:rPr>
              <w:t> %</w:t>
            </w:r>
          </w:p>
        </w:tc>
      </w:tr>
    </w:tbl>
    <w:p w14:paraId="5CF1A05E" w14:textId="21342F7D" w:rsidR="008E0679" w:rsidRPr="009C75CA" w:rsidRDefault="00922138" w:rsidP="00683E37">
      <w:pPr>
        <w:rPr>
          <w:rFonts w:hint="eastAsia"/>
          <w:bCs/>
        </w:rPr>
      </w:pPr>
      <w:r>
        <w:rPr>
          <w:bCs/>
        </w:rPr>
        <w:t>L</w:t>
      </w:r>
      <w:r w:rsidR="008E0679">
        <w:rPr>
          <w:bCs/>
        </w:rPr>
        <w:t xml:space="preserve">a note de prix est calculée sur la base du montant total de la </w:t>
      </w:r>
      <w:r>
        <w:rPr>
          <w:bCs/>
        </w:rPr>
        <w:t>tranche ferme et conditionnelle.</w:t>
      </w:r>
      <w:r w:rsidR="008E0679">
        <w:rPr>
          <w:bCs/>
        </w:rPr>
        <w:t xml:space="preserve"> Les variantes sont notées selon les mêmes critères et classées indépendamment.  Le critère du prix des prestations est noté sur </w:t>
      </w:r>
      <w:r w:rsidR="00EC4483">
        <w:rPr>
          <w:bCs/>
        </w:rPr>
        <w:t>4</w:t>
      </w:r>
      <w:r w:rsidR="008E0679">
        <w:rPr>
          <w:bCs/>
        </w:rPr>
        <w:t xml:space="preserve">0 points sur la base de la formule suivante :  </w:t>
      </w:r>
      <w:r w:rsidR="00E7305C">
        <w:rPr>
          <w:bCs/>
        </w:rPr>
        <w:t>4</w:t>
      </w:r>
      <w:r w:rsidR="008E0679">
        <w:rPr>
          <w:bCs/>
        </w:rPr>
        <w:t>0 × (montant de l’offre la moins-disante / montant de l’offre du candidat analysée)</w:t>
      </w:r>
    </w:p>
    <w:p w14:paraId="3AB97C02" w14:textId="77777777" w:rsidR="008E0679" w:rsidRPr="009C75CA" w:rsidRDefault="008E0679" w:rsidP="00683E37">
      <w:pPr>
        <w:rPr>
          <w:rFonts w:hint="eastAsia"/>
          <w:b/>
        </w:rPr>
      </w:pPr>
    </w:p>
    <w:p w14:paraId="49BED4D6" w14:textId="32711FD5" w:rsidR="008C7EB2" w:rsidRPr="004C0BDB" w:rsidRDefault="008C7EB2" w:rsidP="00683E37">
      <w:pPr>
        <w:rPr>
          <w:rFonts w:hint="eastAsia"/>
        </w:rPr>
      </w:pPr>
      <w:r w:rsidRPr="004C0BDB">
        <w:rPr>
          <w:b/>
        </w:rPr>
        <w:t xml:space="preserve">Pour le Lot </w:t>
      </w:r>
      <w:r w:rsidR="004C0BDB" w:rsidRPr="004C0BDB">
        <w:rPr>
          <w:b/>
        </w:rPr>
        <w:t>spécifiquement</w:t>
      </w:r>
      <w:r w:rsidRPr="004C0BDB">
        <w:rPr>
          <w:b/>
        </w:rPr>
        <w:t xml:space="preserve"> (Fluides – CVC, plomberie, électricité, GTB, SSI) – marché incluant la fourniture et la pose de pompes à chaleur (stratégie DAE–PAC applicable) :</w:t>
      </w:r>
    </w:p>
    <w:tbl>
      <w:tblPr>
        <w:tblW w:w="9214" w:type="dxa"/>
        <w:tblInd w:w="71" w:type="dxa"/>
        <w:tblLayout w:type="fixed"/>
        <w:tblCellMar>
          <w:left w:w="71" w:type="dxa"/>
          <w:right w:w="71" w:type="dxa"/>
        </w:tblCellMar>
        <w:tblLook w:val="04A0" w:firstRow="1" w:lastRow="0" w:firstColumn="1" w:lastColumn="0" w:noHBand="0" w:noVBand="1"/>
      </w:tblPr>
      <w:tblGrid>
        <w:gridCol w:w="7797"/>
        <w:gridCol w:w="1417"/>
      </w:tblGrid>
      <w:tr w:rsidR="00B907E2" w:rsidRPr="004C0BDB" w14:paraId="142CAFAA" w14:textId="77777777">
        <w:trPr>
          <w:tblHeader/>
        </w:trPr>
        <w:tc>
          <w:tcPr>
            <w:tcW w:w="7797" w:type="dxa"/>
            <w:tcBorders>
              <w:top w:val="single" w:sz="4" w:space="0" w:color="000000"/>
              <w:left w:val="single" w:sz="4" w:space="0" w:color="000000"/>
            </w:tcBorders>
            <w:shd w:val="clear" w:color="auto" w:fill="BFBFBF"/>
          </w:tcPr>
          <w:p w14:paraId="38F7F534" w14:textId="77777777" w:rsidR="00B907E2" w:rsidRPr="004C0BDB" w:rsidRDefault="005261C9" w:rsidP="00683E37">
            <w:pPr>
              <w:rPr>
                <w:rFonts w:hint="eastAsia"/>
              </w:rPr>
            </w:pPr>
            <w:r w:rsidRPr="004C0BDB">
              <w:rPr>
                <w:b/>
              </w:rPr>
              <w:t>Critère d’attribution</w:t>
            </w:r>
          </w:p>
        </w:tc>
        <w:tc>
          <w:tcPr>
            <w:tcW w:w="1417" w:type="dxa"/>
            <w:tcBorders>
              <w:top w:val="single" w:sz="4" w:space="0" w:color="000000"/>
              <w:left w:val="single" w:sz="4" w:space="0" w:color="000000"/>
              <w:right w:val="single" w:sz="4" w:space="0" w:color="000000"/>
            </w:tcBorders>
            <w:shd w:val="clear" w:color="auto" w:fill="BFBFBF"/>
          </w:tcPr>
          <w:p w14:paraId="1B868F1B" w14:textId="77777777" w:rsidR="00B907E2" w:rsidRPr="004C0BDB" w:rsidRDefault="005261C9" w:rsidP="00683E37">
            <w:pPr>
              <w:rPr>
                <w:rFonts w:hint="eastAsia"/>
              </w:rPr>
            </w:pPr>
            <w:r w:rsidRPr="004C0BDB">
              <w:rPr>
                <w:b/>
              </w:rPr>
              <w:t>Pondération</w:t>
            </w:r>
          </w:p>
        </w:tc>
      </w:tr>
      <w:tr w:rsidR="00B907E2" w:rsidRPr="004C0BDB" w14:paraId="40887B74" w14:textId="77777777">
        <w:tc>
          <w:tcPr>
            <w:tcW w:w="7797" w:type="dxa"/>
            <w:tcBorders>
              <w:top w:val="single" w:sz="4" w:space="0" w:color="000000"/>
              <w:left w:val="single" w:sz="4" w:space="0" w:color="000000"/>
              <w:bottom w:val="single" w:sz="4" w:space="0" w:color="000000"/>
            </w:tcBorders>
          </w:tcPr>
          <w:p w14:paraId="115BD0B9" w14:textId="77777777" w:rsidR="00B907E2" w:rsidRPr="004C0BDB" w:rsidRDefault="005261C9" w:rsidP="00683E37">
            <w:pPr>
              <w:rPr>
                <w:rFonts w:hint="eastAsia"/>
              </w:rPr>
            </w:pPr>
            <w:r w:rsidRPr="004C0BDB">
              <w:rPr>
                <w:b/>
              </w:rPr>
              <w:t>1. La valeur technique des prestations</w:t>
            </w:r>
            <w:r w:rsidRPr="004C0BDB">
              <w:t>, appréciée sur la base des sous-critères suivants :</w:t>
            </w:r>
          </w:p>
          <w:p w14:paraId="0A62F305" w14:textId="77777777" w:rsidR="00B907E2" w:rsidRPr="004C0BDB" w:rsidRDefault="005261C9" w:rsidP="00683E37">
            <w:pPr>
              <w:rPr>
                <w:rFonts w:hint="eastAsia"/>
              </w:rPr>
            </w:pPr>
            <w:r w:rsidRPr="004C0BDB">
              <w:t>Méthodologie CVC/GTB et intégration des PAC</w:t>
            </w:r>
          </w:p>
          <w:p w14:paraId="1111C7EF" w14:textId="77777777" w:rsidR="00B907E2" w:rsidRPr="004C0BDB" w:rsidRDefault="005261C9" w:rsidP="00683E37">
            <w:pPr>
              <w:rPr>
                <w:rFonts w:hint="eastAsia"/>
              </w:rPr>
            </w:pPr>
            <w:r w:rsidRPr="004C0BDB">
              <w:t>Planning et moyens pour respecter les engagements de délai</w:t>
            </w:r>
          </w:p>
          <w:p w14:paraId="722FC961" w14:textId="77777777" w:rsidR="00B907E2" w:rsidRPr="004C0BDB" w:rsidRDefault="005261C9" w:rsidP="00683E37">
            <w:pPr>
              <w:rPr>
                <w:rFonts w:hint="eastAsia"/>
              </w:rPr>
            </w:pPr>
            <w:r w:rsidRPr="004C0BDB">
              <w:t>Moyens humains et matériels dédiés au chantier</w:t>
            </w:r>
          </w:p>
          <w:p w14:paraId="2E4D78DD" w14:textId="77777777" w:rsidR="00B907E2" w:rsidRPr="004C0BDB" w:rsidRDefault="005261C9" w:rsidP="00683E37">
            <w:pPr>
              <w:rPr>
                <w:rFonts w:hint="eastAsia"/>
              </w:rPr>
            </w:pPr>
            <w:r w:rsidRPr="004C0BDB">
              <w:t>Conformité des prestations au regard du CCTP</w:t>
            </w:r>
          </w:p>
          <w:p w14:paraId="6D227C0A" w14:textId="77777777" w:rsidR="00B907E2" w:rsidRPr="004C0BDB" w:rsidRDefault="005261C9" w:rsidP="00683E37">
            <w:pPr>
              <w:rPr>
                <w:rFonts w:hint="eastAsia"/>
              </w:rPr>
            </w:pPr>
            <w:r w:rsidRPr="004C0BDB">
              <w:t>Prise en compte du contexte spécifique (sinistre post-incendie, ERP W 5e catégorie)</w:t>
            </w:r>
          </w:p>
        </w:tc>
        <w:tc>
          <w:tcPr>
            <w:tcW w:w="1417" w:type="dxa"/>
            <w:tcBorders>
              <w:top w:val="single" w:sz="4" w:space="0" w:color="000000"/>
              <w:left w:val="single" w:sz="4" w:space="0" w:color="000000"/>
              <w:bottom w:val="single" w:sz="4" w:space="0" w:color="000000"/>
              <w:right w:val="single" w:sz="4" w:space="0" w:color="000000"/>
            </w:tcBorders>
          </w:tcPr>
          <w:p w14:paraId="5EFD8FF4" w14:textId="77777777" w:rsidR="00B907E2" w:rsidRPr="004C0BDB" w:rsidRDefault="005261C9" w:rsidP="00683E37">
            <w:pPr>
              <w:rPr>
                <w:rFonts w:hint="eastAsia"/>
              </w:rPr>
            </w:pPr>
            <w:r w:rsidRPr="004C0BDB">
              <w:rPr>
                <w:b/>
              </w:rPr>
              <w:t>45 %</w:t>
            </w:r>
          </w:p>
        </w:tc>
      </w:tr>
      <w:tr w:rsidR="00B907E2" w:rsidRPr="004C0BDB" w14:paraId="197D781D" w14:textId="77777777">
        <w:trPr>
          <w:trHeight w:val="112"/>
        </w:trPr>
        <w:tc>
          <w:tcPr>
            <w:tcW w:w="7797" w:type="dxa"/>
            <w:tcBorders>
              <w:top w:val="single" w:sz="4" w:space="0" w:color="000000"/>
              <w:left w:val="single" w:sz="4" w:space="0" w:color="000000"/>
              <w:bottom w:val="single" w:sz="4" w:space="0" w:color="000000"/>
            </w:tcBorders>
          </w:tcPr>
          <w:p w14:paraId="4EF4D5A0" w14:textId="77777777" w:rsidR="00B907E2" w:rsidRPr="004C0BDB" w:rsidRDefault="005261C9" w:rsidP="00683E37">
            <w:pPr>
              <w:rPr>
                <w:rFonts w:hint="eastAsia"/>
              </w:rPr>
            </w:pPr>
            <w:r w:rsidRPr="004C0BDB">
              <w:rPr>
                <w:b/>
              </w:rPr>
              <w:t>2. Le prix des prestations :</w:t>
            </w:r>
          </w:p>
        </w:tc>
        <w:tc>
          <w:tcPr>
            <w:tcW w:w="1417" w:type="dxa"/>
            <w:tcBorders>
              <w:top w:val="single" w:sz="4" w:space="0" w:color="000000"/>
              <w:left w:val="single" w:sz="4" w:space="0" w:color="000000"/>
              <w:bottom w:val="single" w:sz="4" w:space="0" w:color="000000"/>
              <w:right w:val="single" w:sz="4" w:space="0" w:color="000000"/>
            </w:tcBorders>
          </w:tcPr>
          <w:p w14:paraId="21B435B7" w14:textId="77777777" w:rsidR="00B907E2" w:rsidRPr="004C0BDB" w:rsidRDefault="005261C9" w:rsidP="00683E37">
            <w:pPr>
              <w:rPr>
                <w:rFonts w:hint="eastAsia"/>
              </w:rPr>
            </w:pPr>
            <w:r w:rsidRPr="004C0BDB">
              <w:rPr>
                <w:b/>
              </w:rPr>
              <w:t>30 %</w:t>
            </w:r>
          </w:p>
        </w:tc>
      </w:tr>
      <w:tr w:rsidR="00B907E2" w:rsidRPr="009C75CA" w14:paraId="00D5045B" w14:textId="77777777">
        <w:tc>
          <w:tcPr>
            <w:tcW w:w="7797" w:type="dxa"/>
            <w:tcBorders>
              <w:top w:val="single" w:sz="4" w:space="0" w:color="000000"/>
              <w:left w:val="single" w:sz="4" w:space="0" w:color="000000"/>
              <w:bottom w:val="single" w:sz="4" w:space="0" w:color="000000"/>
            </w:tcBorders>
          </w:tcPr>
          <w:p w14:paraId="7D75A0B6" w14:textId="77777777" w:rsidR="00B907E2" w:rsidRPr="004C0BDB" w:rsidRDefault="005261C9" w:rsidP="00683E37">
            <w:pPr>
              <w:rPr>
                <w:rFonts w:hint="eastAsia"/>
              </w:rPr>
            </w:pPr>
            <w:r w:rsidRPr="004C0BDB">
              <w:rPr>
                <w:b/>
              </w:rPr>
              <w:t xml:space="preserve">3. Qualité environnementale des pompes à chaleur </w:t>
            </w:r>
            <w:r w:rsidRPr="004C0BDB">
              <w:t>(stratégie d’achat DAE–PAC du 13 janvier 2025), appréciée au vu de la grille de réponse (Annexe PAC) sur la base des sous-critères suivants :</w:t>
            </w:r>
          </w:p>
          <w:p w14:paraId="24A35E74" w14:textId="77777777" w:rsidR="00B907E2" w:rsidRPr="004C0BDB" w:rsidRDefault="005261C9" w:rsidP="00683E37">
            <w:pPr>
              <w:rPr>
                <w:rFonts w:hint="eastAsia"/>
              </w:rPr>
            </w:pPr>
            <w:r w:rsidRPr="004C0BDB">
              <w:t xml:space="preserve">Éco-conception (circularité des matériaux de la carrosserie, part de matériaux recyclés, puissance acoustique) : </w:t>
            </w:r>
            <w:r w:rsidRPr="004C0BDB">
              <w:rPr>
                <w:b/>
              </w:rPr>
              <w:t>8 %</w:t>
            </w:r>
          </w:p>
          <w:p w14:paraId="2A6B5731" w14:textId="77777777" w:rsidR="00B907E2" w:rsidRPr="004C0BDB" w:rsidRDefault="005261C9" w:rsidP="00683E37">
            <w:pPr>
              <w:rPr>
                <w:rFonts w:hint="eastAsia"/>
              </w:rPr>
            </w:pPr>
            <w:r w:rsidRPr="004C0BDB">
              <w:t xml:space="preserve">Réparabilité (ratio de réparabilité, durée de disponibilité des pièces détachées, durée de garantie) : </w:t>
            </w:r>
            <w:r w:rsidRPr="004C0BDB">
              <w:rPr>
                <w:b/>
              </w:rPr>
              <w:t>8 %</w:t>
            </w:r>
          </w:p>
          <w:p w14:paraId="72FCBE7A" w14:textId="77777777" w:rsidR="00B907E2" w:rsidRPr="004C0BDB" w:rsidRDefault="005261C9" w:rsidP="00683E37">
            <w:pPr>
              <w:rPr>
                <w:rFonts w:hint="eastAsia"/>
              </w:rPr>
            </w:pPr>
            <w:r w:rsidRPr="004C0BDB">
              <w:t xml:space="preserve">Impact environnemental (indice ETAS, pouvoir de réchauffement global du fluide </w:t>
            </w:r>
            <w:proofErr w:type="spellStart"/>
            <w:r w:rsidRPr="004C0BDB">
              <w:t>frigorigrigenene</w:t>
            </w:r>
            <w:proofErr w:type="spellEnd"/>
            <w:r w:rsidRPr="004C0BDB">
              <w:t xml:space="preserve">) : </w:t>
            </w:r>
            <w:r w:rsidRPr="004C0BDB">
              <w:rPr>
                <w:b/>
              </w:rPr>
              <w:t>9 %</w:t>
            </w:r>
          </w:p>
          <w:p w14:paraId="652439B1" w14:textId="6C928362" w:rsidR="00B907E2" w:rsidRPr="004C0BDB" w:rsidRDefault="005261C9" w:rsidP="00683E37">
            <w:pPr>
              <w:rPr>
                <w:rFonts w:hint="eastAsia"/>
              </w:rPr>
            </w:pPr>
            <w:r w:rsidRPr="004C0BDB">
              <w:rPr>
                <w:i/>
              </w:rPr>
              <w:t>Le soumissionnaire du Lo</w:t>
            </w:r>
            <w:r w:rsidR="004C0BDB" w:rsidRPr="004C0BDB">
              <w:rPr>
                <w:i/>
              </w:rPr>
              <w:t>t</w:t>
            </w:r>
            <w:r w:rsidRPr="004C0BDB">
              <w:rPr>
                <w:i/>
              </w:rPr>
              <w:t xml:space="preserve"> remet avec son offre la grille de réponse PAC (Annexe PAC) dûment complétée et signée. Toute fausse déclaration est susceptible d’engager la responsabilité pénale du titulaire (art. 441-1 du code pénal).</w:t>
            </w:r>
          </w:p>
        </w:tc>
        <w:tc>
          <w:tcPr>
            <w:tcW w:w="1417" w:type="dxa"/>
            <w:tcBorders>
              <w:top w:val="single" w:sz="4" w:space="0" w:color="000000"/>
              <w:left w:val="single" w:sz="4" w:space="0" w:color="000000"/>
              <w:bottom w:val="single" w:sz="4" w:space="0" w:color="000000"/>
              <w:right w:val="single" w:sz="4" w:space="0" w:color="000000"/>
            </w:tcBorders>
          </w:tcPr>
          <w:p w14:paraId="39C62061" w14:textId="77777777" w:rsidR="00B907E2" w:rsidRPr="009C75CA" w:rsidRDefault="005261C9" w:rsidP="00683E37">
            <w:pPr>
              <w:rPr>
                <w:rFonts w:hint="eastAsia"/>
              </w:rPr>
            </w:pPr>
            <w:r w:rsidRPr="004C0BDB">
              <w:rPr>
                <w:b/>
              </w:rPr>
              <w:t>25 %</w:t>
            </w:r>
          </w:p>
        </w:tc>
      </w:tr>
    </w:tbl>
    <w:p w14:paraId="0714C5BE" w14:textId="77777777" w:rsidR="008C7EB2" w:rsidRPr="009C75CA" w:rsidRDefault="008C7EB2" w:rsidP="00683E37">
      <w:pPr>
        <w:rPr>
          <w:rFonts w:hint="eastAsia"/>
        </w:rPr>
      </w:pPr>
    </w:p>
    <w:p w14:paraId="6BE5DAEE" w14:textId="51F98D71" w:rsidR="0076348D" w:rsidRDefault="0076348D" w:rsidP="00683E37">
      <w:pPr>
        <w:rPr>
          <w:rFonts w:hint="eastAsia"/>
        </w:rPr>
      </w:pPr>
    </w:p>
    <w:p w14:paraId="42F2C3B8" w14:textId="24BE2C1C" w:rsidR="008C7EB2" w:rsidRDefault="00F11FBB" w:rsidP="00683E37">
      <w:pPr>
        <w:pStyle w:val="Paragraphedeliste"/>
        <w:numPr>
          <w:ilvl w:val="2"/>
          <w:numId w:val="2"/>
        </w:numPr>
      </w:pPr>
      <w:r>
        <w:t xml:space="preserve">Le critère de la valeur technique sera apprécié </w:t>
      </w:r>
      <w:r w:rsidR="00C24F15">
        <w:t xml:space="preserve">sur 50 points </w:t>
      </w:r>
      <w:r>
        <w:t>sur la base du mémoire justificatif remis par le candidat qui précisera notamment les éléments suivants :</w:t>
      </w:r>
    </w:p>
    <w:p w14:paraId="215C7D99" w14:textId="77777777" w:rsidR="00683E37" w:rsidRPr="009C75CA" w:rsidRDefault="00683E37" w:rsidP="00683E37">
      <w:pPr>
        <w:pStyle w:val="Paragraphedeliste"/>
        <w:ind w:left="1440"/>
      </w:pPr>
    </w:p>
    <w:p w14:paraId="764B49F0" w14:textId="77777777" w:rsidR="008C7EB2" w:rsidRPr="009C75CA" w:rsidRDefault="00F11FBB" w:rsidP="00683E37">
      <w:pPr>
        <w:rPr>
          <w:rFonts w:hint="eastAsia"/>
        </w:rPr>
      </w:pPr>
      <w:r>
        <w:t>La méthodologie proposée pour l’exécution des travaux,</w:t>
      </w:r>
    </w:p>
    <w:p w14:paraId="5A36A9DE" w14:textId="77777777" w:rsidR="0076348D" w:rsidRDefault="00F11FBB" w:rsidP="00683E37">
      <w:pPr>
        <w:rPr>
          <w:rFonts w:hint="eastAsia"/>
        </w:rPr>
      </w:pPr>
      <w:r>
        <w:t>Un planning et les moyens proposées pour respecter les engagements de délai,</w:t>
      </w:r>
    </w:p>
    <w:p w14:paraId="4418DB56" w14:textId="06BD075A" w:rsidR="0076348D" w:rsidRPr="009C75CA" w:rsidRDefault="00683E37" w:rsidP="00683E37">
      <w:pPr>
        <w:rPr>
          <w:rFonts w:hint="eastAsia"/>
        </w:rPr>
      </w:pPr>
      <w:r>
        <w:t>Taux</w:t>
      </w:r>
      <w:r w:rsidR="0076348D">
        <w:t xml:space="preserve"> de présence et notamment le taux d’encadrement du conducteur de travaux ; incluant CV</w:t>
      </w:r>
    </w:p>
    <w:p w14:paraId="2A6EDE15" w14:textId="77777777" w:rsidR="008C7EB2" w:rsidRPr="009C75CA" w:rsidRDefault="00F11FBB" w:rsidP="00683E37">
      <w:pPr>
        <w:rPr>
          <w:rFonts w:hint="eastAsia"/>
        </w:rPr>
      </w:pPr>
      <w:r>
        <w:lastRenderedPageBreak/>
        <w:t>Les moyens humains (Liste nominative du personnel qualifié de l’entreprise affectée à l’exécution du marché, le CV du conducteur de chantier et du personnel d’exécution en précisant notamment leur qualifications et références) et les moyens matériels,</w:t>
      </w:r>
    </w:p>
    <w:p w14:paraId="5F3387C9" w14:textId="77777777" w:rsidR="00C24F15" w:rsidRPr="009C75CA" w:rsidRDefault="00C24F15" w:rsidP="00683E37">
      <w:pPr>
        <w:rPr>
          <w:rFonts w:hint="eastAsia"/>
        </w:rPr>
      </w:pPr>
    </w:p>
    <w:p w14:paraId="0DED6CD0" w14:textId="54A07C08" w:rsidR="008C7EB2" w:rsidRPr="009C75CA" w:rsidRDefault="00F11FBB" w:rsidP="00683E37">
      <w:pPr>
        <w:rPr>
          <w:rFonts w:hint="eastAsia"/>
        </w:rPr>
      </w:pPr>
      <w:r>
        <w:t xml:space="preserve">2. Le critère du prix des prestations sera noté sur </w:t>
      </w:r>
      <w:r w:rsidR="00C24F15">
        <w:t>4</w:t>
      </w:r>
      <w:r>
        <w:t>0 points sur la base de la formule suivante :</w:t>
      </w:r>
    </w:p>
    <w:p w14:paraId="68741844" w14:textId="77777777" w:rsidR="008C7EB2" w:rsidRPr="009C75CA" w:rsidRDefault="008C7EB2" w:rsidP="00683E37">
      <w:pPr>
        <w:rPr>
          <w:rFonts w:hint="eastAsia"/>
        </w:rPr>
      </w:pPr>
    </w:p>
    <w:p w14:paraId="48D3C517" w14:textId="104F8EB3" w:rsidR="008C7EB2" w:rsidRDefault="00C24F15" w:rsidP="00683E37">
      <w:pPr>
        <w:rPr>
          <w:rFonts w:hint="eastAsia"/>
          <w:b/>
          <w:bCs/>
        </w:rPr>
      </w:pPr>
      <w:r>
        <w:rPr>
          <w:b/>
          <w:bCs/>
        </w:rPr>
        <w:t>4</w:t>
      </w:r>
      <w:r w:rsidR="00EC4483">
        <w:rPr>
          <w:b/>
          <w:bCs/>
        </w:rPr>
        <w:t>0</w:t>
      </w:r>
      <w:r w:rsidR="003D6C72">
        <w:rPr>
          <w:b/>
          <w:bCs/>
        </w:rPr>
        <w:t xml:space="preserve"> x (montant de l’offre la moins-disante / montant de l’offre du candidat analysée)</w:t>
      </w:r>
    </w:p>
    <w:p w14:paraId="48BB8998" w14:textId="77777777" w:rsidR="008C7EB2" w:rsidRDefault="008C7EB2" w:rsidP="00683E37">
      <w:pPr>
        <w:rPr>
          <w:rFonts w:hint="eastAsia"/>
        </w:rPr>
      </w:pPr>
    </w:p>
    <w:p w14:paraId="5D9A708C" w14:textId="77777777" w:rsidR="008C7EB2" w:rsidRDefault="00F11FBB">
      <w:pPr>
        <w:pStyle w:val="Titre2"/>
        <w:tabs>
          <w:tab w:val="left" w:pos="0"/>
        </w:tabs>
        <w:ind w:firstLine="0"/>
        <w:rPr>
          <w:rFonts w:hint="eastAsia"/>
        </w:rPr>
      </w:pPr>
      <w:bookmarkStart w:id="47" w:name="_Toc236813704"/>
      <w:r>
        <w:t>4-3. Suite à donner à la consultation</w:t>
      </w:r>
      <w:bookmarkEnd w:id="47"/>
    </w:p>
    <w:p w14:paraId="6B0F6B85" w14:textId="77777777" w:rsidR="0024371E" w:rsidRPr="0024371E" w:rsidRDefault="0024371E" w:rsidP="0024371E">
      <w:pPr>
        <w:rPr>
          <w:rFonts w:hint="eastAsia"/>
        </w:rPr>
      </w:pPr>
    </w:p>
    <w:p w14:paraId="3F7C909C"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bookmarkStart w:id="48" w:name="_Hlk202871477"/>
      <w:bookmarkEnd w:id="48"/>
      <w:r w:rsidRPr="0024371E">
        <w:rPr>
          <w:rFonts w:ascii="Times New Roman" w:eastAsia="Times New Roman" w:hAnsi="Times New Roman" w:cs="Times New Roman"/>
          <w:b/>
          <w:bCs/>
          <w:lang w:eastAsia="fr-FR"/>
        </w:rPr>
        <w:t>4-3.1. Procédure de négociation — Pouvoir discrétionnaire de l'acheteur</w:t>
      </w:r>
    </w:p>
    <w:p w14:paraId="28C4905C"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 xml:space="preserve">L'acheteur dispose du pouvoir de procéder à une phase de négociation. Cette négociation s'effectue par voie électronique via la plateforme PLACE, ou par auditions en visioconférence ou en présentiel, selon les modalités fixées au présent article. Les conditions d'accès à la négociation sont identiques pour tous les soumissionnaires admis à participer. </w:t>
      </w:r>
      <w:r w:rsidRPr="0024371E">
        <w:rPr>
          <w:rFonts w:ascii="Times New Roman" w:eastAsia="Times New Roman" w:hAnsi="Times New Roman" w:cs="Times New Roman"/>
          <w:b/>
          <w:bCs/>
          <w:lang w:eastAsia="fr-FR"/>
        </w:rPr>
        <w:t>L'acheteur conserve toutefois la faculté d'attribuer le marché sur la base des seules offres initiales, sans phase de négociation.</w:t>
      </w:r>
    </w:p>
    <w:p w14:paraId="17E2D6A4"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4-3.2. Soumissionnaires admis à négocier</w:t>
      </w:r>
    </w:p>
    <w:p w14:paraId="74511469" w14:textId="7D90DDD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 xml:space="preserve">Seules les trois offres les mieux classées </w:t>
      </w:r>
      <w:r w:rsidR="00F35FCF">
        <w:rPr>
          <w:rFonts w:ascii="Times New Roman" w:eastAsia="Times New Roman" w:hAnsi="Times New Roman" w:cs="Times New Roman"/>
          <w:lang w:eastAsia="fr-FR"/>
        </w:rPr>
        <w:t xml:space="preserve">par lot </w:t>
      </w:r>
      <w:r w:rsidRPr="0024371E">
        <w:rPr>
          <w:rFonts w:ascii="Times New Roman" w:eastAsia="Times New Roman" w:hAnsi="Times New Roman" w:cs="Times New Roman"/>
          <w:lang w:eastAsia="fr-FR"/>
        </w:rPr>
        <w:t>à l'issue de l'analyse des offres initiales sont admises à participer à la négociation. L'admission à négocier constitue une faculté discrétionnaire de l'acheteur et n'impose aucune obligation de poursuivre la procédure.</w:t>
      </w:r>
    </w:p>
    <w:p w14:paraId="6589013E"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4-3.3. Objet et périmètre de la négociation</w:t>
      </w:r>
    </w:p>
    <w:p w14:paraId="5401A687" w14:textId="4CF6709A"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 xml:space="preserve">La négociation porte sur l'ensemble des aspects technique et financier du marché, à l'exception des exigences minimales énumérées à l'article 2-7 du présent règlement. Lesdites exigences minimales sont </w:t>
      </w:r>
      <w:r w:rsidR="00E56A0B">
        <w:rPr>
          <w:rFonts w:ascii="Times New Roman" w:eastAsia="Times New Roman" w:hAnsi="Times New Roman" w:cs="Times New Roman"/>
          <w:lang w:eastAsia="fr-FR"/>
        </w:rPr>
        <w:t>non modifiables</w:t>
      </w:r>
      <w:r w:rsidRPr="0024371E">
        <w:rPr>
          <w:rFonts w:ascii="Times New Roman" w:eastAsia="Times New Roman" w:hAnsi="Times New Roman" w:cs="Times New Roman"/>
          <w:lang w:eastAsia="fr-FR"/>
        </w:rPr>
        <w:t xml:space="preserve"> et n'y peuvent faire l'objet d'aucune négociation, variation ou dérogation.</w:t>
      </w:r>
    </w:p>
    <w:p w14:paraId="5E5E5E4F"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4-3.4. Déroulement et nombre de tours</w:t>
      </w:r>
    </w:p>
    <w:p w14:paraId="6554F1A9"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La négociation se déroule en un seul tour. Aucune négociation successive ou itérative n'est possible. Tout échange ultérieur au premier tour est exclu.</w:t>
      </w:r>
    </w:p>
    <w:p w14:paraId="06C7CEFE"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4-3.5. Date, lieu et modalités de l'audition</w:t>
      </w:r>
    </w:p>
    <w:p w14:paraId="3A5C9DA5"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L'audition de négociation aura lieu le 5 novembre 2026 au 1 quai de la Corse, 75004 Paris. Cette</w:t>
      </w:r>
      <w:r w:rsidRPr="0024371E">
        <w:rPr>
          <w:rFonts w:ascii="Times New Roman" w:eastAsia="Times New Roman" w:hAnsi="Times New Roman" w:cs="Times New Roman"/>
          <w:lang w:eastAsia="fr-FR"/>
        </w:rPr>
        <w:t xml:space="preserve"> date est susceptible de modification par l'acheteur. Toute modification est notifiée aux soumissionnaires selon les modalités fixées à l'article 2-1 du présent règlement.</w:t>
      </w:r>
    </w:p>
    <w:p w14:paraId="0E18A5B3"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Un rapport de négociation est établi à l'issue de chaque échange et conservé au dossier de la consultation.</w:t>
      </w:r>
    </w:p>
    <w:p w14:paraId="629986F0"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4-3.6. Classement provisoire et demande de justificatifs</w:t>
      </w:r>
    </w:p>
    <w:p w14:paraId="36DA86E5"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lastRenderedPageBreak/>
        <w:t>Si l'acheteur engage une négociation, l'offre la mieux classée est retenue à titre provisoire dans l'attente de la production des documents justificatifs.</w:t>
      </w:r>
    </w:p>
    <w:p w14:paraId="7875D3A2"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L'acheteur demande au soumissionnaire de cette offre de produire, dans un délai de onze jours calendaires à compter de la notification de cette demande, les documents suivants :</w:t>
      </w:r>
    </w:p>
    <w:p w14:paraId="3471CBFF" w14:textId="7464D294" w:rsidR="00094D45" w:rsidRDefault="00094D45" w:rsidP="0024371E">
      <w:pPr>
        <w:widowControl/>
        <w:numPr>
          <w:ilvl w:val="0"/>
          <w:numId w:val="20"/>
        </w:numPr>
        <w:suppressAutoHyphens w:val="0"/>
        <w:spacing w:before="100" w:beforeAutospacing="1" w:after="100" w:afterAutospacing="1"/>
        <w:jc w:val="left"/>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L’offre révisée </w:t>
      </w:r>
      <w:r w:rsidR="0031785F">
        <w:rPr>
          <w:rFonts w:ascii="Times New Roman" w:eastAsia="Times New Roman" w:hAnsi="Times New Roman" w:cs="Times New Roman"/>
          <w:lang w:eastAsia="fr-FR"/>
        </w:rPr>
        <w:t>(mémoire technique</w:t>
      </w:r>
      <w:r w:rsidR="003B7D5B">
        <w:rPr>
          <w:rFonts w:ascii="Times New Roman" w:eastAsia="Times New Roman" w:hAnsi="Times New Roman" w:cs="Times New Roman"/>
          <w:lang w:eastAsia="fr-FR"/>
        </w:rPr>
        <w:t xml:space="preserve"> et planning</w:t>
      </w:r>
      <w:r w:rsidR="0031785F">
        <w:rPr>
          <w:rFonts w:ascii="Times New Roman" w:eastAsia="Times New Roman" w:hAnsi="Times New Roman" w:cs="Times New Roman"/>
          <w:lang w:eastAsia="fr-FR"/>
        </w:rPr>
        <w:t>, DPGF, AE)</w:t>
      </w:r>
    </w:p>
    <w:p w14:paraId="5B44E2E3" w14:textId="26C6D1F8" w:rsidR="0024371E" w:rsidRPr="0024371E" w:rsidRDefault="0024371E" w:rsidP="0024371E">
      <w:pPr>
        <w:widowControl/>
        <w:numPr>
          <w:ilvl w:val="0"/>
          <w:numId w:val="20"/>
        </w:numPr>
        <w:suppressAutoHyphens w:val="0"/>
        <w:spacing w:before="100" w:beforeAutospacing="1" w:after="100" w:afterAutospacing="1"/>
        <w:jc w:val="left"/>
        <w:rPr>
          <w:rFonts w:ascii="Times New Roman" w:eastAsia="Times New Roman" w:hAnsi="Times New Roman" w:cs="Times New Roman"/>
          <w:lang w:eastAsia="fr-FR"/>
        </w:rPr>
      </w:pPr>
      <w:proofErr w:type="gramStart"/>
      <w:r w:rsidRPr="0024371E">
        <w:rPr>
          <w:rFonts w:ascii="Times New Roman" w:eastAsia="Times New Roman" w:hAnsi="Times New Roman" w:cs="Times New Roman"/>
          <w:lang w:eastAsia="fr-FR"/>
        </w:rPr>
        <w:t>les</w:t>
      </w:r>
      <w:proofErr w:type="gramEnd"/>
      <w:r w:rsidRPr="0024371E">
        <w:rPr>
          <w:rFonts w:ascii="Times New Roman" w:eastAsia="Times New Roman" w:hAnsi="Times New Roman" w:cs="Times New Roman"/>
          <w:lang w:eastAsia="fr-FR"/>
        </w:rPr>
        <w:t xml:space="preserve"> certificats et attestations prévus aux articles R. 2143-6 à R. 2143-10 du Code des marchés publics ;</w:t>
      </w:r>
    </w:p>
    <w:p w14:paraId="7CC1142C" w14:textId="77777777" w:rsidR="0024371E" w:rsidRPr="0024371E" w:rsidRDefault="0024371E" w:rsidP="0024371E">
      <w:pPr>
        <w:widowControl/>
        <w:numPr>
          <w:ilvl w:val="0"/>
          <w:numId w:val="20"/>
        </w:numPr>
        <w:suppressAutoHyphens w:val="0"/>
        <w:spacing w:before="100" w:beforeAutospacing="1" w:after="100" w:afterAutospacing="1"/>
        <w:jc w:val="left"/>
        <w:rPr>
          <w:rFonts w:ascii="Times New Roman" w:eastAsia="Times New Roman" w:hAnsi="Times New Roman" w:cs="Times New Roman"/>
          <w:lang w:eastAsia="fr-FR"/>
        </w:rPr>
      </w:pPr>
      <w:proofErr w:type="gramStart"/>
      <w:r w:rsidRPr="0024371E">
        <w:rPr>
          <w:rFonts w:ascii="Times New Roman" w:eastAsia="Times New Roman" w:hAnsi="Times New Roman" w:cs="Times New Roman"/>
          <w:lang w:eastAsia="fr-FR"/>
        </w:rPr>
        <w:t>une</w:t>
      </w:r>
      <w:proofErr w:type="gramEnd"/>
      <w:r w:rsidRPr="0024371E">
        <w:rPr>
          <w:rFonts w:ascii="Times New Roman" w:eastAsia="Times New Roman" w:hAnsi="Times New Roman" w:cs="Times New Roman"/>
          <w:lang w:eastAsia="fr-FR"/>
        </w:rPr>
        <w:t xml:space="preserve"> attestation d'assurance responsabilité civile décennale conforme aux exigences de l'article 2-7 du présent règlement ;</w:t>
      </w:r>
    </w:p>
    <w:p w14:paraId="162FE9E7" w14:textId="77777777" w:rsidR="0024371E" w:rsidRPr="0024371E" w:rsidRDefault="0024371E" w:rsidP="0024371E">
      <w:pPr>
        <w:widowControl/>
        <w:numPr>
          <w:ilvl w:val="0"/>
          <w:numId w:val="20"/>
        </w:numPr>
        <w:suppressAutoHyphens w:val="0"/>
        <w:spacing w:before="100" w:beforeAutospacing="1" w:after="100" w:afterAutospacing="1"/>
        <w:jc w:val="left"/>
        <w:rPr>
          <w:rFonts w:ascii="Times New Roman" w:eastAsia="Times New Roman" w:hAnsi="Times New Roman" w:cs="Times New Roman"/>
          <w:lang w:eastAsia="fr-FR"/>
        </w:rPr>
      </w:pPr>
      <w:proofErr w:type="gramStart"/>
      <w:r w:rsidRPr="0024371E">
        <w:rPr>
          <w:rFonts w:ascii="Times New Roman" w:eastAsia="Times New Roman" w:hAnsi="Times New Roman" w:cs="Times New Roman"/>
          <w:lang w:eastAsia="fr-FR"/>
        </w:rPr>
        <w:t>un</w:t>
      </w:r>
      <w:proofErr w:type="gramEnd"/>
      <w:r w:rsidRPr="0024371E">
        <w:rPr>
          <w:rFonts w:ascii="Times New Roman" w:eastAsia="Times New Roman" w:hAnsi="Times New Roman" w:cs="Times New Roman"/>
          <w:lang w:eastAsia="fr-FR"/>
        </w:rPr>
        <w:t xml:space="preserve"> relevé d'identité bancaire (RIB) aux coordonnées du compte sur lequel sera effectué le versement des fonds publics.</w:t>
      </w:r>
    </w:p>
    <w:p w14:paraId="472CF798"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4-3.7. Défaut de production des justificatifs</w:t>
      </w:r>
    </w:p>
    <w:p w14:paraId="2323504C"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Le défaut de production de l'un quelconque des justificatifs énumérés à l'article 4-3.6 dans le délai prescrit entraîne le rejet de l'offre provisionnellement retenue. L'acheteur procède alors au classement de l'offre suivante et demande les justificatifs correspondants selon les mêmes modalités.</w:t>
      </w:r>
    </w:p>
    <w:p w14:paraId="1CCC316D"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4-3.8. Dématérialisation et re-matérialisation de l'offre</w:t>
      </w:r>
    </w:p>
    <w:p w14:paraId="6090F6D1"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 xml:space="preserve">L'offre retenue, soumise sous forme électronique, demeure recevable. Après attribution, l'offre électronique retenue peut être </w:t>
      </w:r>
      <w:proofErr w:type="spellStart"/>
      <w:r w:rsidRPr="0024371E">
        <w:rPr>
          <w:rFonts w:ascii="Times New Roman" w:eastAsia="Times New Roman" w:hAnsi="Times New Roman" w:cs="Times New Roman"/>
          <w:lang w:eastAsia="fr-FR"/>
        </w:rPr>
        <w:t>re-matérialisée</w:t>
      </w:r>
      <w:proofErr w:type="spellEnd"/>
      <w:r w:rsidRPr="0024371E">
        <w:rPr>
          <w:rFonts w:ascii="Times New Roman" w:eastAsia="Times New Roman" w:hAnsi="Times New Roman" w:cs="Times New Roman"/>
          <w:lang w:eastAsia="fr-FR"/>
        </w:rPr>
        <w:t xml:space="preserve"> sur support papier aux seules fins de signature manuscrite des documents contractuels.</w:t>
      </w:r>
    </w:p>
    <w:p w14:paraId="3459900F"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Les documents issus de la re-matérialisation ne remplacent pas l'offre électronique initiale, qui constitue le document de référence de la consultation. En cas de divergence entre la version électronique et la version papier, la version électronique prime.</w:t>
      </w:r>
    </w:p>
    <w:p w14:paraId="6AF86B02"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b/>
          <w:bCs/>
          <w:lang w:eastAsia="fr-FR"/>
        </w:rPr>
        <w:t>4-3.9. Information des candidats non retenus</w:t>
      </w:r>
    </w:p>
    <w:p w14:paraId="572E2A94" w14:textId="77777777" w:rsidR="0024371E" w:rsidRPr="0024371E" w:rsidRDefault="0024371E" w:rsidP="0024371E">
      <w:pPr>
        <w:widowControl/>
        <w:suppressAutoHyphens w:val="0"/>
        <w:spacing w:before="100" w:beforeAutospacing="1" w:after="100" w:afterAutospacing="1"/>
        <w:jc w:val="left"/>
        <w:rPr>
          <w:rFonts w:ascii="Times New Roman" w:eastAsia="Times New Roman" w:hAnsi="Times New Roman" w:cs="Times New Roman"/>
          <w:lang w:eastAsia="fr-FR"/>
        </w:rPr>
      </w:pPr>
      <w:r w:rsidRPr="0024371E">
        <w:rPr>
          <w:rFonts w:ascii="Times New Roman" w:eastAsia="Times New Roman" w:hAnsi="Times New Roman" w:cs="Times New Roman"/>
          <w:lang w:eastAsia="fr-FR"/>
        </w:rPr>
        <w:t>Les candidats dont l'offre n'est pas retenue sont informés du résultat de la consultation dans les délais fixés à l'article 2-1 du présent règlement. Aucun recours n'est possible au-delà des délais de forclusion légaux.</w:t>
      </w:r>
    </w:p>
    <w:p w14:paraId="1F15BF97" w14:textId="5A6CB9B8" w:rsidR="008C7EB2" w:rsidRDefault="00F11FBB">
      <w:pPr>
        <w:pStyle w:val="Titre1"/>
        <w:tabs>
          <w:tab w:val="left" w:pos="0"/>
        </w:tabs>
        <w:ind w:firstLine="0"/>
        <w:rPr>
          <w:rFonts w:hint="eastAsia"/>
        </w:rPr>
      </w:pPr>
      <w:bookmarkStart w:id="49" w:name="_Toc236813705"/>
      <w:r>
        <w:t>CLE 5. CONDITIONS D'ENVOI OU DE REMISE DE L'OFFRE</w:t>
      </w:r>
      <w:bookmarkEnd w:id="49"/>
    </w:p>
    <w:p w14:paraId="2063BED4" w14:textId="77777777" w:rsidR="008C7EB2" w:rsidRDefault="00F11FBB">
      <w:pPr>
        <w:pStyle w:val="Titre2"/>
        <w:tabs>
          <w:tab w:val="left" w:pos="0"/>
        </w:tabs>
        <w:ind w:firstLine="0"/>
        <w:rPr>
          <w:rFonts w:hint="eastAsia"/>
        </w:rPr>
      </w:pPr>
      <w:bookmarkStart w:id="50" w:name="_Toc236813706"/>
      <w:r>
        <w:t>5-1. Mode de transmission</w:t>
      </w:r>
      <w:bookmarkEnd w:id="50"/>
    </w:p>
    <w:p w14:paraId="2D9C7C9F" w14:textId="77777777" w:rsidR="008C7EB2" w:rsidRDefault="008C7EB2">
      <w:pPr>
        <w:pStyle w:val="Paragraphedeliste"/>
        <w:autoSpaceDE w:val="0"/>
        <w:ind w:left="0"/>
        <w:jc w:val="both"/>
        <w:rPr>
          <w:rFonts w:ascii="Marianne" w:hAnsi="Marianne" w:cs="Arial"/>
          <w:b/>
          <w:bCs/>
          <w:sz w:val="20"/>
          <w:szCs w:val="20"/>
          <w:u w:val="single"/>
        </w:rPr>
      </w:pPr>
    </w:p>
    <w:p w14:paraId="67659CAD" w14:textId="77777777" w:rsidR="008C7EB2" w:rsidRPr="00A85FE0" w:rsidRDefault="00F11FBB">
      <w:pPr>
        <w:autoSpaceDE w:val="0"/>
        <w:rPr>
          <w:rFonts w:hint="eastAsia"/>
          <w:b/>
          <w:bCs/>
          <w:color w:val="000000"/>
        </w:rPr>
      </w:pPr>
      <w:r>
        <w:rPr>
          <w:b/>
          <w:bCs/>
          <w:color w:val="000000"/>
        </w:rPr>
        <w:t>La transmission des plis par voie électronique sur la plateforme PLACE uniquement est imposée pour cette consultation. Par conséquent, la transmission par voie papier n'est pas autorisée.</w:t>
      </w:r>
    </w:p>
    <w:p w14:paraId="40388C8A" w14:textId="77777777" w:rsidR="008C7EB2" w:rsidRPr="00A85FE0" w:rsidRDefault="008C7EB2">
      <w:pPr>
        <w:autoSpaceDE w:val="0"/>
        <w:rPr>
          <w:rFonts w:hint="eastAsia"/>
          <w:b/>
          <w:bCs/>
          <w:color w:val="000000"/>
        </w:rPr>
      </w:pPr>
    </w:p>
    <w:p w14:paraId="54744EFE" w14:textId="77777777" w:rsidR="008C7EB2" w:rsidRPr="00A85FE0" w:rsidRDefault="00F11FBB">
      <w:pPr>
        <w:autoSpaceDE w:val="0"/>
        <w:rPr>
          <w:rFonts w:hint="eastAsia"/>
          <w:b/>
          <w:color w:val="000000"/>
        </w:rPr>
      </w:pPr>
      <w:r>
        <w:rPr>
          <w:b/>
          <w:color w:val="000000"/>
        </w:rPr>
        <w:t>Si les opérateurs économiques souhaitent répondre à plusieurs lots, ils devront transmettre une réponse regroupant l’ensemble des lots en une seule fois et dans un seul et même pli.</w:t>
      </w:r>
    </w:p>
    <w:p w14:paraId="0D073D58" w14:textId="77777777" w:rsidR="008C7EB2" w:rsidRDefault="008C7EB2">
      <w:pPr>
        <w:autoSpaceDE w:val="0"/>
        <w:rPr>
          <w:rFonts w:hint="eastAsia"/>
          <w:b/>
          <w:bCs/>
          <w:color w:val="000000"/>
          <w:u w:val="single"/>
        </w:rPr>
      </w:pPr>
    </w:p>
    <w:p w14:paraId="69C90EFD" w14:textId="77777777" w:rsidR="008C7EB2" w:rsidRDefault="00F11FBB">
      <w:pPr>
        <w:autoSpaceDE w:val="0"/>
        <w:rPr>
          <w:rFonts w:hint="eastAsia"/>
          <w:bCs/>
          <w:color w:val="000000"/>
          <w:lang w:val="en-US"/>
        </w:rPr>
      </w:pPr>
      <w:r>
        <w:rPr>
          <w:bCs/>
          <w:color w:val="000000"/>
          <w:lang w:val="en-US"/>
        </w:rPr>
        <w:t xml:space="preserve">Les </w:t>
      </w:r>
      <w:proofErr w:type="spellStart"/>
      <w:r>
        <w:rPr>
          <w:bCs/>
          <w:color w:val="000000"/>
          <w:lang w:val="en-US"/>
        </w:rPr>
        <w:t>opérateurs</w:t>
      </w:r>
      <w:proofErr w:type="spellEnd"/>
      <w:r>
        <w:rPr>
          <w:bCs/>
          <w:color w:val="000000"/>
          <w:lang w:val="en-US"/>
        </w:rPr>
        <w:t xml:space="preserve"> </w:t>
      </w:r>
      <w:proofErr w:type="spellStart"/>
      <w:r>
        <w:rPr>
          <w:bCs/>
          <w:color w:val="000000"/>
          <w:lang w:val="en-US"/>
        </w:rPr>
        <w:t>économiques</w:t>
      </w:r>
      <w:proofErr w:type="spellEnd"/>
      <w:r>
        <w:rPr>
          <w:bCs/>
          <w:color w:val="000000"/>
          <w:lang w:val="en-US"/>
        </w:rPr>
        <w:t xml:space="preserve"> </w:t>
      </w:r>
      <w:proofErr w:type="spellStart"/>
      <w:r>
        <w:rPr>
          <w:bCs/>
          <w:color w:val="000000"/>
          <w:lang w:val="en-US"/>
        </w:rPr>
        <w:t>sont</w:t>
      </w:r>
      <w:proofErr w:type="spellEnd"/>
      <w:r>
        <w:rPr>
          <w:bCs/>
          <w:color w:val="000000"/>
          <w:lang w:val="en-US"/>
        </w:rPr>
        <w:t xml:space="preserve"> </w:t>
      </w:r>
      <w:proofErr w:type="spellStart"/>
      <w:r>
        <w:rPr>
          <w:bCs/>
          <w:color w:val="000000"/>
          <w:lang w:val="en-US"/>
        </w:rPr>
        <w:t>responsables</w:t>
      </w:r>
      <w:proofErr w:type="spellEnd"/>
      <w:r>
        <w:rPr>
          <w:bCs/>
          <w:color w:val="000000"/>
          <w:lang w:val="en-US"/>
        </w:rPr>
        <w:t xml:space="preserve"> de la transmission de </w:t>
      </w:r>
      <w:proofErr w:type="spellStart"/>
      <w:r>
        <w:rPr>
          <w:bCs/>
          <w:color w:val="000000"/>
          <w:lang w:val="en-US"/>
        </w:rPr>
        <w:t>leur</w:t>
      </w:r>
      <w:proofErr w:type="spellEnd"/>
      <w:r>
        <w:rPr>
          <w:bCs/>
          <w:color w:val="000000"/>
          <w:lang w:val="en-US"/>
        </w:rPr>
        <w:t xml:space="preserve"> </w:t>
      </w:r>
      <w:proofErr w:type="spellStart"/>
      <w:r>
        <w:rPr>
          <w:bCs/>
          <w:color w:val="000000"/>
          <w:lang w:val="en-US"/>
        </w:rPr>
        <w:t>pli</w:t>
      </w:r>
      <w:proofErr w:type="spellEnd"/>
      <w:r>
        <w:rPr>
          <w:bCs/>
          <w:color w:val="000000"/>
          <w:lang w:val="en-US"/>
        </w:rPr>
        <w:t xml:space="preserve">. Elle doit </w:t>
      </w:r>
      <w:proofErr w:type="spellStart"/>
      <w:r>
        <w:rPr>
          <w:bCs/>
          <w:color w:val="000000"/>
          <w:lang w:val="en-US"/>
        </w:rPr>
        <w:t>permettre</w:t>
      </w:r>
      <w:proofErr w:type="spellEnd"/>
      <w:r>
        <w:rPr>
          <w:bCs/>
          <w:color w:val="000000"/>
          <w:lang w:val="en-US"/>
        </w:rPr>
        <w:t xml:space="preserve"> de </w:t>
      </w:r>
      <w:proofErr w:type="spellStart"/>
      <w:r>
        <w:rPr>
          <w:bCs/>
          <w:color w:val="000000"/>
          <w:lang w:val="en-US"/>
        </w:rPr>
        <w:t>déterminer</w:t>
      </w:r>
      <w:proofErr w:type="spellEnd"/>
      <w:r>
        <w:rPr>
          <w:bCs/>
          <w:color w:val="000000"/>
          <w:lang w:val="en-US"/>
        </w:rPr>
        <w:t xml:space="preserve"> de façon </w:t>
      </w:r>
      <w:proofErr w:type="spellStart"/>
      <w:r>
        <w:rPr>
          <w:bCs/>
          <w:color w:val="000000"/>
          <w:lang w:val="en-US"/>
        </w:rPr>
        <w:t>certaine</w:t>
      </w:r>
      <w:proofErr w:type="spellEnd"/>
      <w:r>
        <w:rPr>
          <w:bCs/>
          <w:color w:val="000000"/>
          <w:lang w:val="en-US"/>
        </w:rPr>
        <w:t xml:space="preserve"> la date et </w:t>
      </w:r>
      <w:proofErr w:type="spellStart"/>
      <w:r>
        <w:rPr>
          <w:bCs/>
          <w:color w:val="000000"/>
          <w:lang w:val="en-US"/>
        </w:rPr>
        <w:t>l’heure</w:t>
      </w:r>
      <w:proofErr w:type="spellEnd"/>
      <w:r>
        <w:rPr>
          <w:bCs/>
          <w:color w:val="000000"/>
          <w:lang w:val="en-US"/>
        </w:rPr>
        <w:t xml:space="preserve"> de </w:t>
      </w:r>
      <w:proofErr w:type="spellStart"/>
      <w:r>
        <w:rPr>
          <w:bCs/>
          <w:color w:val="000000"/>
          <w:lang w:val="en-US"/>
        </w:rPr>
        <w:t>réception</w:t>
      </w:r>
      <w:proofErr w:type="spellEnd"/>
      <w:r>
        <w:rPr>
          <w:bCs/>
          <w:color w:val="000000"/>
          <w:lang w:val="en-US"/>
        </w:rPr>
        <w:t xml:space="preserve"> et de </w:t>
      </w:r>
      <w:proofErr w:type="spellStart"/>
      <w:r>
        <w:rPr>
          <w:bCs/>
          <w:color w:val="000000"/>
          <w:lang w:val="en-US"/>
        </w:rPr>
        <w:t>garantir</w:t>
      </w:r>
      <w:proofErr w:type="spellEnd"/>
      <w:r>
        <w:rPr>
          <w:bCs/>
          <w:color w:val="000000"/>
          <w:lang w:val="en-US"/>
        </w:rPr>
        <w:t xml:space="preserve"> </w:t>
      </w:r>
      <w:proofErr w:type="spellStart"/>
      <w:r>
        <w:rPr>
          <w:bCs/>
          <w:color w:val="000000"/>
          <w:lang w:val="en-US"/>
        </w:rPr>
        <w:t>leur</w:t>
      </w:r>
      <w:proofErr w:type="spellEnd"/>
      <w:r>
        <w:rPr>
          <w:bCs/>
          <w:color w:val="000000"/>
          <w:lang w:val="en-US"/>
        </w:rPr>
        <w:t xml:space="preserve"> </w:t>
      </w:r>
      <w:proofErr w:type="spellStart"/>
      <w:r>
        <w:rPr>
          <w:bCs/>
          <w:color w:val="000000"/>
          <w:lang w:val="en-US"/>
        </w:rPr>
        <w:t>confidentialité</w:t>
      </w:r>
      <w:proofErr w:type="spellEnd"/>
      <w:r>
        <w:rPr>
          <w:bCs/>
          <w:color w:val="000000"/>
          <w:lang w:val="en-US"/>
        </w:rPr>
        <w:t>.</w:t>
      </w:r>
    </w:p>
    <w:p w14:paraId="6150FEB0" w14:textId="77777777" w:rsidR="008C7EB2" w:rsidRDefault="008C7EB2">
      <w:pPr>
        <w:autoSpaceDE w:val="0"/>
        <w:rPr>
          <w:rFonts w:hint="eastAsia"/>
          <w:bCs/>
          <w:color w:val="000000"/>
          <w:lang w:val="en-US"/>
        </w:rPr>
      </w:pPr>
    </w:p>
    <w:p w14:paraId="7B478CA9" w14:textId="77777777" w:rsidR="008C7EB2" w:rsidRDefault="00F11FBB">
      <w:pPr>
        <w:autoSpaceDE w:val="0"/>
        <w:rPr>
          <w:rFonts w:hint="eastAsia"/>
          <w:bCs/>
          <w:color w:val="000000"/>
        </w:rPr>
      </w:pPr>
      <w:r>
        <w:rPr>
          <w:bCs/>
          <w:color w:val="000000"/>
        </w:rPr>
        <w:t>Chaque transmission fera l'objet d'une date certaine de réception et d'un accusé de réception électronique. A ce titre, le fuseau horaire de référence est celui de (GMT+</w:t>
      </w:r>
      <w:proofErr w:type="gramStart"/>
      <w:r>
        <w:rPr>
          <w:bCs/>
          <w:color w:val="000000"/>
        </w:rPr>
        <w:t>01:</w:t>
      </w:r>
      <w:proofErr w:type="gramEnd"/>
      <w:r>
        <w:rPr>
          <w:bCs/>
          <w:color w:val="000000"/>
        </w:rPr>
        <w:t>00) Paris, Bruxelles, Copenhague, Madrid.</w:t>
      </w:r>
    </w:p>
    <w:p w14:paraId="02EC30BA" w14:textId="77777777" w:rsidR="008C7EB2" w:rsidRDefault="008C7EB2">
      <w:pPr>
        <w:autoSpaceDE w:val="0"/>
        <w:rPr>
          <w:rFonts w:hint="eastAsia"/>
          <w:bCs/>
          <w:color w:val="000000"/>
        </w:rPr>
      </w:pPr>
    </w:p>
    <w:p w14:paraId="3A15F077" w14:textId="77777777" w:rsidR="008C7EB2" w:rsidRDefault="00F11FBB">
      <w:pPr>
        <w:autoSpaceDE w:val="0"/>
        <w:rPr>
          <w:rFonts w:hint="eastAsia"/>
          <w:bCs/>
          <w:color w:val="000000"/>
          <w:lang w:val="en-US"/>
        </w:rPr>
      </w:pPr>
      <w:r>
        <w:rPr>
          <w:bCs/>
          <w:color w:val="000000"/>
          <w:lang w:val="en-US"/>
        </w:rPr>
        <w:t xml:space="preserve">Après la date </w:t>
      </w:r>
      <w:r>
        <w:rPr>
          <w:bCs/>
          <w:color w:val="000000"/>
        </w:rPr>
        <w:t xml:space="preserve">et l’heure </w:t>
      </w:r>
      <w:proofErr w:type="spellStart"/>
      <w:r>
        <w:rPr>
          <w:bCs/>
          <w:color w:val="000000"/>
          <w:lang w:val="en-US"/>
        </w:rPr>
        <w:t>limite</w:t>
      </w:r>
      <w:proofErr w:type="spellEnd"/>
      <w:r>
        <w:rPr>
          <w:bCs/>
          <w:color w:val="000000"/>
          <w:lang w:val="en-US"/>
        </w:rPr>
        <w:t xml:space="preserve"> de remise des </w:t>
      </w:r>
      <w:r>
        <w:rPr>
          <w:bCs/>
          <w:color w:val="000000"/>
        </w:rPr>
        <w:t>candidatures</w:t>
      </w:r>
      <w:r>
        <w:rPr>
          <w:bCs/>
          <w:color w:val="000000"/>
          <w:lang w:val="en-US"/>
        </w:rPr>
        <w:t xml:space="preserve">, les </w:t>
      </w:r>
      <w:proofErr w:type="spellStart"/>
      <w:r>
        <w:rPr>
          <w:bCs/>
          <w:color w:val="000000"/>
          <w:lang w:val="en-US"/>
        </w:rPr>
        <w:t>opérateurs</w:t>
      </w:r>
      <w:proofErr w:type="spellEnd"/>
      <w:r>
        <w:rPr>
          <w:bCs/>
          <w:color w:val="000000"/>
          <w:lang w:val="en-US"/>
        </w:rPr>
        <w:t xml:space="preserve"> </w:t>
      </w:r>
      <w:proofErr w:type="spellStart"/>
      <w:r>
        <w:rPr>
          <w:bCs/>
          <w:color w:val="000000"/>
          <w:lang w:val="en-US"/>
        </w:rPr>
        <w:t>économiques</w:t>
      </w:r>
      <w:proofErr w:type="spellEnd"/>
      <w:r>
        <w:rPr>
          <w:bCs/>
          <w:color w:val="000000"/>
          <w:lang w:val="en-US"/>
        </w:rPr>
        <w:t xml:space="preserve"> </w:t>
      </w:r>
      <w:proofErr w:type="spellStart"/>
      <w:r>
        <w:rPr>
          <w:bCs/>
          <w:color w:val="000000"/>
          <w:lang w:val="en-US"/>
        </w:rPr>
        <w:t>n’auront</w:t>
      </w:r>
      <w:proofErr w:type="spellEnd"/>
      <w:r>
        <w:rPr>
          <w:bCs/>
          <w:color w:val="000000"/>
          <w:lang w:val="en-US"/>
        </w:rPr>
        <w:t xml:space="preserve"> pas la </w:t>
      </w:r>
      <w:proofErr w:type="spellStart"/>
      <w:r>
        <w:rPr>
          <w:bCs/>
          <w:color w:val="000000"/>
          <w:lang w:val="en-US"/>
        </w:rPr>
        <w:t>possibilité</w:t>
      </w:r>
      <w:proofErr w:type="spellEnd"/>
      <w:r>
        <w:rPr>
          <w:bCs/>
          <w:color w:val="000000"/>
          <w:lang w:val="en-US"/>
        </w:rPr>
        <w:t xml:space="preserve"> de </w:t>
      </w:r>
      <w:proofErr w:type="spellStart"/>
      <w:r>
        <w:rPr>
          <w:bCs/>
          <w:color w:val="000000"/>
          <w:lang w:val="en-US"/>
        </w:rPr>
        <w:t>retirer</w:t>
      </w:r>
      <w:proofErr w:type="spellEnd"/>
      <w:r>
        <w:rPr>
          <w:bCs/>
          <w:color w:val="000000"/>
          <w:lang w:val="en-US"/>
        </w:rPr>
        <w:t xml:space="preserve"> </w:t>
      </w:r>
      <w:proofErr w:type="spellStart"/>
      <w:r>
        <w:rPr>
          <w:bCs/>
          <w:color w:val="000000"/>
          <w:lang w:val="en-US"/>
        </w:rPr>
        <w:t>leur</w:t>
      </w:r>
      <w:proofErr w:type="spellEnd"/>
      <w:r>
        <w:rPr>
          <w:bCs/>
          <w:color w:val="000000"/>
          <w:lang w:val="en-US"/>
        </w:rPr>
        <w:t xml:space="preserve"> </w:t>
      </w:r>
      <w:r>
        <w:rPr>
          <w:bCs/>
          <w:color w:val="000000"/>
        </w:rPr>
        <w:t>candidature</w:t>
      </w:r>
      <w:r>
        <w:rPr>
          <w:bCs/>
          <w:color w:val="000000"/>
          <w:lang w:val="en-US"/>
        </w:rPr>
        <w:t xml:space="preserve"> </w:t>
      </w:r>
      <w:proofErr w:type="spellStart"/>
      <w:r>
        <w:rPr>
          <w:bCs/>
          <w:color w:val="000000"/>
          <w:lang w:val="en-US"/>
        </w:rPr>
        <w:t>ni</w:t>
      </w:r>
      <w:proofErr w:type="spellEnd"/>
      <w:r>
        <w:rPr>
          <w:bCs/>
          <w:color w:val="000000"/>
          <w:lang w:val="en-US"/>
        </w:rPr>
        <w:t xml:space="preserve"> </w:t>
      </w:r>
      <w:proofErr w:type="spellStart"/>
      <w:r>
        <w:rPr>
          <w:bCs/>
          <w:color w:val="000000"/>
          <w:lang w:val="en-US"/>
        </w:rPr>
        <w:t>d’en</w:t>
      </w:r>
      <w:proofErr w:type="spellEnd"/>
      <w:r>
        <w:rPr>
          <w:bCs/>
          <w:color w:val="000000"/>
          <w:lang w:val="en-US"/>
        </w:rPr>
        <w:t xml:space="preserve"> proposer une </w:t>
      </w:r>
      <w:proofErr w:type="spellStart"/>
      <w:r>
        <w:rPr>
          <w:bCs/>
          <w:color w:val="000000"/>
          <w:lang w:val="en-US"/>
        </w:rPr>
        <w:t>différente</w:t>
      </w:r>
      <w:proofErr w:type="spellEnd"/>
      <w:r>
        <w:rPr>
          <w:bCs/>
          <w:color w:val="000000"/>
          <w:lang w:val="en-US"/>
        </w:rPr>
        <w:t>.</w:t>
      </w:r>
    </w:p>
    <w:p w14:paraId="76B6D51A" w14:textId="77777777" w:rsidR="008C7EB2" w:rsidRDefault="008C7EB2">
      <w:pPr>
        <w:autoSpaceDE w:val="0"/>
        <w:rPr>
          <w:rFonts w:hint="eastAsia"/>
          <w:bCs/>
          <w:color w:val="000000"/>
          <w:lang w:val="en-US"/>
        </w:rPr>
      </w:pPr>
    </w:p>
    <w:p w14:paraId="5F1A4F6A" w14:textId="77777777" w:rsidR="008C7EB2" w:rsidRDefault="00F11FBB">
      <w:pPr>
        <w:autoSpaceDE w:val="0"/>
        <w:rPr>
          <w:rFonts w:hint="eastAsia"/>
          <w:bCs/>
          <w:color w:val="000000"/>
          <w:lang w:val="en-US"/>
        </w:rPr>
      </w:pPr>
      <w:r>
        <w:rPr>
          <w:bCs/>
          <w:color w:val="000000"/>
          <w:lang w:val="en-US"/>
        </w:rPr>
        <w:t xml:space="preserve">Sans </w:t>
      </w:r>
      <w:proofErr w:type="spellStart"/>
      <w:r>
        <w:rPr>
          <w:bCs/>
          <w:color w:val="000000"/>
          <w:lang w:val="en-US"/>
        </w:rPr>
        <w:t>préjudice</w:t>
      </w:r>
      <w:proofErr w:type="spellEnd"/>
      <w:r>
        <w:rPr>
          <w:bCs/>
          <w:color w:val="000000"/>
          <w:lang w:val="en-US"/>
        </w:rPr>
        <w:t xml:space="preserve"> des dispositions relatives à la </w:t>
      </w:r>
      <w:proofErr w:type="spellStart"/>
      <w:r>
        <w:rPr>
          <w:bCs/>
          <w:color w:val="000000"/>
          <w:lang w:val="en-US"/>
        </w:rPr>
        <w:t>copie</w:t>
      </w:r>
      <w:proofErr w:type="spellEnd"/>
      <w:r>
        <w:rPr>
          <w:bCs/>
          <w:color w:val="000000"/>
          <w:lang w:val="en-US"/>
        </w:rPr>
        <w:t xml:space="preserve"> de </w:t>
      </w:r>
      <w:proofErr w:type="spellStart"/>
      <w:r>
        <w:rPr>
          <w:bCs/>
          <w:color w:val="000000"/>
          <w:lang w:val="en-US"/>
        </w:rPr>
        <w:t>sauvegarde</w:t>
      </w:r>
      <w:proofErr w:type="spellEnd"/>
      <w:r>
        <w:rPr>
          <w:bCs/>
          <w:color w:val="000000"/>
          <w:lang w:val="en-US"/>
        </w:rPr>
        <w:t xml:space="preserve">, </w:t>
      </w:r>
      <w:r>
        <w:rPr>
          <w:b/>
          <w:bCs/>
          <w:color w:val="000000"/>
          <w:u w:val="single"/>
          <w:lang w:val="en-US"/>
        </w:rPr>
        <w:t xml:space="preserve">le </w:t>
      </w:r>
      <w:proofErr w:type="spellStart"/>
      <w:r>
        <w:rPr>
          <w:b/>
          <w:bCs/>
          <w:color w:val="000000"/>
          <w:u w:val="single"/>
          <w:lang w:val="en-US"/>
        </w:rPr>
        <w:t>pli</w:t>
      </w:r>
      <w:proofErr w:type="spellEnd"/>
      <w:r>
        <w:rPr>
          <w:b/>
          <w:bCs/>
          <w:color w:val="000000"/>
          <w:u w:val="single"/>
          <w:lang w:val="en-US"/>
        </w:rPr>
        <w:t xml:space="preserve"> </w:t>
      </w:r>
      <w:proofErr w:type="spellStart"/>
      <w:r>
        <w:rPr>
          <w:b/>
          <w:bCs/>
          <w:color w:val="000000"/>
          <w:u w:val="single"/>
          <w:lang w:val="en-US"/>
        </w:rPr>
        <w:t>contenant</w:t>
      </w:r>
      <w:proofErr w:type="spellEnd"/>
      <w:r>
        <w:rPr>
          <w:b/>
          <w:bCs/>
          <w:color w:val="000000"/>
          <w:u w:val="single"/>
          <w:lang w:val="en-US"/>
        </w:rPr>
        <w:t xml:space="preserve"> </w:t>
      </w:r>
      <w:r>
        <w:rPr>
          <w:b/>
          <w:bCs/>
          <w:color w:val="000000"/>
          <w:u w:val="single"/>
        </w:rPr>
        <w:t>la candidature</w:t>
      </w:r>
      <w:r>
        <w:rPr>
          <w:b/>
          <w:bCs/>
          <w:color w:val="000000"/>
          <w:u w:val="single"/>
          <w:lang w:val="en-US"/>
        </w:rPr>
        <w:t xml:space="preserve"> est </w:t>
      </w:r>
      <w:proofErr w:type="spellStart"/>
      <w:r>
        <w:rPr>
          <w:b/>
          <w:bCs/>
          <w:color w:val="000000"/>
          <w:u w:val="single"/>
          <w:lang w:val="en-US"/>
        </w:rPr>
        <w:t>transmis</w:t>
      </w:r>
      <w:proofErr w:type="spellEnd"/>
      <w:r>
        <w:rPr>
          <w:b/>
          <w:bCs/>
          <w:color w:val="000000"/>
          <w:u w:val="single"/>
          <w:lang w:val="en-US"/>
        </w:rPr>
        <w:t xml:space="preserve"> en une </w:t>
      </w:r>
      <w:proofErr w:type="spellStart"/>
      <w:r>
        <w:rPr>
          <w:b/>
          <w:bCs/>
          <w:color w:val="000000"/>
          <w:u w:val="single"/>
          <w:lang w:val="en-US"/>
        </w:rPr>
        <w:t>seule</w:t>
      </w:r>
      <w:proofErr w:type="spellEnd"/>
      <w:r>
        <w:rPr>
          <w:b/>
          <w:bCs/>
          <w:color w:val="000000"/>
          <w:u w:val="single"/>
          <w:lang w:val="en-US"/>
        </w:rPr>
        <w:t xml:space="preserve"> </w:t>
      </w:r>
      <w:proofErr w:type="spellStart"/>
      <w:r>
        <w:rPr>
          <w:b/>
          <w:bCs/>
          <w:color w:val="000000"/>
          <w:u w:val="single"/>
          <w:lang w:val="en-US"/>
        </w:rPr>
        <w:t>fois</w:t>
      </w:r>
      <w:proofErr w:type="spellEnd"/>
      <w:r>
        <w:rPr>
          <w:bCs/>
          <w:color w:val="000000"/>
          <w:lang w:val="en-US"/>
        </w:rPr>
        <w:t xml:space="preserve">. </w:t>
      </w:r>
      <w:r>
        <w:rPr>
          <w:bCs/>
          <w:color w:val="000000"/>
        </w:rPr>
        <w:t>S</w:t>
      </w:r>
      <w:proofErr w:type="spellStart"/>
      <w:r>
        <w:rPr>
          <w:bCs/>
          <w:color w:val="000000"/>
          <w:lang w:val="en-US"/>
        </w:rPr>
        <w:t>i</w:t>
      </w:r>
      <w:proofErr w:type="spellEnd"/>
      <w:r>
        <w:rPr>
          <w:bCs/>
          <w:color w:val="000000"/>
          <w:lang w:val="en-US"/>
        </w:rPr>
        <w:t xml:space="preserve"> </w:t>
      </w:r>
      <w:proofErr w:type="spellStart"/>
      <w:r>
        <w:rPr>
          <w:bCs/>
          <w:color w:val="000000"/>
          <w:lang w:val="en-US"/>
        </w:rPr>
        <w:t>plusieurs</w:t>
      </w:r>
      <w:proofErr w:type="spellEnd"/>
      <w:r>
        <w:rPr>
          <w:bCs/>
          <w:color w:val="000000"/>
          <w:lang w:val="en-US"/>
        </w:rPr>
        <w:t xml:space="preserve"> </w:t>
      </w:r>
      <w:proofErr w:type="spellStart"/>
      <w:r>
        <w:rPr>
          <w:bCs/>
          <w:color w:val="000000"/>
          <w:lang w:val="en-US"/>
        </w:rPr>
        <w:t>plis</w:t>
      </w:r>
      <w:proofErr w:type="spellEnd"/>
      <w:r>
        <w:rPr>
          <w:bCs/>
          <w:color w:val="000000"/>
          <w:lang w:val="en-US"/>
        </w:rPr>
        <w:t xml:space="preserve"> </w:t>
      </w:r>
      <w:proofErr w:type="spellStart"/>
      <w:r>
        <w:rPr>
          <w:bCs/>
          <w:color w:val="000000"/>
          <w:lang w:val="en-US"/>
        </w:rPr>
        <w:t>sont</w:t>
      </w:r>
      <w:proofErr w:type="spellEnd"/>
      <w:r>
        <w:rPr>
          <w:bCs/>
          <w:color w:val="000000"/>
          <w:lang w:val="en-US"/>
        </w:rPr>
        <w:t xml:space="preserve"> </w:t>
      </w:r>
      <w:proofErr w:type="spellStart"/>
      <w:r>
        <w:rPr>
          <w:bCs/>
          <w:color w:val="000000"/>
          <w:lang w:val="en-US"/>
        </w:rPr>
        <w:t>envoyés</w:t>
      </w:r>
      <w:proofErr w:type="spellEnd"/>
      <w:r>
        <w:rPr>
          <w:bCs/>
          <w:color w:val="000000"/>
          <w:lang w:val="en-US"/>
        </w:rPr>
        <w:t xml:space="preserve">, seul le dernier </w:t>
      </w:r>
      <w:proofErr w:type="spellStart"/>
      <w:r>
        <w:rPr>
          <w:bCs/>
          <w:color w:val="000000"/>
          <w:lang w:val="en-US"/>
        </w:rPr>
        <w:t>reçu</w:t>
      </w:r>
      <w:proofErr w:type="spellEnd"/>
      <w:r>
        <w:rPr>
          <w:bCs/>
          <w:color w:val="000000"/>
          <w:lang w:val="en-US"/>
        </w:rPr>
        <w:t xml:space="preserve"> dans les </w:t>
      </w:r>
      <w:proofErr w:type="spellStart"/>
      <w:r>
        <w:rPr>
          <w:bCs/>
          <w:color w:val="000000"/>
          <w:lang w:val="en-US"/>
        </w:rPr>
        <w:t>délais</w:t>
      </w:r>
      <w:proofErr w:type="spellEnd"/>
      <w:r>
        <w:rPr>
          <w:bCs/>
          <w:color w:val="000000"/>
          <w:lang w:val="en-US"/>
        </w:rPr>
        <w:t xml:space="preserve">, est </w:t>
      </w:r>
      <w:proofErr w:type="spellStart"/>
      <w:r>
        <w:rPr>
          <w:bCs/>
          <w:color w:val="000000"/>
          <w:lang w:val="en-US"/>
        </w:rPr>
        <w:t>ouvert</w:t>
      </w:r>
      <w:proofErr w:type="spellEnd"/>
      <w:r>
        <w:rPr>
          <w:bCs/>
          <w:color w:val="000000"/>
          <w:lang w:val="en-US"/>
        </w:rPr>
        <w:t xml:space="preserve"> par l</w:t>
      </w:r>
      <w:r>
        <w:rPr>
          <w:bCs/>
          <w:color w:val="000000"/>
        </w:rPr>
        <w:t>’acheteur</w:t>
      </w:r>
      <w:r>
        <w:rPr>
          <w:bCs/>
          <w:color w:val="000000"/>
          <w:lang w:val="en-US"/>
        </w:rPr>
        <w:t>.</w:t>
      </w:r>
    </w:p>
    <w:p w14:paraId="0F6570D9" w14:textId="77777777" w:rsidR="008C7EB2" w:rsidRDefault="008C7EB2">
      <w:pPr>
        <w:autoSpaceDE w:val="0"/>
        <w:rPr>
          <w:rFonts w:hint="eastAsia"/>
          <w:b/>
          <w:bCs/>
          <w:color w:val="000000"/>
          <w:lang w:val="en-US"/>
        </w:rPr>
      </w:pPr>
    </w:p>
    <w:p w14:paraId="41A6F86B" w14:textId="77777777" w:rsidR="008C7EB2" w:rsidRDefault="008C7EB2">
      <w:pPr>
        <w:outlineLvl w:val="0"/>
        <w:rPr>
          <w:rFonts w:hint="eastAsia"/>
          <w:b/>
          <w:bCs/>
          <w:lang w:val="en-US"/>
        </w:rPr>
      </w:pPr>
    </w:p>
    <w:p w14:paraId="3D94F491" w14:textId="77777777" w:rsidR="008C7EB2" w:rsidRDefault="00F11FBB">
      <w:pPr>
        <w:outlineLvl w:val="0"/>
        <w:rPr>
          <w:rFonts w:hint="eastAsia"/>
          <w:i/>
          <w:lang w:val="de-DE"/>
        </w:rPr>
      </w:pPr>
      <w:r>
        <w:rPr>
          <w:i/>
          <w:lang w:val="de-DE"/>
        </w:rPr>
        <w:t xml:space="preserve">5.1.1 Transmission </w:t>
      </w:r>
      <w:r>
        <w:rPr>
          <w:i/>
        </w:rPr>
        <w:t>électronique</w:t>
      </w:r>
    </w:p>
    <w:p w14:paraId="16773466" w14:textId="77777777" w:rsidR="008C7EB2" w:rsidRDefault="008C7EB2">
      <w:pPr>
        <w:outlineLvl w:val="0"/>
        <w:rPr>
          <w:rFonts w:hint="eastAsia"/>
          <w:i/>
          <w:lang w:val="de-DE"/>
        </w:rPr>
      </w:pPr>
    </w:p>
    <w:p w14:paraId="7621D8BC" w14:textId="77777777" w:rsidR="008C7EB2" w:rsidRDefault="00F11FBB">
      <w:pPr>
        <w:outlineLvl w:val="0"/>
        <w:rPr>
          <w:rFonts w:hint="eastAsia"/>
        </w:rPr>
      </w:pPr>
      <w:r>
        <w:t xml:space="preserve">Les opérateurs économiques déposent leur pli sur le profil de l’acheteur PLACE : </w:t>
      </w:r>
      <w:hyperlink r:id="rId14">
        <w:r>
          <w:rPr>
            <w:rStyle w:val="Lienhypertexte"/>
          </w:rPr>
          <w:t>https://www.marches-publics.gouv.fr/</w:t>
        </w:r>
      </w:hyperlink>
      <w:r>
        <w:t xml:space="preserve">. </w:t>
      </w:r>
    </w:p>
    <w:p w14:paraId="0B84A088" w14:textId="77777777" w:rsidR="008C7EB2" w:rsidRDefault="008C7EB2">
      <w:pPr>
        <w:outlineLvl w:val="0"/>
        <w:rPr>
          <w:rFonts w:hint="eastAsia"/>
        </w:rPr>
      </w:pPr>
    </w:p>
    <w:p w14:paraId="7A0F3B2C" w14:textId="77777777" w:rsidR="008C7EB2" w:rsidRPr="00F11FBB" w:rsidRDefault="00F11FBB">
      <w:pPr>
        <w:outlineLvl w:val="0"/>
        <w:rPr>
          <w:rFonts w:hint="eastAsia"/>
        </w:rPr>
      </w:pPr>
      <w:r>
        <w:t>(</w:t>
      </w:r>
      <w:proofErr w:type="gramStart"/>
      <w:r>
        <w:t>cliquer</w:t>
      </w:r>
      <w:proofErr w:type="gramEnd"/>
      <w:r>
        <w:t xml:space="preserve"> sur « recherche avancée » puis indiquer  dans « référence » : xx</w:t>
      </w:r>
    </w:p>
    <w:p w14:paraId="355E08E9" w14:textId="77777777" w:rsidR="008C7EB2" w:rsidRPr="00F11FBB" w:rsidRDefault="008C7EB2">
      <w:pPr>
        <w:outlineLvl w:val="0"/>
        <w:rPr>
          <w:rFonts w:hint="eastAsia"/>
        </w:rPr>
      </w:pPr>
    </w:p>
    <w:p w14:paraId="7388AB48" w14:textId="77777777" w:rsidR="008C7EB2" w:rsidRDefault="00F11FBB">
      <w:pPr>
        <w:rPr>
          <w:b/>
          <w:bCs/>
          <w:highlight w:val="yellow"/>
        </w:rPr>
      </w:pPr>
      <w:r w:rsidRPr="004C0BDB">
        <w:rPr>
          <w:b/>
          <w:bCs/>
          <w:highlight w:val="yellow"/>
        </w:rPr>
        <w:t>Lien direct :</w:t>
      </w:r>
    </w:p>
    <w:p w14:paraId="6EAF8F10" w14:textId="40E8C8DC" w:rsidR="0024796A" w:rsidRPr="004C0BDB" w:rsidRDefault="0024796A">
      <w:pPr>
        <w:rPr>
          <w:rFonts w:hint="eastAsia"/>
          <w:b/>
          <w:bCs/>
          <w:highlight w:val="yellow"/>
        </w:rPr>
      </w:pPr>
      <w:r w:rsidRPr="0024796A">
        <w:rPr>
          <w:rFonts w:hint="eastAsia"/>
          <w:b/>
          <w:bCs/>
        </w:rPr>
        <w:t>DIP_TVX_REHAB_TP_ASNIERES_2026</w:t>
      </w:r>
    </w:p>
    <w:p w14:paraId="5D1FE4C9" w14:textId="77777777" w:rsidR="008C7EB2" w:rsidRDefault="00F11FBB">
      <w:pPr>
        <w:rPr>
          <w:rFonts w:hint="eastAsia"/>
          <w:b/>
          <w:bCs/>
        </w:rPr>
      </w:pPr>
      <w:proofErr w:type="gramStart"/>
      <w:r w:rsidRPr="004C0BDB">
        <w:rPr>
          <w:highlight w:val="yellow"/>
        </w:rPr>
        <w:t>xxx</w:t>
      </w:r>
      <w:proofErr w:type="gramEnd"/>
      <w:r>
        <w:rPr>
          <w:color w:val="666666"/>
          <w:shd w:val="clear" w:color="auto" w:fill="F3F1F2"/>
        </w:rPr>
        <w:t xml:space="preserve"> </w:t>
      </w:r>
    </w:p>
    <w:p w14:paraId="2B98E822" w14:textId="77777777" w:rsidR="008C7EB2" w:rsidRDefault="008C7EB2">
      <w:pPr>
        <w:outlineLvl w:val="0"/>
        <w:rPr>
          <w:rFonts w:hint="eastAsia"/>
          <w:b/>
          <w:bCs/>
        </w:rPr>
      </w:pPr>
    </w:p>
    <w:p w14:paraId="240E3685" w14:textId="77777777" w:rsidR="008C7EB2" w:rsidRDefault="008C7EB2">
      <w:pPr>
        <w:outlineLvl w:val="0"/>
        <w:rPr>
          <w:rFonts w:hint="eastAsia"/>
        </w:rPr>
      </w:pPr>
    </w:p>
    <w:p w14:paraId="504E61CF" w14:textId="77777777" w:rsidR="008C7EB2" w:rsidRDefault="00F11FBB">
      <w:pPr>
        <w:outlineLvl w:val="0"/>
        <w:rPr>
          <w:rFonts w:hint="eastAsia"/>
        </w:rPr>
      </w:pPr>
      <w:r>
        <w:t xml:space="preserve">Pour ce faire, et afin de garantir au mieux le bon déroulement de cette procédure ils sont invités à : </w:t>
      </w:r>
    </w:p>
    <w:p w14:paraId="6A0B25B4" w14:textId="77777777" w:rsidR="008C7EB2" w:rsidRDefault="00F11FBB">
      <w:pPr>
        <w:pStyle w:val="Paragraphedeliste"/>
        <w:numPr>
          <w:ilvl w:val="0"/>
          <w:numId w:val="8"/>
        </w:numPr>
        <w:jc w:val="both"/>
        <w:outlineLvl w:val="0"/>
      </w:pPr>
      <w:proofErr w:type="gramStart"/>
      <w:r>
        <w:t>utiliser</w:t>
      </w:r>
      <w:proofErr w:type="gramEnd"/>
      <w:r>
        <w:t xml:space="preserve"> les formats suivants compatibles PC : .pdf, .odt, .doc, .jpg, .</w:t>
      </w:r>
      <w:proofErr w:type="spellStart"/>
      <w:r>
        <w:t>rtf</w:t>
      </w:r>
      <w:proofErr w:type="spellEnd"/>
      <w:r>
        <w:t>, .zip, .htm, .</w:t>
      </w:r>
      <w:proofErr w:type="spellStart"/>
      <w:r>
        <w:t>xls</w:t>
      </w:r>
      <w:proofErr w:type="spellEnd"/>
      <w:r>
        <w:t>, .gif, .dwg, .</w:t>
      </w:r>
      <w:proofErr w:type="spellStart"/>
      <w:r>
        <w:t>dgn</w:t>
      </w:r>
      <w:proofErr w:type="spellEnd"/>
    </w:p>
    <w:p w14:paraId="48B24C9F" w14:textId="77777777" w:rsidR="008C7EB2" w:rsidRDefault="00F11FBB">
      <w:pPr>
        <w:pStyle w:val="Paragraphedeliste"/>
        <w:numPr>
          <w:ilvl w:val="0"/>
          <w:numId w:val="8"/>
        </w:numPr>
        <w:jc w:val="both"/>
        <w:outlineLvl w:val="0"/>
      </w:pPr>
      <w:proofErr w:type="gramStart"/>
      <w:r>
        <w:t>proscrire</w:t>
      </w:r>
      <w:proofErr w:type="gramEnd"/>
      <w:r>
        <w:t xml:space="preserve"> certains formats, comme les « .exe » et certains outils, notamment les "macros"</w:t>
      </w:r>
    </w:p>
    <w:p w14:paraId="7B324E9E" w14:textId="77777777" w:rsidR="008C7EB2" w:rsidRDefault="008C7EB2">
      <w:pPr>
        <w:outlineLvl w:val="0"/>
        <w:rPr>
          <w:rFonts w:hint="eastAsia"/>
        </w:rPr>
      </w:pPr>
    </w:p>
    <w:p w14:paraId="53FF01F4" w14:textId="77777777" w:rsidR="008C7EB2" w:rsidRDefault="00F11FBB">
      <w:pPr>
        <w:outlineLvl w:val="0"/>
        <w:rPr>
          <w:rFonts w:hint="eastAsia"/>
        </w:rPr>
      </w:pPr>
      <w:r>
        <w:t xml:space="preserve">Les plis sont horodatés lors de leur réception par la plate-forme de dématérialisation qui en accuse réception. Seules les dates et heure de réception de l’enveloppe sur le profil acheteur font foi. </w:t>
      </w:r>
    </w:p>
    <w:p w14:paraId="78FABF89" w14:textId="77777777" w:rsidR="008C7EB2" w:rsidRDefault="008C7EB2">
      <w:pPr>
        <w:outlineLvl w:val="0"/>
        <w:rPr>
          <w:rFonts w:hint="eastAsia"/>
        </w:rPr>
      </w:pPr>
    </w:p>
    <w:p w14:paraId="4692D910" w14:textId="77777777" w:rsidR="008C7EB2" w:rsidRDefault="00F11FBB">
      <w:pPr>
        <w:outlineLvl w:val="0"/>
        <w:rPr>
          <w:rFonts w:hint="eastAsia"/>
        </w:rPr>
      </w:pPr>
      <w:r>
        <w:t xml:space="preserve">Les plis, partis avant les date et heure limites, mais arrivés hors délai sont acceptés par la plateforme. Cependant, l’acheteur est tenu de les rejeter. </w:t>
      </w:r>
    </w:p>
    <w:p w14:paraId="0A9E230B" w14:textId="77777777" w:rsidR="008C7EB2" w:rsidRDefault="00F11FBB">
      <w:pPr>
        <w:outlineLvl w:val="0"/>
        <w:rPr>
          <w:rFonts w:hint="eastAsia"/>
        </w:rPr>
      </w:pPr>
      <w:r>
        <w:t>Aussi, il est conseillé d’anticiper suffisamment l’envoi des plis pour éviter que ceux-ci n’arrivent hors délai en raison du temps de téléchargement des documents sur la plate-forme qui aura été plus ou moins long en fonction de leur volume.</w:t>
      </w:r>
    </w:p>
    <w:p w14:paraId="6FB30382" w14:textId="77777777" w:rsidR="008C7EB2" w:rsidRDefault="008C7EB2">
      <w:pPr>
        <w:outlineLvl w:val="0"/>
        <w:rPr>
          <w:rFonts w:hint="eastAsia"/>
          <w:lang w:val="de-DE"/>
        </w:rPr>
      </w:pPr>
    </w:p>
    <w:p w14:paraId="419A7A01" w14:textId="77777777" w:rsidR="008C7EB2" w:rsidRDefault="00F11FBB">
      <w:pPr>
        <w:outlineLvl w:val="0"/>
        <w:rPr>
          <w:rFonts w:hint="eastAsia"/>
          <w:lang w:val="de-DE"/>
        </w:rPr>
      </w:pPr>
      <w:r>
        <w:rPr>
          <w:lang w:val="de-DE"/>
        </w:rPr>
        <w:t>L</w:t>
      </w:r>
      <w:r>
        <w:t xml:space="preserve">a transmission des documents sur un support physique électronique (clé </w:t>
      </w:r>
      <w:proofErr w:type="spellStart"/>
      <w:r>
        <w:t>usb</w:t>
      </w:r>
      <w:proofErr w:type="spellEnd"/>
      <w:r>
        <w:t>...) n'est pas autorisée.</w:t>
      </w:r>
    </w:p>
    <w:p w14:paraId="5E4741DE" w14:textId="77777777" w:rsidR="008C7EB2" w:rsidRDefault="008C7EB2">
      <w:pPr>
        <w:outlineLvl w:val="0"/>
        <w:rPr>
          <w:rFonts w:hint="eastAsia"/>
          <w:lang w:val="de-DE"/>
        </w:rPr>
      </w:pPr>
    </w:p>
    <w:p w14:paraId="6EB6C2C1" w14:textId="77777777" w:rsidR="008C7EB2" w:rsidRDefault="008C7EB2">
      <w:pPr>
        <w:outlineLvl w:val="0"/>
        <w:rPr>
          <w:rFonts w:hint="eastAsia"/>
          <w:lang w:val="de-DE"/>
        </w:rPr>
      </w:pPr>
    </w:p>
    <w:p w14:paraId="745A4F89" w14:textId="77777777" w:rsidR="008C7EB2" w:rsidRDefault="00F11FBB">
      <w:pPr>
        <w:outlineLvl w:val="0"/>
        <w:rPr>
          <w:rFonts w:hint="eastAsia"/>
          <w:i/>
          <w:lang w:val="de-DE"/>
        </w:rPr>
      </w:pPr>
      <w:r>
        <w:rPr>
          <w:i/>
          <w:lang w:val="de-DE"/>
        </w:rPr>
        <w:t xml:space="preserve">5.1.2 </w:t>
      </w:r>
      <w:proofErr w:type="spellStart"/>
      <w:r>
        <w:rPr>
          <w:i/>
          <w:lang w:val="de-DE"/>
        </w:rPr>
        <w:t>Certificats</w:t>
      </w:r>
      <w:proofErr w:type="spellEnd"/>
      <w:r>
        <w:rPr>
          <w:i/>
          <w:lang w:val="de-DE"/>
        </w:rPr>
        <w:t xml:space="preserve"> de </w:t>
      </w:r>
      <w:proofErr w:type="spellStart"/>
      <w:r>
        <w:rPr>
          <w:i/>
          <w:lang w:val="de-DE"/>
        </w:rPr>
        <w:t>signature</w:t>
      </w:r>
      <w:proofErr w:type="spellEnd"/>
      <w:r>
        <w:rPr>
          <w:i/>
          <w:lang w:val="de-DE"/>
        </w:rPr>
        <w:t xml:space="preserve"> </w:t>
      </w:r>
      <w:proofErr w:type="spellStart"/>
      <w:r>
        <w:rPr>
          <w:i/>
          <w:lang w:val="de-DE"/>
        </w:rPr>
        <w:t>électronique</w:t>
      </w:r>
      <w:proofErr w:type="spellEnd"/>
    </w:p>
    <w:p w14:paraId="47AA2A7D" w14:textId="77777777" w:rsidR="008C7EB2" w:rsidRDefault="008C7EB2">
      <w:pPr>
        <w:outlineLvl w:val="0"/>
        <w:rPr>
          <w:rFonts w:hint="eastAsia"/>
          <w:i/>
          <w:color w:val="000000"/>
          <w:lang w:val="de-DE"/>
        </w:rPr>
      </w:pPr>
    </w:p>
    <w:p w14:paraId="662CD0A7" w14:textId="77777777" w:rsidR="008C7EB2" w:rsidRDefault="00F11FBB">
      <w:pPr>
        <w:outlineLvl w:val="0"/>
        <w:rPr>
          <w:rFonts w:hint="eastAsia"/>
          <w:color w:val="000000"/>
        </w:rPr>
      </w:pPr>
      <w:r>
        <w:rPr>
          <w:color w:val="000000"/>
        </w:rPr>
        <w:t>Par application de l’arrêté du 22 mars 2019 relatif à la signature électronique des contrats de la commande publique, le candidat doit respecter les conditions relatives :</w:t>
      </w:r>
    </w:p>
    <w:p w14:paraId="604D8F4D" w14:textId="77777777" w:rsidR="008C7EB2" w:rsidRDefault="00F11FBB">
      <w:pPr>
        <w:widowControl/>
        <w:numPr>
          <w:ilvl w:val="0"/>
          <w:numId w:val="7"/>
        </w:numPr>
        <w:suppressAutoHyphens w:val="0"/>
        <w:outlineLvl w:val="0"/>
        <w:rPr>
          <w:rFonts w:hint="eastAsia"/>
          <w:color w:val="000000"/>
        </w:rPr>
      </w:pPr>
      <w:proofErr w:type="gramStart"/>
      <w:r>
        <w:rPr>
          <w:color w:val="000000"/>
        </w:rPr>
        <w:t>au</w:t>
      </w:r>
      <w:proofErr w:type="gramEnd"/>
      <w:r>
        <w:rPr>
          <w:color w:val="000000"/>
        </w:rPr>
        <w:t xml:space="preserve"> certificat de signature du signataire</w:t>
      </w:r>
    </w:p>
    <w:p w14:paraId="1A7F67C0" w14:textId="77777777" w:rsidR="008C7EB2" w:rsidRDefault="00F11FBB">
      <w:pPr>
        <w:widowControl/>
        <w:numPr>
          <w:ilvl w:val="0"/>
          <w:numId w:val="7"/>
        </w:numPr>
        <w:suppressAutoHyphens w:val="0"/>
        <w:outlineLvl w:val="0"/>
        <w:rPr>
          <w:rFonts w:hint="eastAsia"/>
          <w:color w:val="000000"/>
        </w:rPr>
      </w:pPr>
      <w:proofErr w:type="gramStart"/>
      <w:r>
        <w:rPr>
          <w:color w:val="000000"/>
        </w:rPr>
        <w:t>à</w:t>
      </w:r>
      <w:proofErr w:type="gramEnd"/>
      <w:r>
        <w:rPr>
          <w:color w:val="000000"/>
        </w:rPr>
        <w:t xml:space="preserve"> l’outil de signature utilisé (logiciel, service en ligne, parapheur le cas échéant), devant produire des jetons de signature conformes aux formats réglementaires dans l’un des trois formats acceptés.</w:t>
      </w:r>
    </w:p>
    <w:p w14:paraId="24BBDE02" w14:textId="77777777" w:rsidR="008C7EB2" w:rsidRDefault="008C7EB2">
      <w:pPr>
        <w:outlineLvl w:val="0"/>
        <w:rPr>
          <w:rFonts w:hint="eastAsia"/>
          <w:color w:val="000000"/>
        </w:rPr>
      </w:pPr>
    </w:p>
    <w:p w14:paraId="5640C17A" w14:textId="77777777" w:rsidR="008C7EB2" w:rsidRDefault="00F11FBB">
      <w:pPr>
        <w:outlineLvl w:val="0"/>
        <w:rPr>
          <w:rFonts w:hint="eastAsia"/>
          <w:i/>
          <w:color w:val="000000"/>
        </w:rPr>
      </w:pPr>
      <w:r>
        <w:rPr>
          <w:i/>
          <w:color w:val="000000"/>
          <w:lang w:val="de-DE"/>
        </w:rPr>
        <w:lastRenderedPageBreak/>
        <w:t xml:space="preserve">5.1.3 </w:t>
      </w:r>
      <w:proofErr w:type="spellStart"/>
      <w:r>
        <w:rPr>
          <w:i/>
          <w:color w:val="000000"/>
          <w:lang w:val="de-DE"/>
        </w:rPr>
        <w:t>Les</w:t>
      </w:r>
      <w:proofErr w:type="spellEnd"/>
      <w:r>
        <w:rPr>
          <w:i/>
          <w:color w:val="000000"/>
          <w:lang w:val="de-DE"/>
        </w:rPr>
        <w:t xml:space="preserve"> </w:t>
      </w:r>
      <w:proofErr w:type="spellStart"/>
      <w:r>
        <w:rPr>
          <w:i/>
          <w:color w:val="000000"/>
          <w:lang w:val="de-DE"/>
        </w:rPr>
        <w:t>exigences</w:t>
      </w:r>
      <w:proofErr w:type="spellEnd"/>
      <w:r>
        <w:rPr>
          <w:i/>
          <w:color w:val="000000"/>
        </w:rPr>
        <w:t xml:space="preserve"> relatives aux certificats de signature du signataire.</w:t>
      </w:r>
    </w:p>
    <w:p w14:paraId="0D4B3B7E" w14:textId="77777777" w:rsidR="008C7EB2" w:rsidRDefault="008C7EB2">
      <w:pPr>
        <w:outlineLvl w:val="0"/>
        <w:rPr>
          <w:rFonts w:hint="eastAsia"/>
          <w:i/>
          <w:color w:val="000000"/>
        </w:rPr>
      </w:pPr>
    </w:p>
    <w:p w14:paraId="1A35FFE8" w14:textId="77777777" w:rsidR="008C7EB2" w:rsidRDefault="00F11FBB">
      <w:pPr>
        <w:outlineLvl w:val="0"/>
        <w:rPr>
          <w:rFonts w:hint="eastAsia"/>
          <w:color w:val="000000"/>
        </w:rPr>
      </w:pPr>
      <w:r>
        <w:rPr>
          <w:color w:val="000000"/>
        </w:rPr>
        <w:t xml:space="preserve">Le certificat de signature du signataire respecte au moins le niveau de sécurité préconisé par l’arrêté du 22 mars 2019 relatif à la signature électronique des contrats de la commande publique et par le règlement </w:t>
      </w:r>
      <w:proofErr w:type="spellStart"/>
      <w:r>
        <w:rPr>
          <w:color w:val="000000"/>
        </w:rPr>
        <w:t>eIDAS</w:t>
      </w:r>
      <w:proofErr w:type="spellEnd"/>
      <w:r>
        <w:rPr>
          <w:color w:val="000000"/>
        </w:rPr>
        <w:t xml:space="preserve"> du 23 juillet 2014 (règlement n°910/2014).</w:t>
      </w:r>
    </w:p>
    <w:p w14:paraId="24A7246D" w14:textId="77777777" w:rsidR="008C7EB2" w:rsidRDefault="00F11FBB">
      <w:pPr>
        <w:outlineLvl w:val="0"/>
        <w:rPr>
          <w:rFonts w:hint="eastAsia"/>
          <w:color w:val="000000"/>
        </w:rPr>
      </w:pPr>
      <w:r>
        <w:rPr>
          <w:color w:val="000000"/>
        </w:rPr>
        <w:t xml:space="preserve">La plate-forme des achats de l’Etat (PLACE) accepte tous certificats de signature électronique présentant des conditions de sécurité équivalentes à celles du référentiel général de sécurité (RGS). </w:t>
      </w:r>
    </w:p>
    <w:p w14:paraId="3B2D2577" w14:textId="77777777" w:rsidR="008C7EB2" w:rsidRDefault="008C7EB2">
      <w:pPr>
        <w:outlineLvl w:val="0"/>
        <w:rPr>
          <w:rFonts w:hint="eastAsia"/>
          <w:color w:val="000000"/>
        </w:rPr>
      </w:pPr>
    </w:p>
    <w:p w14:paraId="4E032517" w14:textId="77777777" w:rsidR="008C7EB2" w:rsidRDefault="00F11FBB">
      <w:pPr>
        <w:outlineLvl w:val="0"/>
        <w:rPr>
          <w:rFonts w:hint="eastAsia"/>
        </w:rPr>
      </w:pPr>
      <w:r>
        <w:t xml:space="preserve">L’opérateur économique n’a </w:t>
      </w:r>
      <w:r>
        <w:rPr>
          <w:u w:val="single"/>
        </w:rPr>
        <w:t>aucun justificatif à fournir</w:t>
      </w:r>
      <w:r>
        <w:t xml:space="preserve"> sur le certificat de signature utilisé s'il est émis par une autorité de certification "reconnue" mentionnée dans le catalogue suivant : </w:t>
      </w:r>
    </w:p>
    <w:p w14:paraId="69B2BB8B" w14:textId="77777777" w:rsidR="008C7EB2" w:rsidRDefault="0024796A">
      <w:pPr>
        <w:outlineLvl w:val="0"/>
        <w:rPr>
          <w:rFonts w:hint="eastAsia"/>
        </w:rPr>
      </w:pPr>
      <w:hyperlink r:id="rId15">
        <w:r w:rsidR="00C107A3">
          <w:rPr>
            <w:rStyle w:val="Lienhypertexte"/>
          </w:rPr>
          <w:t>https://cyber.gouv.fr/la-liste-nationale-de-confiance</w:t>
        </w:r>
      </w:hyperlink>
      <w:r w:rsidR="00C107A3">
        <w:t xml:space="preserve"> </w:t>
      </w:r>
    </w:p>
    <w:p w14:paraId="08D1BBAF" w14:textId="77777777" w:rsidR="008C7EB2" w:rsidRDefault="008C7EB2">
      <w:pPr>
        <w:outlineLvl w:val="0"/>
        <w:rPr>
          <w:rFonts w:hint="eastAsia"/>
        </w:rPr>
      </w:pPr>
    </w:p>
    <w:p w14:paraId="7119E989" w14:textId="77777777" w:rsidR="008C7EB2" w:rsidRDefault="00F11FBB">
      <w:pPr>
        <w:outlineLvl w:val="0"/>
        <w:rPr>
          <w:rFonts w:hint="eastAsia"/>
        </w:rPr>
      </w:pPr>
      <w:r>
        <w:rPr>
          <w:bCs/>
        </w:rPr>
        <w:t>Si le certificat de signature électronique n’est pas référencé sur une de ces listes</w:t>
      </w:r>
      <w:r>
        <w:t xml:space="preserve">, le candidat s’assure que le certificat qu’il utilise est au moins conforme au niveau de sécurité préconisé par la PLACE et donne tous les éléments nécessaires à la vérification de cette conformité, à savoir : </w:t>
      </w:r>
    </w:p>
    <w:p w14:paraId="0A21191F" w14:textId="77777777" w:rsidR="008C7EB2" w:rsidRDefault="00F11FBB">
      <w:pPr>
        <w:widowControl/>
        <w:numPr>
          <w:ilvl w:val="0"/>
          <w:numId w:val="6"/>
        </w:numPr>
        <w:suppressAutoHyphens w:val="0"/>
        <w:outlineLvl w:val="0"/>
        <w:rPr>
          <w:rFonts w:hint="eastAsia"/>
        </w:rPr>
      </w:pPr>
      <w:r>
        <w:t>La procédure permettant la vérification de la qualité et du niveau de sécurité du certificat de signature   utilisé : la preuve de la qualification de l'Autorité de certification, la politique de certification, les outils techniques de vérification du certificat (chaîne de certification complète jusqu’à l’AC racine et adresse de téléchargement de la dernière mise à jour de la liste de révocation)</w:t>
      </w:r>
    </w:p>
    <w:p w14:paraId="32CD608D" w14:textId="77777777" w:rsidR="008C7EB2" w:rsidRDefault="00F11FBB">
      <w:pPr>
        <w:widowControl/>
        <w:numPr>
          <w:ilvl w:val="0"/>
          <w:numId w:val="6"/>
        </w:numPr>
        <w:suppressAutoHyphens w:val="0"/>
        <w:outlineLvl w:val="0"/>
        <w:rPr>
          <w:rFonts w:hint="eastAsia"/>
        </w:rPr>
      </w:pPr>
      <w:r>
        <w:t>L’adresse du site internet du référencement du prestataire par le pays d'établissement ou, à défaut, les données publiques relatives au certificat du signataire, qui comportent, au moins, la liste de révocation et le certificat du prestataire de services de certification électronique émetteur.</w:t>
      </w:r>
    </w:p>
    <w:p w14:paraId="0BFDD419" w14:textId="77777777" w:rsidR="008C7EB2" w:rsidRDefault="008C7EB2">
      <w:pPr>
        <w:outlineLvl w:val="0"/>
        <w:rPr>
          <w:rFonts w:hint="eastAsia"/>
        </w:rPr>
      </w:pPr>
    </w:p>
    <w:p w14:paraId="23BE7284" w14:textId="77777777" w:rsidR="008C7EB2" w:rsidRDefault="00F11FBB">
      <w:pPr>
        <w:outlineLvl w:val="0"/>
        <w:rPr>
          <w:rFonts w:hint="eastAsia"/>
          <w:i/>
        </w:rPr>
      </w:pPr>
      <w:r>
        <w:rPr>
          <w:i/>
          <w:lang w:val="de-DE"/>
        </w:rPr>
        <w:t xml:space="preserve">5.1.4 </w:t>
      </w:r>
      <w:proofErr w:type="spellStart"/>
      <w:r>
        <w:rPr>
          <w:i/>
          <w:lang w:val="de-DE"/>
        </w:rPr>
        <w:t>Les</w:t>
      </w:r>
      <w:proofErr w:type="spellEnd"/>
      <w:r>
        <w:rPr>
          <w:i/>
          <w:lang w:val="de-DE"/>
        </w:rPr>
        <w:t xml:space="preserve"> o</w:t>
      </w:r>
      <w:proofErr w:type="spellStart"/>
      <w:r>
        <w:rPr>
          <w:i/>
        </w:rPr>
        <w:t>utils</w:t>
      </w:r>
      <w:proofErr w:type="spellEnd"/>
      <w:r>
        <w:rPr>
          <w:i/>
        </w:rPr>
        <w:t xml:space="preserve"> de signature utilisés pour signer les fichiers</w:t>
      </w:r>
    </w:p>
    <w:p w14:paraId="5C3BE49A" w14:textId="77777777" w:rsidR="008C7EB2" w:rsidRDefault="008C7EB2">
      <w:pPr>
        <w:outlineLvl w:val="0"/>
        <w:rPr>
          <w:rFonts w:hint="eastAsia"/>
          <w:i/>
        </w:rPr>
      </w:pPr>
    </w:p>
    <w:p w14:paraId="00BDE00F" w14:textId="77777777" w:rsidR="008C7EB2" w:rsidRDefault="00F11FBB">
      <w:pPr>
        <w:outlineLvl w:val="0"/>
        <w:rPr>
          <w:rFonts w:hint="eastAsia"/>
        </w:rPr>
      </w:pPr>
      <w:r>
        <w:rPr>
          <w:b/>
          <w:u w:val="single"/>
        </w:rPr>
        <w:t>Rappel</w:t>
      </w:r>
      <w:r>
        <w:t xml:space="preserve"> : Le candidat est libre d’utiliser l’outil de signature de son choix. </w:t>
      </w:r>
    </w:p>
    <w:p w14:paraId="0F495972" w14:textId="77777777" w:rsidR="008C7EB2" w:rsidRDefault="00F11FBB">
      <w:pPr>
        <w:outlineLvl w:val="0"/>
        <w:rPr>
          <w:rFonts w:hint="eastAsia"/>
        </w:rPr>
      </w:pPr>
      <w:r>
        <w:t>L’opérateur économique est dispensé de fournir tout mode d’emploi ou information s’il utilise l’outil de signature de la plate-forme des achats de l’État (PLACE).</w:t>
      </w:r>
    </w:p>
    <w:p w14:paraId="0BF93486" w14:textId="77777777" w:rsidR="008C7EB2" w:rsidRDefault="00F11FBB">
      <w:pPr>
        <w:outlineLvl w:val="0"/>
        <w:rPr>
          <w:rFonts w:hint="eastAsia"/>
        </w:rPr>
      </w:pPr>
      <w:r>
        <w:t xml:space="preserve">En revanche, s’il utilise un autre outil de signature que celui proposé par la PLACE, il doit respecter les 2 obligations suivantes : </w:t>
      </w:r>
    </w:p>
    <w:p w14:paraId="7260A9F1" w14:textId="77777777" w:rsidR="008C7EB2" w:rsidRDefault="00F11FBB">
      <w:pPr>
        <w:widowControl/>
        <w:numPr>
          <w:ilvl w:val="0"/>
          <w:numId w:val="10"/>
        </w:numPr>
        <w:suppressAutoHyphens w:val="0"/>
        <w:outlineLvl w:val="0"/>
        <w:rPr>
          <w:rFonts w:hint="eastAsia"/>
        </w:rPr>
      </w:pPr>
      <w:r>
        <w:t xml:space="preserve">Produire des formats de signature </w:t>
      </w:r>
      <w:proofErr w:type="spellStart"/>
      <w:r>
        <w:t>XAdES</w:t>
      </w:r>
      <w:proofErr w:type="spellEnd"/>
      <w:r>
        <w:t xml:space="preserve">, </w:t>
      </w:r>
      <w:proofErr w:type="spellStart"/>
      <w:r>
        <w:t>CAdES</w:t>
      </w:r>
      <w:proofErr w:type="spellEnd"/>
      <w:r>
        <w:t xml:space="preserve"> ou </w:t>
      </w:r>
      <w:proofErr w:type="spellStart"/>
      <w:r>
        <w:t>PAdES</w:t>
      </w:r>
      <w:proofErr w:type="spellEnd"/>
      <w:r>
        <w:t>.</w:t>
      </w:r>
    </w:p>
    <w:p w14:paraId="01648006" w14:textId="77777777" w:rsidR="008C7EB2" w:rsidRDefault="00F11FBB">
      <w:pPr>
        <w:widowControl/>
        <w:numPr>
          <w:ilvl w:val="0"/>
          <w:numId w:val="10"/>
        </w:numPr>
        <w:suppressAutoHyphens w:val="0"/>
        <w:outlineLvl w:val="0"/>
        <w:rPr>
          <w:rFonts w:hint="eastAsia"/>
        </w:rPr>
      </w:pPr>
      <w:r>
        <w:t xml:space="preserve">Transmettre gratuitement les éléments nécessaires à la vérification de la validité de la signature et de l’intégrité du document, notamment : </w:t>
      </w:r>
    </w:p>
    <w:p w14:paraId="07900C9F" w14:textId="77777777" w:rsidR="008C7EB2" w:rsidRDefault="00F11FBB">
      <w:pPr>
        <w:widowControl/>
        <w:numPr>
          <w:ilvl w:val="1"/>
          <w:numId w:val="10"/>
        </w:numPr>
        <w:suppressAutoHyphens w:val="0"/>
        <w:outlineLvl w:val="0"/>
        <w:rPr>
          <w:rFonts w:hint="eastAsia"/>
        </w:rPr>
      </w:pPr>
      <w:proofErr w:type="gramStart"/>
      <w:r>
        <w:t>le</w:t>
      </w:r>
      <w:proofErr w:type="gramEnd"/>
      <w:r>
        <w:t xml:space="preserve"> lien sur lequel l’outil de vérification de signature peut être récupéré avec une notice explicative et les </w:t>
      </w:r>
      <w:proofErr w:type="spellStart"/>
      <w:r>
        <w:t>pré-requis</w:t>
      </w:r>
      <w:proofErr w:type="spellEnd"/>
      <w:r>
        <w:t xml:space="preserve"> d’installation (type d’exécutable, systèmes d’exploitation supportés, etc.). La notice doit être rédigée ou traduite en langue française.</w:t>
      </w:r>
    </w:p>
    <w:p w14:paraId="3C40EA35" w14:textId="77777777" w:rsidR="008C7EB2" w:rsidRDefault="00F11FBB">
      <w:pPr>
        <w:widowControl/>
        <w:numPr>
          <w:ilvl w:val="1"/>
          <w:numId w:val="10"/>
        </w:numPr>
        <w:suppressAutoHyphens w:val="0"/>
        <w:outlineLvl w:val="0"/>
        <w:rPr>
          <w:rFonts w:hint="eastAsia"/>
        </w:rPr>
      </w:pPr>
      <w:proofErr w:type="gramStart"/>
      <w:r>
        <w:t>le</w:t>
      </w:r>
      <w:proofErr w:type="gramEnd"/>
      <w:r>
        <w:t xml:space="preserve"> mode de vérification alternatif en cas d’installation impossible pour l’acheteur (contact à joindre, support distant, support sur site…)</w:t>
      </w:r>
    </w:p>
    <w:p w14:paraId="2165CC4F" w14:textId="77777777" w:rsidR="008C7EB2" w:rsidRDefault="008C7EB2">
      <w:pPr>
        <w:outlineLvl w:val="0"/>
        <w:rPr>
          <w:rFonts w:hint="eastAsia"/>
        </w:rPr>
      </w:pPr>
    </w:p>
    <w:p w14:paraId="595BB4C9" w14:textId="77777777" w:rsidR="008C7EB2" w:rsidRDefault="00F11FBB">
      <w:pPr>
        <w:outlineLvl w:val="0"/>
        <w:rPr>
          <w:rFonts w:hint="eastAsia"/>
          <w:i/>
          <w:lang w:val="de-DE"/>
        </w:rPr>
      </w:pPr>
      <w:proofErr w:type="gramStart"/>
      <w:r>
        <w:rPr>
          <w:i/>
          <w:lang w:val="de-DE"/>
        </w:rPr>
        <w:t xml:space="preserve">5.1.5  </w:t>
      </w:r>
      <w:proofErr w:type="spellStart"/>
      <w:r>
        <w:rPr>
          <w:i/>
          <w:lang w:val="de-DE"/>
        </w:rPr>
        <w:t>Consignes</w:t>
      </w:r>
      <w:proofErr w:type="spellEnd"/>
      <w:proofErr w:type="gramEnd"/>
      <w:r>
        <w:rPr>
          <w:i/>
          <w:lang w:val="de-DE"/>
        </w:rPr>
        <w:t xml:space="preserve"> </w:t>
      </w:r>
      <w:proofErr w:type="spellStart"/>
      <w:r>
        <w:rPr>
          <w:i/>
          <w:lang w:val="de-DE"/>
        </w:rPr>
        <w:t>pratiques</w:t>
      </w:r>
      <w:proofErr w:type="spellEnd"/>
      <w:r>
        <w:rPr>
          <w:i/>
          <w:lang w:val="de-DE"/>
        </w:rPr>
        <w:t xml:space="preserve"> </w:t>
      </w:r>
      <w:proofErr w:type="spellStart"/>
      <w:r>
        <w:rPr>
          <w:i/>
          <w:lang w:val="de-DE"/>
        </w:rPr>
        <w:t>pour</w:t>
      </w:r>
      <w:proofErr w:type="spellEnd"/>
      <w:r>
        <w:rPr>
          <w:i/>
          <w:lang w:val="de-DE"/>
        </w:rPr>
        <w:t xml:space="preserve"> la </w:t>
      </w:r>
      <w:proofErr w:type="spellStart"/>
      <w:r>
        <w:rPr>
          <w:i/>
          <w:lang w:val="de-DE"/>
        </w:rPr>
        <w:t>signature</w:t>
      </w:r>
      <w:proofErr w:type="spellEnd"/>
      <w:r>
        <w:rPr>
          <w:i/>
          <w:lang w:val="de-DE"/>
        </w:rPr>
        <w:t xml:space="preserve"> </w:t>
      </w:r>
      <w:proofErr w:type="spellStart"/>
      <w:r>
        <w:rPr>
          <w:i/>
          <w:lang w:val="de-DE"/>
        </w:rPr>
        <w:t>électronique</w:t>
      </w:r>
      <w:proofErr w:type="spellEnd"/>
      <w:r>
        <w:rPr>
          <w:i/>
          <w:lang w:val="de-DE"/>
        </w:rPr>
        <w:t xml:space="preserve"> des </w:t>
      </w:r>
      <w:proofErr w:type="spellStart"/>
      <w:r>
        <w:rPr>
          <w:i/>
          <w:lang w:val="de-DE"/>
        </w:rPr>
        <w:t>pièces</w:t>
      </w:r>
      <w:proofErr w:type="spellEnd"/>
    </w:p>
    <w:p w14:paraId="2E3364CD" w14:textId="77777777" w:rsidR="008C7EB2" w:rsidRDefault="008C7EB2">
      <w:pPr>
        <w:outlineLvl w:val="0"/>
        <w:rPr>
          <w:rFonts w:hint="eastAsia"/>
          <w:i/>
          <w:lang w:val="de-DE"/>
        </w:rPr>
      </w:pPr>
    </w:p>
    <w:p w14:paraId="04AEE7E4" w14:textId="77777777" w:rsidR="008C7EB2" w:rsidRDefault="00F11FBB">
      <w:pPr>
        <w:outlineLvl w:val="0"/>
        <w:rPr>
          <w:rFonts w:hint="eastAsia"/>
          <w:lang w:val="en-US"/>
        </w:rPr>
      </w:pPr>
      <w:proofErr w:type="spellStart"/>
      <w:r>
        <w:rPr>
          <w:bCs/>
          <w:lang w:val="en-US"/>
        </w:rPr>
        <w:t>Lorsqu’elle</w:t>
      </w:r>
      <w:proofErr w:type="spellEnd"/>
      <w:r>
        <w:rPr>
          <w:bCs/>
          <w:lang w:val="en-US"/>
        </w:rPr>
        <w:t xml:space="preserve"> est </w:t>
      </w:r>
      <w:proofErr w:type="spellStart"/>
      <w:r>
        <w:rPr>
          <w:bCs/>
          <w:lang w:val="en-US"/>
        </w:rPr>
        <w:t>requise</w:t>
      </w:r>
      <w:proofErr w:type="spellEnd"/>
      <w:r>
        <w:rPr>
          <w:bCs/>
          <w:lang w:val="en-US"/>
        </w:rPr>
        <w:t xml:space="preserve"> dans le cadre de la </w:t>
      </w:r>
      <w:proofErr w:type="spellStart"/>
      <w:r>
        <w:rPr>
          <w:bCs/>
          <w:lang w:val="en-US"/>
        </w:rPr>
        <w:t>réponse</w:t>
      </w:r>
      <w:proofErr w:type="spellEnd"/>
      <w:r>
        <w:rPr>
          <w:bCs/>
          <w:lang w:val="en-US"/>
        </w:rPr>
        <w:t xml:space="preserve"> à la consultation</w:t>
      </w:r>
      <w:r>
        <w:rPr>
          <w:lang w:val="en-US"/>
        </w:rPr>
        <w:t xml:space="preserve">, </w:t>
      </w:r>
      <w:proofErr w:type="spellStart"/>
      <w:r>
        <w:rPr>
          <w:lang w:val="en-US"/>
        </w:rPr>
        <w:t>l’opérateur</w:t>
      </w:r>
      <w:proofErr w:type="spellEnd"/>
      <w:r>
        <w:rPr>
          <w:lang w:val="en-US"/>
        </w:rPr>
        <w:t xml:space="preserve"> </w:t>
      </w:r>
      <w:proofErr w:type="spellStart"/>
      <w:r>
        <w:rPr>
          <w:lang w:val="en-US"/>
        </w:rPr>
        <w:t>économique</w:t>
      </w:r>
      <w:proofErr w:type="spellEnd"/>
      <w:r>
        <w:rPr>
          <w:lang w:val="en-US"/>
        </w:rPr>
        <w:t xml:space="preserve"> </w:t>
      </w:r>
      <w:proofErr w:type="spellStart"/>
      <w:r>
        <w:rPr>
          <w:bCs/>
          <w:lang w:val="en-US"/>
        </w:rPr>
        <w:t>signe</w:t>
      </w:r>
      <w:proofErr w:type="spellEnd"/>
      <w:r>
        <w:rPr>
          <w:bCs/>
          <w:lang w:val="en-US"/>
        </w:rPr>
        <w:t xml:space="preserve"> </w:t>
      </w:r>
      <w:proofErr w:type="spellStart"/>
      <w:r>
        <w:rPr>
          <w:bCs/>
          <w:lang w:val="en-US"/>
        </w:rPr>
        <w:t>électroniquement</w:t>
      </w:r>
      <w:proofErr w:type="spellEnd"/>
      <w:r>
        <w:rPr>
          <w:bCs/>
          <w:lang w:val="en-US"/>
        </w:rPr>
        <w:t xml:space="preserve"> </w:t>
      </w:r>
      <w:proofErr w:type="spellStart"/>
      <w:r>
        <w:rPr>
          <w:lang w:val="en-US"/>
        </w:rPr>
        <w:t>tous</w:t>
      </w:r>
      <w:proofErr w:type="spellEnd"/>
      <w:r>
        <w:rPr>
          <w:lang w:val="en-US"/>
        </w:rPr>
        <w:t xml:space="preserve"> les documents qui </w:t>
      </w:r>
      <w:proofErr w:type="spellStart"/>
      <w:r>
        <w:rPr>
          <w:lang w:val="en-US"/>
        </w:rPr>
        <w:t>doivent</w:t>
      </w:r>
      <w:proofErr w:type="spellEnd"/>
      <w:r>
        <w:rPr>
          <w:lang w:val="en-US"/>
        </w:rPr>
        <w:t xml:space="preserve"> </w:t>
      </w:r>
      <w:proofErr w:type="spellStart"/>
      <w:r>
        <w:rPr>
          <w:lang w:val="en-US"/>
        </w:rPr>
        <w:t>recueillir</w:t>
      </w:r>
      <w:proofErr w:type="spellEnd"/>
      <w:r>
        <w:rPr>
          <w:lang w:val="en-US"/>
        </w:rPr>
        <w:t xml:space="preserve"> une signature, </w:t>
      </w:r>
      <w:proofErr w:type="spellStart"/>
      <w:r>
        <w:rPr>
          <w:lang w:val="en-US"/>
        </w:rPr>
        <w:t>comme</w:t>
      </w:r>
      <w:proofErr w:type="spellEnd"/>
      <w:r>
        <w:rPr>
          <w:lang w:val="en-US"/>
        </w:rPr>
        <w:t xml:space="preserve"> </w:t>
      </w:r>
      <w:proofErr w:type="spellStart"/>
      <w:r>
        <w:rPr>
          <w:lang w:val="en-US"/>
        </w:rPr>
        <w:t>exigé</w:t>
      </w:r>
      <w:proofErr w:type="spellEnd"/>
      <w:r>
        <w:rPr>
          <w:lang w:val="en-US"/>
        </w:rPr>
        <w:t xml:space="preserve"> au point 2 de la </w:t>
      </w:r>
      <w:proofErr w:type="spellStart"/>
      <w:r>
        <w:rPr>
          <w:lang w:val="en-US"/>
        </w:rPr>
        <w:t>présente</w:t>
      </w:r>
      <w:proofErr w:type="spellEnd"/>
      <w:r>
        <w:rPr>
          <w:lang w:val="en-US"/>
        </w:rPr>
        <w:t xml:space="preserve"> section.</w:t>
      </w:r>
    </w:p>
    <w:p w14:paraId="4502BA05" w14:textId="77777777" w:rsidR="008C7EB2" w:rsidRDefault="008C7EB2">
      <w:pPr>
        <w:outlineLvl w:val="0"/>
        <w:rPr>
          <w:rFonts w:hint="eastAsia"/>
          <w:lang w:val="en-US"/>
        </w:rPr>
      </w:pPr>
    </w:p>
    <w:p w14:paraId="14A72165" w14:textId="77777777" w:rsidR="008C7EB2" w:rsidRDefault="00F11FBB">
      <w:pPr>
        <w:outlineLvl w:val="0"/>
        <w:rPr>
          <w:rFonts w:hint="eastAsia"/>
        </w:rPr>
      </w:pPr>
      <w:r>
        <w:t>En cas de signature, ces pièces doivent impérativement être signées par une personne habilitée à engager la société. Le détenteur du certificat fournit, à l’instar d’un envoi « papier », tout document justifiant de cette capacité (</w:t>
      </w:r>
      <w:proofErr w:type="spellStart"/>
      <w:r>
        <w:t>KBis</w:t>
      </w:r>
      <w:proofErr w:type="spellEnd"/>
      <w:r>
        <w:t xml:space="preserve">, </w:t>
      </w:r>
      <w:r>
        <w:rPr>
          <w:b/>
          <w:bCs/>
          <w:u w:val="single"/>
        </w:rPr>
        <w:t>pouvoir</w:t>
      </w:r>
      <w:r>
        <w:t xml:space="preserve">, etc.). </w:t>
      </w:r>
    </w:p>
    <w:p w14:paraId="6AB8CF6B" w14:textId="77777777" w:rsidR="008C7EB2" w:rsidRDefault="008C7EB2">
      <w:pPr>
        <w:outlineLvl w:val="0"/>
        <w:rPr>
          <w:rFonts w:hint="eastAsia"/>
        </w:rPr>
      </w:pPr>
    </w:p>
    <w:p w14:paraId="4EFA30C2" w14:textId="77777777" w:rsidR="008C7EB2" w:rsidRDefault="00F11FBB">
      <w:pPr>
        <w:outlineLvl w:val="0"/>
        <w:rPr>
          <w:rFonts w:hint="eastAsia"/>
        </w:rPr>
      </w:pPr>
      <w:r>
        <w:rPr>
          <w:bCs/>
        </w:rPr>
        <w:lastRenderedPageBreak/>
        <w:t xml:space="preserve">La signature d’un fichier « zip » contenant lui-même plusieurs documents ne </w:t>
      </w:r>
      <w:proofErr w:type="gramStart"/>
      <w:r>
        <w:rPr>
          <w:bCs/>
        </w:rPr>
        <w:t>vaut</w:t>
      </w:r>
      <w:proofErr w:type="gramEnd"/>
      <w:r>
        <w:rPr>
          <w:bCs/>
        </w:rPr>
        <w:t xml:space="preserve"> pas signature de chacun de ces documents</w:t>
      </w:r>
      <w:r>
        <w:t xml:space="preserve">. La signature du « .zip » n’est pas suffisante et ne peut pallier à l’absence de signature électronique des documents figurant dans ces fichiers. </w:t>
      </w:r>
    </w:p>
    <w:p w14:paraId="6F2D6A1A" w14:textId="77777777" w:rsidR="008C7EB2" w:rsidRDefault="008C7EB2">
      <w:pPr>
        <w:outlineLvl w:val="0"/>
        <w:rPr>
          <w:rFonts w:hint="eastAsia"/>
        </w:rPr>
      </w:pPr>
    </w:p>
    <w:p w14:paraId="3C4C494D" w14:textId="77777777" w:rsidR="008C7EB2" w:rsidRDefault="00F11FBB">
      <w:pPr>
        <w:outlineLvl w:val="0"/>
        <w:rPr>
          <w:rFonts w:hint="eastAsia"/>
        </w:rPr>
      </w:pPr>
      <w:r>
        <w:t xml:space="preserve">Lorsqu’une signature électronique est requise, elle doit être apposée directement sur les fichiers concernés comme exigé au point 2 de la présente section. </w:t>
      </w:r>
    </w:p>
    <w:p w14:paraId="55A4F181" w14:textId="77777777" w:rsidR="008C7EB2" w:rsidRDefault="008C7EB2">
      <w:pPr>
        <w:outlineLvl w:val="0"/>
        <w:rPr>
          <w:rFonts w:hint="eastAsia"/>
        </w:rPr>
      </w:pPr>
    </w:p>
    <w:p w14:paraId="33D1B63C" w14:textId="77777777" w:rsidR="008C7EB2" w:rsidRDefault="00F11FBB">
      <w:pPr>
        <w:outlineLvl w:val="0"/>
        <w:rPr>
          <w:rFonts w:hint="eastAsia"/>
          <w:lang w:val="en-US"/>
        </w:rPr>
      </w:pPr>
      <w:r>
        <w:rPr>
          <w:lang w:val="en-US"/>
        </w:rPr>
        <w:t xml:space="preserve">En </w:t>
      </w:r>
      <w:proofErr w:type="spellStart"/>
      <w:r>
        <w:rPr>
          <w:lang w:val="en-US"/>
        </w:rPr>
        <w:t>cas</w:t>
      </w:r>
      <w:proofErr w:type="spellEnd"/>
      <w:r>
        <w:rPr>
          <w:lang w:val="en-US"/>
        </w:rPr>
        <w:t xml:space="preserve"> de co-traitance, </w:t>
      </w:r>
      <w:proofErr w:type="spellStart"/>
      <w:r>
        <w:rPr>
          <w:lang w:val="en-US"/>
        </w:rPr>
        <w:t>l’outil</w:t>
      </w:r>
      <w:proofErr w:type="spellEnd"/>
      <w:r>
        <w:rPr>
          <w:lang w:val="en-US"/>
        </w:rPr>
        <w:t xml:space="preserve"> </w:t>
      </w:r>
      <w:proofErr w:type="spellStart"/>
      <w:r>
        <w:rPr>
          <w:lang w:val="en-US"/>
        </w:rPr>
        <w:t>CoSign</w:t>
      </w:r>
      <w:proofErr w:type="spellEnd"/>
      <w:r>
        <w:rPr>
          <w:lang w:val="en-US"/>
        </w:rPr>
        <w:t xml:space="preserve"> de la </w:t>
      </w:r>
      <w:proofErr w:type="spellStart"/>
      <w:r>
        <w:rPr>
          <w:lang w:val="en-US"/>
        </w:rPr>
        <w:t>plateforme</w:t>
      </w:r>
      <w:proofErr w:type="spellEnd"/>
      <w:r>
        <w:rPr>
          <w:lang w:val="en-US"/>
        </w:rPr>
        <w:t xml:space="preserve"> des achats de </w:t>
      </w:r>
      <w:proofErr w:type="spellStart"/>
      <w:r>
        <w:rPr>
          <w:lang w:val="en-US"/>
        </w:rPr>
        <w:t>l’Etat</w:t>
      </w:r>
      <w:proofErr w:type="spellEnd"/>
      <w:r>
        <w:rPr>
          <w:lang w:val="en-US"/>
        </w:rPr>
        <w:t xml:space="preserve"> PLACE </w:t>
      </w:r>
      <w:proofErr w:type="spellStart"/>
      <w:r>
        <w:rPr>
          <w:lang w:val="en-US"/>
        </w:rPr>
        <w:t>permet</w:t>
      </w:r>
      <w:proofErr w:type="spellEnd"/>
      <w:r>
        <w:rPr>
          <w:lang w:val="en-US"/>
        </w:rPr>
        <w:t xml:space="preserve"> la signature et la co-signature d’un </w:t>
      </w:r>
      <w:proofErr w:type="spellStart"/>
      <w:r>
        <w:rPr>
          <w:lang w:val="en-US"/>
        </w:rPr>
        <w:t>même</w:t>
      </w:r>
      <w:proofErr w:type="spellEnd"/>
      <w:r>
        <w:rPr>
          <w:lang w:val="en-US"/>
        </w:rPr>
        <w:t xml:space="preserve"> document par </w:t>
      </w:r>
      <w:proofErr w:type="spellStart"/>
      <w:r>
        <w:rPr>
          <w:lang w:val="en-US"/>
        </w:rPr>
        <w:t>l’ensemble</w:t>
      </w:r>
      <w:proofErr w:type="spellEnd"/>
      <w:r>
        <w:rPr>
          <w:lang w:val="en-US"/>
        </w:rPr>
        <w:t xml:space="preserve"> des </w:t>
      </w:r>
      <w:proofErr w:type="spellStart"/>
      <w:r>
        <w:rPr>
          <w:lang w:val="en-US"/>
        </w:rPr>
        <w:t>membres</w:t>
      </w:r>
      <w:proofErr w:type="spellEnd"/>
      <w:r>
        <w:rPr>
          <w:lang w:val="en-US"/>
        </w:rPr>
        <w:t xml:space="preserve"> d’un </w:t>
      </w:r>
      <w:proofErr w:type="spellStart"/>
      <w:r>
        <w:rPr>
          <w:lang w:val="en-US"/>
        </w:rPr>
        <w:t>groupement</w:t>
      </w:r>
      <w:proofErr w:type="spellEnd"/>
      <w:r>
        <w:rPr>
          <w:lang w:val="en-US"/>
        </w:rPr>
        <w:t xml:space="preserve">. Il est accessible à </w:t>
      </w:r>
      <w:proofErr w:type="spellStart"/>
      <w:r>
        <w:rPr>
          <w:lang w:val="en-US"/>
        </w:rPr>
        <w:t>partir</w:t>
      </w:r>
      <w:proofErr w:type="spellEnd"/>
      <w:r>
        <w:rPr>
          <w:lang w:val="en-US"/>
        </w:rPr>
        <w:t xml:space="preserve"> de la </w:t>
      </w:r>
      <w:proofErr w:type="spellStart"/>
      <w:r>
        <w:rPr>
          <w:lang w:val="en-US"/>
        </w:rPr>
        <w:t>rubrique</w:t>
      </w:r>
      <w:proofErr w:type="spellEnd"/>
      <w:r>
        <w:rPr>
          <w:lang w:val="en-US"/>
        </w:rPr>
        <w:t xml:space="preserve"> « Aides », « </w:t>
      </w:r>
      <w:proofErr w:type="spellStart"/>
      <w:r>
        <w:rPr>
          <w:lang w:val="en-US"/>
        </w:rPr>
        <w:t>Outils</w:t>
      </w:r>
      <w:proofErr w:type="spellEnd"/>
      <w:r>
        <w:rPr>
          <w:lang w:val="en-US"/>
        </w:rPr>
        <w:t xml:space="preserve"> </w:t>
      </w:r>
      <w:proofErr w:type="spellStart"/>
      <w:r>
        <w:rPr>
          <w:lang w:val="en-US"/>
        </w:rPr>
        <w:t>informatiques</w:t>
      </w:r>
      <w:proofErr w:type="spellEnd"/>
      <w:r>
        <w:rPr>
          <w:lang w:val="en-US"/>
        </w:rPr>
        <w:t xml:space="preserve"> », « </w:t>
      </w:r>
      <w:proofErr w:type="spellStart"/>
      <w:r>
        <w:rPr>
          <w:lang w:val="en-US"/>
        </w:rPr>
        <w:t>Utilitaire</w:t>
      </w:r>
      <w:proofErr w:type="spellEnd"/>
      <w:r>
        <w:rPr>
          <w:lang w:val="en-US"/>
        </w:rPr>
        <w:t xml:space="preserve"> co-sign de signature en </w:t>
      </w:r>
      <w:proofErr w:type="spellStart"/>
      <w:r>
        <w:rPr>
          <w:lang w:val="en-US"/>
        </w:rPr>
        <w:t>ligne</w:t>
      </w:r>
      <w:proofErr w:type="spellEnd"/>
      <w:r>
        <w:rPr>
          <w:lang w:val="en-US"/>
        </w:rPr>
        <w:t xml:space="preserve"> ».</w:t>
      </w:r>
    </w:p>
    <w:p w14:paraId="0F48E382" w14:textId="77777777" w:rsidR="008C7EB2" w:rsidRDefault="008C7EB2">
      <w:pPr>
        <w:pStyle w:val="Paragraphe"/>
        <w:rPr>
          <w:rFonts w:hint="eastAsia"/>
          <w:lang w:val="en-US"/>
        </w:rPr>
      </w:pPr>
    </w:p>
    <w:p w14:paraId="7A4C9F2E" w14:textId="77777777" w:rsidR="008C7EB2" w:rsidRDefault="00F11FBB">
      <w:pPr>
        <w:pStyle w:val="Titre2"/>
        <w:tabs>
          <w:tab w:val="left" w:pos="0"/>
        </w:tabs>
        <w:ind w:firstLine="0"/>
        <w:rPr>
          <w:rFonts w:hint="eastAsia"/>
        </w:rPr>
      </w:pPr>
      <w:bookmarkStart w:id="51" w:name="_Toc236813707"/>
      <w:r>
        <w:t>5-2. Copie de sauvegarde</w:t>
      </w:r>
      <w:bookmarkEnd w:id="51"/>
      <w:r>
        <w:t xml:space="preserve"> </w:t>
      </w:r>
    </w:p>
    <w:p w14:paraId="6883A750" w14:textId="77777777" w:rsidR="008C7EB2" w:rsidRDefault="008C7EB2">
      <w:pPr>
        <w:rPr>
          <w:rFonts w:hint="eastAsia"/>
        </w:rPr>
      </w:pPr>
    </w:p>
    <w:p w14:paraId="1DB68ECB" w14:textId="77777777" w:rsidR="008C7EB2" w:rsidRDefault="00F11FBB">
      <w:pPr>
        <w:rPr>
          <w:rFonts w:hint="eastAsia"/>
        </w:rPr>
      </w:pPr>
      <w:r>
        <w:t xml:space="preserve">Le candidat est expressément invité, à titre de copie de sauvegarde, à doubler cet envoi sur support physique électronique par envoi postal ou remise directe. Toutefois, la copie de sauvegarde ne peut être prise en considération que si elle est parvenue dans les délais prescrits pour le dépôt des plis. </w:t>
      </w:r>
    </w:p>
    <w:p w14:paraId="7F90B658" w14:textId="77777777" w:rsidR="008C7EB2" w:rsidRDefault="00F11FBB">
      <w:pPr>
        <w:rPr>
          <w:rFonts w:hint="eastAsia"/>
          <w:b/>
          <w:bCs/>
        </w:rPr>
      </w:pPr>
      <w:r>
        <w:rPr>
          <w:b/>
          <w:bCs/>
        </w:rPr>
        <w:t>La remise d’une copie de sauvegarde par voie électronique n’est pas autorisée pour cette consultation.</w:t>
      </w:r>
    </w:p>
    <w:p w14:paraId="6DB03B70" w14:textId="77777777" w:rsidR="008C7EB2" w:rsidRDefault="008C7EB2">
      <w:pPr>
        <w:rPr>
          <w:rFonts w:hint="eastAsia"/>
          <w:b/>
          <w:bCs/>
        </w:rPr>
      </w:pPr>
    </w:p>
    <w:p w14:paraId="1CE52011" w14:textId="77777777" w:rsidR="008C7EB2" w:rsidRDefault="00F11FBB">
      <w:pPr>
        <w:rPr>
          <w:rFonts w:hint="eastAsia"/>
          <w:u w:val="single"/>
        </w:rPr>
      </w:pPr>
      <w:r>
        <w:rPr>
          <w:u w:val="single"/>
        </w:rPr>
        <w:t>Adresse de dépôt de la copie de sauvegarde :</w:t>
      </w:r>
    </w:p>
    <w:p w14:paraId="1D0BE0B4" w14:textId="77777777" w:rsidR="008C7EB2" w:rsidRDefault="00F11FBB">
      <w:pPr>
        <w:rPr>
          <w:rFonts w:hint="eastAsia"/>
          <w:b/>
          <w:bCs/>
        </w:rPr>
      </w:pPr>
      <w:r>
        <w:rPr>
          <w:b/>
          <w:bCs/>
        </w:rPr>
        <w:t xml:space="preserve">Département Immobilier de Paris </w:t>
      </w:r>
    </w:p>
    <w:p w14:paraId="13548C4A" w14:textId="2DF29AF5" w:rsidR="004C0BDB" w:rsidRDefault="004C0BDB">
      <w:pPr>
        <w:rPr>
          <w:rFonts w:hint="eastAsia"/>
          <w:b/>
          <w:bCs/>
        </w:rPr>
      </w:pPr>
      <w:r>
        <w:rPr>
          <w:b/>
          <w:bCs/>
        </w:rPr>
        <w:t xml:space="preserve">Secrétariat Général IDF – Ministère de la Justice </w:t>
      </w:r>
    </w:p>
    <w:p w14:paraId="6BB81987" w14:textId="77777777" w:rsidR="008C7EB2" w:rsidRDefault="00F11FBB">
      <w:pPr>
        <w:rPr>
          <w:rFonts w:hint="eastAsia"/>
        </w:rPr>
      </w:pPr>
      <w:r>
        <w:t xml:space="preserve">1 quai de la Corse, Paris (75004) </w:t>
      </w:r>
    </w:p>
    <w:p w14:paraId="10B83C78" w14:textId="5DACB3A1" w:rsidR="008C7EB2" w:rsidRDefault="00F11FBB">
      <w:pPr>
        <w:rPr>
          <w:rFonts w:hint="eastAsia"/>
        </w:rPr>
      </w:pPr>
      <w:r>
        <w:t xml:space="preserve">Département Immobilier de Paris – à l’attention </w:t>
      </w:r>
      <w:r w:rsidR="004C0BDB">
        <w:t>Elodie Montain</w:t>
      </w:r>
      <w:r>
        <w:t xml:space="preserve"> </w:t>
      </w:r>
    </w:p>
    <w:p w14:paraId="06F474C8" w14:textId="77777777" w:rsidR="008C7EB2" w:rsidRDefault="008C7EB2">
      <w:pPr>
        <w:rPr>
          <w:rFonts w:hint="eastAsia"/>
        </w:rPr>
      </w:pPr>
    </w:p>
    <w:p w14:paraId="6B30BE12" w14:textId="71EE33AD" w:rsidR="008C7EB2" w:rsidRDefault="00F11FBB">
      <w:pPr>
        <w:rPr>
          <w:rFonts w:hint="eastAsia"/>
        </w:rPr>
      </w:pPr>
      <w:r>
        <w:t xml:space="preserve">Cette copie de sauvegarde, placée dans un pli scellé et comportant la mention lisible « Copie de sauvegarde </w:t>
      </w:r>
      <w:r w:rsidR="0024796A" w:rsidRPr="0024796A">
        <w:rPr>
          <w:rFonts w:hint="eastAsia"/>
        </w:rPr>
        <w:t>DIP_TVX_REHAB_TP_ASNIERES_2026</w:t>
      </w:r>
      <w:r w:rsidRPr="004C0BDB">
        <w:rPr>
          <w:highlight w:val="yellow"/>
        </w:rPr>
        <w:t>,</w:t>
      </w:r>
      <w:r>
        <w:t xml:space="preserve"> doit parvenir impérativement aux date et heure limites de remise des candidatures.</w:t>
      </w:r>
    </w:p>
    <w:p w14:paraId="47F8B931" w14:textId="77777777" w:rsidR="008C7EB2" w:rsidRDefault="00F11FBB">
      <w:pPr>
        <w:rPr>
          <w:rFonts w:hint="eastAsia"/>
        </w:rPr>
      </w:pPr>
      <w:r>
        <w:t>La « Copie de sauvegarde » n’est ouverte que si un programme informatique malveillant est détecté dans le pli.</w:t>
      </w:r>
    </w:p>
    <w:p w14:paraId="2BE561FF" w14:textId="77777777" w:rsidR="008C7EB2" w:rsidRDefault="008C7EB2">
      <w:pPr>
        <w:rPr>
          <w:rFonts w:hint="eastAsia"/>
        </w:rPr>
      </w:pPr>
    </w:p>
    <w:p w14:paraId="19ED3B45" w14:textId="77777777" w:rsidR="008C7EB2" w:rsidRDefault="00F11FBB">
      <w:pPr>
        <w:rPr>
          <w:rFonts w:hint="eastAsia"/>
        </w:rPr>
      </w:pPr>
      <w:r>
        <w:t>Conformément à l’arrêté du 22 mars 2019 fixant les modalités de mise à disposition des documents de la consultation et de la copie de sauvegarde, la copie de sauvegarde est ouverte dans les cas suivants :</w:t>
      </w:r>
    </w:p>
    <w:p w14:paraId="3D07926B" w14:textId="77777777" w:rsidR="008C7EB2" w:rsidRDefault="00F11FBB">
      <w:pPr>
        <w:rPr>
          <w:rFonts w:hint="eastAsia"/>
        </w:rPr>
      </w:pPr>
      <w:r>
        <w:t>- Lorsqu'un programme informatique malveillant est détecté dans les candidatures ou les offres transmises par voie électronique.</w:t>
      </w:r>
    </w:p>
    <w:p w14:paraId="6688F03B" w14:textId="77777777" w:rsidR="008C7EB2" w:rsidRDefault="00F11FBB">
      <w:pPr>
        <w:rPr>
          <w:rFonts w:hint="eastAsia"/>
        </w:rPr>
      </w:pPr>
      <w:r>
        <w:t>- Lorsqu'une candidature ou une offre électronique est reçue de façon incomplète, hors délais ou n'a pu être ouverte, sous réserve que la transmission de la candidature ou de l'offre électronique ait commencé avant la clôture de la remise des candidatures ou des offres.</w:t>
      </w:r>
    </w:p>
    <w:p w14:paraId="2E74EDB6" w14:textId="77777777" w:rsidR="008C7EB2" w:rsidRDefault="008C7EB2">
      <w:pPr>
        <w:rPr>
          <w:rFonts w:hint="eastAsia"/>
        </w:rPr>
      </w:pPr>
    </w:p>
    <w:p w14:paraId="56D036A2" w14:textId="77777777" w:rsidR="008C7EB2" w:rsidRDefault="00F11FBB">
      <w:pPr>
        <w:rPr>
          <w:rFonts w:hint="eastAsia"/>
        </w:rPr>
      </w:pPr>
      <w:r>
        <w:t>Si le pli contenant la copie de sauvegarde n’est pas ouvert, il est détruit par l’acheteur.</w:t>
      </w:r>
    </w:p>
    <w:p w14:paraId="7C75D359" w14:textId="77777777" w:rsidR="006730DD" w:rsidRDefault="006730DD">
      <w:pPr>
        <w:rPr>
          <w:rFonts w:hint="eastAsia"/>
        </w:rPr>
      </w:pPr>
    </w:p>
    <w:p w14:paraId="7D5612CF" w14:textId="77777777" w:rsidR="006730DD" w:rsidRDefault="006730DD">
      <w:pPr>
        <w:rPr>
          <w:rFonts w:hint="eastAsia"/>
        </w:rPr>
      </w:pPr>
    </w:p>
    <w:p w14:paraId="6304279E" w14:textId="77777777" w:rsidR="006730DD" w:rsidRDefault="006730DD">
      <w:pPr>
        <w:rPr>
          <w:rFonts w:hint="eastAsia"/>
        </w:rPr>
      </w:pPr>
    </w:p>
    <w:p w14:paraId="4CA631FE" w14:textId="77777777" w:rsidR="006730DD" w:rsidRDefault="006730DD">
      <w:pPr>
        <w:rPr>
          <w:rFonts w:hint="eastAsia"/>
        </w:rPr>
      </w:pPr>
    </w:p>
    <w:p w14:paraId="0CCCC4B0" w14:textId="77777777" w:rsidR="008C7EB2" w:rsidRDefault="00F11FBB">
      <w:pPr>
        <w:pStyle w:val="Titre1"/>
        <w:tabs>
          <w:tab w:val="left" w:pos="0"/>
        </w:tabs>
        <w:ind w:firstLine="0"/>
        <w:rPr>
          <w:rFonts w:hint="eastAsia"/>
        </w:rPr>
      </w:pPr>
      <w:bookmarkStart w:id="52" w:name="_Hlk202871666"/>
      <w:bookmarkStart w:id="53" w:name="_Toc236813708"/>
      <w:bookmarkEnd w:id="52"/>
      <w:r>
        <w:lastRenderedPageBreak/>
        <w:t>ARTICLE 6. VISITES</w:t>
      </w:r>
      <w:bookmarkEnd w:id="53"/>
    </w:p>
    <w:p w14:paraId="7960D4E8" w14:textId="59E33B29" w:rsidR="00125BA6" w:rsidRPr="00125BA6" w:rsidRDefault="00125BA6" w:rsidP="00125BA6">
      <w:pPr>
        <w:pStyle w:val="font-claude-response-body"/>
      </w:pPr>
      <w:r w:rsidRPr="00125BA6">
        <w:rPr>
          <w:b/>
          <w:bCs/>
        </w:rPr>
        <w:t>6.1. Caractère obligatoire et conséquences</w:t>
      </w:r>
    </w:p>
    <w:p w14:paraId="12D4BC93" w14:textId="05AEAD0A"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 xml:space="preserve">Tout candidat doit effectuer une visite du site avant de remettre son offre. L'omission de cette visite entraîne l'irrecevabilité de l'offre, qui est écartée sans </w:t>
      </w:r>
      <w:r w:rsidR="008C4A21" w:rsidRPr="00125BA6">
        <w:rPr>
          <w:rFonts w:ascii="Times New Roman" w:eastAsia="Times New Roman" w:hAnsi="Times New Roman" w:cs="Times New Roman"/>
          <w:lang w:eastAsia="fr-FR"/>
        </w:rPr>
        <w:t>n’être</w:t>
      </w:r>
      <w:r w:rsidRPr="00125BA6">
        <w:rPr>
          <w:rFonts w:ascii="Times New Roman" w:eastAsia="Times New Roman" w:hAnsi="Times New Roman" w:cs="Times New Roman"/>
          <w:lang w:eastAsia="fr-FR"/>
        </w:rPr>
        <w:t xml:space="preserve"> évaluée ni classée, sans préjudice des autres motifs d'irrecevabilité.</w:t>
      </w:r>
    </w:p>
    <w:p w14:paraId="06530349"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b/>
          <w:bCs/>
          <w:lang w:eastAsia="fr-FR"/>
        </w:rPr>
        <w:t>6.2. Modalités d'organisation</w:t>
      </w:r>
    </w:p>
    <w:p w14:paraId="39B1BD9E"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Les visites sont organisées sur demande du candidat directement via la plateforme PLACE, dans les conditions du cahier des charges administratif et particulier.</w:t>
      </w:r>
    </w:p>
    <w:p w14:paraId="72C435C8"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b/>
          <w:bCs/>
          <w:lang w:eastAsia="fr-FR"/>
        </w:rPr>
        <w:t>6.3. Créneaux proposés</w:t>
      </w:r>
    </w:p>
    <w:p w14:paraId="6C501C42"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Les créneaux de visite suivants sont proposés au site : 112 avenue de la Redoute, 92600 Asnières-sur-Seine.</w:t>
      </w:r>
    </w:p>
    <w:tbl>
      <w:tblPr>
        <w:tblW w:w="652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3"/>
        <w:gridCol w:w="1421"/>
        <w:gridCol w:w="2255"/>
      </w:tblGrid>
      <w:tr w:rsidR="00125BA6" w:rsidRPr="00125BA6" w14:paraId="52B52A98" w14:textId="77777777" w:rsidTr="0024796A">
        <w:trPr>
          <w:trHeight w:val="275"/>
          <w:tblHeader/>
          <w:tblCellSpacing w:w="15" w:type="dxa"/>
          <w:jc w:val="center"/>
        </w:trPr>
        <w:tc>
          <w:tcPr>
            <w:tcW w:w="0" w:type="auto"/>
            <w:vAlign w:val="center"/>
            <w:hideMark/>
          </w:tcPr>
          <w:p w14:paraId="585911AD" w14:textId="77777777" w:rsidR="00125BA6" w:rsidRPr="00125BA6" w:rsidRDefault="00125BA6" w:rsidP="00125BA6">
            <w:pPr>
              <w:widowControl/>
              <w:suppressAutoHyphens w:val="0"/>
              <w:jc w:val="center"/>
              <w:rPr>
                <w:rFonts w:ascii="Times New Roman" w:eastAsia="Times New Roman" w:hAnsi="Times New Roman" w:cs="Times New Roman"/>
                <w:b/>
                <w:bCs/>
                <w:lang w:eastAsia="fr-FR"/>
              </w:rPr>
            </w:pPr>
            <w:r w:rsidRPr="00125BA6">
              <w:rPr>
                <w:rFonts w:ascii="Times New Roman" w:eastAsia="Times New Roman" w:hAnsi="Times New Roman" w:cs="Times New Roman"/>
                <w:b/>
                <w:bCs/>
                <w:lang w:eastAsia="fr-FR"/>
              </w:rPr>
              <w:t>Date</w:t>
            </w:r>
          </w:p>
        </w:tc>
        <w:tc>
          <w:tcPr>
            <w:tcW w:w="0" w:type="auto"/>
            <w:vAlign w:val="center"/>
            <w:hideMark/>
          </w:tcPr>
          <w:p w14:paraId="6C0803DE" w14:textId="77777777" w:rsidR="00125BA6" w:rsidRPr="00125BA6" w:rsidRDefault="00125BA6" w:rsidP="00125BA6">
            <w:pPr>
              <w:widowControl/>
              <w:suppressAutoHyphens w:val="0"/>
              <w:jc w:val="center"/>
              <w:rPr>
                <w:rFonts w:ascii="Times New Roman" w:eastAsia="Times New Roman" w:hAnsi="Times New Roman" w:cs="Times New Roman"/>
                <w:b/>
                <w:bCs/>
                <w:lang w:eastAsia="fr-FR"/>
              </w:rPr>
            </w:pPr>
            <w:r w:rsidRPr="00125BA6">
              <w:rPr>
                <w:rFonts w:ascii="Times New Roman" w:eastAsia="Times New Roman" w:hAnsi="Times New Roman" w:cs="Times New Roman"/>
                <w:b/>
                <w:bCs/>
                <w:lang w:eastAsia="fr-FR"/>
              </w:rPr>
              <w:t>Jour</w:t>
            </w:r>
          </w:p>
        </w:tc>
        <w:tc>
          <w:tcPr>
            <w:tcW w:w="0" w:type="auto"/>
            <w:vAlign w:val="center"/>
            <w:hideMark/>
          </w:tcPr>
          <w:p w14:paraId="0A895CAE" w14:textId="77777777" w:rsidR="00125BA6" w:rsidRPr="00125BA6" w:rsidRDefault="00125BA6" w:rsidP="00125BA6">
            <w:pPr>
              <w:widowControl/>
              <w:suppressAutoHyphens w:val="0"/>
              <w:jc w:val="center"/>
              <w:rPr>
                <w:rFonts w:ascii="Times New Roman" w:eastAsia="Times New Roman" w:hAnsi="Times New Roman" w:cs="Times New Roman"/>
                <w:b/>
                <w:bCs/>
                <w:lang w:eastAsia="fr-FR"/>
              </w:rPr>
            </w:pPr>
            <w:r w:rsidRPr="00125BA6">
              <w:rPr>
                <w:rFonts w:ascii="Times New Roman" w:eastAsia="Times New Roman" w:hAnsi="Times New Roman" w:cs="Times New Roman"/>
                <w:b/>
                <w:bCs/>
                <w:lang w:eastAsia="fr-FR"/>
              </w:rPr>
              <w:t>Horaires</w:t>
            </w:r>
          </w:p>
        </w:tc>
      </w:tr>
      <w:tr w:rsidR="00125BA6" w:rsidRPr="00125BA6" w14:paraId="6FCCA488" w14:textId="77777777" w:rsidTr="0024796A">
        <w:trPr>
          <w:trHeight w:val="285"/>
          <w:tblCellSpacing w:w="15" w:type="dxa"/>
          <w:jc w:val="center"/>
        </w:trPr>
        <w:tc>
          <w:tcPr>
            <w:tcW w:w="0" w:type="auto"/>
            <w:vAlign w:val="center"/>
            <w:hideMark/>
          </w:tcPr>
          <w:p w14:paraId="0B2FE995"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17 septembre 2026</w:t>
            </w:r>
          </w:p>
        </w:tc>
        <w:tc>
          <w:tcPr>
            <w:tcW w:w="0" w:type="auto"/>
            <w:vAlign w:val="center"/>
            <w:hideMark/>
          </w:tcPr>
          <w:p w14:paraId="48209CDF"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Mardi</w:t>
            </w:r>
          </w:p>
        </w:tc>
        <w:tc>
          <w:tcPr>
            <w:tcW w:w="0" w:type="auto"/>
            <w:vAlign w:val="center"/>
            <w:hideMark/>
          </w:tcPr>
          <w:p w14:paraId="262EE324"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09h00 à 17h00</w:t>
            </w:r>
          </w:p>
        </w:tc>
      </w:tr>
      <w:tr w:rsidR="00125BA6" w:rsidRPr="00125BA6" w14:paraId="595006BA" w14:textId="77777777" w:rsidTr="0024796A">
        <w:trPr>
          <w:trHeight w:val="275"/>
          <w:tblCellSpacing w:w="15" w:type="dxa"/>
          <w:jc w:val="center"/>
        </w:trPr>
        <w:tc>
          <w:tcPr>
            <w:tcW w:w="0" w:type="auto"/>
            <w:vAlign w:val="center"/>
            <w:hideMark/>
          </w:tcPr>
          <w:p w14:paraId="18D0E80D"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19 septembre 2026</w:t>
            </w:r>
          </w:p>
        </w:tc>
        <w:tc>
          <w:tcPr>
            <w:tcW w:w="0" w:type="auto"/>
            <w:vAlign w:val="center"/>
            <w:hideMark/>
          </w:tcPr>
          <w:p w14:paraId="2162EAE7"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Jeudi</w:t>
            </w:r>
          </w:p>
        </w:tc>
        <w:tc>
          <w:tcPr>
            <w:tcW w:w="0" w:type="auto"/>
            <w:vAlign w:val="center"/>
            <w:hideMark/>
          </w:tcPr>
          <w:p w14:paraId="6ADA71E3"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09h00 à 17h00</w:t>
            </w:r>
          </w:p>
        </w:tc>
      </w:tr>
      <w:tr w:rsidR="00125BA6" w:rsidRPr="00125BA6" w14:paraId="104004A3" w14:textId="77777777" w:rsidTr="0024796A">
        <w:trPr>
          <w:trHeight w:val="275"/>
          <w:tblCellSpacing w:w="15" w:type="dxa"/>
          <w:jc w:val="center"/>
        </w:trPr>
        <w:tc>
          <w:tcPr>
            <w:tcW w:w="0" w:type="auto"/>
            <w:vAlign w:val="center"/>
            <w:hideMark/>
          </w:tcPr>
          <w:p w14:paraId="6E1EF1BF"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23 septembre 2026</w:t>
            </w:r>
          </w:p>
        </w:tc>
        <w:tc>
          <w:tcPr>
            <w:tcW w:w="0" w:type="auto"/>
            <w:vAlign w:val="center"/>
            <w:hideMark/>
          </w:tcPr>
          <w:p w14:paraId="342D26F8"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Mercredi</w:t>
            </w:r>
          </w:p>
        </w:tc>
        <w:tc>
          <w:tcPr>
            <w:tcW w:w="0" w:type="auto"/>
            <w:vAlign w:val="center"/>
            <w:hideMark/>
          </w:tcPr>
          <w:p w14:paraId="433CD83A" w14:textId="77777777" w:rsidR="00125BA6" w:rsidRPr="00125BA6" w:rsidRDefault="00125BA6" w:rsidP="00125BA6">
            <w:pPr>
              <w:widowControl/>
              <w:suppressAutoHyphens w:val="0"/>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09h00 à 17h00</w:t>
            </w:r>
          </w:p>
        </w:tc>
      </w:tr>
    </w:tbl>
    <w:p w14:paraId="02FE9359"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b/>
          <w:bCs/>
          <w:lang w:eastAsia="fr-FR"/>
        </w:rPr>
        <w:t>6.4. Créneau individuel par lot et par entreprise</w:t>
      </w:r>
    </w:p>
    <w:p w14:paraId="7B675E4C"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Un créneau précis est fixé par lot et par entreprise selon les disponibilités. Le maître d'ouvrage confirme le créneau attribué au candidat via PLACE.</w:t>
      </w:r>
    </w:p>
    <w:p w14:paraId="479986D1" w14:textId="77777777" w:rsidR="00125BA6" w:rsidRPr="00125BA6" w:rsidRDefault="00125BA6" w:rsidP="00125BA6">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b/>
          <w:bCs/>
          <w:lang w:eastAsia="fr-FR"/>
        </w:rPr>
        <w:t>6.5. Responsabilité du candidat</w:t>
      </w:r>
    </w:p>
    <w:p w14:paraId="4CEB22A9" w14:textId="25CB6B43" w:rsidR="00020FB5" w:rsidRPr="00237BE2" w:rsidRDefault="00125BA6" w:rsidP="00237BE2">
      <w:pPr>
        <w:widowControl/>
        <w:suppressAutoHyphens w:val="0"/>
        <w:spacing w:before="100" w:beforeAutospacing="1" w:after="100" w:afterAutospacing="1"/>
        <w:jc w:val="left"/>
        <w:rPr>
          <w:rFonts w:ascii="Times New Roman" w:eastAsia="Times New Roman" w:hAnsi="Times New Roman" w:cs="Times New Roman"/>
          <w:lang w:eastAsia="fr-FR"/>
        </w:rPr>
      </w:pPr>
      <w:r w:rsidRPr="00125BA6">
        <w:rPr>
          <w:rFonts w:ascii="Times New Roman" w:eastAsia="Times New Roman" w:hAnsi="Times New Roman" w:cs="Times New Roman"/>
          <w:lang w:eastAsia="fr-FR"/>
        </w:rPr>
        <w:t>Le candidat assume l'entière responsabilité de sa présence à la visite aux date, heure et lieu fixés. L'absence à la visite n'entraîne aucun report ou remplacement du créneau.</w:t>
      </w:r>
      <w:r w:rsidR="00020FB5">
        <w:rPr>
          <w:rFonts w:hint="eastAsia"/>
        </w:rPr>
        <w:fldChar w:fldCharType="begin"/>
      </w:r>
      <w:r w:rsidR="00020FB5">
        <w:rPr>
          <w:rFonts w:hint="eastAsia"/>
        </w:rPr>
        <w:instrText xml:space="preserve"> </w:instrText>
      </w:r>
      <w:r w:rsidR="00020FB5">
        <w:instrText xml:space="preserve">LINK </w:instrText>
      </w:r>
      <w:r w:rsidR="0024796A">
        <w:rPr>
          <w:rFonts w:hint="eastAsia"/>
        </w:rPr>
        <w:instrText>Excel.Sheet.12 "\\\\SLR2-DI-PARI.dom-idf.justice.fr\\COMMUNS$\\2. Op</w:instrText>
      </w:r>
      <w:r w:rsidR="0024796A">
        <w:rPr>
          <w:rFonts w:hint="eastAsia"/>
        </w:rPr>
        <w:instrText>é</w:instrText>
      </w:r>
      <w:r w:rsidR="0024796A">
        <w:rPr>
          <w:rFonts w:hint="eastAsia"/>
        </w:rPr>
        <w:instrText>rations\\1. DSJ\\92\\3_TI Asni</w:instrText>
      </w:r>
      <w:r w:rsidR="0024796A">
        <w:rPr>
          <w:rFonts w:hint="eastAsia"/>
        </w:rPr>
        <w:instrText>è</w:instrText>
      </w:r>
      <w:r w:rsidR="0024796A">
        <w:rPr>
          <w:rFonts w:hint="eastAsia"/>
        </w:rPr>
        <w:instrText>res\\TF 58322 et AM 2023 D075-5 - R</w:instrText>
      </w:r>
      <w:r w:rsidR="0024796A">
        <w:rPr>
          <w:rFonts w:hint="eastAsia"/>
        </w:rPr>
        <w:instrText>é</w:instrText>
      </w:r>
      <w:r w:rsidR="0024796A">
        <w:rPr>
          <w:rFonts w:hint="eastAsia"/>
        </w:rPr>
        <w:instrText>novation du TP d'Asni</w:instrText>
      </w:r>
      <w:r w:rsidR="0024796A">
        <w:rPr>
          <w:rFonts w:hint="eastAsia"/>
        </w:rPr>
        <w:instrText>è</w:instrText>
      </w:r>
      <w:r w:rsidR="0024796A">
        <w:rPr>
          <w:rFonts w:hint="eastAsia"/>
        </w:rPr>
        <w:instrText xml:space="preserve">res (2023)\\5. Calendrier\\RETROPLANNING Consultation travaux.xlsx" "Retroplanning Consultation!L18C4:L20C7" </w:instrText>
      </w:r>
      <w:r w:rsidR="00020FB5">
        <w:instrText>\a \f 4 \h</w:instrText>
      </w:r>
      <w:r w:rsidR="00020FB5">
        <w:rPr>
          <w:rFonts w:hint="eastAsia"/>
        </w:rPr>
        <w:instrText xml:space="preserve">  \* MERGEFORMAT </w:instrText>
      </w:r>
      <w:r w:rsidR="00020FB5">
        <w:rPr>
          <w:rFonts w:hint="eastAsia"/>
        </w:rPr>
        <w:fldChar w:fldCharType="separate"/>
      </w:r>
    </w:p>
    <w:p w14:paraId="535B6F22" w14:textId="19BD7981" w:rsidR="008C7EB2" w:rsidRPr="004C0BDB" w:rsidRDefault="00020FB5">
      <w:pPr>
        <w:pStyle w:val="Titre1"/>
        <w:tabs>
          <w:tab w:val="left" w:pos="0"/>
        </w:tabs>
        <w:ind w:firstLine="0"/>
        <w:rPr>
          <w:rFonts w:hint="eastAsia"/>
        </w:rPr>
      </w:pPr>
      <w:r>
        <w:rPr>
          <w:rFonts w:hint="eastAsia"/>
        </w:rPr>
        <w:fldChar w:fldCharType="end"/>
      </w:r>
      <w:bookmarkStart w:id="54" w:name="_Toc236813709"/>
      <w:r w:rsidR="00F11FBB" w:rsidRPr="004C0BDB">
        <w:t xml:space="preserve">ARTICLE 7. </w:t>
      </w:r>
      <w:bookmarkStart w:id="55" w:name="_Hlk202871716"/>
      <w:r w:rsidR="00F11FBB" w:rsidRPr="004C0BDB">
        <w:rPr>
          <w:caps/>
        </w:rPr>
        <w:t>Contenu du dossier de la consultation</w:t>
      </w:r>
      <w:bookmarkEnd w:id="55"/>
      <w:bookmarkEnd w:id="54"/>
    </w:p>
    <w:p w14:paraId="75C354EC" w14:textId="77777777" w:rsidR="008C7EB2" w:rsidRPr="00F11FBB" w:rsidRDefault="00F11FBB">
      <w:pPr>
        <w:pStyle w:val="NormalWeb"/>
        <w:ind w:left="23" w:right="23"/>
        <w:rPr>
          <w:rFonts w:eastAsia="Arial Unicode MS" w:hint="eastAsia"/>
        </w:rPr>
      </w:pPr>
      <w:r>
        <w:rPr>
          <w:rFonts w:eastAsia="Arial Unicode MS"/>
        </w:rPr>
        <w:t>Le dossier de consultation des entreprises (DCE) contient les pièces suivantes :</w:t>
      </w:r>
    </w:p>
    <w:p w14:paraId="619DDF50" w14:textId="2A3A7265" w:rsidR="008C7EB2" w:rsidRPr="004C0BDB" w:rsidRDefault="00F11FBB" w:rsidP="004C0BDB">
      <w:pPr>
        <w:pStyle w:val="Paragraphedeliste"/>
        <w:numPr>
          <w:ilvl w:val="0"/>
          <w:numId w:val="19"/>
        </w:numPr>
      </w:pPr>
      <w:proofErr w:type="gramStart"/>
      <w:r w:rsidRPr="004C0BDB">
        <w:t>l’acte</w:t>
      </w:r>
      <w:proofErr w:type="gramEnd"/>
      <w:r w:rsidRPr="004C0BDB">
        <w:t xml:space="preserve"> d’engagement, </w:t>
      </w:r>
    </w:p>
    <w:p w14:paraId="008CEA64" w14:textId="57EA4779" w:rsidR="008C7EB2" w:rsidRPr="004C0BDB" w:rsidRDefault="00F11FBB" w:rsidP="004C0BDB">
      <w:pPr>
        <w:pStyle w:val="Paragraphedeliste"/>
        <w:numPr>
          <w:ilvl w:val="0"/>
          <w:numId w:val="19"/>
        </w:numPr>
      </w:pPr>
      <w:r w:rsidRPr="004C0BDB">
        <w:t>Le présent règlement de la consultation,</w:t>
      </w:r>
    </w:p>
    <w:p w14:paraId="3908A824" w14:textId="2416F188" w:rsidR="008C7EB2" w:rsidRPr="004C0BDB" w:rsidRDefault="00F11FBB" w:rsidP="004C0BDB">
      <w:pPr>
        <w:pStyle w:val="Paragraphedeliste"/>
        <w:numPr>
          <w:ilvl w:val="0"/>
          <w:numId w:val="19"/>
        </w:numPr>
      </w:pPr>
      <w:r w:rsidRPr="004C0BDB">
        <w:t>La Décomposition du Prix Global et Forfaitaire (DPGF)</w:t>
      </w:r>
    </w:p>
    <w:p w14:paraId="1C272E32" w14:textId="7F48DD6F" w:rsidR="008C7EB2" w:rsidRPr="004C0BDB" w:rsidRDefault="00F11FBB" w:rsidP="004C0BDB">
      <w:pPr>
        <w:pStyle w:val="Paragraphedeliste"/>
        <w:numPr>
          <w:ilvl w:val="0"/>
          <w:numId w:val="19"/>
        </w:numPr>
      </w:pPr>
      <w:r w:rsidRPr="004C0BDB">
        <w:t>Le Cahier des Clauses Administratives Particulières (CCAP),</w:t>
      </w:r>
    </w:p>
    <w:p w14:paraId="2623ED30" w14:textId="256F83B9" w:rsidR="008C7EB2" w:rsidRPr="004C0BDB" w:rsidRDefault="00F11FBB" w:rsidP="004C0BDB">
      <w:pPr>
        <w:pStyle w:val="Paragraphedeliste"/>
        <w:numPr>
          <w:ilvl w:val="0"/>
          <w:numId w:val="19"/>
        </w:numPr>
      </w:pPr>
      <w:r w:rsidRPr="004C0BDB">
        <w:t>Le Cahier des Clauses Techniques Particulières (CCTP), plans et notices techniques</w:t>
      </w:r>
    </w:p>
    <w:p w14:paraId="4B4F06AE" w14:textId="14521D0F" w:rsidR="008C7EB2" w:rsidRPr="004C0BDB" w:rsidRDefault="00F11FBB" w:rsidP="004C0BDB">
      <w:pPr>
        <w:pStyle w:val="Paragraphedeliste"/>
        <w:numPr>
          <w:ilvl w:val="0"/>
          <w:numId w:val="19"/>
        </w:numPr>
      </w:pPr>
      <w:r w:rsidRPr="004C0BDB">
        <w:t>Le livret de plans géomètre</w:t>
      </w:r>
    </w:p>
    <w:p w14:paraId="73B9BAEE" w14:textId="2F9CA920" w:rsidR="00124992" w:rsidRPr="004C0BDB" w:rsidRDefault="00F11FBB" w:rsidP="004C0BDB">
      <w:pPr>
        <w:pStyle w:val="Paragraphedeliste"/>
        <w:numPr>
          <w:ilvl w:val="0"/>
          <w:numId w:val="19"/>
        </w:numPr>
      </w:pPr>
      <w:r w:rsidRPr="004C0BDB">
        <w:t>Le modèle d’attestation de visite,</w:t>
      </w:r>
    </w:p>
    <w:p w14:paraId="321410CF" w14:textId="13030E9B" w:rsidR="008C7EB2" w:rsidRPr="004C0BDB" w:rsidRDefault="00F11FBB" w:rsidP="004C0BDB">
      <w:pPr>
        <w:pStyle w:val="Paragraphedeliste"/>
        <w:numPr>
          <w:ilvl w:val="0"/>
          <w:numId w:val="19"/>
        </w:numPr>
      </w:pPr>
      <w:r w:rsidRPr="004C0BDB">
        <w:t>Le rapport initial de contrôle technique (RICT) du bureau de contrôle technique,</w:t>
      </w:r>
    </w:p>
    <w:p w14:paraId="46D5A8E5" w14:textId="35583702" w:rsidR="008C7EB2" w:rsidRPr="004C0BDB" w:rsidRDefault="00F11FBB" w:rsidP="004C0BDB">
      <w:pPr>
        <w:pStyle w:val="Paragraphedeliste"/>
        <w:numPr>
          <w:ilvl w:val="0"/>
          <w:numId w:val="19"/>
        </w:numPr>
      </w:pPr>
      <w:r w:rsidRPr="004C0BDB">
        <w:t>Le plan général de coordination en matière de sécurité et de protection de la santé (PGC-SPS),</w:t>
      </w:r>
    </w:p>
    <w:p w14:paraId="0DBD2EEA" w14:textId="05056468" w:rsidR="008C7EB2" w:rsidRPr="004C0BDB" w:rsidRDefault="00F11FBB" w:rsidP="004C0BDB">
      <w:pPr>
        <w:pStyle w:val="Paragraphedeliste"/>
        <w:numPr>
          <w:ilvl w:val="0"/>
          <w:numId w:val="19"/>
        </w:numPr>
      </w:pPr>
      <w:r w:rsidRPr="004C0BDB">
        <w:t>Les diagnostics avant travaux : rapport de repérage amiante et plomb, diagnostic PEMD (produits, équipements, matériaux, déchets),</w:t>
      </w:r>
    </w:p>
    <w:p w14:paraId="2DBD72B1" w14:textId="20BF12BA" w:rsidR="008C7EB2" w:rsidRPr="004C0BDB" w:rsidRDefault="00F11FBB" w:rsidP="004C0BDB">
      <w:pPr>
        <w:pStyle w:val="Paragraphedeliste"/>
        <w:numPr>
          <w:ilvl w:val="0"/>
          <w:numId w:val="19"/>
        </w:numPr>
      </w:pPr>
      <w:r w:rsidRPr="004C0BDB">
        <w:lastRenderedPageBreak/>
        <w:t>La charte chantier propre et à faibles nuisances (CCFN)</w:t>
      </w:r>
    </w:p>
    <w:p w14:paraId="57E5C62B" w14:textId="38DE0292" w:rsidR="00F11FBB" w:rsidRPr="004C0BDB" w:rsidRDefault="00F11FBB" w:rsidP="004C0BDB">
      <w:pPr>
        <w:pStyle w:val="Paragraphedeliste"/>
        <w:numPr>
          <w:ilvl w:val="0"/>
          <w:numId w:val="19"/>
        </w:numPr>
      </w:pPr>
      <w:r w:rsidRPr="004C0BDB">
        <w:t>La convention (comptable) EDIFLEX</w:t>
      </w:r>
    </w:p>
    <w:p w14:paraId="4C54DED7" w14:textId="5A43144A" w:rsidR="00C206EC" w:rsidRPr="004C0BDB" w:rsidRDefault="00F11FBB" w:rsidP="004C0BDB">
      <w:pPr>
        <w:pStyle w:val="Paragraphedeliste"/>
        <w:numPr>
          <w:ilvl w:val="0"/>
          <w:numId w:val="19"/>
        </w:numPr>
      </w:pPr>
      <w:r w:rsidRPr="004C0BDB">
        <w:t xml:space="preserve">Les diagnostics techniques </w:t>
      </w:r>
    </w:p>
    <w:p w14:paraId="3C40A074" w14:textId="24BBDEC3" w:rsidR="004C0BDB" w:rsidRPr="004C0BDB" w:rsidRDefault="00C206EC" w:rsidP="004C0BDB">
      <w:pPr>
        <w:pStyle w:val="Paragraphedeliste"/>
        <w:numPr>
          <w:ilvl w:val="0"/>
          <w:numId w:val="19"/>
        </w:numPr>
      </w:pPr>
      <w:r w:rsidRPr="004C0BDB">
        <w:t>La grille de réponse PAC (Annexe PAC) – applicable au Lot 3 Fluides uniquement, conformément à la stratégie d’achat de la Direction des achats de l’État sur les pompes à chaleur (version du 13 janvier 2025)</w:t>
      </w:r>
    </w:p>
    <w:p w14:paraId="02436B23" w14:textId="4B0EF576" w:rsidR="00124992" w:rsidRPr="004C0BDB" w:rsidRDefault="00124992" w:rsidP="004C0BDB">
      <w:pPr>
        <w:pStyle w:val="Paragraphedeliste"/>
        <w:numPr>
          <w:ilvl w:val="0"/>
          <w:numId w:val="19"/>
        </w:numPr>
      </w:pPr>
      <w:r w:rsidRPr="004C0BDB">
        <w:t xml:space="preserve">L’attestation de confidentialité. </w:t>
      </w:r>
    </w:p>
    <w:p w14:paraId="73CCDEFB" w14:textId="30997DF9" w:rsidR="00124992" w:rsidRDefault="00124992" w:rsidP="004C0BDB">
      <w:pPr>
        <w:pStyle w:val="Titre1"/>
        <w:rPr>
          <w:rFonts w:hint="eastAsia"/>
        </w:rPr>
      </w:pPr>
      <w:bookmarkStart w:id="56" w:name="_Toc236813710"/>
      <w:r>
        <w:t>ARTICLE 8. COMMUNICATION DES RÉSULTATS</w:t>
      </w:r>
      <w:bookmarkEnd w:id="56"/>
    </w:p>
    <w:p w14:paraId="7F2ADD35" w14:textId="77777777" w:rsidR="00124992" w:rsidRDefault="00124992">
      <w:pPr>
        <w:pStyle w:val="Paragraphe"/>
        <w:rPr>
          <w:rFonts w:hint="eastAsia"/>
        </w:rPr>
      </w:pPr>
      <w:r>
        <w:t>À l’issue de la procédure, l’acheteur informe les candidats non retenus du rejet de leur offre ainsi que des motifs de ce rejet, dans les conditions prévues aux articles R. 2181-1 et suivants du code de la commande publique. L’acheteur communique, sur demande écrite de tout candidat dont l’offre n’a pas été retenue, les caractéristiques et les avantages relatifs de l’offre retenue, ainsi que le nom de l’attributaire.</w:t>
      </w:r>
    </w:p>
    <w:p w14:paraId="5FE7BE45" w14:textId="77777777" w:rsidR="00124992" w:rsidRDefault="00124992">
      <w:pPr>
        <w:pStyle w:val="Titre1"/>
        <w:tabs>
          <w:tab w:val="left" w:pos="0"/>
        </w:tabs>
        <w:ind w:firstLine="0"/>
        <w:rPr>
          <w:rFonts w:hint="eastAsia"/>
        </w:rPr>
      </w:pPr>
      <w:bookmarkStart w:id="57" w:name="_Toc236813711"/>
      <w:r>
        <w:t>ARTICLE 9. PROCÉDURES DE RECOURS</w:t>
      </w:r>
      <w:bookmarkEnd w:id="57"/>
    </w:p>
    <w:p w14:paraId="54237EEF" w14:textId="77777777" w:rsidR="00124992" w:rsidRDefault="00124992">
      <w:pPr>
        <w:pStyle w:val="Titre2"/>
        <w:ind w:firstLine="0"/>
        <w:rPr>
          <w:rFonts w:hint="eastAsia"/>
        </w:rPr>
      </w:pPr>
      <w:bookmarkStart w:id="58" w:name="_Toc236813712"/>
      <w:r>
        <w:t>9-1. Juridiction compétente</w:t>
      </w:r>
      <w:bookmarkEnd w:id="58"/>
    </w:p>
    <w:p w14:paraId="53118108" w14:textId="77777777" w:rsidR="00124992" w:rsidRDefault="00124992">
      <w:pPr>
        <w:pStyle w:val="Paragraphe"/>
        <w:rPr>
          <w:rFonts w:hint="eastAsia"/>
        </w:rPr>
      </w:pPr>
      <w:r>
        <w:t>La juridiction compétente est : Tribunal administratif de Paris, 7 rue de Jouy, 75181 Paris Cedex 04. Tél. : 01 44 59 44 00. Site internet : www.ta-paris.juradm.fr.</w:t>
      </w:r>
    </w:p>
    <w:p w14:paraId="7E1DA95F" w14:textId="77777777" w:rsidR="00124992" w:rsidRDefault="00124992">
      <w:pPr>
        <w:pStyle w:val="Titre2"/>
        <w:ind w:firstLine="0"/>
        <w:rPr>
          <w:rFonts w:hint="eastAsia"/>
        </w:rPr>
      </w:pPr>
      <w:bookmarkStart w:id="59" w:name="_Toc236813713"/>
      <w:r>
        <w:t>9-2. Référé précontractuel</w:t>
      </w:r>
      <w:bookmarkEnd w:id="59"/>
    </w:p>
    <w:p w14:paraId="635A2A8E" w14:textId="77777777" w:rsidR="00124992" w:rsidRDefault="00124992">
      <w:pPr>
        <w:pStyle w:val="Paragraphe"/>
        <w:rPr>
          <w:rFonts w:hint="eastAsia"/>
        </w:rPr>
      </w:pPr>
      <w:r>
        <w:t>Avant la signature du marché, tout candidat ou soumissionnaire peut saisir le juge des référés du tribunal administratif de Paris en application des articles L. 551-1 à L. 551-12 du code de justice administrative, lorsqu’il estime que l’acheteur a manqué aux obligations de publicité et de mise en concurrence auxquelles est soumise la passation du marché.</w:t>
      </w:r>
    </w:p>
    <w:p w14:paraId="5497BEBE" w14:textId="77777777" w:rsidR="00124992" w:rsidRDefault="00124992">
      <w:pPr>
        <w:pStyle w:val="Titre2"/>
        <w:ind w:firstLine="0"/>
        <w:rPr>
          <w:rFonts w:hint="eastAsia"/>
        </w:rPr>
      </w:pPr>
      <w:bookmarkStart w:id="60" w:name="_Toc236813714"/>
      <w:r>
        <w:t>9-3. Référé contractuel</w:t>
      </w:r>
      <w:bookmarkEnd w:id="60"/>
    </w:p>
    <w:p w14:paraId="71ED5A46" w14:textId="77777777" w:rsidR="00124992" w:rsidRDefault="00124992">
      <w:pPr>
        <w:pStyle w:val="Paragraphe"/>
        <w:rPr>
          <w:rFonts w:hint="eastAsia"/>
        </w:rPr>
      </w:pPr>
      <w:r>
        <w:t>Après la signature du marché, tout tiers justifiant d’un intérêt lésé peut former un référé contractuel devant le tribunal administratif de Paris, en application des articles L. 551-13 à L. 551-23 du code de justice administrative, dans un délai de trente et un jours à compter de la publication de l’avis d’attribution ou, à défaut d’une telle publication, de six mois à compter du lendemain du jour de la conclusion du marché.</w:t>
      </w:r>
    </w:p>
    <w:p w14:paraId="34442DE1" w14:textId="77777777" w:rsidR="00124992" w:rsidRDefault="00124992">
      <w:pPr>
        <w:pStyle w:val="Titre2"/>
        <w:ind w:firstLine="0"/>
        <w:rPr>
          <w:rFonts w:hint="eastAsia"/>
        </w:rPr>
      </w:pPr>
      <w:bookmarkStart w:id="61" w:name="_Toc236813715"/>
      <w:r>
        <w:t>9-4. Recours de pleine juridiction</w:t>
      </w:r>
      <w:bookmarkEnd w:id="61"/>
    </w:p>
    <w:p w14:paraId="40CD19B9" w14:textId="77777777" w:rsidR="00124992" w:rsidRDefault="00124992">
      <w:pPr>
        <w:pStyle w:val="Paragraphe"/>
        <w:rPr>
          <w:rFonts w:hint="eastAsia"/>
        </w:rPr>
      </w:pPr>
      <w:r>
        <w:t>Conformément à la jurisprudence du Conseil d’État (CE, 4 avril 2014, Département du Tarn-et-Garonne, n° 358994), tout tiers à un contrat administratif susceptible d’être lésé dans ses intérêts de façon suffisamment directe et certaine par sa passation ou ses clauses peut former devant le tribunal administratif compétent un recours de pleine juridiction contestant la validité de ce contrat ou de certaines de ses clauses, dans un délai de deux mois à compter de l’accomplissement des mesures de publicité appropriées.</w:t>
      </w:r>
    </w:p>
    <w:p w14:paraId="2E763B88" w14:textId="77777777" w:rsidR="008C7EB2" w:rsidRDefault="008C7EB2">
      <w:pPr>
        <w:rPr>
          <w:rFonts w:hint="eastAsia"/>
        </w:rPr>
      </w:pPr>
      <w:bookmarkStart w:id="62" w:name="_Hlk202871709"/>
      <w:bookmarkEnd w:id="62"/>
    </w:p>
    <w:p w14:paraId="08D6AE4C" w14:textId="77777777" w:rsidR="008C7EB2" w:rsidRDefault="008C7EB2">
      <w:pPr>
        <w:rPr>
          <w:rFonts w:hint="eastAsia"/>
        </w:rPr>
      </w:pPr>
    </w:p>
    <w:p w14:paraId="2EE93D94" w14:textId="77777777" w:rsidR="008C7EB2" w:rsidRDefault="008C7EB2">
      <w:pPr>
        <w:rPr>
          <w:rFonts w:hint="eastAsia"/>
          <w:b/>
          <w:bCs/>
          <w:kern w:val="2"/>
          <w:sz w:val="28"/>
          <w:szCs w:val="28"/>
          <w:u w:val="single"/>
        </w:rPr>
      </w:pPr>
    </w:p>
    <w:p w14:paraId="44EC116F" w14:textId="77777777" w:rsidR="008C7EB2" w:rsidRDefault="008C7EB2">
      <w:pPr>
        <w:rPr>
          <w:rFonts w:hint="eastAsia"/>
          <w:b/>
          <w:bCs/>
          <w:kern w:val="2"/>
          <w:sz w:val="28"/>
          <w:szCs w:val="28"/>
          <w:u w:val="single"/>
        </w:rPr>
      </w:pPr>
    </w:p>
    <w:p w14:paraId="2F65B1C8" w14:textId="77777777" w:rsidR="008C7EB2" w:rsidRDefault="008C7EB2">
      <w:pPr>
        <w:tabs>
          <w:tab w:val="left" w:pos="1110"/>
        </w:tabs>
        <w:rPr>
          <w:rFonts w:hint="eastAsia"/>
          <w:b/>
          <w:bCs/>
          <w:kern w:val="2"/>
          <w:sz w:val="28"/>
          <w:szCs w:val="28"/>
          <w:u w:val="single"/>
        </w:rPr>
      </w:pPr>
    </w:p>
    <w:sectPr w:rsidR="008C7EB2">
      <w:headerReference w:type="default" r:id="rId16"/>
      <w:footerReference w:type="default" r:id="rId17"/>
      <w:headerReference w:type="first" r:id="rId18"/>
      <w:footerReference w:type="first" r:id="rId19"/>
      <w:pgSz w:w="11906" w:h="16838"/>
      <w:pgMar w:top="1230" w:right="1134" w:bottom="1230" w:left="1417"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AD296" w14:textId="77777777" w:rsidR="00F11FBB" w:rsidRDefault="00F11FBB">
      <w:pPr>
        <w:rPr>
          <w:rFonts w:hint="eastAsia"/>
        </w:rPr>
      </w:pPr>
      <w:r>
        <w:separator/>
      </w:r>
    </w:p>
  </w:endnote>
  <w:endnote w:type="continuationSeparator" w:id="0">
    <w:p w14:paraId="5FE986C5" w14:textId="77777777" w:rsidR="00F11FBB" w:rsidRDefault="00F11F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LineDraw">
    <w:altName w:val="Courier New"/>
    <w:charset w:val="02"/>
    <w:family w:val="moder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Calibri"/>
    <w:charset w:val="01"/>
    <w:family w:val="auto"/>
    <w:pitch w:val="default"/>
  </w:font>
  <w:font w:name="Liberation Serif">
    <w:panose1 w:val="02020603050405020304"/>
    <w:charset w:val="00"/>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Times New Roman">
    <w:altName w:val="Times New Roman"/>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LineDraw;Courier New">
    <w:altName w:val="Cambria"/>
    <w:panose1 w:val="00000000000000000000"/>
    <w:charset w:val="00"/>
    <w:family w:val="roman"/>
    <w:notTrueType/>
    <w:pitch w:val="default"/>
  </w:font>
  <w:font w:name="StarSymbol;Arial Unicode MS">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Calibri">
    <w:panose1 w:val="020F0502020204030204"/>
    <w:charset w:val="00"/>
    <w:family w:val="swiss"/>
    <w:pitch w:val="variable"/>
    <w:sig w:usb0="E4002EFF" w:usb1="C200ACFF"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5" w:type="dxa"/>
      <w:tblInd w:w="57" w:type="dxa"/>
      <w:tblLayout w:type="fixed"/>
      <w:tblCellMar>
        <w:left w:w="57" w:type="dxa"/>
        <w:right w:w="57" w:type="dxa"/>
      </w:tblCellMar>
      <w:tblLook w:val="04A0" w:firstRow="1" w:lastRow="0" w:firstColumn="1" w:lastColumn="0" w:noHBand="0" w:noVBand="1"/>
    </w:tblPr>
    <w:tblGrid>
      <w:gridCol w:w="3117"/>
      <w:gridCol w:w="3119"/>
      <w:gridCol w:w="3119"/>
    </w:tblGrid>
    <w:tr w:rsidR="008C7EB2" w14:paraId="28CF671B" w14:textId="77777777">
      <w:trPr>
        <w:trHeight w:val="227"/>
      </w:trPr>
      <w:tc>
        <w:tcPr>
          <w:tcW w:w="3117" w:type="dxa"/>
        </w:tcPr>
        <w:p w14:paraId="05B22485" w14:textId="77777777" w:rsidR="008C7EB2" w:rsidRDefault="008C7EB2">
          <w:pPr>
            <w:pStyle w:val="Pieddepage"/>
            <w:tabs>
              <w:tab w:val="clear" w:pos="4818"/>
              <w:tab w:val="clear" w:pos="9637"/>
              <w:tab w:val="right" w:pos="8982"/>
            </w:tabs>
            <w:snapToGrid w:val="0"/>
            <w:ind w:left="-90" w:right="11"/>
            <w:jc w:val="left"/>
            <w:rPr>
              <w:rFonts w:hint="eastAsia"/>
              <w:sz w:val="18"/>
            </w:rPr>
          </w:pPr>
        </w:p>
      </w:tc>
      <w:tc>
        <w:tcPr>
          <w:tcW w:w="3119" w:type="dxa"/>
        </w:tcPr>
        <w:p w14:paraId="1E2FB3D9" w14:textId="77777777" w:rsidR="008C7EB2" w:rsidRDefault="00F11FBB">
          <w:pPr>
            <w:pStyle w:val="Pieddepage"/>
            <w:tabs>
              <w:tab w:val="clear" w:pos="4818"/>
              <w:tab w:val="clear" w:pos="9637"/>
              <w:tab w:val="right" w:pos="9072"/>
            </w:tabs>
            <w:snapToGrid w:val="0"/>
            <w:jc w:val="center"/>
            <w:rPr>
              <w:rFonts w:hint="eastAsia"/>
              <w:sz w:val="18"/>
            </w:rPr>
          </w:pPr>
          <w:r>
            <w:rPr>
              <w:sz w:val="18"/>
            </w:rPr>
            <w:fldChar w:fldCharType="begin"/>
          </w:r>
          <w:r>
            <w:rPr>
              <w:sz w:val="18"/>
            </w:rPr>
            <w:instrText xml:space="preserve"> PAGE </w:instrText>
          </w:r>
          <w:r>
            <w:rPr>
              <w:sz w:val="18"/>
            </w:rPr>
            <w:fldChar w:fldCharType="separate"/>
          </w:r>
          <w:r>
            <w:rPr>
              <w:sz w:val="18"/>
            </w:rPr>
            <w:t>14</w:t>
          </w:r>
          <w:r>
            <w:rPr>
              <w:sz w:val="18"/>
            </w:rPr>
            <w:fldChar w:fldCharType="end"/>
          </w:r>
          <w:r>
            <w:rPr>
              <w:sz w:val="18"/>
            </w:rPr>
            <w:t>/</w:t>
          </w:r>
          <w:r>
            <w:rPr>
              <w:sz w:val="18"/>
            </w:rPr>
            <w:fldChar w:fldCharType="begin"/>
          </w:r>
          <w:r>
            <w:rPr>
              <w:sz w:val="18"/>
            </w:rPr>
            <w:instrText xml:space="preserve"> NUMPAGES \* ARABIC </w:instrText>
          </w:r>
          <w:r>
            <w:rPr>
              <w:sz w:val="18"/>
            </w:rPr>
            <w:fldChar w:fldCharType="separate"/>
          </w:r>
          <w:r>
            <w:rPr>
              <w:sz w:val="18"/>
            </w:rPr>
            <w:t>14</w:t>
          </w:r>
          <w:r>
            <w:rPr>
              <w:sz w:val="18"/>
            </w:rPr>
            <w:fldChar w:fldCharType="end"/>
          </w:r>
        </w:p>
      </w:tc>
      <w:tc>
        <w:tcPr>
          <w:tcW w:w="3119" w:type="dxa"/>
        </w:tcPr>
        <w:p w14:paraId="271341C8" w14:textId="77777777" w:rsidR="008C7EB2" w:rsidRDefault="008C7EB2">
          <w:pPr>
            <w:pStyle w:val="Pieddepage"/>
            <w:tabs>
              <w:tab w:val="clear" w:pos="4818"/>
              <w:tab w:val="clear" w:pos="9637"/>
              <w:tab w:val="right" w:pos="9072"/>
            </w:tabs>
            <w:snapToGrid w:val="0"/>
            <w:jc w:val="right"/>
            <w:rPr>
              <w:rFonts w:hint="eastAsia"/>
              <w:sz w:val="18"/>
            </w:rPr>
          </w:pPr>
        </w:p>
      </w:tc>
    </w:tr>
  </w:tbl>
  <w:p w14:paraId="37B33B4B" w14:textId="77777777" w:rsidR="008C7EB2" w:rsidRDefault="008C7EB2">
    <w:pPr>
      <w:pStyle w:val="Pieddepage"/>
      <w:rPr>
        <w:rFonts w:hint="eastAs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5" w:type="dxa"/>
      <w:tblInd w:w="57" w:type="dxa"/>
      <w:tblLayout w:type="fixed"/>
      <w:tblCellMar>
        <w:left w:w="57" w:type="dxa"/>
        <w:right w:w="57" w:type="dxa"/>
      </w:tblCellMar>
      <w:tblLook w:val="04A0" w:firstRow="1" w:lastRow="0" w:firstColumn="1" w:lastColumn="0" w:noHBand="0" w:noVBand="1"/>
    </w:tblPr>
    <w:tblGrid>
      <w:gridCol w:w="3118"/>
      <w:gridCol w:w="3118"/>
      <w:gridCol w:w="3119"/>
    </w:tblGrid>
    <w:tr w:rsidR="008C7EB2" w14:paraId="56281C74" w14:textId="77777777">
      <w:trPr>
        <w:trHeight w:val="227"/>
      </w:trPr>
      <w:tc>
        <w:tcPr>
          <w:tcW w:w="3118" w:type="dxa"/>
        </w:tcPr>
        <w:p w14:paraId="3FFEAC6D" w14:textId="77777777" w:rsidR="008C7EB2" w:rsidRDefault="00F11FBB">
          <w:pPr>
            <w:pStyle w:val="Pieddepage"/>
            <w:rPr>
              <w:rFonts w:hint="eastAsia"/>
            </w:rPr>
          </w:pPr>
          <w:r>
            <w:rPr>
              <w:sz w:val="18"/>
              <w:szCs w:val="18"/>
            </w:rPr>
            <w:t>TPRX d’Asnières-sur-Seine (92) – Réhabilitation post-incendie</w:t>
          </w:r>
        </w:p>
      </w:tc>
      <w:tc>
        <w:tcPr>
          <w:tcW w:w="3118" w:type="dxa"/>
        </w:tcPr>
        <w:p w14:paraId="2829AF1C" w14:textId="77777777" w:rsidR="008C7EB2" w:rsidRDefault="008C7EB2">
          <w:pPr>
            <w:pStyle w:val="Pieddepage"/>
            <w:snapToGrid w:val="0"/>
            <w:jc w:val="center"/>
            <w:rPr>
              <w:rFonts w:hint="eastAsia"/>
              <w:sz w:val="18"/>
              <w:szCs w:val="18"/>
            </w:rPr>
          </w:pPr>
        </w:p>
      </w:tc>
      <w:tc>
        <w:tcPr>
          <w:tcW w:w="3119" w:type="dxa"/>
        </w:tcPr>
        <w:p w14:paraId="622F9305" w14:textId="61FFD002" w:rsidR="008C7EB2" w:rsidRDefault="00F11FBB">
          <w:pPr>
            <w:pStyle w:val="Pieddepage"/>
            <w:jc w:val="right"/>
            <w:rPr>
              <w:rFonts w:hint="eastAsia"/>
              <w:sz w:val="18"/>
              <w:szCs w:val="18"/>
            </w:rPr>
          </w:pPr>
          <w:r>
            <w:rPr>
              <w:sz w:val="18"/>
              <w:szCs w:val="18"/>
            </w:rPr>
            <w:fldChar w:fldCharType="begin"/>
          </w:r>
          <w:r>
            <w:rPr>
              <w:sz w:val="18"/>
              <w:szCs w:val="18"/>
            </w:rPr>
            <w:instrText xml:space="preserve"> DATE \@"dd\/MM\/yyyy" </w:instrText>
          </w:r>
          <w:r>
            <w:rPr>
              <w:sz w:val="18"/>
              <w:szCs w:val="18"/>
            </w:rPr>
            <w:fldChar w:fldCharType="separate"/>
          </w:r>
          <w:r w:rsidR="0024796A">
            <w:rPr>
              <w:rFonts w:hint="eastAsia"/>
              <w:noProof/>
              <w:sz w:val="18"/>
              <w:szCs w:val="18"/>
            </w:rPr>
            <w:t>05/08/2026</w:t>
          </w:r>
          <w:r>
            <w:rPr>
              <w:sz w:val="18"/>
              <w:szCs w:val="18"/>
            </w:rPr>
            <w:fldChar w:fldCharType="end"/>
          </w:r>
        </w:p>
      </w:tc>
    </w:tr>
  </w:tbl>
  <w:p w14:paraId="5BD86EB9" w14:textId="77777777" w:rsidR="008C7EB2" w:rsidRDefault="008C7EB2">
    <w:pPr>
      <w:pStyle w:val="Pieddepag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40F6B" w14:textId="77777777" w:rsidR="00F11FBB" w:rsidRDefault="00F11FBB">
      <w:pPr>
        <w:rPr>
          <w:rFonts w:hint="eastAsia"/>
        </w:rPr>
      </w:pPr>
      <w:r>
        <w:separator/>
      </w:r>
    </w:p>
  </w:footnote>
  <w:footnote w:type="continuationSeparator" w:id="0">
    <w:p w14:paraId="0B56FF1D" w14:textId="77777777" w:rsidR="00F11FBB" w:rsidRDefault="00F11FB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5" w:type="dxa"/>
      <w:tblLayout w:type="fixed"/>
      <w:tblCellMar>
        <w:left w:w="0" w:type="dxa"/>
        <w:right w:w="0" w:type="dxa"/>
      </w:tblCellMar>
      <w:tblLook w:val="04A0" w:firstRow="1" w:lastRow="0" w:firstColumn="1" w:lastColumn="0" w:noHBand="0" w:noVBand="1"/>
    </w:tblPr>
    <w:tblGrid>
      <w:gridCol w:w="1133"/>
      <w:gridCol w:w="8222"/>
    </w:tblGrid>
    <w:tr w:rsidR="008C7EB2" w14:paraId="3BDC7AA7" w14:textId="77777777">
      <w:trPr>
        <w:trHeight w:val="227"/>
      </w:trPr>
      <w:tc>
        <w:tcPr>
          <w:tcW w:w="1133" w:type="dxa"/>
        </w:tcPr>
        <w:p w14:paraId="73A9A309" w14:textId="77777777" w:rsidR="008C7EB2" w:rsidRDefault="008C7EB2">
          <w:pPr>
            <w:snapToGrid w:val="0"/>
            <w:jc w:val="left"/>
            <w:rPr>
              <w:rFonts w:hint="eastAsia"/>
              <w:sz w:val="18"/>
              <w:szCs w:val="18"/>
            </w:rPr>
          </w:pPr>
        </w:p>
      </w:tc>
      <w:tc>
        <w:tcPr>
          <w:tcW w:w="8222" w:type="dxa"/>
        </w:tcPr>
        <w:p w14:paraId="4DE095B7" w14:textId="77777777" w:rsidR="008C7EB2" w:rsidRDefault="00F11FBB">
          <w:pPr>
            <w:jc w:val="right"/>
            <w:rPr>
              <w:rFonts w:hint="eastAsia"/>
            </w:rPr>
          </w:pPr>
          <w:r>
            <w:rPr>
              <w:sz w:val="18"/>
              <w:szCs w:val="18"/>
            </w:rPr>
            <w:t>TPRX d’Asnières-sur-Seine (92) – Réhabilitation post-incendie</w:t>
          </w:r>
        </w:p>
      </w:tc>
    </w:tr>
  </w:tbl>
  <w:p w14:paraId="145A2519" w14:textId="77777777" w:rsidR="008C7EB2" w:rsidRDefault="008C7EB2">
    <w:pP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5" w:type="dxa"/>
      <w:tblInd w:w="71" w:type="dxa"/>
      <w:tblLayout w:type="fixed"/>
      <w:tblCellMar>
        <w:left w:w="71" w:type="dxa"/>
        <w:right w:w="71" w:type="dxa"/>
      </w:tblCellMar>
      <w:tblLook w:val="04A0" w:firstRow="1" w:lastRow="0" w:firstColumn="1" w:lastColumn="0" w:noHBand="0" w:noVBand="1"/>
    </w:tblPr>
    <w:tblGrid>
      <w:gridCol w:w="1133"/>
      <w:gridCol w:w="8222"/>
    </w:tblGrid>
    <w:tr w:rsidR="008C7EB2" w14:paraId="55DC2C0E" w14:textId="77777777">
      <w:trPr>
        <w:trHeight w:val="227"/>
      </w:trPr>
      <w:tc>
        <w:tcPr>
          <w:tcW w:w="1133" w:type="dxa"/>
        </w:tcPr>
        <w:p w14:paraId="199F8A60" w14:textId="2E8AF38C" w:rsidR="008C7EB2" w:rsidRDefault="00124992">
          <w:pPr>
            <w:pStyle w:val="En-tte"/>
            <w:tabs>
              <w:tab w:val="clear" w:pos="4818"/>
              <w:tab w:val="clear" w:pos="9637"/>
            </w:tabs>
            <w:snapToGrid w:val="0"/>
            <w:ind w:left="-91" w:right="-10"/>
            <w:jc w:val="left"/>
            <w:rPr>
              <w:rFonts w:hint="eastAsia"/>
              <w:sz w:val="18"/>
              <w:lang w:val="en-US" w:eastAsia="en-US"/>
            </w:rPr>
          </w:pPr>
          <w:r>
            <w:rPr>
              <w:noProof/>
            </w:rPr>
            <w:drawing>
              <wp:anchor distT="0" distB="0" distL="114935" distR="114935" simplePos="0" relativeHeight="251657728" behindDoc="1" locked="0" layoutInCell="1" allowOverlap="1" wp14:anchorId="53588DC0" wp14:editId="1F7A3689">
                <wp:simplePos x="0" y="0"/>
                <wp:positionH relativeFrom="column">
                  <wp:posOffset>-249555</wp:posOffset>
                </wp:positionH>
                <wp:positionV relativeFrom="paragraph">
                  <wp:posOffset>-438150</wp:posOffset>
                </wp:positionV>
                <wp:extent cx="1809750" cy="147637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3" t="-5" r="-3" b="-5"/>
                        <a:stretch>
                          <a:fillRect/>
                        </a:stretch>
                      </pic:blipFill>
                      <pic:spPr bwMode="auto">
                        <a:xfrm>
                          <a:off x="0" y="0"/>
                          <a:ext cx="1809750" cy="1476375"/>
                        </a:xfrm>
                        <a:prstGeom prst="rect">
                          <a:avLst/>
                        </a:prstGeom>
                        <a:noFill/>
                      </pic:spPr>
                    </pic:pic>
                  </a:graphicData>
                </a:graphic>
                <wp14:sizeRelH relativeFrom="page">
                  <wp14:pctWidth>0</wp14:pctWidth>
                </wp14:sizeRelH>
                <wp14:sizeRelV relativeFrom="page">
                  <wp14:pctHeight>0</wp14:pctHeight>
                </wp14:sizeRelV>
              </wp:anchor>
            </w:drawing>
          </w:r>
        </w:p>
      </w:tc>
      <w:tc>
        <w:tcPr>
          <w:tcW w:w="8222" w:type="dxa"/>
        </w:tcPr>
        <w:p w14:paraId="188C350E" w14:textId="7D90D279" w:rsidR="008C7EB2" w:rsidRDefault="00F11FBB">
          <w:pPr>
            <w:pStyle w:val="En-tte"/>
            <w:tabs>
              <w:tab w:val="clear" w:pos="4818"/>
              <w:tab w:val="clear" w:pos="9637"/>
            </w:tabs>
            <w:snapToGrid w:val="0"/>
            <w:jc w:val="right"/>
            <w:rPr>
              <w:rFonts w:hint="eastAsia"/>
            </w:rPr>
          </w:pPr>
          <w:r>
            <w:rPr>
              <w:sz w:val="18"/>
            </w:rPr>
            <w:t>TPRX d’Asnières-sur-Seine (92) – Réhabilitation</w:t>
          </w:r>
        </w:p>
      </w:tc>
    </w:tr>
    <w:tr w:rsidR="008C7EB2" w14:paraId="7E64F61F" w14:textId="77777777">
      <w:trPr>
        <w:trHeight w:val="227"/>
      </w:trPr>
      <w:tc>
        <w:tcPr>
          <w:tcW w:w="1133" w:type="dxa"/>
        </w:tcPr>
        <w:p w14:paraId="7A930A58" w14:textId="77777777" w:rsidR="008C7EB2" w:rsidRDefault="008C7EB2">
          <w:pPr>
            <w:pStyle w:val="En-tte"/>
            <w:tabs>
              <w:tab w:val="clear" w:pos="4818"/>
              <w:tab w:val="clear" w:pos="9637"/>
            </w:tabs>
            <w:snapToGrid w:val="0"/>
            <w:ind w:left="-91" w:right="-10"/>
            <w:jc w:val="left"/>
            <w:rPr>
              <w:rFonts w:hint="eastAsia"/>
              <w:lang w:val="en-US" w:eastAsia="en-US"/>
            </w:rPr>
          </w:pPr>
        </w:p>
        <w:p w14:paraId="7600DC6F" w14:textId="77777777" w:rsidR="008C7EB2" w:rsidRDefault="008C7EB2">
          <w:pPr>
            <w:pStyle w:val="En-tte"/>
            <w:tabs>
              <w:tab w:val="clear" w:pos="4818"/>
              <w:tab w:val="clear" w:pos="9637"/>
            </w:tabs>
            <w:snapToGrid w:val="0"/>
            <w:ind w:left="-91" w:right="-10"/>
            <w:jc w:val="left"/>
            <w:rPr>
              <w:rFonts w:hint="eastAsia"/>
              <w:lang w:val="en-US" w:eastAsia="en-US"/>
            </w:rPr>
          </w:pPr>
        </w:p>
        <w:p w14:paraId="1A1581F1" w14:textId="77777777" w:rsidR="008C7EB2" w:rsidRDefault="008C7EB2">
          <w:pPr>
            <w:pStyle w:val="En-tte"/>
            <w:tabs>
              <w:tab w:val="clear" w:pos="4818"/>
              <w:tab w:val="clear" w:pos="9637"/>
            </w:tabs>
            <w:snapToGrid w:val="0"/>
            <w:ind w:left="-91" w:right="-10"/>
            <w:jc w:val="left"/>
            <w:rPr>
              <w:rFonts w:hint="eastAsia"/>
              <w:lang w:val="en-US" w:eastAsia="en-US"/>
            </w:rPr>
          </w:pPr>
        </w:p>
        <w:p w14:paraId="4626B884" w14:textId="77777777" w:rsidR="008C7EB2" w:rsidRDefault="008C7EB2">
          <w:pPr>
            <w:pStyle w:val="En-tte"/>
            <w:tabs>
              <w:tab w:val="clear" w:pos="4818"/>
              <w:tab w:val="clear" w:pos="9637"/>
            </w:tabs>
            <w:snapToGrid w:val="0"/>
            <w:ind w:left="-91" w:right="-10"/>
            <w:jc w:val="left"/>
            <w:rPr>
              <w:rFonts w:hint="eastAsia"/>
              <w:lang w:val="en-US" w:eastAsia="en-US"/>
            </w:rPr>
          </w:pPr>
        </w:p>
        <w:p w14:paraId="5681821C" w14:textId="77777777" w:rsidR="008C7EB2" w:rsidRDefault="008C7EB2">
          <w:pPr>
            <w:pStyle w:val="En-tte"/>
            <w:tabs>
              <w:tab w:val="clear" w:pos="4818"/>
              <w:tab w:val="clear" w:pos="9637"/>
            </w:tabs>
            <w:snapToGrid w:val="0"/>
            <w:ind w:left="-91" w:right="-10"/>
            <w:jc w:val="left"/>
            <w:rPr>
              <w:rFonts w:hint="eastAsia"/>
              <w:lang w:val="en-US" w:eastAsia="en-US"/>
            </w:rPr>
          </w:pPr>
        </w:p>
      </w:tc>
      <w:tc>
        <w:tcPr>
          <w:tcW w:w="8222" w:type="dxa"/>
        </w:tcPr>
        <w:p w14:paraId="41694410" w14:textId="77777777" w:rsidR="008C7EB2" w:rsidRDefault="008C7EB2">
          <w:pPr>
            <w:pStyle w:val="En-tte"/>
            <w:tabs>
              <w:tab w:val="clear" w:pos="4818"/>
              <w:tab w:val="clear" w:pos="9637"/>
            </w:tabs>
            <w:snapToGrid w:val="0"/>
            <w:jc w:val="right"/>
            <w:rPr>
              <w:rFonts w:hint="eastAsia"/>
              <w:sz w:val="18"/>
              <w:lang w:val="en-US" w:eastAsia="en-US"/>
            </w:rPr>
          </w:pPr>
        </w:p>
      </w:tc>
    </w:tr>
  </w:tbl>
  <w:p w14:paraId="0242FB13" w14:textId="77777777" w:rsidR="008C7EB2" w:rsidRDefault="008C7EB2">
    <w:pPr>
      <w:pStyle w:val="En-tte"/>
      <w:rPr>
        <w:rFonts w:hint="eastAsia"/>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583D"/>
    <w:multiLevelType w:val="multilevel"/>
    <w:tmpl w:val="EEDE3E1E"/>
    <w:lvl w:ilvl="0">
      <w:start w:val="1"/>
      <w:numFmt w:val="bullet"/>
      <w:lvlText w:val="-"/>
      <w:lvlJc w:val="left"/>
      <w:pPr>
        <w:tabs>
          <w:tab w:val="num" w:pos="283"/>
        </w:tabs>
        <w:ind w:left="283" w:hanging="283"/>
      </w:pPr>
      <w:rPr>
        <w:rFonts w:ascii="MS LineDraw" w:hAnsi="MS LineDraw" w:cs="MS LineDraw"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3931BAC"/>
    <w:multiLevelType w:val="multilevel"/>
    <w:tmpl w:val="BD6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F2EA8"/>
    <w:multiLevelType w:val="multilevel"/>
    <w:tmpl w:val="4808C6BA"/>
    <w:lvl w:ilvl="0">
      <w:start w:val="1"/>
      <w:numFmt w:val="bullet"/>
      <w:lvlText w:val="o"/>
      <w:lvlJc w:val="left"/>
      <w:pPr>
        <w:tabs>
          <w:tab w:val="num" w:pos="1778"/>
        </w:tabs>
        <w:ind w:left="1778" w:hanging="360"/>
      </w:pPr>
      <w:rPr>
        <w:rFonts w:ascii="Courier New" w:hAnsi="Courier New" w:cs="Courier New" w:hint="default"/>
      </w:rPr>
    </w:lvl>
    <w:lvl w:ilvl="1">
      <w:start w:val="1"/>
      <w:numFmt w:val="bullet"/>
      <w:lvlText w:val=""/>
      <w:lvlJc w:val="left"/>
      <w:pPr>
        <w:tabs>
          <w:tab w:val="num" w:pos="2138"/>
        </w:tabs>
        <w:ind w:left="2138" w:hanging="360"/>
      </w:pPr>
      <w:rPr>
        <w:rFonts w:ascii="Wingdings 2" w:hAnsi="Wingdings 2" w:cs="Wingdings 2" w:hint="default"/>
      </w:rPr>
    </w:lvl>
    <w:lvl w:ilvl="2">
      <w:start w:val="1"/>
      <w:numFmt w:val="bullet"/>
      <w:lvlText w:val="■"/>
      <w:lvlJc w:val="left"/>
      <w:pPr>
        <w:tabs>
          <w:tab w:val="num" w:pos="2498"/>
        </w:tabs>
        <w:ind w:left="2498" w:hanging="360"/>
      </w:pPr>
      <w:rPr>
        <w:rFonts w:ascii="StarSymbol" w:hAnsi="StarSymbol" w:cs="StarSymbol" w:hint="default"/>
      </w:rPr>
    </w:lvl>
    <w:lvl w:ilvl="3">
      <w:start w:val="1"/>
      <w:numFmt w:val="bullet"/>
      <w:lvlText w:val=""/>
      <w:lvlJc w:val="left"/>
      <w:pPr>
        <w:tabs>
          <w:tab w:val="num" w:pos="2858"/>
        </w:tabs>
        <w:ind w:left="2858" w:hanging="360"/>
      </w:pPr>
      <w:rPr>
        <w:rFonts w:ascii="Wingdings" w:hAnsi="Wingdings" w:cs="Wingdings" w:hint="default"/>
      </w:rPr>
    </w:lvl>
    <w:lvl w:ilvl="4">
      <w:start w:val="1"/>
      <w:numFmt w:val="bullet"/>
      <w:lvlText w:val=""/>
      <w:lvlJc w:val="left"/>
      <w:pPr>
        <w:tabs>
          <w:tab w:val="num" w:pos="3218"/>
        </w:tabs>
        <w:ind w:left="3218" w:hanging="360"/>
      </w:pPr>
      <w:rPr>
        <w:rFonts w:ascii="Wingdings 2" w:hAnsi="Wingdings 2" w:cs="Wingdings 2" w:hint="default"/>
      </w:rPr>
    </w:lvl>
    <w:lvl w:ilvl="5">
      <w:start w:val="1"/>
      <w:numFmt w:val="bullet"/>
      <w:lvlText w:val="■"/>
      <w:lvlJc w:val="left"/>
      <w:pPr>
        <w:tabs>
          <w:tab w:val="num" w:pos="3578"/>
        </w:tabs>
        <w:ind w:left="3578" w:hanging="360"/>
      </w:pPr>
      <w:rPr>
        <w:rFonts w:ascii="StarSymbol" w:hAnsi="StarSymbol" w:cs="StarSymbol" w:hint="default"/>
      </w:rPr>
    </w:lvl>
    <w:lvl w:ilvl="6">
      <w:start w:val="1"/>
      <w:numFmt w:val="bullet"/>
      <w:lvlText w:val=""/>
      <w:lvlJc w:val="left"/>
      <w:pPr>
        <w:tabs>
          <w:tab w:val="num" w:pos="3938"/>
        </w:tabs>
        <w:ind w:left="3938" w:hanging="360"/>
      </w:pPr>
      <w:rPr>
        <w:rFonts w:ascii="Wingdings" w:hAnsi="Wingdings" w:cs="Wingdings" w:hint="default"/>
      </w:rPr>
    </w:lvl>
    <w:lvl w:ilvl="7">
      <w:start w:val="1"/>
      <w:numFmt w:val="bullet"/>
      <w:lvlText w:val=""/>
      <w:lvlJc w:val="left"/>
      <w:pPr>
        <w:tabs>
          <w:tab w:val="num" w:pos="4298"/>
        </w:tabs>
        <w:ind w:left="4298" w:hanging="360"/>
      </w:pPr>
      <w:rPr>
        <w:rFonts w:ascii="Wingdings 2" w:hAnsi="Wingdings 2" w:cs="Wingdings 2" w:hint="default"/>
      </w:rPr>
    </w:lvl>
    <w:lvl w:ilvl="8">
      <w:start w:val="1"/>
      <w:numFmt w:val="bullet"/>
      <w:lvlText w:val="■"/>
      <w:lvlJc w:val="left"/>
      <w:pPr>
        <w:tabs>
          <w:tab w:val="num" w:pos="4658"/>
        </w:tabs>
        <w:ind w:left="4658" w:hanging="360"/>
      </w:pPr>
      <w:rPr>
        <w:rFonts w:ascii="StarSymbol" w:hAnsi="StarSymbol" w:cs="StarSymbol" w:hint="default"/>
      </w:rPr>
    </w:lvl>
  </w:abstractNum>
  <w:abstractNum w:abstractNumId="3" w15:restartNumberingAfterBreak="0">
    <w:nsid w:val="1D93532B"/>
    <w:multiLevelType w:val="hybridMultilevel"/>
    <w:tmpl w:val="9B9E61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B73ADF"/>
    <w:multiLevelType w:val="hybridMultilevel"/>
    <w:tmpl w:val="75E442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6C7F53"/>
    <w:multiLevelType w:val="multilevel"/>
    <w:tmpl w:val="A8B83DE4"/>
    <w:lvl w:ilvl="0">
      <w:numFmt w:val="bullet"/>
      <w:lvlText w:val=""/>
      <w:lvlJc w:val="left"/>
      <w:pPr>
        <w:tabs>
          <w:tab w:val="num" w:pos="757"/>
        </w:tabs>
        <w:ind w:left="737" w:hanging="340"/>
      </w:pPr>
      <w:rPr>
        <w:rFonts w:ascii="Wingdings" w:hAnsi="Wingdings" w:cs="Wingdings" w:hint="default"/>
      </w:rPr>
    </w:lvl>
    <w:lvl w:ilvl="1">
      <w:numFmt w:val="bullet"/>
      <w:lvlText w:val=""/>
      <w:lvlJc w:val="left"/>
      <w:pPr>
        <w:tabs>
          <w:tab w:val="num" w:pos="1780"/>
        </w:tabs>
        <w:ind w:left="1780" w:hanging="360"/>
      </w:pPr>
      <w:rPr>
        <w:rFonts w:ascii="Wingdings" w:hAnsi="Wingdings" w:cs="Wingdings" w:hint="default"/>
      </w:rPr>
    </w:lvl>
    <w:lvl w:ilvl="2">
      <w:start w:val="1"/>
      <w:numFmt w:val="lowerRoman"/>
      <w:lvlText w:val="%3."/>
      <w:lvlJc w:val="right"/>
      <w:pPr>
        <w:tabs>
          <w:tab w:val="num" w:pos="0"/>
        </w:tabs>
        <w:ind w:left="2500" w:hanging="180"/>
      </w:pPr>
    </w:lvl>
    <w:lvl w:ilvl="3">
      <w:start w:val="1"/>
      <w:numFmt w:val="decimal"/>
      <w:lvlText w:val="%4."/>
      <w:lvlJc w:val="left"/>
      <w:pPr>
        <w:tabs>
          <w:tab w:val="num" w:pos="0"/>
        </w:tabs>
        <w:ind w:left="3220" w:hanging="360"/>
      </w:pPr>
    </w:lvl>
    <w:lvl w:ilvl="4">
      <w:start w:val="1"/>
      <w:numFmt w:val="lowerLetter"/>
      <w:lvlText w:val="%5."/>
      <w:lvlJc w:val="left"/>
      <w:pPr>
        <w:tabs>
          <w:tab w:val="num" w:pos="0"/>
        </w:tabs>
        <w:ind w:left="3940" w:hanging="360"/>
      </w:pPr>
    </w:lvl>
    <w:lvl w:ilvl="5">
      <w:start w:val="1"/>
      <w:numFmt w:val="lowerRoman"/>
      <w:lvlText w:val="%6."/>
      <w:lvlJc w:val="right"/>
      <w:pPr>
        <w:tabs>
          <w:tab w:val="num" w:pos="0"/>
        </w:tabs>
        <w:ind w:left="4660" w:hanging="180"/>
      </w:pPr>
    </w:lvl>
    <w:lvl w:ilvl="6">
      <w:start w:val="1"/>
      <w:numFmt w:val="decimal"/>
      <w:lvlText w:val="%7."/>
      <w:lvlJc w:val="left"/>
      <w:pPr>
        <w:tabs>
          <w:tab w:val="num" w:pos="0"/>
        </w:tabs>
        <w:ind w:left="5380" w:hanging="360"/>
      </w:pPr>
    </w:lvl>
    <w:lvl w:ilvl="7">
      <w:start w:val="1"/>
      <w:numFmt w:val="lowerLetter"/>
      <w:lvlText w:val="%8."/>
      <w:lvlJc w:val="left"/>
      <w:pPr>
        <w:tabs>
          <w:tab w:val="num" w:pos="0"/>
        </w:tabs>
        <w:ind w:left="6100" w:hanging="360"/>
      </w:pPr>
    </w:lvl>
    <w:lvl w:ilvl="8">
      <w:start w:val="1"/>
      <w:numFmt w:val="lowerRoman"/>
      <w:lvlText w:val="%9."/>
      <w:lvlJc w:val="right"/>
      <w:pPr>
        <w:tabs>
          <w:tab w:val="num" w:pos="0"/>
        </w:tabs>
        <w:ind w:left="6820" w:hanging="180"/>
      </w:pPr>
    </w:lvl>
  </w:abstractNum>
  <w:abstractNum w:abstractNumId="6" w15:restartNumberingAfterBreak="0">
    <w:nsid w:val="313E4C49"/>
    <w:multiLevelType w:val="multilevel"/>
    <w:tmpl w:val="ABC06026"/>
    <w:lvl w:ilvl="0">
      <w:start w:val="1"/>
      <w:numFmt w:val="bullet"/>
      <w:lvlText w:val=""/>
      <w:lvlJc w:val="left"/>
      <w:pPr>
        <w:tabs>
          <w:tab w:val="num" w:pos="72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960243"/>
    <w:multiLevelType w:val="multilevel"/>
    <w:tmpl w:val="C9FE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E81C07"/>
    <w:multiLevelType w:val="hybridMultilevel"/>
    <w:tmpl w:val="CC987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A0501F9"/>
    <w:multiLevelType w:val="multilevel"/>
    <w:tmpl w:val="973A1BF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B36B11"/>
    <w:multiLevelType w:val="multilevel"/>
    <w:tmpl w:val="361C1D52"/>
    <w:lvl w:ilvl="0">
      <w:start w:val="1"/>
      <w:numFmt w:val="decimal"/>
      <w:lvlText w:val="%1."/>
      <w:lvlJc w:val="left"/>
      <w:pPr>
        <w:tabs>
          <w:tab w:val="num" w:pos="757"/>
        </w:tabs>
        <w:ind w:left="737" w:hanging="340"/>
      </w:pPr>
      <w:rPr>
        <w:rFonts w:hint="default"/>
      </w:rPr>
    </w:lvl>
    <w:lvl w:ilvl="1">
      <w:numFmt w:val="bullet"/>
      <w:lvlText w:val=""/>
      <w:lvlJc w:val="left"/>
      <w:pPr>
        <w:tabs>
          <w:tab w:val="num" w:pos="1780"/>
        </w:tabs>
        <w:ind w:left="1780" w:hanging="360"/>
      </w:pPr>
      <w:rPr>
        <w:rFonts w:ascii="Wingdings" w:hAnsi="Wingdings" w:cs="Wingdings" w:hint="default"/>
      </w:rPr>
    </w:lvl>
    <w:lvl w:ilvl="2">
      <w:start w:val="1"/>
      <w:numFmt w:val="lowerRoman"/>
      <w:lvlText w:val="%3."/>
      <w:lvlJc w:val="right"/>
      <w:pPr>
        <w:tabs>
          <w:tab w:val="num" w:pos="0"/>
        </w:tabs>
        <w:ind w:left="2500" w:hanging="180"/>
      </w:pPr>
    </w:lvl>
    <w:lvl w:ilvl="3">
      <w:start w:val="1"/>
      <w:numFmt w:val="decimal"/>
      <w:lvlText w:val="%4."/>
      <w:lvlJc w:val="left"/>
      <w:pPr>
        <w:tabs>
          <w:tab w:val="num" w:pos="0"/>
        </w:tabs>
        <w:ind w:left="3220" w:hanging="360"/>
      </w:pPr>
    </w:lvl>
    <w:lvl w:ilvl="4">
      <w:start w:val="1"/>
      <w:numFmt w:val="lowerLetter"/>
      <w:lvlText w:val="%5."/>
      <w:lvlJc w:val="left"/>
      <w:pPr>
        <w:tabs>
          <w:tab w:val="num" w:pos="0"/>
        </w:tabs>
        <w:ind w:left="3940" w:hanging="360"/>
      </w:pPr>
    </w:lvl>
    <w:lvl w:ilvl="5">
      <w:start w:val="1"/>
      <w:numFmt w:val="lowerRoman"/>
      <w:lvlText w:val="%6."/>
      <w:lvlJc w:val="right"/>
      <w:pPr>
        <w:tabs>
          <w:tab w:val="num" w:pos="0"/>
        </w:tabs>
        <w:ind w:left="4660" w:hanging="180"/>
      </w:pPr>
    </w:lvl>
    <w:lvl w:ilvl="6">
      <w:start w:val="1"/>
      <w:numFmt w:val="decimal"/>
      <w:lvlText w:val="%7."/>
      <w:lvlJc w:val="left"/>
      <w:pPr>
        <w:tabs>
          <w:tab w:val="num" w:pos="0"/>
        </w:tabs>
        <w:ind w:left="5380" w:hanging="360"/>
      </w:pPr>
    </w:lvl>
    <w:lvl w:ilvl="7">
      <w:start w:val="1"/>
      <w:numFmt w:val="lowerLetter"/>
      <w:lvlText w:val="%8."/>
      <w:lvlJc w:val="left"/>
      <w:pPr>
        <w:tabs>
          <w:tab w:val="num" w:pos="0"/>
        </w:tabs>
        <w:ind w:left="6100" w:hanging="360"/>
      </w:pPr>
    </w:lvl>
    <w:lvl w:ilvl="8">
      <w:start w:val="1"/>
      <w:numFmt w:val="lowerRoman"/>
      <w:lvlText w:val="%9."/>
      <w:lvlJc w:val="right"/>
      <w:pPr>
        <w:tabs>
          <w:tab w:val="num" w:pos="0"/>
        </w:tabs>
        <w:ind w:left="6820" w:hanging="180"/>
      </w:pPr>
    </w:lvl>
  </w:abstractNum>
  <w:abstractNum w:abstractNumId="11" w15:restartNumberingAfterBreak="0">
    <w:nsid w:val="513E094B"/>
    <w:multiLevelType w:val="multilevel"/>
    <w:tmpl w:val="5220EF7A"/>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6703FDA"/>
    <w:multiLevelType w:val="multilevel"/>
    <w:tmpl w:val="AAAAB950"/>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762A98"/>
    <w:multiLevelType w:val="multilevel"/>
    <w:tmpl w:val="A5CAD33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14" w15:restartNumberingAfterBreak="0">
    <w:nsid w:val="5FF61D6C"/>
    <w:multiLevelType w:val="hybridMultilevel"/>
    <w:tmpl w:val="F8404D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446308B"/>
    <w:multiLevelType w:val="hybridMultilevel"/>
    <w:tmpl w:val="EC74A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90F3074"/>
    <w:multiLevelType w:val="multilevel"/>
    <w:tmpl w:val="4808C6BA"/>
    <w:lvl w:ilvl="0">
      <w:start w:val="1"/>
      <w:numFmt w:val="bullet"/>
      <w:lvlText w:val="o"/>
      <w:lvlJc w:val="left"/>
      <w:pPr>
        <w:tabs>
          <w:tab w:val="num" w:pos="1778"/>
        </w:tabs>
        <w:ind w:left="1778" w:hanging="360"/>
      </w:pPr>
      <w:rPr>
        <w:rFonts w:ascii="Courier New" w:hAnsi="Courier New" w:cs="Courier New" w:hint="default"/>
      </w:rPr>
    </w:lvl>
    <w:lvl w:ilvl="1">
      <w:start w:val="1"/>
      <w:numFmt w:val="bullet"/>
      <w:lvlText w:val=""/>
      <w:lvlJc w:val="left"/>
      <w:pPr>
        <w:tabs>
          <w:tab w:val="num" w:pos="2138"/>
        </w:tabs>
        <w:ind w:left="2138" w:hanging="360"/>
      </w:pPr>
      <w:rPr>
        <w:rFonts w:ascii="Wingdings 2" w:hAnsi="Wingdings 2" w:cs="Wingdings 2" w:hint="default"/>
      </w:rPr>
    </w:lvl>
    <w:lvl w:ilvl="2">
      <w:start w:val="1"/>
      <w:numFmt w:val="bullet"/>
      <w:lvlText w:val="■"/>
      <w:lvlJc w:val="left"/>
      <w:pPr>
        <w:tabs>
          <w:tab w:val="num" w:pos="2498"/>
        </w:tabs>
        <w:ind w:left="2498" w:hanging="360"/>
      </w:pPr>
      <w:rPr>
        <w:rFonts w:ascii="StarSymbol" w:hAnsi="StarSymbol" w:cs="StarSymbol" w:hint="default"/>
      </w:rPr>
    </w:lvl>
    <w:lvl w:ilvl="3">
      <w:start w:val="1"/>
      <w:numFmt w:val="bullet"/>
      <w:lvlText w:val=""/>
      <w:lvlJc w:val="left"/>
      <w:pPr>
        <w:tabs>
          <w:tab w:val="num" w:pos="2858"/>
        </w:tabs>
        <w:ind w:left="2858" w:hanging="360"/>
      </w:pPr>
      <w:rPr>
        <w:rFonts w:ascii="Wingdings" w:hAnsi="Wingdings" w:cs="Wingdings" w:hint="default"/>
      </w:rPr>
    </w:lvl>
    <w:lvl w:ilvl="4">
      <w:start w:val="1"/>
      <w:numFmt w:val="bullet"/>
      <w:lvlText w:val=""/>
      <w:lvlJc w:val="left"/>
      <w:pPr>
        <w:tabs>
          <w:tab w:val="num" w:pos="3218"/>
        </w:tabs>
        <w:ind w:left="3218" w:hanging="360"/>
      </w:pPr>
      <w:rPr>
        <w:rFonts w:ascii="Wingdings 2" w:hAnsi="Wingdings 2" w:cs="Wingdings 2" w:hint="default"/>
      </w:rPr>
    </w:lvl>
    <w:lvl w:ilvl="5">
      <w:start w:val="1"/>
      <w:numFmt w:val="bullet"/>
      <w:lvlText w:val="■"/>
      <w:lvlJc w:val="left"/>
      <w:pPr>
        <w:tabs>
          <w:tab w:val="num" w:pos="3578"/>
        </w:tabs>
        <w:ind w:left="3578" w:hanging="360"/>
      </w:pPr>
      <w:rPr>
        <w:rFonts w:ascii="StarSymbol" w:hAnsi="StarSymbol" w:cs="StarSymbol" w:hint="default"/>
      </w:rPr>
    </w:lvl>
    <w:lvl w:ilvl="6">
      <w:start w:val="1"/>
      <w:numFmt w:val="bullet"/>
      <w:lvlText w:val=""/>
      <w:lvlJc w:val="left"/>
      <w:pPr>
        <w:tabs>
          <w:tab w:val="num" w:pos="3938"/>
        </w:tabs>
        <w:ind w:left="3938" w:hanging="360"/>
      </w:pPr>
      <w:rPr>
        <w:rFonts w:ascii="Wingdings" w:hAnsi="Wingdings" w:cs="Wingdings" w:hint="default"/>
      </w:rPr>
    </w:lvl>
    <w:lvl w:ilvl="7">
      <w:start w:val="1"/>
      <w:numFmt w:val="bullet"/>
      <w:lvlText w:val=""/>
      <w:lvlJc w:val="left"/>
      <w:pPr>
        <w:tabs>
          <w:tab w:val="num" w:pos="4298"/>
        </w:tabs>
        <w:ind w:left="4298" w:hanging="360"/>
      </w:pPr>
      <w:rPr>
        <w:rFonts w:ascii="Wingdings 2" w:hAnsi="Wingdings 2" w:cs="Wingdings 2" w:hint="default"/>
      </w:rPr>
    </w:lvl>
    <w:lvl w:ilvl="8">
      <w:start w:val="1"/>
      <w:numFmt w:val="bullet"/>
      <w:lvlText w:val="■"/>
      <w:lvlJc w:val="left"/>
      <w:pPr>
        <w:tabs>
          <w:tab w:val="num" w:pos="4658"/>
        </w:tabs>
        <w:ind w:left="4658" w:hanging="360"/>
      </w:pPr>
      <w:rPr>
        <w:rFonts w:ascii="StarSymbol" w:hAnsi="StarSymbol" w:cs="StarSymbol" w:hint="default"/>
      </w:rPr>
    </w:lvl>
  </w:abstractNum>
  <w:abstractNum w:abstractNumId="17" w15:restartNumberingAfterBreak="0">
    <w:nsid w:val="696515B1"/>
    <w:multiLevelType w:val="multilevel"/>
    <w:tmpl w:val="C8C4B432"/>
    <w:lvl w:ilvl="0">
      <w:start w:val="1"/>
      <w:numFmt w:val="bullet"/>
      <w:lvlText w:val=""/>
      <w:lvlJc w:val="left"/>
      <w:pPr>
        <w:tabs>
          <w:tab w:val="num" w:pos="72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A45093"/>
    <w:multiLevelType w:val="multilevel"/>
    <w:tmpl w:val="CD66660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19" w15:restartNumberingAfterBreak="0">
    <w:nsid w:val="7363627F"/>
    <w:multiLevelType w:val="multilevel"/>
    <w:tmpl w:val="5D96CE30"/>
    <w:lvl w:ilvl="0">
      <w:start w:val="1"/>
      <w:numFmt w:val="bullet"/>
      <w:lvlText w:val=""/>
      <w:lvlJc w:val="left"/>
      <w:pPr>
        <w:tabs>
          <w:tab w:val="num" w:pos="283"/>
        </w:tabs>
        <w:ind w:left="283" w:hanging="283"/>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76C4865"/>
    <w:multiLevelType w:val="multilevel"/>
    <w:tmpl w:val="FEB06AD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88483C"/>
    <w:multiLevelType w:val="multilevel"/>
    <w:tmpl w:val="BFC0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56482">
    <w:abstractNumId w:val="11"/>
  </w:num>
  <w:num w:numId="2" w16cid:durableId="1552231250">
    <w:abstractNumId w:val="0"/>
  </w:num>
  <w:num w:numId="3" w16cid:durableId="1215198059">
    <w:abstractNumId w:val="18"/>
  </w:num>
  <w:num w:numId="4" w16cid:durableId="26763686">
    <w:abstractNumId w:val="13"/>
  </w:num>
  <w:num w:numId="5" w16cid:durableId="979847010">
    <w:abstractNumId w:val="9"/>
  </w:num>
  <w:num w:numId="6" w16cid:durableId="1894266275">
    <w:abstractNumId w:val="17"/>
  </w:num>
  <w:num w:numId="7" w16cid:durableId="2143185839">
    <w:abstractNumId w:val="6"/>
  </w:num>
  <w:num w:numId="8" w16cid:durableId="449056301">
    <w:abstractNumId w:val="20"/>
  </w:num>
  <w:num w:numId="9" w16cid:durableId="1896969325">
    <w:abstractNumId w:val="12"/>
  </w:num>
  <w:num w:numId="10" w16cid:durableId="575239850">
    <w:abstractNumId w:val="5"/>
  </w:num>
  <w:num w:numId="11" w16cid:durableId="1480152368">
    <w:abstractNumId w:val="15"/>
  </w:num>
  <w:num w:numId="12" w16cid:durableId="1096244914">
    <w:abstractNumId w:val="3"/>
  </w:num>
  <w:num w:numId="13" w16cid:durableId="159002310">
    <w:abstractNumId w:val="16"/>
  </w:num>
  <w:num w:numId="14" w16cid:durableId="82536615">
    <w:abstractNumId w:val="2"/>
  </w:num>
  <w:num w:numId="15" w16cid:durableId="1896618256">
    <w:abstractNumId w:val="19"/>
  </w:num>
  <w:num w:numId="16" w16cid:durableId="593705381">
    <w:abstractNumId w:val="8"/>
  </w:num>
  <w:num w:numId="17" w16cid:durableId="132410025">
    <w:abstractNumId w:val="4"/>
  </w:num>
  <w:num w:numId="18" w16cid:durableId="508256701">
    <w:abstractNumId w:val="14"/>
  </w:num>
  <w:num w:numId="19" w16cid:durableId="754015618">
    <w:abstractNumId w:val="10"/>
  </w:num>
  <w:num w:numId="20" w16cid:durableId="1137340270">
    <w:abstractNumId w:val="21"/>
  </w:num>
  <w:num w:numId="21" w16cid:durableId="1082682983">
    <w:abstractNumId w:val="1"/>
  </w:num>
  <w:num w:numId="22" w16cid:durableId="12730506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9"/>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B2"/>
    <w:rsid w:val="0001041E"/>
    <w:rsid w:val="0001680A"/>
    <w:rsid w:val="00020FB5"/>
    <w:rsid w:val="00050D15"/>
    <w:rsid w:val="00072656"/>
    <w:rsid w:val="00075944"/>
    <w:rsid w:val="00084E00"/>
    <w:rsid w:val="00094D45"/>
    <w:rsid w:val="000A1F60"/>
    <w:rsid w:val="000C4AC4"/>
    <w:rsid w:val="00112EAD"/>
    <w:rsid w:val="00124992"/>
    <w:rsid w:val="00125BA6"/>
    <w:rsid w:val="0012747B"/>
    <w:rsid w:val="00186182"/>
    <w:rsid w:val="001A42BE"/>
    <w:rsid w:val="001C735C"/>
    <w:rsid w:val="001D1114"/>
    <w:rsid w:val="001E07EA"/>
    <w:rsid w:val="002041FD"/>
    <w:rsid w:val="00215396"/>
    <w:rsid w:val="00237BE2"/>
    <w:rsid w:val="0024371E"/>
    <w:rsid w:val="0024796A"/>
    <w:rsid w:val="00284891"/>
    <w:rsid w:val="00285966"/>
    <w:rsid w:val="0028608E"/>
    <w:rsid w:val="00292B9C"/>
    <w:rsid w:val="002E681E"/>
    <w:rsid w:val="0031785F"/>
    <w:rsid w:val="00354F7E"/>
    <w:rsid w:val="00387710"/>
    <w:rsid w:val="003B43D4"/>
    <w:rsid w:val="003B5034"/>
    <w:rsid w:val="003B7D5B"/>
    <w:rsid w:val="003D6C72"/>
    <w:rsid w:val="004510E3"/>
    <w:rsid w:val="004C0BDB"/>
    <w:rsid w:val="004C188E"/>
    <w:rsid w:val="004D4DBC"/>
    <w:rsid w:val="0052161D"/>
    <w:rsid w:val="0052515D"/>
    <w:rsid w:val="005261C9"/>
    <w:rsid w:val="00542ED1"/>
    <w:rsid w:val="00565FAD"/>
    <w:rsid w:val="005778D1"/>
    <w:rsid w:val="005D3343"/>
    <w:rsid w:val="005F26B1"/>
    <w:rsid w:val="005F79E9"/>
    <w:rsid w:val="00605153"/>
    <w:rsid w:val="00643D3F"/>
    <w:rsid w:val="006730DD"/>
    <w:rsid w:val="00682FF7"/>
    <w:rsid w:val="00683E37"/>
    <w:rsid w:val="00692896"/>
    <w:rsid w:val="006D1B1B"/>
    <w:rsid w:val="007251D3"/>
    <w:rsid w:val="00731D46"/>
    <w:rsid w:val="0076348D"/>
    <w:rsid w:val="00792994"/>
    <w:rsid w:val="007934D8"/>
    <w:rsid w:val="007F1577"/>
    <w:rsid w:val="008006D3"/>
    <w:rsid w:val="008277A6"/>
    <w:rsid w:val="00842594"/>
    <w:rsid w:val="00860D22"/>
    <w:rsid w:val="00877F13"/>
    <w:rsid w:val="00884788"/>
    <w:rsid w:val="0088751F"/>
    <w:rsid w:val="008A38ED"/>
    <w:rsid w:val="008C4A21"/>
    <w:rsid w:val="008C7EB2"/>
    <w:rsid w:val="008E0679"/>
    <w:rsid w:val="00922138"/>
    <w:rsid w:val="009871DD"/>
    <w:rsid w:val="009A6398"/>
    <w:rsid w:val="009A7ED2"/>
    <w:rsid w:val="009C75CA"/>
    <w:rsid w:val="009D787D"/>
    <w:rsid w:val="009E1936"/>
    <w:rsid w:val="009F7317"/>
    <w:rsid w:val="00A03B9A"/>
    <w:rsid w:val="00A14460"/>
    <w:rsid w:val="00A21135"/>
    <w:rsid w:val="00A46426"/>
    <w:rsid w:val="00A85FE0"/>
    <w:rsid w:val="00AA48ED"/>
    <w:rsid w:val="00AD3547"/>
    <w:rsid w:val="00B907E2"/>
    <w:rsid w:val="00BA2F7C"/>
    <w:rsid w:val="00BC7ABD"/>
    <w:rsid w:val="00C107A3"/>
    <w:rsid w:val="00C20562"/>
    <w:rsid w:val="00C206EC"/>
    <w:rsid w:val="00C24F15"/>
    <w:rsid w:val="00C346C1"/>
    <w:rsid w:val="00C64D98"/>
    <w:rsid w:val="00C71106"/>
    <w:rsid w:val="00C93808"/>
    <w:rsid w:val="00CA13AC"/>
    <w:rsid w:val="00CD466F"/>
    <w:rsid w:val="00D04D6D"/>
    <w:rsid w:val="00D41107"/>
    <w:rsid w:val="00D757BD"/>
    <w:rsid w:val="00D93D0A"/>
    <w:rsid w:val="00E14EC4"/>
    <w:rsid w:val="00E20D2F"/>
    <w:rsid w:val="00E33FCB"/>
    <w:rsid w:val="00E56A0B"/>
    <w:rsid w:val="00E7305C"/>
    <w:rsid w:val="00E91861"/>
    <w:rsid w:val="00E95AC6"/>
    <w:rsid w:val="00EC4483"/>
    <w:rsid w:val="00F11FBB"/>
    <w:rsid w:val="00F27172"/>
    <w:rsid w:val="00F35FCF"/>
    <w:rsid w:val="00F72221"/>
    <w:rsid w:val="00F84D26"/>
    <w:rsid w:val="00FC69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3B08171"/>
  <w15:docId w15:val="{E0C5C187-3831-4E07-9A50-6E3BF4B2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FreeSans"/>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ascii="Times New Roman;Times New Roman" w:eastAsia="Arial Unicode MS" w:hAnsi="Times New Roman;Times New Roman" w:cs="Times New Roman;Times New Roman"/>
      <w:sz w:val="24"/>
      <w:szCs w:val="24"/>
      <w:lang w:eastAsia="zh-CN"/>
    </w:rPr>
  </w:style>
  <w:style w:type="paragraph" w:styleId="Titre1">
    <w:name w:val="heading 1"/>
    <w:basedOn w:val="Normal"/>
    <w:next w:val="Normal"/>
    <w:uiPriority w:val="9"/>
    <w:qFormat/>
    <w:pPr>
      <w:keepNext/>
      <w:widowControl/>
      <w:numPr>
        <w:numId w:val="1"/>
      </w:numPr>
      <w:shd w:val="clear" w:color="auto" w:fill="CCCCCC"/>
      <w:spacing w:before="601" w:after="238"/>
      <w:ind w:hanging="283"/>
      <w:outlineLvl w:val="0"/>
    </w:pPr>
    <w:rPr>
      <w:b/>
      <w:bCs/>
      <w:kern w:val="2"/>
      <w:sz w:val="28"/>
      <w:szCs w:val="28"/>
      <w:u w:val="single"/>
    </w:rPr>
  </w:style>
  <w:style w:type="paragraph" w:styleId="Titre2">
    <w:name w:val="heading 2"/>
    <w:basedOn w:val="Normal"/>
    <w:next w:val="Normal"/>
    <w:uiPriority w:val="9"/>
    <w:unhideWhenUsed/>
    <w:qFormat/>
    <w:pPr>
      <w:keepNext/>
      <w:widowControl/>
      <w:numPr>
        <w:ilvl w:val="1"/>
        <w:numId w:val="1"/>
      </w:numPr>
      <w:spacing w:before="238" w:after="119"/>
      <w:ind w:hanging="283"/>
      <w:outlineLvl w:val="1"/>
    </w:pPr>
    <w:rPr>
      <w:b/>
      <w:bCs/>
      <w:iCs/>
      <w:kern w:val="2"/>
      <w:sz w:val="28"/>
      <w:szCs w:val="28"/>
      <w:u w:val="single"/>
    </w:rPr>
  </w:style>
  <w:style w:type="paragraph" w:styleId="Titre3">
    <w:name w:val="heading 3"/>
    <w:basedOn w:val="Normal"/>
    <w:next w:val="Normal"/>
    <w:uiPriority w:val="9"/>
    <w:semiHidden/>
    <w:unhideWhenUsed/>
    <w:qFormat/>
    <w:pPr>
      <w:keepNext/>
      <w:widowControl/>
      <w:spacing w:before="238" w:after="119"/>
      <w:ind w:hanging="283"/>
      <w:outlineLvl w:val="2"/>
    </w:pPr>
    <w:rPr>
      <w:bCs/>
      <w:kern w:val="2"/>
      <w:szCs w:val="28"/>
    </w:rPr>
  </w:style>
  <w:style w:type="paragraph" w:styleId="Titre4">
    <w:name w:val="heading 4"/>
    <w:basedOn w:val="Titre10"/>
    <w:next w:val="Corpsdetexte"/>
    <w:uiPriority w:val="9"/>
    <w:semiHidden/>
    <w:unhideWhenUsed/>
    <w:qFormat/>
    <w:pPr>
      <w:outlineLvl w:val="3"/>
    </w:pPr>
    <w:rPr>
      <w:b/>
      <w:bCs/>
      <w:i/>
      <w:iCs/>
      <w:sz w:val="24"/>
      <w:szCs w:val="24"/>
    </w:rPr>
  </w:style>
  <w:style w:type="paragraph" w:styleId="Titre5">
    <w:name w:val="heading 5"/>
    <w:basedOn w:val="Titre10"/>
    <w:next w:val="Corpsdetexte"/>
    <w:uiPriority w:val="9"/>
    <w:semiHidden/>
    <w:unhideWhenUsed/>
    <w:qFormat/>
    <w:pPr>
      <w:outlineLvl w:val="4"/>
    </w:pPr>
    <w:rPr>
      <w:b/>
      <w:bCs/>
      <w:sz w:val="24"/>
      <w:szCs w:val="24"/>
    </w:rPr>
  </w:style>
  <w:style w:type="paragraph" w:styleId="Titre6">
    <w:name w:val="heading 6"/>
    <w:basedOn w:val="Titre10"/>
    <w:next w:val="Corpsdetexte"/>
    <w:uiPriority w:val="9"/>
    <w:semiHidden/>
    <w:unhideWhenUsed/>
    <w:qFormat/>
    <w:pPr>
      <w:outlineLvl w:val="5"/>
    </w:pPr>
    <w:rPr>
      <w:b/>
      <w:bCs/>
      <w:sz w:val="21"/>
      <w:szCs w:val="21"/>
    </w:rPr>
  </w:style>
  <w:style w:type="paragraph" w:styleId="Titre7">
    <w:name w:val="heading 7"/>
    <w:basedOn w:val="Titre10"/>
    <w:next w:val="Corpsdetexte"/>
    <w:qFormat/>
    <w:pPr>
      <w:outlineLvl w:val="6"/>
    </w:pPr>
    <w:rPr>
      <w:b/>
      <w:bCs/>
      <w:sz w:val="21"/>
      <w:szCs w:val="21"/>
    </w:rPr>
  </w:style>
  <w:style w:type="paragraph" w:styleId="Titre8">
    <w:name w:val="heading 8"/>
    <w:basedOn w:val="Titre10"/>
    <w:next w:val="Corpsdetexte"/>
    <w:qFormat/>
    <w:pPr>
      <w:outlineLvl w:val="7"/>
    </w:pPr>
    <w:rPr>
      <w:b/>
      <w:bCs/>
      <w:sz w:val="21"/>
      <w:szCs w:val="21"/>
    </w:rPr>
  </w:style>
  <w:style w:type="paragraph" w:styleId="Titre9">
    <w:name w:val="heading 9"/>
    <w:basedOn w:val="Titre10"/>
    <w:next w:val="Corpsdetexte"/>
    <w:qFormat/>
    <w:pPr>
      <w:outlineLvl w:val="8"/>
    </w:pPr>
    <w:rPr>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qFormat/>
    <w:rPr>
      <w:rFonts w:ascii="MS LineDraw;Courier New" w:hAnsi="MS LineDraw;Courier New" w:cs="MS LineDraw;Courier New"/>
    </w:rPr>
  </w:style>
  <w:style w:type="character" w:customStyle="1" w:styleId="WW8Num3z0">
    <w:name w:val="WW8Num3z0"/>
    <w:qFormat/>
    <w:rPr>
      <w:rFonts w:ascii="Wingdings" w:hAnsi="Wingdings" w:cs="Wingdings"/>
    </w:rPr>
  </w:style>
  <w:style w:type="character" w:customStyle="1" w:styleId="WW8Num3z1">
    <w:name w:val="WW8Num3z1"/>
    <w:qFormat/>
    <w:rPr>
      <w:rFonts w:ascii="Wingdings 2" w:hAnsi="Wingdings 2" w:cs="Wingdings 2"/>
    </w:rPr>
  </w:style>
  <w:style w:type="character" w:customStyle="1" w:styleId="WW8Num3z2">
    <w:name w:val="WW8Num3z2"/>
    <w:qFormat/>
    <w:rPr>
      <w:rFonts w:ascii="StarSymbol;Arial Unicode MS" w:hAnsi="StarSymbol;Arial Unicode MS" w:cs="StarSymbol;Arial Unicode MS"/>
    </w:rPr>
  </w:style>
  <w:style w:type="character" w:customStyle="1" w:styleId="WW8Num4z0">
    <w:name w:val="WW8Num4z0"/>
    <w:qFormat/>
    <w:rPr>
      <w:rFonts w:ascii="Wingdings" w:hAnsi="Wingdings" w:cs="Wingdings"/>
    </w:rPr>
  </w:style>
  <w:style w:type="character" w:customStyle="1" w:styleId="WW8Num4z1">
    <w:name w:val="WW8Num4z1"/>
    <w:qFormat/>
    <w:rPr>
      <w:rFonts w:ascii="Wingdings 2" w:hAnsi="Wingdings 2" w:cs="Wingdings 2"/>
    </w:rPr>
  </w:style>
  <w:style w:type="character" w:customStyle="1" w:styleId="WW8Num4z2">
    <w:name w:val="WW8Num4z2"/>
    <w:qFormat/>
    <w:rPr>
      <w:rFonts w:ascii="StarSymbol;Arial Unicode MS" w:hAnsi="StarSymbol;Arial Unicode MS" w:cs="StarSymbol;Arial Unicode MS"/>
    </w:rPr>
  </w:style>
  <w:style w:type="character" w:customStyle="1" w:styleId="WW8Num5z0">
    <w:name w:val="WW8Num5z0"/>
    <w:qFormat/>
    <w:rPr>
      <w:rFonts w:ascii="Wingdings" w:hAnsi="Wingdings" w:cs="Wingdings"/>
    </w:rPr>
  </w:style>
  <w:style w:type="character" w:customStyle="1" w:styleId="WW8Num5z1">
    <w:name w:val="WW8Num5z1"/>
    <w:qFormat/>
    <w:rPr>
      <w:rFonts w:ascii="Wingdings 2" w:hAnsi="Wingdings 2" w:cs="Wingdings 2"/>
    </w:rPr>
  </w:style>
  <w:style w:type="character" w:customStyle="1" w:styleId="WW8Num5z2">
    <w:name w:val="WW8Num5z2"/>
    <w:qFormat/>
    <w:rPr>
      <w:rFonts w:ascii="StarSymbol;Arial Unicode MS" w:hAnsi="StarSymbol;Arial Unicode MS" w:cs="StarSymbol;Arial Unicode MS"/>
    </w:rPr>
  </w:style>
  <w:style w:type="character" w:customStyle="1" w:styleId="WW8Num6z0">
    <w:name w:val="WW8Num6z0"/>
    <w:qFormat/>
    <w:rPr>
      <w:rFonts w:ascii="Wingdings" w:hAnsi="Wingdings" w:cs="Wingdings"/>
    </w:rPr>
  </w:style>
  <w:style w:type="character" w:customStyle="1" w:styleId="WW8Num6z1">
    <w:name w:val="WW8Num6z1"/>
    <w:qFormat/>
    <w:rPr>
      <w:rFonts w:ascii="Wingdings 2" w:hAnsi="Wingdings 2" w:cs="Wingdings 2"/>
    </w:rPr>
  </w:style>
  <w:style w:type="character" w:customStyle="1" w:styleId="WW8Num6z2">
    <w:name w:val="WW8Num6z2"/>
    <w:qFormat/>
    <w:rPr>
      <w:rFonts w:ascii="StarSymbol;Arial Unicode MS" w:hAnsi="StarSymbol;Arial Unicode MS" w:cs="StarSymbol;Arial Unicode MS"/>
    </w:rPr>
  </w:style>
  <w:style w:type="character" w:customStyle="1" w:styleId="WW8Num7z0">
    <w:name w:val="WW8Num7z0"/>
    <w:qFormat/>
    <w:rPr>
      <w:rFonts w:ascii="Wingdings" w:hAnsi="Wingdings" w:cs="Wingdings"/>
    </w:rPr>
  </w:style>
  <w:style w:type="character" w:customStyle="1" w:styleId="WW8Num7z1">
    <w:name w:val="WW8Num7z1"/>
    <w:qFormat/>
    <w:rPr>
      <w:rFonts w:ascii="Wingdings 2" w:hAnsi="Wingdings 2" w:cs="Wingdings 2"/>
    </w:rPr>
  </w:style>
  <w:style w:type="character" w:customStyle="1" w:styleId="WW8Num7z2">
    <w:name w:val="WW8Num7z2"/>
    <w:qFormat/>
    <w:rPr>
      <w:rFonts w:ascii="StarSymbol;Arial Unicode MS" w:hAnsi="StarSymbol;Arial Unicode MS" w:cs="StarSymbol;Arial Unicode MS"/>
    </w:rPr>
  </w:style>
  <w:style w:type="character" w:customStyle="1" w:styleId="WW8Num8z0">
    <w:name w:val="WW8Num8z0"/>
    <w:qFormat/>
    <w:rPr>
      <w:rFonts w:ascii="Wingdings" w:hAnsi="Wingdings" w:cs="Wingdings"/>
    </w:rPr>
  </w:style>
  <w:style w:type="character" w:customStyle="1" w:styleId="WW8Num8z1">
    <w:name w:val="WW8Num8z1"/>
    <w:qFormat/>
    <w:rPr>
      <w:rFonts w:ascii="Wingdings 2" w:hAnsi="Wingdings 2" w:cs="Wingdings 2"/>
    </w:rPr>
  </w:style>
  <w:style w:type="character" w:customStyle="1" w:styleId="WW8Num8z2">
    <w:name w:val="WW8Num8z2"/>
    <w:qFormat/>
    <w:rPr>
      <w:rFonts w:ascii="StarSymbol;Arial Unicode MS" w:hAnsi="StarSymbol;Arial Unicode MS" w:cs="StarSymbol;Arial Unicode MS"/>
    </w:rPr>
  </w:style>
  <w:style w:type="character" w:customStyle="1" w:styleId="WW8Num9z0">
    <w:name w:val="WW8Num9z0"/>
    <w:qFormat/>
    <w:rPr>
      <w:rFonts w:ascii="Wingdings" w:hAnsi="Wingdings" w:cs="Wingdings"/>
    </w:rPr>
  </w:style>
  <w:style w:type="character" w:customStyle="1" w:styleId="WW8Num9z1">
    <w:name w:val="WW8Num9z1"/>
    <w:qFormat/>
    <w:rPr>
      <w:rFonts w:ascii="Wingdings 2" w:hAnsi="Wingdings 2" w:cs="Wingdings 2"/>
    </w:rPr>
  </w:style>
  <w:style w:type="character" w:customStyle="1" w:styleId="WW8Num9z2">
    <w:name w:val="WW8Num9z2"/>
    <w:qFormat/>
    <w:rPr>
      <w:rFonts w:ascii="StarSymbol;Arial Unicode MS" w:hAnsi="StarSymbol;Arial Unicode MS" w:cs="StarSymbol;Arial Unicode MS"/>
    </w:rPr>
  </w:style>
  <w:style w:type="character" w:customStyle="1" w:styleId="WW8Num10z0">
    <w:name w:val="WW8Num10z0"/>
    <w:qFormat/>
    <w:rPr>
      <w:rFonts w:ascii="Wingdings" w:hAnsi="Wingdings" w:cs="Wingdings"/>
    </w:rPr>
  </w:style>
  <w:style w:type="character" w:customStyle="1" w:styleId="WW8Num11z0">
    <w:name w:val="WW8Num11z0"/>
    <w:qFormat/>
    <w:rPr>
      <w:rFonts w:ascii="Wingdings" w:hAnsi="Wingdings" w:cs="Wingdings"/>
    </w:rPr>
  </w:style>
  <w:style w:type="character" w:customStyle="1" w:styleId="WW8Num11z1">
    <w:name w:val="WW8Num11z1"/>
    <w:qFormat/>
    <w:rPr>
      <w:rFonts w:ascii="Wingdings 2" w:hAnsi="Wingdings 2" w:cs="Wingdings 2"/>
    </w:rPr>
  </w:style>
  <w:style w:type="character" w:customStyle="1" w:styleId="WW8Num11z2">
    <w:name w:val="WW8Num11z2"/>
    <w:qFormat/>
    <w:rPr>
      <w:rFonts w:ascii="StarSymbol;Arial Unicode MS" w:hAnsi="StarSymbol;Arial Unicode MS" w:cs="StarSymbol;Arial Unicode MS"/>
    </w:rPr>
  </w:style>
  <w:style w:type="character" w:customStyle="1" w:styleId="WW8Num12z0">
    <w:name w:val="WW8Num12z0"/>
    <w:qFormat/>
    <w:rPr>
      <w:rFonts w:ascii="Wingdings" w:hAnsi="Wingdings" w:cs="Wingdings"/>
    </w:rPr>
  </w:style>
  <w:style w:type="character" w:customStyle="1" w:styleId="WW8Num12z1">
    <w:name w:val="WW8Num12z1"/>
    <w:qFormat/>
    <w:rPr>
      <w:rFonts w:ascii="Wingdings 2" w:hAnsi="Wingdings 2" w:cs="Wingdings 2"/>
    </w:rPr>
  </w:style>
  <w:style w:type="character" w:customStyle="1" w:styleId="WW8Num12z2">
    <w:name w:val="WW8Num12z2"/>
    <w:qFormat/>
    <w:rPr>
      <w:rFonts w:ascii="StarSymbol;Arial Unicode MS" w:hAnsi="StarSymbol;Arial Unicode MS" w:cs="StarSymbol;Arial Unicode MS"/>
    </w:rPr>
  </w:style>
  <w:style w:type="character" w:customStyle="1" w:styleId="WW8Num13z0">
    <w:name w:val="WW8Num13z0"/>
    <w:qFormat/>
    <w:rPr>
      <w:rFonts w:ascii="Wingdings" w:hAnsi="Wingdings" w:cs="Wingdings"/>
    </w:rPr>
  </w:style>
  <w:style w:type="character" w:customStyle="1" w:styleId="WW8Num13z1">
    <w:name w:val="WW8Num13z1"/>
    <w:qFormat/>
    <w:rPr>
      <w:rFonts w:ascii="Wingdings 2" w:hAnsi="Wingdings 2" w:cs="Wingdings 2"/>
    </w:rPr>
  </w:style>
  <w:style w:type="character" w:customStyle="1" w:styleId="WW8Num13z2">
    <w:name w:val="WW8Num13z2"/>
    <w:qFormat/>
    <w:rPr>
      <w:rFonts w:ascii="StarSymbol;Arial Unicode MS" w:hAnsi="StarSymbol;Arial Unicode MS" w:cs="StarSymbol;Arial Unicode MS"/>
    </w:rPr>
  </w:style>
  <w:style w:type="character" w:customStyle="1" w:styleId="WW8Num14z0">
    <w:name w:val="WW8Num14z0"/>
    <w:qFormat/>
    <w:rPr>
      <w:rFonts w:ascii="Wingdings" w:hAnsi="Wingdings" w:cs="Wingdings"/>
    </w:rPr>
  </w:style>
  <w:style w:type="character" w:customStyle="1" w:styleId="WW8Num14z1">
    <w:name w:val="WW8Num14z1"/>
    <w:qFormat/>
    <w:rPr>
      <w:rFonts w:ascii="Wingdings 2" w:hAnsi="Wingdings 2" w:cs="Wingdings 2"/>
    </w:rPr>
  </w:style>
  <w:style w:type="character" w:customStyle="1" w:styleId="WW8Num14z2">
    <w:name w:val="WW8Num14z2"/>
    <w:qFormat/>
    <w:rPr>
      <w:rFonts w:ascii="StarSymbol;Arial Unicode MS" w:hAnsi="StarSymbol;Arial Unicode MS" w:cs="StarSymbol;Arial Unicode MS"/>
    </w:rPr>
  </w:style>
  <w:style w:type="character" w:customStyle="1" w:styleId="WW8Num15z0">
    <w:name w:val="WW8Num15z0"/>
    <w:qFormat/>
    <w:rPr>
      <w:rFonts w:ascii="Symbol" w:hAnsi="Symbol" w:cs="Symbol"/>
    </w:rPr>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Wingdings" w:hAnsi="Wingdings" w:cs="Wingdings"/>
    </w:rPr>
  </w:style>
  <w:style w:type="character" w:customStyle="1" w:styleId="WW8Num19z0">
    <w:name w:val="WW8Num19z0"/>
    <w:qFormat/>
    <w:rPr>
      <w:rFonts w:ascii="Wingdings" w:hAnsi="Wingdings" w:cs="Wingdings"/>
    </w:rPr>
  </w:style>
  <w:style w:type="character" w:customStyle="1" w:styleId="WW8Num19z1">
    <w:name w:val="WW8Num19z1"/>
    <w:qFormat/>
    <w:rPr>
      <w:rFonts w:ascii="Wingdings 2" w:hAnsi="Wingdings 2" w:cs="Wingdings 2"/>
    </w:rPr>
  </w:style>
  <w:style w:type="character" w:customStyle="1" w:styleId="WW8Num19z2">
    <w:name w:val="WW8Num19z2"/>
    <w:qFormat/>
    <w:rPr>
      <w:rFonts w:ascii="StarSymbol;Arial Unicode MS" w:hAnsi="StarSymbol;Arial Unicode MS" w:cs="StarSymbol;Arial Unicode MS"/>
    </w:rPr>
  </w:style>
  <w:style w:type="character" w:customStyle="1" w:styleId="WW8Num19z3">
    <w:name w:val="WW8Num19z3"/>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Wingdings" w:hAnsi="Wingdings" w:cs="Wingdings"/>
    </w:rPr>
  </w:style>
  <w:style w:type="character" w:customStyle="1" w:styleId="WW8Num24z1">
    <w:name w:val="WW8Num24z1"/>
    <w:qFormat/>
    <w:rPr>
      <w:rFonts w:ascii="Wingdings" w:hAnsi="Wingdings" w:cs="Wingdings"/>
    </w:rPr>
  </w:style>
  <w:style w:type="character" w:customStyle="1" w:styleId="WW8Num24z3">
    <w:name w:val="WW8Num24z3"/>
    <w:qFormat/>
    <w:rPr>
      <w:rFonts w:ascii="Symbol" w:hAnsi="Symbol" w:cs="Symbol"/>
    </w:rPr>
  </w:style>
  <w:style w:type="character" w:customStyle="1" w:styleId="WW8Num24z4">
    <w:name w:val="WW8Num24z4"/>
    <w:qFormat/>
    <w:rPr>
      <w:rFonts w:ascii="Courier New" w:hAnsi="Courier New" w:cs="Times New Roman;Times New Roman"/>
    </w:rPr>
  </w:style>
  <w:style w:type="character" w:customStyle="1" w:styleId="WW8Num25z0">
    <w:name w:val="WW8Num25z0"/>
    <w:qFormat/>
    <w:rPr>
      <w:rFonts w:ascii="Arial Narrow" w:eastAsia="Times New Roman;Times New Roman" w:hAnsi="Arial Narrow" w:cs="Arial Narrow"/>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style>
  <w:style w:type="character" w:customStyle="1" w:styleId="WW8Num28z0">
    <w:name w:val="WW8Num28z0"/>
    <w:qFormat/>
    <w:rPr>
      <w:rFonts w:ascii="Wingdings" w:hAnsi="Wingdings" w:cs="Wingdings"/>
    </w:rPr>
  </w:style>
  <w:style w:type="character" w:customStyle="1" w:styleId="WW8Num28z1">
    <w:name w:val="WW8Num28z1"/>
    <w:qFormat/>
    <w:rPr>
      <w:rFonts w:ascii="Courier New" w:hAnsi="Courier New" w:cs="Times New Roman;Times New Roman"/>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sz w:val="20"/>
    </w:rPr>
  </w:style>
  <w:style w:type="character" w:customStyle="1" w:styleId="WW8Num30z1">
    <w:name w:val="WW8Num30z1"/>
    <w:qFormat/>
    <w:rPr>
      <w:rFonts w:ascii="Courier New" w:hAnsi="Courier New" w:cs="Courier New"/>
      <w:sz w:val="20"/>
    </w:rPr>
  </w:style>
  <w:style w:type="character" w:customStyle="1" w:styleId="WW8Num30z2">
    <w:name w:val="WW8Num30z2"/>
    <w:qFormat/>
    <w:rPr>
      <w:rFonts w:ascii="Wingdings" w:hAnsi="Wingdings" w:cs="Wingdings"/>
      <w:sz w:val="20"/>
    </w:rPr>
  </w:style>
  <w:style w:type="character" w:customStyle="1" w:styleId="WW8Num31z0">
    <w:name w:val="WW8Num31z0"/>
    <w:qFormat/>
    <w:rPr>
      <w:rFonts w:ascii="Wingdings" w:hAnsi="Wingdings" w:cs="Wingdings"/>
    </w:rPr>
  </w:style>
  <w:style w:type="character" w:customStyle="1" w:styleId="WW8Num31z1">
    <w:name w:val="WW8Num31z1"/>
    <w:qFormat/>
    <w:rPr>
      <w:rFonts w:ascii="Courier New" w:hAnsi="Courier New" w:cs="Courier New"/>
    </w:rPr>
  </w:style>
  <w:style w:type="character" w:customStyle="1" w:styleId="WW8Num31z3">
    <w:name w:val="WW8Num31z3"/>
    <w:qFormat/>
    <w:rPr>
      <w:rFonts w:ascii="Symbol" w:hAnsi="Symbol" w:cs="Symbol"/>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Arial" w:eastAsia="Arial" w:hAnsi="Arial" w:cs="Aria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styleId="Lienhypertexte">
    <w:name w:val="Hyperlink"/>
    <w:uiPriority w:val="99"/>
    <w:rPr>
      <w:color w:val="000080"/>
      <w:u w:val="single"/>
    </w:rPr>
  </w:style>
  <w:style w:type="character" w:customStyle="1" w:styleId="Caractresdenumrotation">
    <w:name w:val="Caractères de numérotation"/>
    <w:qFormat/>
  </w:style>
  <w:style w:type="character" w:customStyle="1" w:styleId="Bullet20Symbols">
    <w:name w:val="Bullet_20_Symbols"/>
    <w:qFormat/>
  </w:style>
  <w:style w:type="character" w:customStyle="1" w:styleId="A23">
    <w:name w:val="A23"/>
    <w:qFormat/>
    <w:rPr>
      <w:rFonts w:cs="Open Sans"/>
      <w:b/>
      <w:bCs/>
      <w:color w:val="000000"/>
      <w:sz w:val="19"/>
      <w:szCs w:val="19"/>
    </w:rPr>
  </w:style>
  <w:style w:type="character" w:customStyle="1" w:styleId="A24">
    <w:name w:val="A24"/>
    <w:qFormat/>
    <w:rPr>
      <w:rFonts w:cs="Open Sans"/>
      <w:b/>
      <w:bCs/>
      <w:color w:val="000000"/>
      <w:sz w:val="17"/>
      <w:szCs w:val="17"/>
    </w:rPr>
  </w:style>
  <w:style w:type="character" w:customStyle="1" w:styleId="A22">
    <w:name w:val="A22"/>
    <w:qFormat/>
    <w:rPr>
      <w:rFonts w:cs="Open Sans"/>
      <w:i/>
      <w:iCs/>
      <w:color w:val="000000"/>
      <w:sz w:val="18"/>
      <w:szCs w:val="18"/>
    </w:rPr>
  </w:style>
  <w:style w:type="character" w:styleId="Mentionnonrsolue">
    <w:name w:val="Unresolved Mention"/>
    <w:qFormat/>
    <w:rPr>
      <w:color w:val="605E5C"/>
      <w:shd w:val="clear" w:color="auto" w:fill="E1DFDD"/>
    </w:rPr>
  </w:style>
  <w:style w:type="character" w:customStyle="1" w:styleId="PieddepageCar">
    <w:name w:val="Pied de page Car"/>
    <w:qFormat/>
    <w:rPr>
      <w:rFonts w:eastAsia="Arial Unicode MS"/>
      <w:sz w:val="24"/>
      <w:szCs w:val="24"/>
    </w:rPr>
  </w:style>
  <w:style w:type="character" w:styleId="Lienhypertextesuivivisit">
    <w:name w:val="FollowedHyperlink"/>
    <w:rPr>
      <w:color w:val="954F72"/>
      <w:u w:val="single"/>
    </w:rPr>
  </w:style>
  <w:style w:type="character" w:customStyle="1" w:styleId="IndexLink">
    <w:name w:val="Index Link"/>
    <w:qFormat/>
  </w:style>
  <w:style w:type="paragraph" w:customStyle="1" w:styleId="Heading">
    <w:name w:val="Heading"/>
    <w:basedOn w:val="Normal"/>
    <w:next w:val="Corpsdetexte"/>
    <w:qFormat/>
    <w:pPr>
      <w:keepNext/>
      <w:spacing w:before="240" w:after="120"/>
    </w:pPr>
    <w:rPr>
      <w:rFonts w:ascii="Liberation Sans" w:eastAsia="Noto Sans CJK SC" w:hAnsi="Liberation Sans" w:cs="FreeSans"/>
      <w:sz w:val="28"/>
      <w:szCs w:val="28"/>
    </w:rPr>
  </w:style>
  <w:style w:type="paragraph" w:styleId="Corpsdetexte">
    <w:name w:val="Body Text"/>
    <w:basedOn w:val="Normal"/>
    <w:pPr>
      <w:spacing w:after="120"/>
    </w:pPr>
  </w:style>
  <w:style w:type="paragraph" w:styleId="Liste">
    <w:name w:val="List"/>
    <w:basedOn w:val="Corpsdetexte"/>
    <w:rPr>
      <w:rFonts w:cs="Tahoma"/>
    </w:rPr>
  </w:style>
  <w:style w:type="paragraph" w:styleId="Lgende">
    <w:name w:val="caption"/>
    <w:basedOn w:val="Normal"/>
    <w:qFormat/>
    <w:pPr>
      <w:suppressLineNumbers/>
      <w:spacing w:before="120" w:after="120"/>
    </w:pPr>
    <w:rPr>
      <w:rFonts w:cs="Tahoma"/>
      <w:i/>
      <w:iCs/>
      <w:sz w:val="20"/>
      <w:szCs w:val="20"/>
    </w:rPr>
  </w:style>
  <w:style w:type="paragraph" w:customStyle="1" w:styleId="Index">
    <w:name w:val="Index"/>
    <w:basedOn w:val="Normal"/>
    <w:qFormat/>
    <w:pPr>
      <w:suppressLineNumbers/>
    </w:pPr>
    <w:rPr>
      <w:rFonts w:cs="Tahoma"/>
    </w:rPr>
  </w:style>
  <w:style w:type="paragraph" w:customStyle="1" w:styleId="Titre10">
    <w:name w:val="Titre1"/>
    <w:basedOn w:val="Normal"/>
    <w:next w:val="Corpsdetexte"/>
    <w:qFormat/>
    <w:pPr>
      <w:keepNext/>
      <w:spacing w:before="240" w:after="120"/>
    </w:pPr>
    <w:rPr>
      <w:rFonts w:ascii="Arial" w:hAnsi="Arial" w:cs="Tahoma"/>
      <w:sz w:val="28"/>
      <w:szCs w:val="28"/>
    </w:rPr>
  </w:style>
  <w:style w:type="paragraph" w:customStyle="1" w:styleId="HeaderandFooter">
    <w:name w:val="Header and Footer"/>
    <w:basedOn w:val="Normal"/>
    <w:qFormat/>
    <w:pPr>
      <w:suppressLineNumbers/>
      <w:tabs>
        <w:tab w:val="center" w:pos="4819"/>
        <w:tab w:val="right" w:pos="9638"/>
      </w:tabs>
    </w:pPr>
  </w:style>
  <w:style w:type="paragraph" w:styleId="En-tte">
    <w:name w:val="header"/>
    <w:basedOn w:val="Normal"/>
    <w:pPr>
      <w:suppressLineNumbers/>
      <w:tabs>
        <w:tab w:val="center" w:pos="4818"/>
        <w:tab w:val="right" w:pos="9637"/>
      </w:tabs>
    </w:pPr>
  </w:style>
  <w:style w:type="paragraph" w:styleId="Pieddepage">
    <w:name w:val="footer"/>
    <w:basedOn w:val="Normal"/>
    <w:pPr>
      <w:suppressLineNumbers/>
      <w:tabs>
        <w:tab w:val="center" w:pos="4818"/>
        <w:tab w:val="right" w:pos="9637"/>
      </w:tab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i/>
      <w:iCs/>
    </w:rPr>
  </w:style>
  <w:style w:type="paragraph" w:styleId="TM1">
    <w:name w:val="toc 1"/>
    <w:basedOn w:val="Index"/>
    <w:uiPriority w:val="39"/>
    <w:pPr>
      <w:tabs>
        <w:tab w:val="right" w:leader="dot" w:pos="9637"/>
      </w:tabs>
      <w:spacing w:before="170"/>
    </w:pPr>
    <w:rPr>
      <w:b/>
    </w:rPr>
  </w:style>
  <w:style w:type="paragraph" w:styleId="TM2">
    <w:name w:val="toc 2"/>
    <w:basedOn w:val="Index"/>
    <w:uiPriority w:val="39"/>
    <w:pPr>
      <w:tabs>
        <w:tab w:val="right" w:leader="dot" w:pos="9637"/>
      </w:tabs>
      <w:ind w:left="283"/>
    </w:pPr>
  </w:style>
  <w:style w:type="paragraph" w:styleId="TM3">
    <w:name w:val="toc 3"/>
    <w:basedOn w:val="Index"/>
    <w:pPr>
      <w:tabs>
        <w:tab w:val="right" w:leader="dot" w:pos="9637"/>
      </w:tabs>
      <w:spacing w:before="170"/>
      <w:ind w:left="566"/>
    </w:pPr>
  </w:style>
  <w:style w:type="paragraph" w:styleId="TM4">
    <w:name w:val="toc 4"/>
    <w:basedOn w:val="Index"/>
    <w:pPr>
      <w:tabs>
        <w:tab w:val="right" w:leader="dot" w:pos="9637"/>
      </w:tabs>
      <w:spacing w:before="170"/>
      <w:ind w:left="849"/>
    </w:pPr>
  </w:style>
  <w:style w:type="paragraph" w:styleId="TM5">
    <w:name w:val="toc 5"/>
    <w:basedOn w:val="Index"/>
    <w:pPr>
      <w:tabs>
        <w:tab w:val="right" w:leader="dot" w:pos="9637"/>
      </w:tabs>
      <w:spacing w:before="170"/>
      <w:ind w:left="1132"/>
    </w:pPr>
  </w:style>
  <w:style w:type="paragraph" w:styleId="TM6">
    <w:name w:val="toc 6"/>
    <w:basedOn w:val="Index"/>
    <w:pPr>
      <w:tabs>
        <w:tab w:val="right" w:leader="dot" w:pos="9637"/>
      </w:tabs>
      <w:spacing w:before="170"/>
      <w:ind w:left="1415"/>
    </w:pPr>
  </w:style>
  <w:style w:type="paragraph" w:customStyle="1" w:styleId="Trame">
    <w:name w:val="Trame"/>
    <w:basedOn w:val="Normal"/>
    <w:qFormat/>
    <w:pPr>
      <w:shd w:val="clear" w:color="auto" w:fill="CCCCCC"/>
      <w:jc w:val="center"/>
    </w:pPr>
    <w:rPr>
      <w:b/>
      <w:sz w:val="40"/>
    </w:rPr>
  </w:style>
  <w:style w:type="paragraph" w:customStyle="1" w:styleId="Cadrerelief">
    <w:name w:val="Cadre_relief"/>
    <w:basedOn w:val="Normal"/>
    <w:qFormat/>
    <w:pPr>
      <w:pBdr>
        <w:top w:val="double" w:sz="2" w:space="14" w:color="000000" w:shadow="1"/>
        <w:left w:val="double" w:sz="2" w:space="14" w:color="000000" w:shadow="1"/>
        <w:bottom w:val="double" w:sz="2" w:space="14" w:color="000000" w:shadow="1"/>
        <w:right w:val="double" w:sz="2" w:space="14" w:color="000000" w:shadow="1"/>
      </w:pBdr>
      <w:ind w:left="284" w:right="283"/>
    </w:pPr>
  </w:style>
  <w:style w:type="paragraph" w:customStyle="1" w:styleId="Paragraphe">
    <w:name w:val="Paragraphe"/>
    <w:basedOn w:val="Normal"/>
    <w:qFormat/>
    <w:pPr>
      <w:spacing w:before="120"/>
    </w:pPr>
  </w:style>
  <w:style w:type="paragraph" w:customStyle="1" w:styleId="Paradouble">
    <w:name w:val="Para_double"/>
    <w:basedOn w:val="Paragraphe"/>
    <w:qFormat/>
    <w:pPr>
      <w:spacing w:after="240"/>
    </w:pPr>
  </w:style>
  <w:style w:type="paragraph" w:customStyle="1" w:styleId="Parareponse">
    <w:name w:val="Para_reponse"/>
    <w:basedOn w:val="Normal"/>
    <w:qFormat/>
    <w:pPr>
      <w:spacing w:before="120" w:after="120"/>
    </w:pPr>
  </w:style>
  <w:style w:type="paragraph" w:customStyle="1" w:styleId="Reponse">
    <w:name w:val="Reponse"/>
    <w:basedOn w:val="Normal"/>
    <w:qFormat/>
    <w:pPr>
      <w:ind w:left="567" w:right="567"/>
    </w:pPr>
  </w:style>
  <w:style w:type="paragraph" w:styleId="TM7">
    <w:name w:val="toc 7"/>
    <w:basedOn w:val="Index"/>
    <w:pPr>
      <w:tabs>
        <w:tab w:val="right" w:leader="dot" w:pos="9355"/>
      </w:tabs>
      <w:ind w:left="1698"/>
    </w:pPr>
  </w:style>
  <w:style w:type="paragraph" w:styleId="TM8">
    <w:name w:val="toc 8"/>
    <w:basedOn w:val="Index"/>
    <w:pPr>
      <w:tabs>
        <w:tab w:val="right" w:leader="dot" w:pos="9355"/>
      </w:tabs>
      <w:ind w:left="1981"/>
    </w:pPr>
  </w:style>
  <w:style w:type="paragraph" w:styleId="TM9">
    <w:name w:val="toc 9"/>
    <w:basedOn w:val="Index"/>
    <w:pPr>
      <w:tabs>
        <w:tab w:val="right" w:leader="dot" w:pos="9355"/>
      </w:tabs>
      <w:ind w:left="2264"/>
    </w:pPr>
  </w:style>
  <w:style w:type="paragraph" w:customStyle="1" w:styleId="Tabledesmatiresniveau10">
    <w:name w:val="Table des matières niveau 10"/>
    <w:basedOn w:val="Index"/>
    <w:qFormat/>
    <w:pPr>
      <w:tabs>
        <w:tab w:val="right" w:leader="dot" w:pos="9355"/>
      </w:tabs>
      <w:ind w:left="2547"/>
    </w:pPr>
  </w:style>
  <w:style w:type="paragraph" w:styleId="TitreTR">
    <w:name w:val="toa heading"/>
    <w:basedOn w:val="Titre10"/>
    <w:qFormat/>
    <w:pPr>
      <w:suppressLineNumbers/>
    </w:pPr>
    <w:rPr>
      <w:b/>
      <w:bCs/>
      <w:sz w:val="32"/>
      <w:szCs w:val="32"/>
    </w:rPr>
  </w:style>
  <w:style w:type="paragraph" w:customStyle="1" w:styleId="Titre100">
    <w:name w:val="Titre 10"/>
    <w:basedOn w:val="Titre10"/>
    <w:next w:val="Corpsdetexte"/>
    <w:qFormat/>
    <w:rPr>
      <w:b/>
      <w:bCs/>
      <w:sz w:val="21"/>
      <w:szCs w:val="21"/>
    </w:rPr>
  </w:style>
  <w:style w:type="paragraph" w:styleId="Notedebasdepage">
    <w:name w:val="footnote text"/>
    <w:basedOn w:val="Normal"/>
    <w:pPr>
      <w:suppressLineNumbers/>
      <w:ind w:left="339" w:hanging="339"/>
    </w:pPr>
    <w:rPr>
      <w:sz w:val="20"/>
      <w:szCs w:val="20"/>
    </w:rPr>
  </w:style>
  <w:style w:type="paragraph" w:customStyle="1" w:styleId="Default">
    <w:name w:val="Default"/>
    <w:qFormat/>
    <w:pPr>
      <w:suppressAutoHyphens/>
      <w:autoSpaceDE w:val="0"/>
    </w:pPr>
    <w:rPr>
      <w:rFonts w:ascii="Times New Roman;Times New Roman" w:eastAsia="Times New Roman;Times New Roman" w:hAnsi="Times New Roman;Times New Roman" w:cs="Times New Roman;Times New Roman"/>
      <w:color w:val="000000"/>
      <w:sz w:val="24"/>
      <w:szCs w:val="24"/>
      <w:lang w:eastAsia="zh-CN"/>
    </w:rPr>
  </w:style>
  <w:style w:type="paragraph" w:customStyle="1" w:styleId="Pa1">
    <w:name w:val="Pa1"/>
    <w:basedOn w:val="Default"/>
    <w:next w:val="Default"/>
    <w:qFormat/>
    <w:pPr>
      <w:spacing w:line="241" w:lineRule="atLeast"/>
    </w:pPr>
    <w:rPr>
      <w:rFonts w:ascii="Open Sans" w:hAnsi="Open Sans" w:cs="Open Sans"/>
    </w:rPr>
  </w:style>
  <w:style w:type="paragraph" w:customStyle="1" w:styleId="ParagrapheIndent2">
    <w:name w:val="ParagrapheIndent2"/>
    <w:basedOn w:val="Normal"/>
    <w:next w:val="Normal"/>
    <w:qFormat/>
    <w:pPr>
      <w:widowControl/>
      <w:suppressAutoHyphens w:val="0"/>
      <w:jc w:val="left"/>
    </w:pPr>
    <w:rPr>
      <w:rFonts w:ascii="Arial" w:eastAsia="Arial" w:hAnsi="Arial" w:cs="Arial"/>
      <w:sz w:val="22"/>
      <w:lang w:val="en-US"/>
    </w:rPr>
  </w:style>
  <w:style w:type="paragraph" w:styleId="Paragraphedeliste">
    <w:name w:val="List Paragraph"/>
    <w:basedOn w:val="Normal"/>
    <w:qFormat/>
    <w:pPr>
      <w:widowControl/>
      <w:suppressAutoHyphens w:val="0"/>
      <w:ind w:left="708"/>
      <w:jc w:val="left"/>
    </w:pPr>
    <w:rPr>
      <w:rFonts w:eastAsia="Times New Roman;Times New Roman"/>
    </w:rPr>
  </w:style>
  <w:style w:type="paragraph" w:styleId="NormalWeb">
    <w:name w:val="Normal (Web)"/>
    <w:basedOn w:val="Normal"/>
    <w:qFormat/>
    <w:pPr>
      <w:widowControl/>
      <w:suppressAutoHyphens w:val="0"/>
      <w:spacing w:before="100" w:after="119"/>
      <w:jc w:val="left"/>
    </w:pPr>
    <w:rPr>
      <w:rFonts w:eastAsia="Times New Roman;Times New Roman"/>
      <w:color w:val="00000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paragraph" w:styleId="Rvision">
    <w:name w:val="Revision"/>
    <w:hidden/>
    <w:uiPriority w:val="99"/>
    <w:semiHidden/>
    <w:rsid w:val="008E0679"/>
    <w:rPr>
      <w:rFonts w:ascii="Times New Roman;Times New Roman" w:eastAsia="Arial Unicode MS" w:hAnsi="Times New Roman;Times New Roman" w:cs="Times New Roman;Times New Roman"/>
      <w:sz w:val="24"/>
      <w:szCs w:val="24"/>
      <w:lang w:eastAsia="zh-CN"/>
    </w:rPr>
  </w:style>
  <w:style w:type="character" w:styleId="Marquedecommentaire">
    <w:name w:val="annotation reference"/>
    <w:basedOn w:val="Policepardfaut"/>
    <w:uiPriority w:val="99"/>
    <w:semiHidden/>
    <w:unhideWhenUsed/>
    <w:rsid w:val="00124992"/>
    <w:rPr>
      <w:sz w:val="16"/>
      <w:szCs w:val="16"/>
    </w:rPr>
  </w:style>
  <w:style w:type="paragraph" w:styleId="Commentaire">
    <w:name w:val="annotation text"/>
    <w:basedOn w:val="Normal"/>
    <w:link w:val="CommentaireCar"/>
    <w:uiPriority w:val="99"/>
    <w:semiHidden/>
    <w:unhideWhenUsed/>
    <w:rsid w:val="00124992"/>
    <w:rPr>
      <w:sz w:val="20"/>
      <w:szCs w:val="20"/>
    </w:rPr>
  </w:style>
  <w:style w:type="character" w:customStyle="1" w:styleId="CommentaireCar">
    <w:name w:val="Commentaire Car"/>
    <w:basedOn w:val="Policepardfaut"/>
    <w:link w:val="Commentaire"/>
    <w:uiPriority w:val="99"/>
    <w:semiHidden/>
    <w:rsid w:val="00124992"/>
    <w:rPr>
      <w:rFonts w:ascii="Times New Roman;Times New Roman" w:eastAsia="Arial Unicode MS" w:hAnsi="Times New Roman;Times New Roman" w:cs="Times New Roman;Times New Roman"/>
      <w:lang w:eastAsia="zh-CN"/>
    </w:rPr>
  </w:style>
  <w:style w:type="paragraph" w:styleId="Objetducommentaire">
    <w:name w:val="annotation subject"/>
    <w:basedOn w:val="Commentaire"/>
    <w:next w:val="Commentaire"/>
    <w:link w:val="ObjetducommentaireCar"/>
    <w:uiPriority w:val="99"/>
    <w:semiHidden/>
    <w:unhideWhenUsed/>
    <w:rsid w:val="00124992"/>
    <w:rPr>
      <w:b/>
      <w:bCs/>
    </w:rPr>
  </w:style>
  <w:style w:type="character" w:customStyle="1" w:styleId="ObjetducommentaireCar">
    <w:name w:val="Objet du commentaire Car"/>
    <w:basedOn w:val="CommentaireCar"/>
    <w:link w:val="Objetducommentaire"/>
    <w:uiPriority w:val="99"/>
    <w:semiHidden/>
    <w:rsid w:val="00124992"/>
    <w:rPr>
      <w:rFonts w:ascii="Times New Roman;Times New Roman" w:eastAsia="Arial Unicode MS" w:hAnsi="Times New Roman;Times New Roman" w:cs="Times New Roman;Times New Roman"/>
      <w:b/>
      <w:bCs/>
      <w:lang w:eastAsia="zh-CN"/>
    </w:rPr>
  </w:style>
  <w:style w:type="table" w:styleId="Grilledutableau">
    <w:name w:val="Table Grid"/>
    <w:basedOn w:val="TableauNormal"/>
    <w:uiPriority w:val="39"/>
    <w:rsid w:val="00D04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125BA6"/>
    <w:pPr>
      <w:widowControl/>
      <w:suppressAutoHyphens w:val="0"/>
      <w:spacing w:before="100" w:beforeAutospacing="1" w:after="100" w:afterAutospacing="1"/>
      <w:jc w:val="left"/>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23144">
      <w:bodyDiv w:val="1"/>
      <w:marLeft w:val="0"/>
      <w:marRight w:val="0"/>
      <w:marTop w:val="0"/>
      <w:marBottom w:val="0"/>
      <w:divBdr>
        <w:top w:val="none" w:sz="0" w:space="0" w:color="auto"/>
        <w:left w:val="none" w:sz="0" w:space="0" w:color="auto"/>
        <w:bottom w:val="none" w:sz="0" w:space="0" w:color="auto"/>
        <w:right w:val="none" w:sz="0" w:space="0" w:color="auto"/>
      </w:divBdr>
    </w:div>
    <w:div w:id="366492330">
      <w:bodyDiv w:val="1"/>
      <w:marLeft w:val="0"/>
      <w:marRight w:val="0"/>
      <w:marTop w:val="0"/>
      <w:marBottom w:val="0"/>
      <w:divBdr>
        <w:top w:val="none" w:sz="0" w:space="0" w:color="auto"/>
        <w:left w:val="none" w:sz="0" w:space="0" w:color="auto"/>
        <w:bottom w:val="none" w:sz="0" w:space="0" w:color="auto"/>
        <w:right w:val="none" w:sz="0" w:space="0" w:color="auto"/>
      </w:divBdr>
    </w:div>
    <w:div w:id="495072200">
      <w:bodyDiv w:val="1"/>
      <w:marLeft w:val="0"/>
      <w:marRight w:val="0"/>
      <w:marTop w:val="0"/>
      <w:marBottom w:val="0"/>
      <w:divBdr>
        <w:top w:val="none" w:sz="0" w:space="0" w:color="auto"/>
        <w:left w:val="none" w:sz="0" w:space="0" w:color="auto"/>
        <w:bottom w:val="none" w:sz="0" w:space="0" w:color="auto"/>
        <w:right w:val="none" w:sz="0" w:space="0" w:color="auto"/>
      </w:divBdr>
      <w:divsChild>
        <w:div w:id="742920377">
          <w:marLeft w:val="0"/>
          <w:marRight w:val="0"/>
          <w:marTop w:val="0"/>
          <w:marBottom w:val="0"/>
          <w:divBdr>
            <w:top w:val="none" w:sz="0" w:space="0" w:color="auto"/>
            <w:left w:val="none" w:sz="0" w:space="0" w:color="auto"/>
            <w:bottom w:val="none" w:sz="0" w:space="0" w:color="auto"/>
            <w:right w:val="none" w:sz="0" w:space="0" w:color="auto"/>
          </w:divBdr>
        </w:div>
      </w:divsChild>
    </w:div>
    <w:div w:id="619605984">
      <w:bodyDiv w:val="1"/>
      <w:marLeft w:val="0"/>
      <w:marRight w:val="0"/>
      <w:marTop w:val="0"/>
      <w:marBottom w:val="0"/>
      <w:divBdr>
        <w:top w:val="none" w:sz="0" w:space="0" w:color="auto"/>
        <w:left w:val="none" w:sz="0" w:space="0" w:color="auto"/>
        <w:bottom w:val="none" w:sz="0" w:space="0" w:color="auto"/>
        <w:right w:val="none" w:sz="0" w:space="0" w:color="auto"/>
      </w:divBdr>
    </w:div>
    <w:div w:id="951326166">
      <w:bodyDiv w:val="1"/>
      <w:marLeft w:val="0"/>
      <w:marRight w:val="0"/>
      <w:marTop w:val="0"/>
      <w:marBottom w:val="0"/>
      <w:divBdr>
        <w:top w:val="none" w:sz="0" w:space="0" w:color="auto"/>
        <w:left w:val="none" w:sz="0" w:space="0" w:color="auto"/>
        <w:bottom w:val="none" w:sz="0" w:space="0" w:color="auto"/>
        <w:right w:val="none" w:sz="0" w:space="0" w:color="auto"/>
      </w:divBdr>
    </w:div>
    <w:div w:id="1197506527">
      <w:bodyDiv w:val="1"/>
      <w:marLeft w:val="0"/>
      <w:marRight w:val="0"/>
      <w:marTop w:val="0"/>
      <w:marBottom w:val="0"/>
      <w:divBdr>
        <w:top w:val="none" w:sz="0" w:space="0" w:color="auto"/>
        <w:left w:val="none" w:sz="0" w:space="0" w:color="auto"/>
        <w:bottom w:val="none" w:sz="0" w:space="0" w:color="auto"/>
        <w:right w:val="none" w:sz="0" w:space="0" w:color="auto"/>
      </w:divBdr>
    </w:div>
    <w:div w:id="1233001269">
      <w:bodyDiv w:val="1"/>
      <w:marLeft w:val="0"/>
      <w:marRight w:val="0"/>
      <w:marTop w:val="0"/>
      <w:marBottom w:val="0"/>
      <w:divBdr>
        <w:top w:val="none" w:sz="0" w:space="0" w:color="auto"/>
        <w:left w:val="none" w:sz="0" w:space="0" w:color="auto"/>
        <w:bottom w:val="none" w:sz="0" w:space="0" w:color="auto"/>
        <w:right w:val="none" w:sz="0" w:space="0" w:color="auto"/>
      </w:divBdr>
    </w:div>
    <w:div w:id="1426151860">
      <w:bodyDiv w:val="1"/>
      <w:marLeft w:val="0"/>
      <w:marRight w:val="0"/>
      <w:marTop w:val="0"/>
      <w:marBottom w:val="0"/>
      <w:divBdr>
        <w:top w:val="none" w:sz="0" w:space="0" w:color="auto"/>
        <w:left w:val="none" w:sz="0" w:space="0" w:color="auto"/>
        <w:bottom w:val="none" w:sz="0" w:space="0" w:color="auto"/>
        <w:right w:val="none" w:sz="0" w:space="0" w:color="auto"/>
      </w:divBdr>
    </w:div>
    <w:div w:id="1431463000">
      <w:bodyDiv w:val="1"/>
      <w:marLeft w:val="0"/>
      <w:marRight w:val="0"/>
      <w:marTop w:val="0"/>
      <w:marBottom w:val="0"/>
      <w:divBdr>
        <w:top w:val="none" w:sz="0" w:space="0" w:color="auto"/>
        <w:left w:val="none" w:sz="0" w:space="0" w:color="auto"/>
        <w:bottom w:val="none" w:sz="0" w:space="0" w:color="auto"/>
        <w:right w:val="none" w:sz="0" w:space="0" w:color="auto"/>
      </w:divBdr>
    </w:div>
    <w:div w:id="1674453724">
      <w:bodyDiv w:val="1"/>
      <w:marLeft w:val="0"/>
      <w:marRight w:val="0"/>
      <w:marTop w:val="0"/>
      <w:marBottom w:val="0"/>
      <w:divBdr>
        <w:top w:val="none" w:sz="0" w:space="0" w:color="auto"/>
        <w:left w:val="none" w:sz="0" w:space="0" w:color="auto"/>
        <w:bottom w:val="none" w:sz="0" w:space="0" w:color="auto"/>
        <w:right w:val="none" w:sz="0" w:space="0" w:color="auto"/>
      </w:divBdr>
      <w:divsChild>
        <w:div w:id="1516574938">
          <w:marLeft w:val="0"/>
          <w:marRight w:val="0"/>
          <w:marTop w:val="0"/>
          <w:marBottom w:val="0"/>
          <w:divBdr>
            <w:top w:val="none" w:sz="0" w:space="0" w:color="auto"/>
            <w:left w:val="none" w:sz="0" w:space="0" w:color="auto"/>
            <w:bottom w:val="none" w:sz="0" w:space="0" w:color="auto"/>
            <w:right w:val="none" w:sz="0" w:space="0" w:color="auto"/>
          </w:divBdr>
        </w:div>
      </w:divsChild>
    </w:div>
    <w:div w:id="1820338511">
      <w:bodyDiv w:val="1"/>
      <w:marLeft w:val="0"/>
      <w:marRight w:val="0"/>
      <w:marTop w:val="0"/>
      <w:marBottom w:val="0"/>
      <w:divBdr>
        <w:top w:val="none" w:sz="0" w:space="0" w:color="auto"/>
        <w:left w:val="none" w:sz="0" w:space="0" w:color="auto"/>
        <w:bottom w:val="none" w:sz="0" w:space="0" w:color="auto"/>
        <w:right w:val="none" w:sz="0" w:space="0" w:color="auto"/>
      </w:divBdr>
      <w:divsChild>
        <w:div w:id="100883845">
          <w:marLeft w:val="0"/>
          <w:marRight w:val="0"/>
          <w:marTop w:val="0"/>
          <w:marBottom w:val="0"/>
          <w:divBdr>
            <w:top w:val="none" w:sz="0" w:space="0" w:color="auto"/>
            <w:left w:val="none" w:sz="0" w:space="0" w:color="auto"/>
            <w:bottom w:val="none" w:sz="0" w:space="0" w:color="auto"/>
            <w:right w:val="none" w:sz="0" w:space="0" w:color="auto"/>
          </w:divBdr>
        </w:div>
      </w:divsChild>
    </w:div>
    <w:div w:id="1952393415">
      <w:bodyDiv w:val="1"/>
      <w:marLeft w:val="0"/>
      <w:marRight w:val="0"/>
      <w:marTop w:val="0"/>
      <w:marBottom w:val="0"/>
      <w:divBdr>
        <w:top w:val="none" w:sz="0" w:space="0" w:color="auto"/>
        <w:left w:val="none" w:sz="0" w:space="0" w:color="auto"/>
        <w:bottom w:val="none" w:sz="0" w:space="0" w:color="auto"/>
        <w:right w:val="none" w:sz="0" w:space="0" w:color="auto"/>
      </w:divBdr>
    </w:div>
    <w:div w:id="2005087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rches-publics.gouv.f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rches-publics.gouv.fr/?page=entreprise.EntrepriseHom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ie.gouv.fr/daj/formulaires-declaration-du-candidat" TargetMode="External"/><Relationship Id="rId5" Type="http://schemas.openxmlformats.org/officeDocument/2006/relationships/webSettings" Target="webSettings.xml"/><Relationship Id="rId15" Type="http://schemas.openxmlformats.org/officeDocument/2006/relationships/hyperlink" Target="https://cyber.gouv.fr/la-liste-nationale-de-confiance" TargetMode="External"/><Relationship Id="rId10" Type="http://schemas.openxmlformats.org/officeDocument/2006/relationships/hyperlink" Target="https://www.marches-publics.gouv.fr/?page=Entreprise.EntrepriseAdvancedSearch&amp;AllCons&amp;id=2720198&amp;orgAcronyme=d3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rches-publics.gouv.fr/" TargetMode="External"/><Relationship Id="rId14" Type="http://schemas.openxmlformats.org/officeDocument/2006/relationships/hyperlink" Target="https://www.marches-publics.gouv.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9DBFF-A023-47BA-B7C9-DD27970E6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18</Pages>
  <Words>6322</Words>
  <Characters>34776</Characters>
  <Application>Microsoft Office Word</Application>
  <DocSecurity>0</DocSecurity>
  <Lines>289</Lines>
  <Paragraphs>82</Paragraphs>
  <ScaleCrop>false</ScaleCrop>
  <HeadingPairs>
    <vt:vector size="2" baseType="variant">
      <vt:variant>
        <vt:lpstr>Titre</vt:lpstr>
      </vt:variant>
      <vt:variant>
        <vt:i4>1</vt:i4>
      </vt:variant>
    </vt:vector>
  </HeadingPairs>
  <TitlesOfParts>
    <vt:vector size="1" baseType="lpstr">
      <vt:lpstr/>
    </vt:vector>
  </TitlesOfParts>
  <Company>MinisteredelaJustice</Company>
  <LinksUpToDate>false</LinksUpToDate>
  <CharactersWithSpaces>41016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SELVE Charlotte</dc:creator>
  <cp:lastModifiedBy>SELVE Charlotte</cp:lastModifiedBy>
  <cp:revision>53</cp:revision>
  <dcterms:created xsi:type="dcterms:W3CDTF">2026-05-05T15:37:00Z</dcterms:created>
  <dcterms:modified xsi:type="dcterms:W3CDTF">2026-08-05T08:00:00Z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2025-03-25T15:01:00Z</dcterms:created>
  <dc:creator>Agence Suzel Brout // Suzel Brout</dc:creator>
  <dc:description/>
  <cp:keywords/>
  <dc:language>en-US</dc:language>
  <cp:lastModifiedBy>SAULIN Charles-emmanuel</cp:lastModifiedBy>
  <cp:lastPrinted>2022-11-02T10:42:00Z</cp:lastPrinted>
  <dcterms:modified xsi:type="dcterms:W3CDTF">2025-07-08T10:56:00Z</dcterms:modified>
  <cp:revision>20</cp:revision>
  <dc:subject/>
  <dc:title/>
</cp:coreProperties>
</file>