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itre1"/>
      </w:pPr>
    </w:p>
    <w:p/>
    <w:p/>
    <w:p/>
    <w:p/>
    <w:p>
      <w:pPr>
        <w:shd w:val="clear" w:color="auto" w:fill="FBD4B4" w:themeFill="accent6" w:themeFillTint="66"/>
        <w:spacing w:before="240"/>
        <w:ind w:firstLine="6"/>
        <w:jc w:val="center"/>
        <w:rPr>
          <w:b/>
          <w:bCs/>
          <w:smallCaps/>
          <w:kern w:val="24"/>
        </w:rPr>
      </w:pPr>
      <w:r>
        <w:rPr>
          <w:b/>
          <w:bCs/>
        </w:rPr>
        <w:t xml:space="preserve">Numéro de consultation : </w:t>
      </w:r>
      <w:r>
        <w:rPr>
          <w:b/>
          <w:bCs/>
          <w:smallCaps/>
          <w:kern w:val="24"/>
        </w:rPr>
        <w:t>BAMAC_2026_362_Base de données</w:t>
      </w:r>
    </w:p>
    <w:p/>
    <w:p/>
    <w:p/>
    <w:p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12" w:color="auto"/>
        </w:pBdr>
        <w:shd w:val="clear" w:color="auto" w:fill="DDD9C3" w:themeFill="background2" w:themeFillShade="E6"/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</w:p>
    <w:p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12" w:color="auto"/>
        </w:pBdr>
        <w:shd w:val="clear" w:color="auto" w:fill="DDD9C3" w:themeFill="background2" w:themeFillShade="E6"/>
        <w:suppressAutoHyphens/>
        <w:ind w:right="2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Accès à une base de données d’articles de presse et de veille médias </w:t>
      </w:r>
    </w:p>
    <w:p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12" w:color="auto"/>
        </w:pBdr>
        <w:shd w:val="clear" w:color="auto" w:fill="DDD9C3" w:themeFill="background2" w:themeFillShade="E6"/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</w:p>
    <w:p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12" w:color="auto"/>
        </w:pBdr>
        <w:shd w:val="clear" w:color="auto" w:fill="DDD9C3" w:themeFill="background2" w:themeFillShade="E6"/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  <w:r>
        <w:rPr>
          <w:b/>
          <w:sz w:val="28"/>
        </w:rPr>
        <w:t xml:space="preserve">CADRE DE REPONSE TECHNIQUE A REMPLIR </w:t>
      </w:r>
      <w:r>
        <w:rPr>
          <w:b/>
          <w:sz w:val="28"/>
          <w:u w:val="single"/>
        </w:rPr>
        <w:t>OBLIGATOIREMENT</w:t>
      </w:r>
      <w:r>
        <w:rPr>
          <w:b/>
          <w:sz w:val="28"/>
        </w:rPr>
        <w:t xml:space="preserve"> PAR LE CANDIDAT</w:t>
      </w:r>
    </w:p>
    <w:p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12" w:color="auto"/>
        </w:pBdr>
        <w:shd w:val="clear" w:color="auto" w:fill="DDD9C3" w:themeFill="background2" w:themeFillShade="E6"/>
        <w:tabs>
          <w:tab w:val="left" w:pos="-567"/>
          <w:tab w:val="left" w:pos="0"/>
        </w:tabs>
        <w:suppressAutoHyphens/>
        <w:ind w:right="29"/>
        <w:jc w:val="center"/>
        <w:rPr>
          <w:b/>
          <w:sz w:val="28"/>
        </w:rPr>
      </w:pPr>
    </w:p>
    <w:p>
      <w:pPr>
        <w:jc w:val="center"/>
        <w:rPr>
          <w:b/>
          <w:sz w:val="22"/>
          <w:szCs w:val="22"/>
        </w:rPr>
      </w:pPr>
    </w:p>
    <w:p>
      <w:pPr>
        <w:jc w:val="center"/>
        <w:rPr>
          <w:b/>
          <w:sz w:val="22"/>
          <w:szCs w:val="22"/>
        </w:rPr>
      </w:pPr>
    </w:p>
    <w:p>
      <w:pPr>
        <w:jc w:val="center"/>
        <w:rPr>
          <w:b/>
          <w:sz w:val="22"/>
          <w:szCs w:val="22"/>
        </w:rPr>
      </w:pPr>
    </w:p>
    <w:p>
      <w:pPr>
        <w:jc w:val="center"/>
        <w:rPr>
          <w:b/>
          <w:sz w:val="22"/>
          <w:szCs w:val="22"/>
        </w:rPr>
      </w:pPr>
    </w:p>
    <w:p>
      <w:pPr>
        <w:jc w:val="center"/>
        <w:rPr>
          <w:b/>
          <w:i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ATTENTION : L’analyse technique des offres sera jugée uniquement à partir des éléments décrits dans le cadre de réponse ci-dessous.</w:t>
      </w:r>
      <w:r>
        <w:rPr>
          <w:b/>
          <w:i/>
          <w:sz w:val="20"/>
          <w:szCs w:val="20"/>
        </w:rPr>
        <w:t xml:space="preserve"> </w:t>
      </w:r>
    </w:p>
    <w:p>
      <w:pPr>
        <w:jc w:val="center"/>
        <w:rPr>
          <w:b/>
          <w:i/>
          <w:color w:val="FF0000"/>
          <w:sz w:val="20"/>
          <w:szCs w:val="20"/>
          <w:highlight w:val="yellow"/>
        </w:rPr>
      </w:pPr>
    </w:p>
    <w:p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 xml:space="preserve">TOUT ELEMENT MENTIONNE HORS DE CE CADRE DE REPONSE </w:t>
      </w:r>
      <w:r>
        <w:rPr>
          <w:b/>
          <w:i/>
          <w:color w:val="FF0000"/>
          <w:sz w:val="20"/>
          <w:szCs w:val="20"/>
          <w:u w:val="single"/>
        </w:rPr>
        <w:t>NE SERA PAS PRIS EN COMPTE</w:t>
      </w:r>
      <w:r>
        <w:rPr>
          <w:b/>
          <w:i/>
          <w:color w:val="FF0000"/>
          <w:sz w:val="20"/>
          <w:szCs w:val="20"/>
        </w:rPr>
        <w:t xml:space="preserve"> POUR L’ANALYSE DES OFFRES SAUF INDICATION CONTRAIRE </w:t>
      </w:r>
    </w:p>
    <w:p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(Exemple non exhaustif : fourniture des CV)</w:t>
      </w:r>
    </w:p>
    <w:p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b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Modalités de calcul : </w:t>
      </w: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pStyle w:val="Paragraphedeliste"/>
        <w:numPr>
          <w:ilvl w:val="0"/>
          <w:numId w:val="25"/>
        </w:numPr>
        <w:tabs>
          <w:tab w:val="clear" w:pos="226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Critère 1 : Valeur technique (note sur 10 pondérée à 55% de la note totale) :</w:t>
      </w:r>
    </w:p>
    <w:p>
      <w:pPr>
        <w:pStyle w:val="Paragraphedeliste"/>
        <w:numPr>
          <w:ilvl w:val="1"/>
          <w:numId w:val="25"/>
        </w:numPr>
        <w:tabs>
          <w:tab w:val="clear" w:pos="2265"/>
        </w:tabs>
        <w:spacing w:after="120"/>
        <w:ind w:left="1434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Qualité de la base de données, couverture et mise à jour (note sur 80 ramenée à 10 et pondérée à 30% de la note totale) ; </w:t>
      </w:r>
    </w:p>
    <w:p>
      <w:pPr>
        <w:pStyle w:val="Paragraphedeliste"/>
        <w:numPr>
          <w:ilvl w:val="1"/>
          <w:numId w:val="25"/>
        </w:numPr>
        <w:tabs>
          <w:tab w:val="clear" w:pos="2265"/>
        </w:tabs>
        <w:spacing w:after="120"/>
        <w:ind w:left="1434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Fonctionnalité et ergonomie de l’interface de consultation, taux de disponibilité, condition de maintenance et de sécurité (note sur 50 ramenée à 10 et pondérée à 15% de la note totale) ;</w:t>
      </w:r>
    </w:p>
    <w:p>
      <w:pPr>
        <w:pStyle w:val="Paragraphedeliste"/>
        <w:numPr>
          <w:ilvl w:val="1"/>
          <w:numId w:val="25"/>
        </w:numPr>
        <w:tabs>
          <w:tab w:val="clear" w:pos="2265"/>
        </w:tabs>
        <w:spacing w:after="120"/>
        <w:ind w:left="1434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La qualité des moyens humains proposés pour chacune des prestations ainsi que l’organisation globale du marché (note sur 40 ramenée à 10 et pondérée à 10% de la note totale) ;</w:t>
      </w: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pStyle w:val="Paragraphedeliste"/>
        <w:numPr>
          <w:ilvl w:val="0"/>
          <w:numId w:val="25"/>
        </w:numPr>
        <w:tabs>
          <w:tab w:val="clear" w:pos="226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Critère 2 : Prix : note sur 10 pondérée à 40% de la note totale, apprécié sur le fondement du détail quantitatif estimatif.</w:t>
      </w: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pStyle w:val="Paragraphedeliste"/>
        <w:numPr>
          <w:ilvl w:val="0"/>
          <w:numId w:val="25"/>
        </w:numPr>
        <w:tabs>
          <w:tab w:val="clear" w:pos="226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Critère 3 : Démarche environnementale (note sur 20 ramenée à 10 et pondérée à 5% de la note totale)</w:t>
      </w:r>
    </w:p>
    <w:p>
      <w:pPr>
        <w:pStyle w:val="Paragraphedeliste"/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numPr>
          <w:ilvl w:val="0"/>
          <w:numId w:val="30"/>
        </w:numPr>
        <w:tabs>
          <w:tab w:val="clear" w:pos="2265"/>
        </w:tabs>
        <w:spacing w:before="120" w:after="120"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Identification du candidat :</w:t>
      </w:r>
    </w:p>
    <w:p>
      <w:pPr>
        <w:spacing w:before="120" w:after="120" w:line="276" w:lineRule="auto"/>
        <w:ind w:left="709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</w:t>
      </w:r>
      <w:r>
        <w:rPr>
          <w:rFonts w:eastAsia="Calibri"/>
          <w:i/>
          <w:sz w:val="22"/>
          <w:szCs w:val="22"/>
          <w:lang w:eastAsia="en-US"/>
        </w:rPr>
        <w:t>Nom de la société)</w:t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8"/>
          <w:szCs w:val="28"/>
        </w:rPr>
      </w:pPr>
    </w:p>
    <w:p>
      <w:pPr>
        <w:tabs>
          <w:tab w:val="left" w:leader="dot" w:pos="9072"/>
        </w:tabs>
        <w:ind w:left="709"/>
        <w:rPr>
          <w:sz w:val="28"/>
          <w:szCs w:val="28"/>
        </w:rPr>
      </w:pPr>
    </w:p>
    <w:p>
      <w:pPr>
        <w:numPr>
          <w:ilvl w:val="0"/>
          <w:numId w:val="30"/>
        </w:numPr>
        <w:tabs>
          <w:tab w:val="clear" w:pos="2265"/>
        </w:tabs>
        <w:spacing w:before="120" w:after="12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Adresse de la société, des locaux administratifs :</w:t>
      </w:r>
    </w:p>
    <w:p>
      <w:pPr>
        <w:tabs>
          <w:tab w:val="left" w:leader="dot" w:pos="9072"/>
        </w:tabs>
        <w:ind w:left="709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tabs>
          <w:tab w:val="left" w:leader="dot" w:pos="9072"/>
        </w:tabs>
        <w:ind w:left="709"/>
        <w:rPr>
          <w:sz w:val="28"/>
          <w:szCs w:val="28"/>
        </w:rPr>
      </w:pPr>
    </w:p>
    <w:p>
      <w:pPr>
        <w:tabs>
          <w:tab w:val="left" w:leader="dot" w:pos="9072"/>
        </w:tabs>
        <w:ind w:left="709"/>
        <w:rPr>
          <w:sz w:val="28"/>
          <w:szCs w:val="28"/>
        </w:rPr>
      </w:pPr>
    </w:p>
    <w:p>
      <w:pPr>
        <w:numPr>
          <w:ilvl w:val="0"/>
          <w:numId w:val="30"/>
        </w:numPr>
        <w:tabs>
          <w:tab w:val="clear" w:pos="2265"/>
          <w:tab w:val="num" w:pos="709"/>
        </w:tabs>
        <w:spacing w:before="120" w:after="120"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Correspondant permanent du suivi des relations avec le ministère :</w:t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Nom : </w:t>
      </w: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rFonts w:eastAsia="Calibri"/>
          <w:sz w:val="22"/>
          <w:szCs w:val="22"/>
        </w:rPr>
        <w:t>Fonction 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Tel. : </w:t>
      </w: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rFonts w:eastAsia="Calibri"/>
          <w:sz w:val="22"/>
          <w:szCs w:val="22"/>
        </w:rPr>
        <w:t>Mobile 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  <w:r>
        <w:rPr>
          <w:rFonts w:eastAsia="Calibri"/>
          <w:sz w:val="22"/>
          <w:szCs w:val="22"/>
        </w:rPr>
        <w:t>E-mail 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>
      <w:pPr>
        <w:tabs>
          <w:tab w:val="left" w:leader="dot" w:pos="9072"/>
        </w:tabs>
        <w:ind w:left="709"/>
        <w:rPr>
          <w:sz w:val="22"/>
          <w:szCs w:val="22"/>
        </w:rPr>
      </w:pPr>
    </w:p>
    <w:p>
      <w:pPr>
        <w:tabs>
          <w:tab w:val="left" w:leader="dot" w:pos="9072"/>
        </w:tabs>
        <w:ind w:left="709"/>
        <w:rPr>
          <w:sz w:val="22"/>
          <w:szCs w:val="22"/>
        </w:rPr>
      </w:pPr>
    </w:p>
    <w:p>
      <w:pPr>
        <w:numPr>
          <w:ilvl w:val="0"/>
          <w:numId w:val="31"/>
        </w:numPr>
        <w:tabs>
          <w:tab w:val="clear" w:pos="2265"/>
        </w:tabs>
        <w:spacing w:before="120" w:after="12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PME</w:t>
      </w:r>
      <w:r>
        <w:rPr>
          <w:rFonts w:eastAsia="Calibri"/>
          <w:sz w:val="22"/>
          <w:szCs w:val="22"/>
          <w:lang w:eastAsia="en-US"/>
        </w:rPr>
        <w:t xml:space="preserve"> : </w:t>
      </w:r>
      <w:r>
        <w:rPr>
          <w:rFonts w:eastAsia="Calibri"/>
          <w:sz w:val="22"/>
          <w:szCs w:val="22"/>
          <w:lang w:eastAsia="en-US"/>
        </w:rPr>
        <w:tab/>
        <w:t>OUI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eastAsia="Calibri"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  <w:fldChar w:fldCharType="separate"/>
      </w:r>
      <w:r>
        <w:rPr>
          <w:rFonts w:eastAsia="Calibri"/>
          <w:sz w:val="22"/>
          <w:szCs w:val="22"/>
          <w:lang w:eastAsia="en-US"/>
        </w:rPr>
        <w:fldChar w:fldCharType="end"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NON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eastAsia="Calibri"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  <w:fldChar w:fldCharType="separate"/>
      </w:r>
      <w:r>
        <w:rPr>
          <w:rFonts w:eastAsia="Calibri"/>
          <w:sz w:val="22"/>
          <w:szCs w:val="22"/>
          <w:lang w:eastAsia="en-US"/>
        </w:rPr>
        <w:fldChar w:fldCharType="end"/>
      </w:r>
    </w:p>
    <w:p/>
    <w:p/>
    <w:p>
      <w:pPr>
        <w:pStyle w:val="Corpsdetexte"/>
        <w:spacing w:before="120" w:after="120"/>
        <w:rPr>
          <w:b/>
          <w:caps/>
        </w:rPr>
      </w:pPr>
      <w:r>
        <w:t xml:space="preserve">Le candidat doit mentionner en langue française dans le CRT les dispositions qu’il se propose d'adopter pour l'exécution des prestations et comprenant obligatoirement les éléments d’information ci-après énoncés. </w:t>
      </w:r>
    </w:p>
    <w:p>
      <w:pPr>
        <w:pStyle w:val="Corpsdetexte"/>
        <w:spacing w:before="120" w:after="120"/>
        <w:ind w:right="1413"/>
        <w:rPr>
          <w:b/>
          <w:caps/>
        </w:rPr>
      </w:pPr>
    </w:p>
    <w:p>
      <w:pPr>
        <w:pStyle w:val="Corpsdetexte"/>
        <w:spacing w:before="120" w:after="120"/>
        <w:ind w:right="1413"/>
        <w:rPr>
          <w:b/>
          <w:caps/>
        </w:rPr>
      </w:pPr>
      <w:r>
        <w:t>Ce cadre est exhaustif : toutes les rubriques doivent être renseignées par le candidat qui n’a pas à produire d’autres informations que celles étant expressément sollicitées dans le présent CRT. Il servira au jugement des offres.</w:t>
      </w:r>
    </w:p>
    <w:p>
      <w:pPr>
        <w:pStyle w:val="Corpsdetexte"/>
        <w:spacing w:before="120" w:after="120"/>
        <w:ind w:right="1413"/>
        <w:rPr>
          <w:b/>
          <w:caps/>
        </w:rPr>
      </w:pPr>
    </w:p>
    <w:p>
      <w:pPr>
        <w:pStyle w:val="Corpsdetexte"/>
        <w:spacing w:before="120" w:after="120"/>
        <w:rPr>
          <w:b/>
          <w:caps/>
          <w:u w:val="single"/>
        </w:rPr>
      </w:pPr>
      <w:r>
        <w:rPr>
          <w:u w:val="single"/>
        </w:rPr>
        <w:t xml:space="preserve">Le CRT doit être spécifique à ce projet et présenté de façon à bien faire apparaître chacun des points suivants et dans l’ordre dans lequel ils sont mentionnés. </w:t>
      </w:r>
    </w:p>
    <w:p>
      <w:pPr>
        <w:rPr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  <w:r>
        <w:rPr>
          <w:b/>
          <w:color w:val="FF0000"/>
          <w:sz w:val="22"/>
          <w:szCs w:val="22"/>
        </w:rPr>
        <w:t>Renseignement obligatoire nécessaire à la notation du soumissionnaire : Informations d’accès à l’outil test pour 4 utilisateurs simultanés accessible sur la période mentionnée à l’article 6.2 du RC</w:t>
      </w:r>
      <w:r>
        <w:rPr>
          <w:b/>
          <w:sz w:val="22"/>
          <w:szCs w:val="22"/>
        </w:rPr>
        <w:t xml:space="preserve"> (la demande de transmission des identifiants et mots de passe s’effectuera via l’outil PLACE).   </w:t>
      </w: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40064</wp:posOffset>
                </wp:positionV>
                <wp:extent cx="7442200" cy="1913255"/>
                <wp:effectExtent l="0" t="0" r="25400" b="107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0" cy="19138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Nom, Prénom, coordonnées mail et téléphonique de la personne de la société en charge de la transmission des éléments nécessaires à l’accès à la base de données pour le test (identifiant, mot de passe, mode opératoire de prise en main de l’outil) :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Nom :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Prénom :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Coordonnées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3.15pt;width:586pt;height:150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">
                <v:textbox>
                  <w:txbxContent>
                    <w:p>
                      <w:pPr>
                        <w:jc w:val="both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Nom, Prénom, coordonnées mail et téléphonique de la personne de la société en charge de la transmission des éléments nécessaires à l’accès à la base de données pour le test (identifiant, mot de passe, mode opératoire de prise en main de l’outil) :</w:t>
                      </w: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Nom :</w:t>
                      </w: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Prénom :  </w:t>
                      </w: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Coordonnées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p>
      <w:pPr>
        <w:tabs>
          <w:tab w:val="clear" w:pos="2265"/>
        </w:tabs>
        <w:rPr>
          <w:b/>
          <w:sz w:val="28"/>
          <w:szCs w:val="28"/>
          <w:u w:val="single"/>
        </w:rPr>
      </w:pPr>
    </w:p>
    <w:p>
      <w:pPr>
        <w:tabs>
          <w:tab w:val="clear" w:pos="2265"/>
        </w:tabs>
        <w:rPr>
          <w:b/>
          <w:sz w:val="28"/>
          <w:szCs w:val="28"/>
          <w:u w:val="single"/>
        </w:rPr>
      </w:pPr>
    </w:p>
    <w:p>
      <w:pPr>
        <w:tabs>
          <w:tab w:val="clear" w:pos="2265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Critère 1 : VALEUR TECHNIQUE (55%)</w:t>
      </w:r>
    </w:p>
    <w:p>
      <w:pPr>
        <w:jc w:val="both"/>
        <w:rPr>
          <w:b/>
          <w:sz w:val="28"/>
          <w:szCs w:val="28"/>
          <w:u w:val="single"/>
        </w:rPr>
      </w:pPr>
    </w:p>
    <w:p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Sous-critère 1 : Qualité et couverture de la base de données, modalités de mise à jour, antériorité des archives, disponibilité (note sur 80 </w:t>
      </w:r>
      <w:r>
        <w:rPr>
          <w:b/>
          <w:bCs/>
          <w:color w:val="000000" w:themeColor="text1"/>
          <w:sz w:val="28"/>
          <w:szCs w:val="28"/>
          <w:u w:val="single"/>
        </w:rPr>
        <w:t>ramenée à 10 et pondérée à 30% de la note totale</w:t>
      </w:r>
      <w:r>
        <w:rPr>
          <w:b/>
          <w:bCs/>
          <w:sz w:val="28"/>
          <w:szCs w:val="28"/>
          <w:u w:val="single"/>
        </w:rPr>
        <w:t>)</w:t>
      </w:r>
    </w:p>
    <w:p>
      <w:pPr>
        <w:jc w:val="both"/>
        <w:rPr>
          <w:b/>
          <w:sz w:val="20"/>
          <w:szCs w:val="20"/>
        </w:rPr>
      </w:pPr>
    </w:p>
    <w:p>
      <w:pPr>
        <w:ind w:firstLine="708"/>
        <w:jc w:val="both"/>
        <w:rPr>
          <w:sz w:val="22"/>
          <w:szCs w:val="22"/>
        </w:rPr>
      </w:pPr>
    </w:p>
    <w:tbl>
      <w:tblPr>
        <w:tblStyle w:val="Grilledutableau"/>
        <w:tblW w:w="19449" w:type="dxa"/>
        <w:tblLook w:val="04A0" w:firstRow="1" w:lastRow="0" w:firstColumn="1" w:lastColumn="0" w:noHBand="0" w:noVBand="1"/>
      </w:tblPr>
      <w:tblGrid>
        <w:gridCol w:w="6975"/>
        <w:gridCol w:w="12474"/>
      </w:tblGrid>
      <w:tr>
        <w:trPr>
          <w:trHeight w:val="522"/>
        </w:trPr>
        <w:tc>
          <w:tcPr>
            <w:tcW w:w="6975" w:type="dxa"/>
            <w:shd w:val="clear" w:color="auto" w:fill="8FDFD7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Eléments évalués</w:t>
            </w:r>
          </w:p>
        </w:tc>
        <w:tc>
          <w:tcPr>
            <w:tcW w:w="12474" w:type="dxa"/>
            <w:shd w:val="clear" w:color="auto" w:fill="8FDFD7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Réponse du candidat</w:t>
            </w:r>
          </w:p>
        </w:tc>
      </w:tr>
      <w:tr>
        <w:trPr>
          <w:trHeight w:val="3113"/>
        </w:trPr>
        <w:tc>
          <w:tcPr>
            <w:tcW w:w="6975" w:type="dxa"/>
            <w:vAlign w:val="center"/>
          </w:tcPr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Couverture éditoriale </w:t>
            </w:r>
          </w:p>
          <w:p>
            <w:pPr>
              <w:jc w:val="both"/>
              <w:rPr>
                <w:b/>
                <w:bCs/>
                <w:sz w:val="4"/>
                <w:szCs w:val="4"/>
              </w:rPr>
            </w:pPr>
          </w:p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Diversité des sources dont le nombre d’articles de la base (presse quotidienne nationale, régionale, européenne, web, blogs, réseaux sociaux, audiovisuel, agences de presse) notamment au regard de l’annexe 1 du cahier des clauses particulières complétée par le candidat </w:t>
            </w:r>
          </w:p>
          <w:p>
            <w:pPr>
              <w:jc w:val="both"/>
              <w:rPr>
                <w:b/>
                <w:bCs/>
                <w:sz w:val="4"/>
                <w:szCs w:val="4"/>
              </w:rPr>
            </w:pPr>
          </w:p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Antériorité des archives : </w:t>
            </w:r>
          </w:p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Fiabilité des métadonnées</w:t>
            </w:r>
          </w:p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Exhaustivité des contenus accessibles :</w:t>
            </w:r>
          </w:p>
          <w:p>
            <w:pPr>
              <w:pStyle w:val="Paragraphedeliste"/>
              <w:numPr>
                <w:ilvl w:val="0"/>
                <w:numId w:val="31"/>
              </w:num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Qualité de l’indexation et de la classification thématique :</w:t>
            </w:r>
          </w:p>
          <w:p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Outre les éléments mentionnés au CRT, l’accès test à l’outil ouvert par le candidat après remise des offres permettra également d’évaluer cet item (cf. RC)</w:t>
            </w:r>
          </w:p>
        </w:tc>
        <w:tc>
          <w:tcPr>
            <w:tcW w:w="1247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562"/>
        </w:trPr>
        <w:tc>
          <w:tcPr>
            <w:tcW w:w="6975" w:type="dxa"/>
            <w:vAlign w:val="center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Préciser à partir de quelle heure les articles sont disponibles le jour de leurs parutions et si certaines sources font l’objet d’un délai d’embargo.</w:t>
            </w:r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1247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844"/>
        </w:trPr>
        <w:tc>
          <w:tcPr>
            <w:tcW w:w="6975" w:type="dxa"/>
            <w:vAlign w:val="center"/>
          </w:tcPr>
          <w:p>
            <w:pPr>
              <w:tabs>
                <w:tab w:val="clear" w:pos="2265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Couverture des autres supports de la base de données</w:t>
            </w:r>
          </w:p>
        </w:tc>
        <w:tc>
          <w:tcPr>
            <w:tcW w:w="12474" w:type="dxa"/>
            <w:vAlign w:val="center"/>
          </w:tcPr>
          <w:p>
            <w:pPr>
              <w:pStyle w:val="Default"/>
              <w:rPr>
                <w:color w:val="auto"/>
              </w:rPr>
            </w:pPr>
          </w:p>
          <w:p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>
        <w:trPr>
          <w:trHeight w:val="904"/>
        </w:trPr>
        <w:tc>
          <w:tcPr>
            <w:tcW w:w="6975" w:type="dxa"/>
            <w:vAlign w:val="center"/>
          </w:tcPr>
          <w:p>
            <w:p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Pertinence de l’outil de recherche et veille </w:t>
            </w:r>
            <w:proofErr w:type="gramStart"/>
            <w:r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médias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  <w:proofErr w:type="gram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Finesse des filtres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Possibilité de recherches multicritères,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Possibilité de sauvegarde des requêtes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Ex</w:t>
            </w:r>
            <w:r>
              <w:rPr>
                <w:b/>
                <w:bCs/>
                <w:sz w:val="20"/>
                <w:szCs w:val="20"/>
              </w:rPr>
              <w:t>haustivité et fiabilité des contenus accessibles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Possibilité d’effectuer des requêtes avancées (booléens, filtres, alertes paramétrables),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Méthodologie de dédoublonnage,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P</w:t>
            </w:r>
            <w:r>
              <w:rPr>
                <w:b/>
                <w:bCs/>
                <w:sz w:val="20"/>
                <w:szCs w:val="20"/>
              </w:rPr>
              <w:t xml:space="preserve">ersonnalisation des listes de référence,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Ergonomie de production,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Lisibilité des restitutions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automatisation des alertes et rapports, </w:t>
            </w:r>
          </w:p>
          <w:p>
            <w:pPr>
              <w:pStyle w:val="Paragraphedeliste"/>
              <w:numPr>
                <w:ilvl w:val="0"/>
                <w:numId w:val="31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Qualité des outils de mise en forme</w:t>
            </w:r>
          </w:p>
          <w:p>
            <w:p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>
            <w:p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Outre les éléments mentionnés au CRT, l’accès test à l’outil ouvert par le candidat après remise des offres permettra également d’évaluer cet item</w:t>
            </w:r>
          </w:p>
        </w:tc>
        <w:tc>
          <w:tcPr>
            <w:tcW w:w="1247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904"/>
        </w:trPr>
        <w:tc>
          <w:tcPr>
            <w:tcW w:w="6975" w:type="dxa"/>
            <w:vAlign w:val="center"/>
          </w:tcPr>
          <w:p>
            <w:p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Style w:val="lev"/>
                <w:sz w:val="20"/>
                <w:szCs w:val="20"/>
                <w:u w:val="single"/>
              </w:rPr>
              <w:t>Interopérabilité</w:t>
            </w:r>
            <w:r>
              <w:rPr>
                <w:sz w:val="20"/>
                <w:szCs w:val="20"/>
              </w:rPr>
              <w:t xml:space="preserve"> : </w:t>
            </w:r>
            <w:r>
              <w:rPr>
                <w:b/>
                <w:bCs/>
                <w:sz w:val="20"/>
                <w:szCs w:val="20"/>
              </w:rPr>
              <w:t xml:space="preserve">Modalité d’interfaçage avec l’outil </w:t>
            </w:r>
            <w:proofErr w:type="spellStart"/>
            <w:r>
              <w:rPr>
                <w:b/>
                <w:bCs/>
                <w:sz w:val="20"/>
                <w:szCs w:val="20"/>
              </w:rPr>
              <w:t>Béril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et délai de mise à disposition de l’outil auprès des directions.</w:t>
            </w:r>
          </w:p>
        </w:tc>
        <w:tc>
          <w:tcPr>
            <w:tcW w:w="1247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904"/>
        </w:trPr>
        <w:tc>
          <w:tcPr>
            <w:tcW w:w="6975" w:type="dxa"/>
            <w:vAlign w:val="center"/>
          </w:tcPr>
          <w:p>
            <w:pPr>
              <w:pStyle w:val="Paragraphedeliste"/>
              <w:ind w:left="3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Modalités et fréquences des mises à jour de la base de données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>
            <w:pPr>
              <w:spacing w:line="259" w:lineRule="auto"/>
              <w:jc w:val="both"/>
              <w:rPr>
                <w:rStyle w:val="lev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Outre les éléments du CRT, l’accès test à l’outil ouvert par le candidat durant 2 semaines à compter de la remise des offres permettra également l’évaluation de ce point</w:t>
            </w:r>
          </w:p>
        </w:tc>
        <w:tc>
          <w:tcPr>
            <w:tcW w:w="1247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988"/>
        </w:trPr>
        <w:tc>
          <w:tcPr>
            <w:tcW w:w="6975" w:type="dxa"/>
            <w:vAlign w:val="center"/>
          </w:tcPr>
          <w:p>
            <w:pPr>
              <w:pStyle w:val="Paragraphedeliste"/>
              <w:numPr>
                <w:ilvl w:val="0"/>
                <w:numId w:val="32"/>
              </w:numPr>
              <w:ind w:left="172" w:hanging="1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Durée des contrats passés avec les éditeurs</w:t>
            </w:r>
          </w:p>
          <w:p>
            <w:pPr>
              <w:ind w:left="34"/>
              <w:rPr>
                <w:b/>
                <w:bCs/>
                <w:sz w:val="20"/>
                <w:szCs w:val="20"/>
              </w:rPr>
            </w:pPr>
          </w:p>
          <w:p>
            <w:pPr>
              <w:pStyle w:val="Paragraphedeliste"/>
              <w:numPr>
                <w:ilvl w:val="0"/>
                <w:numId w:val="32"/>
              </w:numPr>
              <w:ind w:left="172" w:hanging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Organisation du soumissionnaire pour la gestion des droits de diffusion et de reproduction </w:t>
            </w:r>
          </w:p>
        </w:tc>
        <w:tc>
          <w:tcPr>
            <w:tcW w:w="12474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988"/>
        </w:trPr>
        <w:tc>
          <w:tcPr>
            <w:tcW w:w="6975" w:type="dxa"/>
            <w:vAlign w:val="center"/>
          </w:tcPr>
          <w:p>
            <w:pPr>
              <w:pStyle w:val="Paragraphedeliste"/>
              <w:ind w:left="3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Presse exclue de la base de données</w:t>
            </w:r>
          </w:p>
        </w:tc>
        <w:tc>
          <w:tcPr>
            <w:tcW w:w="12474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</w:tbl>
    <w:p>
      <w:pPr>
        <w:tabs>
          <w:tab w:val="clear" w:pos="226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8"/>
          <w:szCs w:val="28"/>
          <w:u w:val="single"/>
        </w:rPr>
        <w:lastRenderedPageBreak/>
        <w:t>Sous-critère 2 : Fonctionnalité et ergonomie de l’interface de consultation, taux de disponibilité, condition de maintenance, sécurité de la plateforme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(note sur 40 </w:t>
      </w:r>
      <w:r>
        <w:rPr>
          <w:b/>
          <w:bCs/>
          <w:color w:val="000000" w:themeColor="text1"/>
          <w:sz w:val="28"/>
          <w:szCs w:val="28"/>
          <w:u w:val="single"/>
        </w:rPr>
        <w:t>ramenée à 10 et pondérée à 15% de la note totale</w:t>
      </w:r>
      <w:r>
        <w:rPr>
          <w:b/>
          <w:bCs/>
          <w:sz w:val="28"/>
          <w:szCs w:val="28"/>
          <w:u w:val="single"/>
        </w:rPr>
        <w:t>)</w:t>
      </w:r>
    </w:p>
    <w:p>
      <w:pPr>
        <w:jc w:val="both"/>
        <w:rPr>
          <w:i/>
          <w:sz w:val="22"/>
          <w:szCs w:val="22"/>
        </w:rPr>
      </w:pPr>
    </w:p>
    <w:p>
      <w:pPr>
        <w:rPr>
          <w:sz w:val="22"/>
          <w:szCs w:val="22"/>
        </w:rPr>
      </w:pPr>
    </w:p>
    <w:tbl>
      <w:tblPr>
        <w:tblStyle w:val="Grilledutableau"/>
        <w:tblW w:w="19531" w:type="dxa"/>
        <w:tblInd w:w="108" w:type="dxa"/>
        <w:tblLook w:val="04A0" w:firstRow="1" w:lastRow="0" w:firstColumn="1" w:lastColumn="0" w:noHBand="0" w:noVBand="1"/>
      </w:tblPr>
      <w:tblGrid>
        <w:gridCol w:w="7147"/>
        <w:gridCol w:w="12384"/>
      </w:tblGrid>
      <w:tr>
        <w:trPr>
          <w:trHeight w:val="518"/>
        </w:trPr>
        <w:tc>
          <w:tcPr>
            <w:tcW w:w="7147" w:type="dxa"/>
            <w:shd w:val="clear" w:color="auto" w:fill="7CCCBF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Eléments évalués</w:t>
            </w:r>
          </w:p>
        </w:tc>
        <w:tc>
          <w:tcPr>
            <w:tcW w:w="12384" w:type="dxa"/>
            <w:shd w:val="clear" w:color="auto" w:fill="7CCCBF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Réponses du candidat</w:t>
            </w:r>
          </w:p>
        </w:tc>
      </w:tr>
      <w:tr>
        <w:trPr>
          <w:trHeight w:val="1262"/>
        </w:trPr>
        <w:tc>
          <w:tcPr>
            <w:tcW w:w="7147" w:type="dxa"/>
            <w:vAlign w:val="center"/>
          </w:tcPr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Méthodologie de déploiement de l’outil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Qualité du paramétrage initial,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Fonctionnalités de recherche et performance du moteur de recherche,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Facilité de création des fichiers,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Modalités de consultations des données d’ouverture et de clic ;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Facilité à créer des relances ;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Gestion de l’hébergement des fichiers,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Paramétrage des veilles, </w:t>
            </w:r>
          </w:p>
          <w:p>
            <w:pPr>
              <w:pStyle w:val="Paragraphedeliste"/>
              <w:numPr>
                <w:ilvl w:val="0"/>
                <w:numId w:val="3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Personnalisation des profils utilisateurs. </w:t>
            </w:r>
          </w:p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Le soumissionnaire fournira une capture d’écran détaillant les principales étapes de recherche.</w:t>
            </w:r>
          </w:p>
        </w:tc>
        <w:tc>
          <w:tcPr>
            <w:tcW w:w="12384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1755"/>
        </w:trPr>
        <w:tc>
          <w:tcPr>
            <w:tcW w:w="7147" w:type="dxa"/>
            <w:vAlign w:val="center"/>
          </w:tcPr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Taux de disponibilité annuel de l’outil sur 2025, </w:t>
            </w:r>
          </w:p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Nombre de maintenances annuelles programmées, </w:t>
            </w:r>
          </w:p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Modalité de suivi des prestations (bilan, statistiques, </w:t>
            </w:r>
            <w:proofErr w:type="spellStart"/>
            <w:r>
              <w:rPr>
                <w:b/>
                <w:bCs/>
                <w:sz w:val="20"/>
                <w:szCs w:val="20"/>
              </w:rPr>
              <w:t>reporting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…) </w:t>
            </w:r>
          </w:p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Nombre d’incidents moyen sur 2025 et principaux motifs</w:t>
            </w:r>
          </w:p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Fiabilité de l’extraction des indicateurs quantitatifs et traçabilité des calculs,</w:t>
            </w:r>
          </w:p>
          <w:p>
            <w:pPr>
              <w:pStyle w:val="Paragraphedeliste"/>
              <w:numPr>
                <w:ilvl w:val="0"/>
                <w:numId w:val="34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Possibilité d’export des résultats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(PDF, Word, e-mail)</w:t>
            </w:r>
          </w:p>
        </w:tc>
        <w:tc>
          <w:tcPr>
            <w:tcW w:w="12384" w:type="dxa"/>
            <w:vAlign w:val="center"/>
          </w:tcPr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1397"/>
        </w:trPr>
        <w:tc>
          <w:tcPr>
            <w:tcW w:w="7147" w:type="dxa"/>
            <w:vAlign w:val="center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Procédure de maintenance de la base et process de garantie de la continuité de service (PCA)</w:t>
            </w:r>
          </w:p>
        </w:tc>
        <w:tc>
          <w:tcPr>
            <w:tcW w:w="1238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</w:p>
        </w:tc>
      </w:tr>
      <w:tr>
        <w:trPr>
          <w:trHeight w:val="1397"/>
        </w:trPr>
        <w:tc>
          <w:tcPr>
            <w:tcW w:w="7147" w:type="dxa"/>
            <w:vAlign w:val="center"/>
          </w:tcPr>
          <w:p>
            <w:pPr>
              <w:tabs>
                <w:tab w:val="clear" w:pos="2265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Process de sécurité de la base de données pour garantir la confidentialité des données personnelles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(sauvegarde, gestion des accès, authentification et traçabilité, confidentialité des recherches et des contenus), conformité RGPD.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84" w:type="dxa"/>
            <w:vAlign w:val="center"/>
          </w:tcPr>
          <w:p>
            <w:pPr>
              <w:tabs>
                <w:tab w:val="clear" w:pos="2265"/>
              </w:tabs>
              <w:rPr>
                <w:b/>
                <w:sz w:val="22"/>
                <w:szCs w:val="22"/>
              </w:rPr>
            </w:pPr>
          </w:p>
        </w:tc>
      </w:tr>
    </w:tbl>
    <w:p>
      <w:pPr>
        <w:jc w:val="both"/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br w:type="page"/>
      </w:r>
      <w:r>
        <w:rPr>
          <w:b/>
          <w:bCs/>
          <w:sz w:val="28"/>
          <w:szCs w:val="28"/>
          <w:u w:val="single"/>
        </w:rPr>
        <w:lastRenderedPageBreak/>
        <w:t xml:space="preserve">Sous-critère 3 : La qualité des moyens humains proposés pour chacune des prestations ainsi que l’organisation globale du marché et l’assistance technique </w:t>
      </w:r>
      <w:r>
        <w:rPr>
          <w:b/>
          <w:bCs/>
          <w:color w:val="000000" w:themeColor="text1"/>
          <w:sz w:val="28"/>
          <w:szCs w:val="28"/>
          <w:u w:val="single"/>
        </w:rPr>
        <w:t>(note sur 40 ramenée à 10 et pondérée à 10% de la note totale) ;</w:t>
      </w:r>
    </w:p>
    <w:p>
      <w:pPr>
        <w:rPr>
          <w:b/>
          <w:sz w:val="28"/>
          <w:szCs w:val="28"/>
          <w:u w:val="single"/>
        </w:rPr>
      </w:pPr>
    </w:p>
    <w:p>
      <w:pPr>
        <w:jc w:val="both"/>
        <w:rPr>
          <w:i/>
          <w:sz w:val="22"/>
          <w:szCs w:val="22"/>
        </w:rPr>
      </w:pPr>
    </w:p>
    <w:p>
      <w:pPr>
        <w:rPr>
          <w:sz w:val="22"/>
          <w:szCs w:val="22"/>
        </w:rPr>
      </w:pPr>
    </w:p>
    <w:tbl>
      <w:tblPr>
        <w:tblStyle w:val="Grilledutableau"/>
        <w:tblW w:w="19531" w:type="dxa"/>
        <w:tblInd w:w="108" w:type="dxa"/>
        <w:tblLook w:val="04A0" w:firstRow="1" w:lastRow="0" w:firstColumn="1" w:lastColumn="0" w:noHBand="0" w:noVBand="1"/>
      </w:tblPr>
      <w:tblGrid>
        <w:gridCol w:w="7147"/>
        <w:gridCol w:w="12384"/>
      </w:tblGrid>
      <w:tr>
        <w:trPr>
          <w:trHeight w:val="518"/>
        </w:trPr>
        <w:tc>
          <w:tcPr>
            <w:tcW w:w="7147" w:type="dxa"/>
            <w:shd w:val="clear" w:color="auto" w:fill="7CCCBF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Eléments évalués</w:t>
            </w:r>
          </w:p>
        </w:tc>
        <w:tc>
          <w:tcPr>
            <w:tcW w:w="12384" w:type="dxa"/>
            <w:shd w:val="clear" w:color="auto" w:fill="7CCCBF"/>
            <w:vAlign w:val="center"/>
          </w:tcPr>
          <w:p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Réponses du candidat</w:t>
            </w:r>
          </w:p>
        </w:tc>
      </w:tr>
      <w:tr>
        <w:trPr>
          <w:trHeight w:val="1262"/>
        </w:trPr>
        <w:tc>
          <w:tcPr>
            <w:tcW w:w="7147" w:type="dxa"/>
            <w:vAlign w:val="center"/>
          </w:tcPr>
          <w:p>
            <w:p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bookmarkStart w:id="0" w:name="_Hlk233203742"/>
            <w:r>
              <w:rPr>
                <w:b/>
                <w:bCs/>
                <w:sz w:val="20"/>
                <w:szCs w:val="20"/>
                <w:u w:val="single"/>
              </w:rPr>
              <w:t>Qualité des moyens humains mis à disposition pour la bonne exécution du marché sur l’ensemble des prestations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CV de l’équipe d’interlocuteurs dédiée avec profil et expériences </w:t>
            </w:r>
          </w:p>
          <w:p>
            <w:pPr>
              <w:spacing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84" w:type="dxa"/>
            <w:vAlign w:val="center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1755"/>
        </w:trPr>
        <w:tc>
          <w:tcPr>
            <w:tcW w:w="7147" w:type="dxa"/>
            <w:vAlign w:val="center"/>
          </w:tcPr>
          <w:p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L’organisation globale du marché : point d’entrée unique, gestion de la relation client, bilan annuel, comité de pilotage… </w:t>
            </w:r>
          </w:p>
        </w:tc>
        <w:tc>
          <w:tcPr>
            <w:tcW w:w="12384" w:type="dxa"/>
            <w:vAlign w:val="center"/>
          </w:tcPr>
          <w:p>
            <w:pPr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</w:tr>
      <w:tr>
        <w:trPr>
          <w:trHeight w:val="1397"/>
        </w:trPr>
        <w:tc>
          <w:tcPr>
            <w:tcW w:w="7147" w:type="dxa"/>
            <w:vAlign w:val="center"/>
          </w:tcPr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Modalité d’intervention du soumissionnaire dans le cadre de l’assistance technique et fonctionnelle aux utilisateurs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Délai de prise en charge à compter du signalement de l’incident</w:t>
            </w:r>
            <w:r>
              <w:rPr>
                <w:sz w:val="20"/>
                <w:szCs w:val="20"/>
              </w:rPr>
              <w:t xml:space="preserve">,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Qualité de la formation des utilisateurs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Modalités de formation proposées (en présentiel, en ligne…),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Support utilisateur : </w:t>
            </w:r>
            <w:r>
              <w:rPr>
                <w:b/>
                <w:bCs/>
                <w:color w:val="00B0F0"/>
                <w:sz w:val="20"/>
                <w:szCs w:val="20"/>
              </w:rPr>
              <w:t xml:space="preserve">un modèle de support sera présenté </w:t>
            </w:r>
            <w:r>
              <w:rPr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2384" w:type="dxa"/>
            <w:vAlign w:val="center"/>
          </w:tcPr>
          <w:p>
            <w:pPr>
              <w:tabs>
                <w:tab w:val="clear" w:pos="2265"/>
              </w:tabs>
              <w:rPr>
                <w:b/>
                <w:sz w:val="22"/>
                <w:szCs w:val="22"/>
              </w:rPr>
            </w:pPr>
          </w:p>
        </w:tc>
      </w:tr>
      <w:tr>
        <w:trPr>
          <w:trHeight w:val="1397"/>
        </w:trPr>
        <w:tc>
          <w:tcPr>
            <w:tcW w:w="7147" w:type="dxa"/>
            <w:vAlign w:val="center"/>
          </w:tcPr>
          <w:p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L’organisation du candidat pour assurer la réversibilité des données du marché propre à l’acheteur.</w:t>
            </w:r>
          </w:p>
        </w:tc>
        <w:tc>
          <w:tcPr>
            <w:tcW w:w="12384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</w:p>
        </w:tc>
      </w:tr>
      <w:bookmarkEnd w:id="0"/>
    </w:tbl>
    <w:p>
      <w:pPr>
        <w:jc w:val="both"/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rPr>
          <w:sz w:val="22"/>
          <w:szCs w:val="22"/>
        </w:rPr>
      </w:pPr>
    </w:p>
    <w:p>
      <w:pPr>
        <w:tabs>
          <w:tab w:val="clear" w:pos="2265"/>
        </w:tabs>
        <w:ind w:left="360" w:hanging="502"/>
        <w:rPr>
          <w:b/>
          <w:sz w:val="28"/>
          <w:szCs w:val="28"/>
        </w:rPr>
      </w:pPr>
      <w:r>
        <w:rPr>
          <w:b/>
          <w:sz w:val="28"/>
          <w:szCs w:val="28"/>
        </w:rPr>
        <w:t>Critère 3 : Démarche environnementale (note sur 20 point pondérée à 5% de la note totale, appréciée au CRT)</w:t>
      </w:r>
    </w:p>
    <w:p>
      <w:pPr>
        <w:tabs>
          <w:tab w:val="clear" w:pos="2265"/>
        </w:tabs>
        <w:ind w:left="360" w:hanging="502"/>
        <w:rPr>
          <w:b/>
          <w:sz w:val="28"/>
          <w:szCs w:val="28"/>
        </w:rPr>
      </w:pPr>
    </w:p>
    <w:p>
      <w:pPr>
        <w:tabs>
          <w:tab w:val="clear" w:pos="2265"/>
        </w:tabs>
        <w:rPr>
          <w:b/>
          <w:sz w:val="22"/>
          <w:szCs w:val="22"/>
        </w:rPr>
      </w:pPr>
    </w:p>
    <w:tbl>
      <w:tblPr>
        <w:tblStyle w:val="Grilledutableau"/>
        <w:tblW w:w="19531" w:type="dxa"/>
        <w:tblInd w:w="108" w:type="dxa"/>
        <w:tblLook w:val="04A0" w:firstRow="1" w:lastRow="0" w:firstColumn="1" w:lastColumn="0" w:noHBand="0" w:noVBand="1"/>
      </w:tblPr>
      <w:tblGrid>
        <w:gridCol w:w="7147"/>
        <w:gridCol w:w="12384"/>
      </w:tblGrid>
      <w:tr>
        <w:trPr>
          <w:trHeight w:val="612"/>
        </w:trPr>
        <w:tc>
          <w:tcPr>
            <w:tcW w:w="7147" w:type="dxa"/>
            <w:shd w:val="clear" w:color="auto" w:fill="B3EBDE"/>
            <w:vAlign w:val="center"/>
          </w:tcPr>
          <w:p>
            <w:pPr>
              <w:spacing w:line="259" w:lineRule="auto"/>
              <w:jc w:val="center"/>
              <w:rPr>
                <w:rStyle w:val="lev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Eléments évalués</w:t>
            </w:r>
          </w:p>
        </w:tc>
        <w:tc>
          <w:tcPr>
            <w:tcW w:w="12384" w:type="dxa"/>
            <w:shd w:val="clear" w:color="auto" w:fill="B3EBDE"/>
            <w:vAlign w:val="center"/>
          </w:tcPr>
          <w:p>
            <w:pPr>
              <w:tabs>
                <w:tab w:val="clear" w:pos="2265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Réponses du candidat</w:t>
            </w:r>
          </w:p>
        </w:tc>
      </w:tr>
      <w:tr>
        <w:trPr>
          <w:trHeight w:val="1262"/>
        </w:trPr>
        <w:tc>
          <w:tcPr>
            <w:tcW w:w="7147" w:type="dxa"/>
            <w:vAlign w:val="center"/>
          </w:tcPr>
          <w:p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rStyle w:val="lev"/>
                <w:sz w:val="20"/>
                <w:szCs w:val="20"/>
                <w:u w:val="single"/>
              </w:rPr>
              <w:t>Sobriété de la solution numérique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et engagement de réduction de l’empreinte numérique environnementale</w:t>
            </w:r>
            <w:r>
              <w:rPr>
                <w:rStyle w:val="lev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>
              <w:rPr>
                <w:rStyle w:val="lev"/>
                <w:sz w:val="20"/>
                <w:szCs w:val="20"/>
                <w:u w:val="single"/>
              </w:rPr>
              <w:t>proposée pour le marché</w:t>
            </w:r>
            <w:r>
              <w:rPr>
                <w:sz w:val="20"/>
                <w:szCs w:val="20"/>
              </w:rPr>
              <w:t xml:space="preserve"> : </w:t>
            </w:r>
          </w:p>
          <w:p>
            <w:p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Optimisation des volumes de données stockées et transférées,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Qualité environnementale de l’hébergement,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Modalités de gestion de la consommation d’énergie mise en œuvre,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Style w:val="lev"/>
                <w:sz w:val="20"/>
                <w:szCs w:val="20"/>
              </w:rPr>
              <w:t>ématérialisation des livrables,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Référentiels utilisés :  label ou certification environnementale (RGESN, ISO 14001,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ISO 50001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etc.),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Stratégie RSE en lien avec l’objet du marché et ses conditions d’exécution,</w:t>
            </w:r>
          </w:p>
          <w:p>
            <w:pPr>
              <w:pStyle w:val="Paragraphedeliste"/>
              <w:numPr>
                <w:ilvl w:val="0"/>
                <w:numId w:val="35"/>
              </w:num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Actions de sensibilisation des utilisateurs.</w:t>
            </w:r>
          </w:p>
        </w:tc>
        <w:tc>
          <w:tcPr>
            <w:tcW w:w="12384" w:type="dxa"/>
            <w:vAlign w:val="center"/>
          </w:tcPr>
          <w:p>
            <w:pPr>
              <w:tabs>
                <w:tab w:val="clear" w:pos="2265"/>
              </w:tabs>
              <w:rPr>
                <w:sz w:val="22"/>
                <w:szCs w:val="22"/>
              </w:rPr>
            </w:pPr>
          </w:p>
        </w:tc>
      </w:tr>
      <w:tr>
        <w:trPr>
          <w:trHeight w:val="1755"/>
        </w:trPr>
        <w:tc>
          <w:tcPr>
            <w:tcW w:w="7147" w:type="dxa"/>
            <w:vAlign w:val="center"/>
          </w:tcPr>
          <w:p>
            <w:pPr>
              <w:spacing w:line="259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Moyens de transport mis en œuvre dans le cadre de l’assistance technique (transport en commun, véhicules décarbonés,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maintenance à distance pour réduire les déplacements.)  </w:t>
            </w:r>
          </w:p>
        </w:tc>
        <w:tc>
          <w:tcPr>
            <w:tcW w:w="12384" w:type="dxa"/>
            <w:vAlign w:val="center"/>
          </w:tcPr>
          <w:p>
            <w:pPr>
              <w:rPr>
                <w:sz w:val="22"/>
                <w:szCs w:val="22"/>
              </w:rPr>
            </w:pPr>
          </w:p>
          <w:p>
            <w:pPr>
              <w:jc w:val="both"/>
              <w:rPr>
                <w:sz w:val="22"/>
                <w:szCs w:val="22"/>
              </w:rPr>
            </w:pPr>
          </w:p>
        </w:tc>
      </w:tr>
    </w:tbl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p>
      <w:pPr>
        <w:tabs>
          <w:tab w:val="clear" w:pos="2265"/>
        </w:tabs>
        <w:rPr>
          <w:b/>
          <w:sz w:val="22"/>
          <w:szCs w:val="22"/>
          <w:u w:val="single"/>
        </w:rPr>
      </w:pPr>
    </w:p>
    <w:sectPr>
      <w:footerReference w:type="default" r:id="rId11"/>
      <w:headerReference w:type="first" r:id="rId12"/>
      <w:footerReference w:type="first" r:id="rId13"/>
      <w:pgSz w:w="23811" w:h="16838" w:orient="landscape" w:code="8"/>
      <w:pgMar w:top="709" w:right="993" w:bottom="709" w:left="993" w:header="720" w:footer="31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07047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>
    <w:pPr>
      <w:pStyle w:val="Pieddepage"/>
      <w:rPr>
        <w:sz w:val="20"/>
        <w:szCs w:val="20"/>
      </w:rPr>
    </w:pPr>
    <w:r>
      <w:rPr>
        <w:sz w:val="20"/>
        <w:szCs w:val="20"/>
      </w:rPr>
      <w:t>Consultation BAMAC 2026_362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  <w:p>
    <w:pPr>
      <w:pStyle w:val="En-tte"/>
    </w:pPr>
    <w:r>
      <w:rPr>
        <w:noProof/>
      </w:rPr>
      <w:drawing>
        <wp:inline distT="0" distB="0" distL="0" distR="0">
          <wp:extent cx="2147777" cy="1691954"/>
          <wp:effectExtent l="0" t="0" r="5080" b="381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8301" cy="170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1329C"/>
    <w:multiLevelType w:val="hybridMultilevel"/>
    <w:tmpl w:val="B510D324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C3A187E"/>
    <w:multiLevelType w:val="hybridMultilevel"/>
    <w:tmpl w:val="84FAD7F8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E8163D7"/>
    <w:multiLevelType w:val="hybridMultilevel"/>
    <w:tmpl w:val="81CCE302"/>
    <w:lvl w:ilvl="0" w:tplc="78E8C2D2">
      <w:numFmt w:val="bullet"/>
      <w:lvlText w:val=""/>
      <w:lvlJc w:val="left"/>
      <w:pPr>
        <w:ind w:left="535" w:hanging="360"/>
      </w:pPr>
      <w:rPr>
        <w:rFonts w:ascii="Symbol" w:eastAsia="Times New Roman" w:hAnsi="Symbol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20174CC0"/>
    <w:multiLevelType w:val="hybridMultilevel"/>
    <w:tmpl w:val="BD8AD2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9D8"/>
    <w:multiLevelType w:val="hybridMultilevel"/>
    <w:tmpl w:val="2CE47A4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0C5DBB"/>
    <w:multiLevelType w:val="hybridMultilevel"/>
    <w:tmpl w:val="37E847D2"/>
    <w:lvl w:ilvl="0" w:tplc="53E26452">
      <w:numFmt w:val="bullet"/>
      <w:lvlText w:val=""/>
      <w:lvlJc w:val="left"/>
      <w:pPr>
        <w:ind w:left="394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241D321C"/>
    <w:multiLevelType w:val="hybridMultilevel"/>
    <w:tmpl w:val="8D30E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11" w15:restartNumberingAfterBreak="0">
    <w:nsid w:val="350F503B"/>
    <w:multiLevelType w:val="hybridMultilevel"/>
    <w:tmpl w:val="426C7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12455A0"/>
    <w:multiLevelType w:val="hybridMultilevel"/>
    <w:tmpl w:val="3C04B3AC"/>
    <w:lvl w:ilvl="0" w:tplc="0EA8C2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F1356F6"/>
    <w:multiLevelType w:val="hybridMultilevel"/>
    <w:tmpl w:val="511C16F2"/>
    <w:lvl w:ilvl="0" w:tplc="62EC6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27B1B"/>
    <w:multiLevelType w:val="hybridMultilevel"/>
    <w:tmpl w:val="AF780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46DB7"/>
    <w:multiLevelType w:val="hybridMultilevel"/>
    <w:tmpl w:val="B994FE10"/>
    <w:lvl w:ilvl="0" w:tplc="17069C1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B05A6F"/>
    <w:multiLevelType w:val="hybridMultilevel"/>
    <w:tmpl w:val="FC2E233C"/>
    <w:lvl w:ilvl="0" w:tplc="AC34B6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77776"/>
    <w:multiLevelType w:val="hybridMultilevel"/>
    <w:tmpl w:val="3716BA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75B0C"/>
    <w:multiLevelType w:val="hybridMultilevel"/>
    <w:tmpl w:val="8F02DE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B6530"/>
    <w:multiLevelType w:val="hybridMultilevel"/>
    <w:tmpl w:val="25FA73F6"/>
    <w:lvl w:ilvl="0" w:tplc="8E1C5C08">
      <w:numFmt w:val="bullet"/>
      <w:lvlText w:val=""/>
      <w:lvlJc w:val="left"/>
      <w:pPr>
        <w:ind w:left="895" w:hanging="360"/>
      </w:pPr>
      <w:rPr>
        <w:rFonts w:ascii="Wingdings" w:eastAsia="Times New Roman" w:hAnsi="Wingding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 w15:restartNumberingAfterBreak="0">
    <w:nsid w:val="65AA7656"/>
    <w:multiLevelType w:val="hybridMultilevel"/>
    <w:tmpl w:val="435EC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D325B"/>
    <w:multiLevelType w:val="hybridMultilevel"/>
    <w:tmpl w:val="F5A41F7C"/>
    <w:lvl w:ilvl="0" w:tplc="3C9A58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7"/>
  </w:num>
  <w:num w:numId="4">
    <w:abstractNumId w:val="14"/>
  </w:num>
  <w:num w:numId="5">
    <w:abstractNumId w:val="19"/>
  </w:num>
  <w:num w:numId="6">
    <w:abstractNumId w:val="10"/>
  </w:num>
  <w:num w:numId="7">
    <w:abstractNumId w:val="34"/>
  </w:num>
  <w:num w:numId="8">
    <w:abstractNumId w:val="1"/>
  </w:num>
  <w:num w:numId="9">
    <w:abstractNumId w:val="18"/>
  </w:num>
  <w:num w:numId="10">
    <w:abstractNumId w:val="12"/>
  </w:num>
  <w:num w:numId="11">
    <w:abstractNumId w:val="31"/>
  </w:num>
  <w:num w:numId="12">
    <w:abstractNumId w:val="17"/>
  </w:num>
  <w:num w:numId="13">
    <w:abstractNumId w:val="32"/>
  </w:num>
  <w:num w:numId="14">
    <w:abstractNumId w:val="33"/>
  </w:num>
  <w:num w:numId="15">
    <w:abstractNumId w:val="30"/>
  </w:num>
  <w:num w:numId="16">
    <w:abstractNumId w:val="8"/>
  </w:num>
  <w:num w:numId="17">
    <w:abstractNumId w:val="16"/>
  </w:num>
  <w:num w:numId="18">
    <w:abstractNumId w:val="23"/>
  </w:num>
  <w:num w:numId="19">
    <w:abstractNumId w:val="6"/>
  </w:num>
  <w:num w:numId="20">
    <w:abstractNumId w:val="2"/>
  </w:num>
  <w:num w:numId="21">
    <w:abstractNumId w:val="3"/>
  </w:num>
  <w:num w:numId="22">
    <w:abstractNumId w:val="28"/>
  </w:num>
  <w:num w:numId="23">
    <w:abstractNumId w:val="24"/>
  </w:num>
  <w:num w:numId="24">
    <w:abstractNumId w:val="5"/>
  </w:num>
  <w:num w:numId="25">
    <w:abstractNumId w:val="26"/>
  </w:num>
  <w:num w:numId="26">
    <w:abstractNumId w:val="15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 w:numId="31">
    <w:abstractNumId w:val="29"/>
  </w:num>
  <w:num w:numId="32">
    <w:abstractNumId w:val="0"/>
  </w:num>
  <w:num w:numId="33">
    <w:abstractNumId w:val="4"/>
  </w:num>
  <w:num w:numId="34">
    <w:abstractNumId w:val="7"/>
  </w:num>
  <w:num w:numId="3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DBD9B26A-ED57-41AE-B7BC-E4B099A0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360"/>
      <w:jc w:val="both"/>
    </w:pPr>
  </w:style>
  <w:style w:type="paragraph" w:styleId="Retraitcorpsdetexte2">
    <w:name w:val="Body Text Indent 2"/>
    <w:basedOn w:val="Normal"/>
    <w:pPr>
      <w:ind w:left="1068"/>
      <w:jc w:val="both"/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left="360"/>
      <w:jc w:val="both"/>
    </w:pPr>
  </w:style>
  <w:style w:type="paragraph" w:styleId="Normalcentr">
    <w:name w:val="Block Text"/>
    <w:basedOn w:val="Normal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pPr>
      <w:jc w:val="both"/>
    </w:pPr>
    <w:rPr>
      <w:sz w:val="18"/>
    </w:rPr>
  </w:style>
  <w:style w:type="character" w:customStyle="1" w:styleId="Fort">
    <w:name w:val="Fort"/>
    <w:rPr>
      <w:b/>
      <w:bCs w:val="0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basedOn w:val="Policepardfaut"/>
    <w:link w:val="Commentaire"/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Pr>
      <w:rFonts w:ascii="Arial" w:hAnsi="Arial" w:cs="Arial"/>
      <w:b/>
      <w:bCs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Pr>
      <w:rFonts w:ascii="Arial" w:hAnsi="Arial" w:cs="Arial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4501d-9596-4f04-96a9-6061aa836e31" xsi:nil="true"/>
    <lcf76f155ced4ddcb4097134ff3c332f xmlns="8cd19967-dc7c-4d5a-a4f5-00dd6a8624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D7D8A72476148A859A8D6257A80CC" ma:contentTypeVersion="9" ma:contentTypeDescription="Crée un document." ma:contentTypeScope="" ma:versionID="5588843d4c6c1236304c06e3c6031b3c">
  <xsd:schema xmlns:xsd="http://www.w3.org/2001/XMLSchema" xmlns:xs="http://www.w3.org/2001/XMLSchema" xmlns:p="http://schemas.microsoft.com/office/2006/metadata/properties" xmlns:ns2="8cd19967-dc7c-4d5a-a4f5-00dd6a862467" xmlns:ns3="ad84501d-9596-4f04-96a9-6061aa836e31" targetNamespace="http://schemas.microsoft.com/office/2006/metadata/properties" ma:root="true" ma:fieldsID="abbc7ed9dc17dba57e161235da05d141" ns2:_="" ns3:_="">
    <xsd:import namespace="8cd19967-dc7c-4d5a-a4f5-00dd6a862467"/>
    <xsd:import namespace="ad84501d-9596-4f04-96a9-6061aa836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19967-dc7c-4d5a-a4f5-00dd6a862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c775635c-929f-420b-bbf0-50c23f8d5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4501d-9596-4f04-96a9-6061aa836e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2ef973-b42d-4204-ba9f-f141b0e07134}" ma:internalName="TaxCatchAll" ma:showField="CatchAllData" ma:web="ad84501d-9596-4f04-96a9-6061aa836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BF03E-51C5-4CF4-AEC7-496A2E946157}">
  <ds:schemaRefs>
    <ds:schemaRef ds:uri="http://schemas.microsoft.com/office/2006/metadata/properties"/>
    <ds:schemaRef ds:uri="http://schemas.microsoft.com/office/infopath/2007/PartnerControls"/>
    <ds:schemaRef ds:uri="ad84501d-9596-4f04-96a9-6061aa836e31"/>
    <ds:schemaRef ds:uri="8cd19967-dc7c-4d5a-a4f5-00dd6a862467"/>
  </ds:schemaRefs>
</ds:datastoreItem>
</file>

<file path=customXml/itemProps2.xml><?xml version="1.0" encoding="utf-8"?>
<ds:datastoreItem xmlns:ds="http://schemas.openxmlformats.org/officeDocument/2006/customXml" ds:itemID="{CD13A09E-C6FB-46F8-A65B-0B4C27D34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8FE3A-4506-4ACB-9B26-5FC7E9E83D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9D3B5-E1F0-4E5E-B9FF-9508D30BD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19967-dc7c-4d5a-a4f5-00dd6a862467"/>
    <ds:schemaRef ds:uri="ad84501d-9596-4f04-96a9-6061aa836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1209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creator>MZozi</dc:creator>
  <cp:lastModifiedBy>IMPE Fabienne</cp:lastModifiedBy>
  <cp:revision>36</cp:revision>
  <cp:lastPrinted>2021-08-31T14:48:00Z</cp:lastPrinted>
  <dcterms:created xsi:type="dcterms:W3CDTF">2026-07-31T08:19:00Z</dcterms:created>
  <dcterms:modified xsi:type="dcterms:W3CDTF">2026-08-07T07:01:00Z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0x010100CCFD7D8A72476148A859A8D6257A80CC</vt:lpwstr>
  </property>
  <property fmtid="{D5CDD505-2E9C-101B-9397-08002B2CF9AE}" pid="3" name="MediaServiceImageTags">
    <vt:lpwstr/>
  </property>
</Properties>
</file>