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147A7" w14:textId="77777777" w:rsidR="00141C00" w:rsidRDefault="00FD52A4">
      <w:pPr>
        <w:spacing w:after="360"/>
        <w:jc w:val="center"/>
      </w:pPr>
      <w:r>
        <w:rPr>
          <w:noProof/>
        </w:rPr>
        <w:drawing>
          <wp:inline distT="0" distB="0" distL="0" distR="0" wp14:anchorId="64E4783F" wp14:editId="2BE5EE1E">
            <wp:extent cx="3456000" cy="1556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dt_logo_template.png"/>
                    <pic:cNvPicPr/>
                  </pic:nvPicPr>
                  <pic:blipFill>
                    <a:blip r:embed="rId8"/>
                    <a:stretch>
                      <a:fillRect/>
                    </a:stretch>
                  </pic:blipFill>
                  <pic:spPr>
                    <a:xfrm>
                      <a:off x="0" y="0"/>
                      <a:ext cx="3456000" cy="1556060"/>
                    </a:xfrm>
                    <a:prstGeom prst="rect">
                      <a:avLst/>
                    </a:prstGeom>
                  </pic:spPr>
                </pic:pic>
              </a:graphicData>
            </a:graphic>
          </wp:inline>
        </w:drawing>
      </w:r>
    </w:p>
    <w:p w14:paraId="4BD686B8" w14:textId="77777777" w:rsidR="00141C00" w:rsidRPr="007104F6" w:rsidRDefault="00FD52A4">
      <w:pPr>
        <w:spacing w:after="440"/>
        <w:rPr>
          <w:lang w:val="fr-FR"/>
        </w:rPr>
      </w:pPr>
      <w:r w:rsidRPr="007104F6">
        <w:rPr>
          <w:lang w:val="fr-FR"/>
        </w:rPr>
        <w:t>Référence de la consultation : S2604</w:t>
      </w:r>
    </w:p>
    <w:p w14:paraId="7FFB0B65" w14:textId="77777777" w:rsidR="00141C00" w:rsidRPr="007104F6" w:rsidRDefault="00FD52A4">
      <w:pPr>
        <w:spacing w:before="640" w:after="280"/>
        <w:jc w:val="center"/>
        <w:rPr>
          <w:lang w:val="fr-FR"/>
        </w:rPr>
      </w:pPr>
      <w:r w:rsidRPr="007104F6">
        <w:rPr>
          <w:b/>
          <w:lang w:val="fr-FR"/>
        </w:rPr>
        <w:t>RÈGLEMENT DE LA CONSULTATION</w:t>
      </w:r>
    </w:p>
    <w:p w14:paraId="404FA713" w14:textId="77777777" w:rsidR="00985199" w:rsidRDefault="00985199">
      <w:pPr>
        <w:spacing w:after="280"/>
        <w:jc w:val="center"/>
        <w:rPr>
          <w:b/>
          <w:lang w:val="fr-FR"/>
        </w:rPr>
      </w:pPr>
      <w:r w:rsidRPr="00985199">
        <w:rPr>
          <w:b/>
          <w:lang w:val="fr-FR"/>
        </w:rPr>
        <w:t>Marché relatif à la mise en place et à l’exploitation de solutions de gestion des ressources humaines et de préparation de la paie</w:t>
      </w:r>
    </w:p>
    <w:p w14:paraId="282451BC" w14:textId="03F74646" w:rsidR="00141C00" w:rsidRPr="007104F6" w:rsidRDefault="00FD52A4">
      <w:pPr>
        <w:spacing w:after="280"/>
        <w:jc w:val="center"/>
        <w:rPr>
          <w:lang w:val="fr-FR"/>
        </w:rPr>
      </w:pPr>
      <w:r w:rsidRPr="007104F6">
        <w:rPr>
          <w:lang w:val="fr-FR"/>
        </w:rPr>
        <w:t>Appel d’offres ouvert - Deux lots - Accord-cadre composite mono-attributaire par lot</w:t>
      </w:r>
    </w:p>
    <w:p w14:paraId="27797C83" w14:textId="77777777" w:rsidR="00141C00" w:rsidRPr="007104F6" w:rsidRDefault="00FD52A4">
      <w:pPr>
        <w:spacing w:before="160" w:after="80"/>
        <w:jc w:val="center"/>
        <w:rPr>
          <w:lang w:val="fr-FR"/>
        </w:rPr>
      </w:pPr>
      <w:r w:rsidRPr="007104F6">
        <w:rPr>
          <w:b/>
          <w:lang w:val="fr-FR"/>
        </w:rPr>
        <w:t>DATE ET HEURE LIMITES DE RÉCEPTION DES OFFRES</w:t>
      </w:r>
    </w:p>
    <w:p w14:paraId="7AAA6290" w14:textId="4FB1EC99" w:rsidR="00141C00" w:rsidRPr="007104F6" w:rsidRDefault="00B1041E">
      <w:pPr>
        <w:spacing w:after="360"/>
        <w:jc w:val="center"/>
        <w:rPr>
          <w:lang w:val="fr-FR"/>
        </w:rPr>
      </w:pPr>
      <w:r w:rsidRPr="00B1041E">
        <w:rPr>
          <w:b/>
          <w:lang w:val="fr-FR"/>
        </w:rPr>
        <w:t xml:space="preserve">Lundi 7 septembre 2026 à 12 h 00 </w:t>
      </w:r>
      <w:r w:rsidR="00FD52A4" w:rsidRPr="007104F6">
        <w:rPr>
          <w:b/>
          <w:lang w:val="fr-FR"/>
        </w:rPr>
        <w:t>(heure de Paris)</w:t>
      </w:r>
    </w:p>
    <w:p w14:paraId="75941842" w14:textId="77777777" w:rsidR="00141C00" w:rsidRPr="007104F6" w:rsidRDefault="00141C00">
      <w:pPr>
        <w:rPr>
          <w:lang w:val="fr-FR"/>
        </w:rPr>
      </w:pPr>
    </w:p>
    <w:p w14:paraId="459BFF9C" w14:textId="77777777" w:rsidR="00141C00" w:rsidRPr="007104F6" w:rsidRDefault="00FD52A4">
      <w:pPr>
        <w:rPr>
          <w:lang w:val="fr-FR"/>
        </w:rPr>
      </w:pPr>
      <w:r w:rsidRPr="007104F6">
        <w:rPr>
          <w:lang w:val="fr-FR"/>
        </w:rPr>
        <w:br w:type="page"/>
      </w:r>
    </w:p>
    <w:p w14:paraId="0CA9CD41" w14:textId="77777777" w:rsidR="00141C00" w:rsidRPr="007104F6" w:rsidRDefault="00FD52A4">
      <w:pPr>
        <w:pStyle w:val="Titre1"/>
        <w:pageBreakBefore/>
        <w:spacing w:before="0"/>
        <w:rPr>
          <w:lang w:val="fr-FR"/>
        </w:rPr>
      </w:pPr>
      <w:r w:rsidRPr="007104F6">
        <w:rPr>
          <w:lang w:val="fr-FR"/>
        </w:rPr>
        <w:lastRenderedPageBreak/>
        <w:t>SOMMAIRE</w:t>
      </w:r>
    </w:p>
    <w:p w14:paraId="6933F853" w14:textId="77777777" w:rsidR="00141C00" w:rsidRPr="007104F6" w:rsidRDefault="00FD52A4">
      <w:pPr>
        <w:pStyle w:val="BulletCompact"/>
        <w:jc w:val="both"/>
        <w:rPr>
          <w:lang w:val="fr-FR"/>
        </w:rPr>
      </w:pPr>
      <w:r w:rsidRPr="007104F6">
        <w:rPr>
          <w:lang w:val="fr-FR"/>
        </w:rPr>
        <w:t>• Article 1 - Objet de la consultation et contexte</w:t>
      </w:r>
    </w:p>
    <w:p w14:paraId="09CA6D76" w14:textId="77777777" w:rsidR="00141C00" w:rsidRPr="007104F6" w:rsidRDefault="00FD52A4">
      <w:pPr>
        <w:pStyle w:val="BulletCompact"/>
        <w:jc w:val="both"/>
        <w:rPr>
          <w:lang w:val="fr-FR"/>
        </w:rPr>
      </w:pPr>
      <w:r w:rsidRPr="007104F6">
        <w:rPr>
          <w:lang w:val="fr-FR"/>
        </w:rPr>
        <w:t>• Article 2 - Acheteur, procédure et calendrier prévisionnel</w:t>
      </w:r>
    </w:p>
    <w:p w14:paraId="35D5EB29" w14:textId="77777777" w:rsidR="00141C00" w:rsidRPr="007104F6" w:rsidRDefault="00FD52A4">
      <w:pPr>
        <w:pStyle w:val="BulletCompact"/>
        <w:jc w:val="both"/>
        <w:rPr>
          <w:lang w:val="fr-FR"/>
        </w:rPr>
      </w:pPr>
      <w:r w:rsidRPr="007104F6">
        <w:rPr>
          <w:lang w:val="fr-FR"/>
        </w:rPr>
        <w:t>• Article 3 - Allotissement et forme contractuelle</w:t>
      </w:r>
    </w:p>
    <w:p w14:paraId="6AAB4C93" w14:textId="77777777" w:rsidR="00141C00" w:rsidRPr="007104F6" w:rsidRDefault="00FD52A4">
      <w:pPr>
        <w:pStyle w:val="BulletCompact"/>
        <w:jc w:val="both"/>
        <w:rPr>
          <w:lang w:val="fr-FR"/>
        </w:rPr>
      </w:pPr>
      <w:r w:rsidRPr="007104F6">
        <w:rPr>
          <w:lang w:val="fr-FR"/>
        </w:rPr>
        <w:t>• Article 4 - Durée, reconductions et calendrier d’exécution</w:t>
      </w:r>
    </w:p>
    <w:p w14:paraId="48A58496" w14:textId="77777777" w:rsidR="00141C00" w:rsidRPr="007104F6" w:rsidRDefault="00FD52A4">
      <w:pPr>
        <w:pStyle w:val="BulletCompact"/>
        <w:jc w:val="both"/>
        <w:rPr>
          <w:lang w:val="fr-FR"/>
        </w:rPr>
      </w:pPr>
      <w:r w:rsidRPr="007104F6">
        <w:rPr>
          <w:lang w:val="fr-FR"/>
        </w:rPr>
        <w:t>• Article 5 - Dossier de consultation</w:t>
      </w:r>
    </w:p>
    <w:p w14:paraId="10DC3886" w14:textId="77777777" w:rsidR="00141C00" w:rsidRPr="007104F6" w:rsidRDefault="00FD52A4">
      <w:pPr>
        <w:pStyle w:val="BulletCompact"/>
        <w:jc w:val="both"/>
        <w:rPr>
          <w:lang w:val="fr-FR"/>
        </w:rPr>
      </w:pPr>
      <w:r w:rsidRPr="007104F6">
        <w:rPr>
          <w:lang w:val="fr-FR"/>
        </w:rPr>
        <w:t>• Article 6 - Variantes, prestations supplémentaires et offres globales</w:t>
      </w:r>
    </w:p>
    <w:p w14:paraId="6B7131D6" w14:textId="77777777" w:rsidR="00141C00" w:rsidRPr="007104F6" w:rsidRDefault="00FD52A4">
      <w:pPr>
        <w:pStyle w:val="BulletCompact"/>
        <w:jc w:val="both"/>
        <w:rPr>
          <w:lang w:val="fr-FR"/>
        </w:rPr>
      </w:pPr>
      <w:r w:rsidRPr="007104F6">
        <w:rPr>
          <w:lang w:val="fr-FR"/>
        </w:rPr>
        <w:t>• Article 7 - Modifications du DCE et renseignements complémentaires</w:t>
      </w:r>
    </w:p>
    <w:p w14:paraId="7091D1AE" w14:textId="77777777" w:rsidR="00141C00" w:rsidRPr="007104F6" w:rsidRDefault="00FD52A4">
      <w:pPr>
        <w:pStyle w:val="BulletCompact"/>
        <w:jc w:val="both"/>
        <w:rPr>
          <w:lang w:val="fr-FR"/>
        </w:rPr>
      </w:pPr>
      <w:r w:rsidRPr="007104F6">
        <w:rPr>
          <w:lang w:val="fr-FR"/>
        </w:rPr>
        <w:t>• Article 8 - Présentation des candidatures</w:t>
      </w:r>
    </w:p>
    <w:p w14:paraId="2525F2A1" w14:textId="77777777" w:rsidR="00141C00" w:rsidRPr="007104F6" w:rsidRDefault="00FD52A4">
      <w:pPr>
        <w:pStyle w:val="BulletCompact"/>
        <w:jc w:val="both"/>
        <w:rPr>
          <w:lang w:val="fr-FR"/>
        </w:rPr>
      </w:pPr>
      <w:r w:rsidRPr="007104F6">
        <w:rPr>
          <w:lang w:val="fr-FR"/>
        </w:rPr>
        <w:t>• Article 9 - Contenu et présentation des offres</w:t>
      </w:r>
    </w:p>
    <w:p w14:paraId="3BD9CC0D" w14:textId="77777777" w:rsidR="00141C00" w:rsidRPr="007104F6" w:rsidRDefault="00FD52A4">
      <w:pPr>
        <w:pStyle w:val="BulletCompact"/>
        <w:jc w:val="both"/>
        <w:rPr>
          <w:lang w:val="fr-FR"/>
        </w:rPr>
      </w:pPr>
      <w:r w:rsidRPr="007104F6">
        <w:rPr>
          <w:lang w:val="fr-FR"/>
        </w:rPr>
        <w:t>• Article 10 - Examen des candidatures et des offres</w:t>
      </w:r>
    </w:p>
    <w:p w14:paraId="2D75E617" w14:textId="77777777" w:rsidR="00141C00" w:rsidRPr="007104F6" w:rsidRDefault="00FD52A4">
      <w:pPr>
        <w:pStyle w:val="BulletCompact"/>
        <w:jc w:val="both"/>
        <w:rPr>
          <w:lang w:val="fr-FR"/>
        </w:rPr>
      </w:pPr>
      <w:r w:rsidRPr="007104F6">
        <w:rPr>
          <w:lang w:val="fr-FR"/>
        </w:rPr>
        <w:t>• Article 11 - Critères d’attribution du lot n° 1</w:t>
      </w:r>
    </w:p>
    <w:p w14:paraId="1F08D241" w14:textId="77777777" w:rsidR="00141C00" w:rsidRPr="007104F6" w:rsidRDefault="00FD52A4">
      <w:pPr>
        <w:pStyle w:val="BulletCompact"/>
        <w:jc w:val="both"/>
        <w:rPr>
          <w:lang w:val="fr-FR"/>
        </w:rPr>
      </w:pPr>
      <w:r w:rsidRPr="007104F6">
        <w:rPr>
          <w:lang w:val="fr-FR"/>
        </w:rPr>
        <w:t>• Article 12 - Critères d’attribution du lot n° 2</w:t>
      </w:r>
    </w:p>
    <w:p w14:paraId="3076CF8C" w14:textId="77777777" w:rsidR="00141C00" w:rsidRPr="007104F6" w:rsidRDefault="00FD52A4">
      <w:pPr>
        <w:pStyle w:val="BulletCompact"/>
        <w:jc w:val="both"/>
        <w:rPr>
          <w:lang w:val="fr-FR"/>
        </w:rPr>
      </w:pPr>
      <w:r w:rsidRPr="007104F6">
        <w:rPr>
          <w:lang w:val="fr-FR"/>
        </w:rPr>
        <w:t>• Article 13 - Méthode d’analyse du prix</w:t>
      </w:r>
    </w:p>
    <w:p w14:paraId="5904EFB8" w14:textId="77777777" w:rsidR="00141C00" w:rsidRPr="007104F6" w:rsidRDefault="00FD52A4">
      <w:pPr>
        <w:pStyle w:val="BulletCompact"/>
        <w:jc w:val="both"/>
        <w:rPr>
          <w:lang w:val="fr-FR"/>
        </w:rPr>
      </w:pPr>
      <w:r w:rsidRPr="007104F6">
        <w:rPr>
          <w:lang w:val="fr-FR"/>
        </w:rPr>
        <w:t>• Article 14 - Négociation, précisions et régularisation</w:t>
      </w:r>
    </w:p>
    <w:p w14:paraId="2D6D5916" w14:textId="77777777" w:rsidR="00141C00" w:rsidRPr="007104F6" w:rsidRDefault="00FD52A4">
      <w:pPr>
        <w:pStyle w:val="BulletCompact"/>
        <w:jc w:val="both"/>
        <w:rPr>
          <w:lang w:val="fr-FR"/>
        </w:rPr>
      </w:pPr>
      <w:r w:rsidRPr="007104F6">
        <w:rPr>
          <w:lang w:val="fr-FR"/>
        </w:rPr>
        <w:t>• Article 15 - Attribution et pièces du candidat pressenti</w:t>
      </w:r>
    </w:p>
    <w:p w14:paraId="56FF6267" w14:textId="77777777" w:rsidR="00141C00" w:rsidRPr="007104F6" w:rsidRDefault="00FD52A4">
      <w:pPr>
        <w:pStyle w:val="BulletCompact"/>
        <w:jc w:val="both"/>
        <w:rPr>
          <w:lang w:val="fr-FR"/>
        </w:rPr>
      </w:pPr>
      <w:r w:rsidRPr="007104F6">
        <w:rPr>
          <w:lang w:val="fr-FR"/>
        </w:rPr>
        <w:t>• Article 16 - Transmission électronique des plis</w:t>
      </w:r>
    </w:p>
    <w:p w14:paraId="1E6EF937" w14:textId="77777777" w:rsidR="00141C00" w:rsidRPr="007104F6" w:rsidRDefault="00FD52A4">
      <w:pPr>
        <w:pStyle w:val="BulletCompact"/>
        <w:jc w:val="both"/>
        <w:rPr>
          <w:lang w:val="fr-FR"/>
        </w:rPr>
      </w:pPr>
      <w:r w:rsidRPr="007104F6">
        <w:rPr>
          <w:lang w:val="fr-FR"/>
        </w:rPr>
        <w:t>• Article 17 - Copie de sauvegarde</w:t>
      </w:r>
    </w:p>
    <w:p w14:paraId="225B66C2" w14:textId="77777777" w:rsidR="00141C00" w:rsidRPr="007104F6" w:rsidRDefault="00FD52A4">
      <w:pPr>
        <w:pStyle w:val="BulletCompact"/>
        <w:jc w:val="both"/>
        <w:rPr>
          <w:lang w:val="fr-FR"/>
        </w:rPr>
      </w:pPr>
      <w:r w:rsidRPr="007104F6">
        <w:rPr>
          <w:lang w:val="fr-FR"/>
        </w:rPr>
        <w:t>• Article 18 - Confidentialité, données et secret des affaires</w:t>
      </w:r>
    </w:p>
    <w:p w14:paraId="2781E7A9" w14:textId="77777777" w:rsidR="00141C00" w:rsidRPr="007104F6" w:rsidRDefault="00FD52A4">
      <w:pPr>
        <w:pStyle w:val="BulletCompact"/>
        <w:jc w:val="both"/>
        <w:rPr>
          <w:lang w:val="fr-FR"/>
        </w:rPr>
      </w:pPr>
      <w:r w:rsidRPr="007104F6">
        <w:rPr>
          <w:lang w:val="fr-FR"/>
        </w:rPr>
        <w:t>• Article 19 - Abandon de la procédure et condition budgétaire</w:t>
      </w:r>
    </w:p>
    <w:p w14:paraId="3DA1074D" w14:textId="77777777" w:rsidR="00141C00" w:rsidRPr="007104F6" w:rsidRDefault="00FD52A4">
      <w:pPr>
        <w:pStyle w:val="BulletCompact"/>
        <w:jc w:val="both"/>
        <w:rPr>
          <w:lang w:val="fr-FR"/>
        </w:rPr>
      </w:pPr>
      <w:r w:rsidRPr="007104F6">
        <w:rPr>
          <w:lang w:val="fr-FR"/>
        </w:rPr>
        <w:t>• Article 20 - Voies et délais de recours</w:t>
      </w:r>
    </w:p>
    <w:p w14:paraId="65A1E4B2" w14:textId="77777777" w:rsidR="00141C00" w:rsidRPr="007104F6" w:rsidRDefault="00FD52A4">
      <w:pPr>
        <w:pStyle w:val="BulletCompact"/>
        <w:jc w:val="both"/>
        <w:rPr>
          <w:lang w:val="fr-FR"/>
        </w:rPr>
      </w:pPr>
      <w:r w:rsidRPr="007104F6">
        <w:rPr>
          <w:lang w:val="fr-FR"/>
        </w:rPr>
        <w:t>• Annexe 1 - Plan imposé du mémoire technique</w:t>
      </w:r>
    </w:p>
    <w:p w14:paraId="0ECF64B2" w14:textId="77777777" w:rsidR="00141C00" w:rsidRPr="007104F6" w:rsidRDefault="00FD52A4">
      <w:pPr>
        <w:pStyle w:val="BulletCompact"/>
        <w:jc w:val="both"/>
        <w:rPr>
          <w:lang w:val="fr-FR"/>
        </w:rPr>
      </w:pPr>
      <w:r w:rsidRPr="00575D3C">
        <w:rPr>
          <w:lang w:val="fr-FR"/>
        </w:rPr>
        <w:t>• Annexe 2 - Échelle commune de notation des critères qualitatifs</w:t>
      </w:r>
    </w:p>
    <w:p w14:paraId="4556C6F2" w14:textId="77777777" w:rsidR="00141C00" w:rsidRPr="007104F6" w:rsidRDefault="00FD52A4">
      <w:pPr>
        <w:rPr>
          <w:lang w:val="fr-FR"/>
        </w:rPr>
      </w:pPr>
      <w:r w:rsidRPr="007104F6">
        <w:rPr>
          <w:lang w:val="fr-FR"/>
        </w:rPr>
        <w:br w:type="page"/>
      </w:r>
    </w:p>
    <w:p w14:paraId="2D1B1A4A" w14:textId="77777777" w:rsidR="00141C00" w:rsidRPr="007104F6" w:rsidRDefault="00FD52A4">
      <w:pPr>
        <w:pStyle w:val="Titre1"/>
        <w:pageBreakBefore/>
        <w:rPr>
          <w:lang w:val="fr-FR"/>
        </w:rPr>
      </w:pPr>
      <w:r w:rsidRPr="007104F6">
        <w:rPr>
          <w:lang w:val="fr-FR"/>
        </w:rPr>
        <w:t>Article 1 – Objet de la consultation et contexte</w:t>
      </w:r>
    </w:p>
    <w:p w14:paraId="03CC63B3" w14:textId="77777777" w:rsidR="00141C00" w:rsidRPr="007104F6" w:rsidRDefault="00FD52A4">
      <w:pPr>
        <w:rPr>
          <w:lang w:val="fr-FR"/>
        </w:rPr>
      </w:pPr>
      <w:r w:rsidRPr="007104F6">
        <w:rPr>
          <w:lang w:val="fr-FR"/>
        </w:rPr>
        <w:t>La présente consultation a pour objet la mise en place d’un écosystème de solutions interopérables, évolutives, réversibles et sécurisées couvrant la gestion des ressources humaines, la préparation de la paie et les déplacements professionnels de l’OFDT, ainsi que leurs interfaces avec les processus budgétaires et comptables.</w:t>
      </w:r>
    </w:p>
    <w:p w14:paraId="53198332" w14:textId="77777777" w:rsidR="00141C00" w:rsidRPr="007104F6" w:rsidRDefault="00FD52A4">
      <w:pPr>
        <w:rPr>
          <w:lang w:val="fr-FR"/>
        </w:rPr>
      </w:pPr>
      <w:r w:rsidRPr="007104F6">
        <w:rPr>
          <w:lang w:val="fr-FR"/>
        </w:rPr>
        <w:t>L’OFDT est un groupement d’intérêt public d’environ trente agents. Les solutions et la méthodologie proposées doivent être proportionnées à cette taille, administrables par une équipe de suivi limitée et conçues pour réduire les ressaisies, les dépendances aux personnes, les traitements manuels et la dispersion des données, tout en fiabilisant les habilitations, les circuits de validation et les circuits de signature.</w:t>
      </w:r>
    </w:p>
    <w:p w14:paraId="14CB05B6" w14:textId="77777777" w:rsidR="00141C00" w:rsidRPr="007104F6" w:rsidRDefault="00FD52A4">
      <w:pPr>
        <w:rPr>
          <w:lang w:val="fr-FR"/>
        </w:rPr>
      </w:pPr>
      <w:r w:rsidRPr="007104F6">
        <w:rPr>
          <w:lang w:val="fr-FR"/>
        </w:rPr>
        <w:t>Le projet comporte deux étapes impératives et distinctes :</w:t>
      </w:r>
    </w:p>
    <w:p w14:paraId="5991C5EB" w14:textId="651B3098" w:rsidR="00394CD1" w:rsidRDefault="00394CD1" w:rsidP="007104F6">
      <w:pPr>
        <w:pStyle w:val="Puces"/>
      </w:pPr>
      <w:r w:rsidRPr="00394CD1">
        <w:t>Au 1er janvier 2027, la mise en service des solutions nécessaires à la continuité de la gestion administrative et RH des agents au titre du lot n° 2 et, au titre du lot n° 1, d’un dispositif transitoire complet assurant l’ensemble des fonctions nécessaires à la réalisation de la paie actuellement couvertes par GRH.Net</w:t>
      </w:r>
      <w:r>
        <w:t> ;</w:t>
      </w:r>
    </w:p>
    <w:p w14:paraId="57B44687" w14:textId="503698D3" w:rsidR="00141C00" w:rsidRPr="007104F6" w:rsidRDefault="007104F6" w:rsidP="007104F6">
      <w:pPr>
        <w:pStyle w:val="Puces"/>
      </w:pPr>
      <w:r w:rsidRPr="007104F6">
        <w:t>Au</w:t>
      </w:r>
      <w:r w:rsidR="00FD52A4" w:rsidRPr="007104F6">
        <w:t xml:space="preserve"> 1er janvier 2028, l’entrée prévisionnelle dans le dispositif de paye à façon de la DGFiP, sous réserve de l’accord de celle-ci et de la réalisation des prérequis techniques, fonctionnels et organisationnels.</w:t>
      </w:r>
    </w:p>
    <w:p w14:paraId="3A029C0F" w14:textId="77777777" w:rsidR="00141C00" w:rsidRPr="007104F6" w:rsidRDefault="00FD52A4">
      <w:pPr>
        <w:rPr>
          <w:lang w:val="fr-FR"/>
        </w:rPr>
      </w:pPr>
      <w:r w:rsidRPr="007104F6">
        <w:rPr>
          <w:lang w:val="fr-FR"/>
        </w:rPr>
        <w:t>Dans la cible paye à façon, la DGFiP assure la liquidation technique des rémunérations via ses outils. Le titulaire du lot n° 1 demeure responsable des prestations de paramétrage, reprise, fiabilisation, tests, formation, production des flux GEST, assistance au démarrage et traitement des retours relevant de son périmètre. La paye à façon ne constitue donc pas une externalisation classique de la paie auprès du titulaire.</w:t>
      </w:r>
    </w:p>
    <w:p w14:paraId="1129BE53" w14:textId="77777777" w:rsidR="00141C00" w:rsidRPr="007104F6" w:rsidRDefault="00FD52A4">
      <w:pPr>
        <w:pStyle w:val="Titre1"/>
        <w:rPr>
          <w:lang w:val="fr-FR"/>
        </w:rPr>
      </w:pPr>
      <w:r w:rsidRPr="007104F6">
        <w:rPr>
          <w:lang w:val="fr-FR"/>
        </w:rPr>
        <w:t>Article 2 – Acheteur, procédure et calendrier prévisionnel</w:t>
      </w:r>
    </w:p>
    <w:p w14:paraId="09772596" w14:textId="77777777" w:rsidR="00141C00" w:rsidRPr="007104F6" w:rsidRDefault="00FD52A4">
      <w:pPr>
        <w:rPr>
          <w:lang w:val="fr-FR"/>
        </w:rPr>
      </w:pPr>
      <w:r w:rsidRPr="007104F6">
        <w:rPr>
          <w:lang w:val="fr-FR"/>
        </w:rPr>
        <w:t>Acheteur : Groupement d’intérêt public Observatoire français des drogues et des tendances addictives (GIP OFDT), 69 rue de Varenne, 75007 Paris.</w:t>
      </w:r>
    </w:p>
    <w:p w14:paraId="3AE99E25" w14:textId="77777777" w:rsidR="00141C00" w:rsidRPr="007104F6" w:rsidRDefault="00FD52A4">
      <w:pPr>
        <w:rPr>
          <w:lang w:val="fr-FR"/>
        </w:rPr>
      </w:pPr>
      <w:r w:rsidRPr="007104F6">
        <w:rPr>
          <w:lang w:val="fr-FR"/>
        </w:rPr>
        <w:t>La consultation est passée selon la procédure formalisée de l’appel d’offres ouvert, en application du Code de la commande publique. Les candidatures et les offres sont transmises exclusivement par voie électronique. Aucune négociation n’est prévue.</w:t>
      </w:r>
    </w:p>
    <w:p w14:paraId="2F64C331" w14:textId="77777777" w:rsidR="007104F6" w:rsidRPr="007104F6" w:rsidRDefault="007104F6">
      <w:pPr>
        <w:rPr>
          <w:lang w:val="fr-FR"/>
        </w:rPr>
      </w:pPr>
    </w:p>
    <w:tbl>
      <w:tblPr>
        <w:tblStyle w:val="Grilledutableau"/>
        <w:tblW w:w="9014" w:type="dxa"/>
        <w:jc w:val="center"/>
        <w:tblLayout w:type="fixed"/>
        <w:tblLook w:val="04A0" w:firstRow="1" w:lastRow="0" w:firstColumn="1" w:lastColumn="0" w:noHBand="0" w:noVBand="1"/>
      </w:tblPr>
      <w:tblGrid>
        <w:gridCol w:w="5386"/>
        <w:gridCol w:w="3628"/>
      </w:tblGrid>
      <w:tr w:rsidR="00141C00" w14:paraId="0A1B9E1C" w14:textId="77777777" w:rsidTr="007104F6">
        <w:trPr>
          <w:cantSplit/>
          <w:tblHeader/>
          <w:jc w:val="center"/>
        </w:trPr>
        <w:tc>
          <w:tcPr>
            <w:tcW w:w="5386" w:type="dxa"/>
            <w:shd w:val="clear" w:color="auto" w:fill="19153F"/>
            <w:tcMar>
              <w:top w:w="80" w:type="dxa"/>
              <w:left w:w="80" w:type="dxa"/>
              <w:bottom w:w="80" w:type="dxa"/>
              <w:right w:w="80" w:type="dxa"/>
            </w:tcMar>
            <w:vAlign w:val="center"/>
          </w:tcPr>
          <w:p w14:paraId="47A0E8CC" w14:textId="77777777" w:rsidR="00141C00" w:rsidRDefault="00FD52A4">
            <w:pPr>
              <w:pStyle w:val="TableText"/>
              <w:spacing w:after="40"/>
              <w:jc w:val="center"/>
            </w:pPr>
            <w:r>
              <w:rPr>
                <w:b/>
                <w:color w:val="FFFFFF"/>
              </w:rPr>
              <w:t>Jalon</w:t>
            </w:r>
          </w:p>
        </w:tc>
        <w:tc>
          <w:tcPr>
            <w:tcW w:w="3628" w:type="dxa"/>
            <w:shd w:val="clear" w:color="auto" w:fill="19153F"/>
            <w:tcMar>
              <w:top w:w="80" w:type="dxa"/>
              <w:left w:w="80" w:type="dxa"/>
              <w:bottom w:w="80" w:type="dxa"/>
              <w:right w:w="80" w:type="dxa"/>
            </w:tcMar>
            <w:vAlign w:val="center"/>
          </w:tcPr>
          <w:p w14:paraId="030FA438" w14:textId="77777777" w:rsidR="00141C00" w:rsidRDefault="00FD52A4">
            <w:pPr>
              <w:pStyle w:val="TableText"/>
              <w:spacing w:after="40"/>
              <w:jc w:val="center"/>
            </w:pPr>
            <w:r>
              <w:rPr>
                <w:b/>
                <w:color w:val="FFFFFF"/>
              </w:rPr>
              <w:t xml:space="preserve">Date </w:t>
            </w:r>
            <w:proofErr w:type="spellStart"/>
            <w:r>
              <w:rPr>
                <w:b/>
                <w:color w:val="FFFFFF"/>
              </w:rPr>
              <w:t>prévisionnelle</w:t>
            </w:r>
            <w:proofErr w:type="spellEnd"/>
          </w:p>
        </w:tc>
      </w:tr>
      <w:tr w:rsidR="00141C00" w14:paraId="44EE6DE1" w14:textId="77777777" w:rsidTr="007104F6">
        <w:trPr>
          <w:cantSplit/>
          <w:jc w:val="center"/>
        </w:trPr>
        <w:tc>
          <w:tcPr>
            <w:tcW w:w="5386" w:type="dxa"/>
            <w:tcMar>
              <w:top w:w="80" w:type="dxa"/>
              <w:left w:w="80" w:type="dxa"/>
              <w:bottom w:w="80" w:type="dxa"/>
              <w:right w:w="80" w:type="dxa"/>
            </w:tcMar>
            <w:vAlign w:val="center"/>
          </w:tcPr>
          <w:p w14:paraId="608D60A1" w14:textId="77777777" w:rsidR="00141C00" w:rsidRPr="007104F6" w:rsidRDefault="00FD52A4">
            <w:pPr>
              <w:pStyle w:val="TableText"/>
              <w:spacing w:after="40"/>
              <w:rPr>
                <w:lang w:val="fr-FR"/>
              </w:rPr>
            </w:pPr>
            <w:r w:rsidRPr="007104F6">
              <w:rPr>
                <w:lang w:val="fr-FR"/>
              </w:rPr>
              <w:t>Envoi de l’avis et mise en ligne du DCE</w:t>
            </w:r>
          </w:p>
        </w:tc>
        <w:tc>
          <w:tcPr>
            <w:tcW w:w="3628" w:type="dxa"/>
            <w:tcMar>
              <w:top w:w="80" w:type="dxa"/>
              <w:left w:w="80" w:type="dxa"/>
              <w:bottom w:w="80" w:type="dxa"/>
              <w:right w:w="80" w:type="dxa"/>
            </w:tcMar>
            <w:vAlign w:val="center"/>
          </w:tcPr>
          <w:p w14:paraId="2AC0E3C3" w14:textId="39C304F7" w:rsidR="00141C00" w:rsidRDefault="00B1041E">
            <w:pPr>
              <w:pStyle w:val="TableText"/>
              <w:spacing w:after="40"/>
            </w:pPr>
            <w:proofErr w:type="spellStart"/>
            <w:r w:rsidRPr="00B1041E">
              <w:t>Semaine</w:t>
            </w:r>
            <w:proofErr w:type="spellEnd"/>
            <w:r w:rsidRPr="00B1041E">
              <w:t xml:space="preserve"> du 3 </w:t>
            </w:r>
            <w:proofErr w:type="spellStart"/>
            <w:r w:rsidRPr="00B1041E">
              <w:t>août</w:t>
            </w:r>
            <w:proofErr w:type="spellEnd"/>
            <w:r w:rsidRPr="00B1041E">
              <w:t xml:space="preserve"> 2026</w:t>
            </w:r>
          </w:p>
        </w:tc>
      </w:tr>
      <w:tr w:rsidR="00141C00" w14:paraId="6537A0C5" w14:textId="77777777" w:rsidTr="007104F6">
        <w:trPr>
          <w:cantSplit/>
          <w:jc w:val="center"/>
        </w:trPr>
        <w:tc>
          <w:tcPr>
            <w:tcW w:w="5386" w:type="dxa"/>
            <w:shd w:val="clear" w:color="auto" w:fill="F7F8FB"/>
            <w:tcMar>
              <w:top w:w="80" w:type="dxa"/>
              <w:left w:w="80" w:type="dxa"/>
              <w:bottom w:w="80" w:type="dxa"/>
              <w:right w:w="80" w:type="dxa"/>
            </w:tcMar>
            <w:vAlign w:val="center"/>
          </w:tcPr>
          <w:p w14:paraId="09FA39DE" w14:textId="77777777" w:rsidR="00141C00" w:rsidRPr="007104F6" w:rsidRDefault="00FD52A4">
            <w:pPr>
              <w:pStyle w:val="TableText"/>
              <w:spacing w:after="40"/>
              <w:rPr>
                <w:lang w:val="fr-FR"/>
              </w:rPr>
            </w:pPr>
            <w:r w:rsidRPr="007104F6">
              <w:rPr>
                <w:lang w:val="fr-FR"/>
              </w:rPr>
              <w:t>Date limite conseillée pour les questions</w:t>
            </w:r>
          </w:p>
        </w:tc>
        <w:tc>
          <w:tcPr>
            <w:tcW w:w="3628" w:type="dxa"/>
            <w:shd w:val="clear" w:color="auto" w:fill="F7F8FB"/>
            <w:tcMar>
              <w:top w:w="80" w:type="dxa"/>
              <w:left w:w="80" w:type="dxa"/>
              <w:bottom w:w="80" w:type="dxa"/>
              <w:right w:w="80" w:type="dxa"/>
            </w:tcMar>
            <w:vAlign w:val="center"/>
          </w:tcPr>
          <w:p w14:paraId="5F8AA70E" w14:textId="60302413" w:rsidR="00141C00" w:rsidRDefault="00B1041E">
            <w:pPr>
              <w:pStyle w:val="TableText"/>
              <w:spacing w:after="40"/>
            </w:pPr>
            <w:r w:rsidRPr="00B1041E">
              <w:t xml:space="preserve">24 </w:t>
            </w:r>
            <w:proofErr w:type="spellStart"/>
            <w:r w:rsidRPr="00B1041E">
              <w:t>août</w:t>
            </w:r>
            <w:proofErr w:type="spellEnd"/>
            <w:r w:rsidRPr="00B1041E">
              <w:t xml:space="preserve"> 2026 à 12 h 00</w:t>
            </w:r>
          </w:p>
        </w:tc>
      </w:tr>
      <w:tr w:rsidR="00141C00" w14:paraId="074F60F0" w14:textId="77777777" w:rsidTr="007104F6">
        <w:trPr>
          <w:cantSplit/>
          <w:jc w:val="center"/>
        </w:trPr>
        <w:tc>
          <w:tcPr>
            <w:tcW w:w="5386" w:type="dxa"/>
            <w:tcMar>
              <w:top w:w="80" w:type="dxa"/>
              <w:left w:w="80" w:type="dxa"/>
              <w:bottom w:w="80" w:type="dxa"/>
              <w:right w:w="80" w:type="dxa"/>
            </w:tcMar>
            <w:vAlign w:val="center"/>
          </w:tcPr>
          <w:p w14:paraId="221F99DB" w14:textId="77777777" w:rsidR="00141C00" w:rsidRDefault="00FD52A4">
            <w:pPr>
              <w:pStyle w:val="TableText"/>
              <w:spacing w:after="40"/>
            </w:pPr>
            <w:proofErr w:type="spellStart"/>
            <w:r>
              <w:t>Dernières</w:t>
            </w:r>
            <w:proofErr w:type="spellEnd"/>
            <w:r>
              <w:t xml:space="preserve"> </w:t>
            </w:r>
            <w:proofErr w:type="spellStart"/>
            <w:r>
              <w:t>réponses</w:t>
            </w:r>
            <w:proofErr w:type="spellEnd"/>
            <w:r>
              <w:t xml:space="preserve"> de </w:t>
            </w:r>
            <w:proofErr w:type="spellStart"/>
            <w:r>
              <w:t>l’OFDT</w:t>
            </w:r>
            <w:proofErr w:type="spellEnd"/>
          </w:p>
        </w:tc>
        <w:tc>
          <w:tcPr>
            <w:tcW w:w="3628" w:type="dxa"/>
            <w:tcMar>
              <w:top w:w="80" w:type="dxa"/>
              <w:left w:w="80" w:type="dxa"/>
              <w:bottom w:w="80" w:type="dxa"/>
              <w:right w:w="80" w:type="dxa"/>
            </w:tcMar>
            <w:vAlign w:val="center"/>
          </w:tcPr>
          <w:p w14:paraId="315E3CCD" w14:textId="29A5C4A3" w:rsidR="00141C00" w:rsidRDefault="00B1041E">
            <w:pPr>
              <w:pStyle w:val="TableText"/>
              <w:spacing w:after="40"/>
            </w:pPr>
            <w:r w:rsidRPr="00B1041E">
              <w:t xml:space="preserve">28 </w:t>
            </w:r>
            <w:proofErr w:type="spellStart"/>
            <w:r w:rsidRPr="00B1041E">
              <w:t>août</w:t>
            </w:r>
            <w:proofErr w:type="spellEnd"/>
            <w:r w:rsidRPr="00B1041E">
              <w:t xml:space="preserve"> 2026</w:t>
            </w:r>
          </w:p>
        </w:tc>
      </w:tr>
      <w:tr w:rsidR="00141C00" w14:paraId="6BC78A42" w14:textId="77777777" w:rsidTr="007104F6">
        <w:trPr>
          <w:cantSplit/>
          <w:jc w:val="center"/>
        </w:trPr>
        <w:tc>
          <w:tcPr>
            <w:tcW w:w="5386" w:type="dxa"/>
            <w:shd w:val="clear" w:color="auto" w:fill="F7F8FB"/>
            <w:tcMar>
              <w:top w:w="80" w:type="dxa"/>
              <w:left w:w="80" w:type="dxa"/>
              <w:bottom w:w="80" w:type="dxa"/>
              <w:right w:w="80" w:type="dxa"/>
            </w:tcMar>
            <w:vAlign w:val="center"/>
          </w:tcPr>
          <w:p w14:paraId="0B469036" w14:textId="77777777" w:rsidR="00141C00" w:rsidRPr="007104F6" w:rsidRDefault="00FD52A4">
            <w:pPr>
              <w:pStyle w:val="TableText"/>
              <w:spacing w:after="40"/>
              <w:rPr>
                <w:lang w:val="fr-FR"/>
              </w:rPr>
            </w:pPr>
            <w:r w:rsidRPr="007104F6">
              <w:rPr>
                <w:lang w:val="fr-FR"/>
              </w:rPr>
              <w:t>Date limite de remise des offres</w:t>
            </w:r>
          </w:p>
        </w:tc>
        <w:tc>
          <w:tcPr>
            <w:tcW w:w="3628" w:type="dxa"/>
            <w:shd w:val="clear" w:color="auto" w:fill="F7F8FB"/>
            <w:tcMar>
              <w:top w:w="80" w:type="dxa"/>
              <w:left w:w="80" w:type="dxa"/>
              <w:bottom w:w="80" w:type="dxa"/>
              <w:right w:w="80" w:type="dxa"/>
            </w:tcMar>
            <w:vAlign w:val="center"/>
          </w:tcPr>
          <w:p w14:paraId="2D1723DC" w14:textId="4E4CB8CC" w:rsidR="00141C00" w:rsidRDefault="00B1041E">
            <w:pPr>
              <w:pStyle w:val="TableText"/>
              <w:spacing w:after="40"/>
            </w:pPr>
            <w:r>
              <w:t>7</w:t>
            </w:r>
            <w:r w:rsidR="00FD52A4">
              <w:t xml:space="preserve"> </w:t>
            </w:r>
            <w:proofErr w:type="spellStart"/>
            <w:r w:rsidR="00FD52A4">
              <w:t>septembre</w:t>
            </w:r>
            <w:proofErr w:type="spellEnd"/>
            <w:r w:rsidR="00FD52A4">
              <w:t xml:space="preserve"> 2026 à 12 h 00</w:t>
            </w:r>
          </w:p>
        </w:tc>
      </w:tr>
      <w:tr w:rsidR="00141C00" w14:paraId="72A04334" w14:textId="77777777" w:rsidTr="007104F6">
        <w:trPr>
          <w:cantSplit/>
          <w:jc w:val="center"/>
        </w:trPr>
        <w:tc>
          <w:tcPr>
            <w:tcW w:w="5386" w:type="dxa"/>
            <w:tcMar>
              <w:top w:w="80" w:type="dxa"/>
              <w:left w:w="80" w:type="dxa"/>
              <w:bottom w:w="80" w:type="dxa"/>
              <w:right w:w="80" w:type="dxa"/>
            </w:tcMar>
            <w:vAlign w:val="center"/>
          </w:tcPr>
          <w:p w14:paraId="610FEFEC" w14:textId="77777777" w:rsidR="00141C00" w:rsidRPr="007104F6" w:rsidRDefault="00FD52A4">
            <w:pPr>
              <w:pStyle w:val="TableText"/>
              <w:spacing w:after="40"/>
              <w:rPr>
                <w:lang w:val="fr-FR"/>
              </w:rPr>
            </w:pPr>
            <w:r w:rsidRPr="007104F6">
              <w:rPr>
                <w:lang w:val="fr-FR"/>
              </w:rPr>
              <w:t>Analyse des candidatures et des offres</w:t>
            </w:r>
          </w:p>
        </w:tc>
        <w:tc>
          <w:tcPr>
            <w:tcW w:w="3628" w:type="dxa"/>
            <w:tcMar>
              <w:top w:w="80" w:type="dxa"/>
              <w:left w:w="80" w:type="dxa"/>
              <w:bottom w:w="80" w:type="dxa"/>
              <w:right w:w="80" w:type="dxa"/>
            </w:tcMar>
            <w:vAlign w:val="center"/>
          </w:tcPr>
          <w:p w14:paraId="3B742AF1" w14:textId="509A6235" w:rsidR="00141C00" w:rsidRDefault="00B1041E">
            <w:pPr>
              <w:pStyle w:val="TableText"/>
              <w:spacing w:after="40"/>
            </w:pPr>
            <w:r>
              <w:t>7</w:t>
            </w:r>
            <w:r w:rsidR="00FD52A4">
              <w:t xml:space="preserve"> au 25 </w:t>
            </w:r>
            <w:proofErr w:type="spellStart"/>
            <w:r w:rsidR="00FD52A4">
              <w:t>septembre</w:t>
            </w:r>
            <w:proofErr w:type="spellEnd"/>
            <w:r w:rsidR="00FD52A4">
              <w:t xml:space="preserve"> 2026</w:t>
            </w:r>
          </w:p>
        </w:tc>
      </w:tr>
      <w:tr w:rsidR="00141C00" w14:paraId="6DA064FC" w14:textId="77777777" w:rsidTr="007104F6">
        <w:trPr>
          <w:cantSplit/>
          <w:jc w:val="center"/>
        </w:trPr>
        <w:tc>
          <w:tcPr>
            <w:tcW w:w="5386" w:type="dxa"/>
            <w:shd w:val="clear" w:color="auto" w:fill="F7F8FB"/>
            <w:tcMar>
              <w:top w:w="80" w:type="dxa"/>
              <w:left w:w="80" w:type="dxa"/>
              <w:bottom w:w="80" w:type="dxa"/>
              <w:right w:w="80" w:type="dxa"/>
            </w:tcMar>
            <w:vAlign w:val="center"/>
          </w:tcPr>
          <w:p w14:paraId="093F1210" w14:textId="77777777" w:rsidR="00141C00" w:rsidRPr="007104F6" w:rsidRDefault="007104F6">
            <w:pPr>
              <w:pStyle w:val="TableText"/>
              <w:spacing w:after="40"/>
              <w:rPr>
                <w:lang w:val="fr-FR"/>
              </w:rPr>
            </w:pPr>
            <w:proofErr w:type="spellStart"/>
            <w:r>
              <w:t>Décision</w:t>
            </w:r>
            <w:proofErr w:type="spellEnd"/>
            <w:r>
              <w:t xml:space="preserve"> </w:t>
            </w:r>
            <w:proofErr w:type="spellStart"/>
            <w:r>
              <w:t>d’attribution</w:t>
            </w:r>
            <w:proofErr w:type="spellEnd"/>
            <w:r>
              <w:t xml:space="preserve"> </w:t>
            </w:r>
            <w:proofErr w:type="spellStart"/>
            <w:r>
              <w:t>prévisionnelle</w:t>
            </w:r>
            <w:proofErr w:type="spellEnd"/>
          </w:p>
        </w:tc>
        <w:tc>
          <w:tcPr>
            <w:tcW w:w="3628" w:type="dxa"/>
            <w:shd w:val="clear" w:color="auto" w:fill="F7F8FB"/>
            <w:tcMar>
              <w:top w:w="80" w:type="dxa"/>
              <w:left w:w="80" w:type="dxa"/>
              <w:bottom w:w="80" w:type="dxa"/>
              <w:right w:w="80" w:type="dxa"/>
            </w:tcMar>
            <w:vAlign w:val="center"/>
          </w:tcPr>
          <w:p w14:paraId="53A4A024" w14:textId="77777777" w:rsidR="00141C00" w:rsidRDefault="007104F6">
            <w:pPr>
              <w:pStyle w:val="TableText"/>
              <w:spacing w:after="40"/>
            </w:pPr>
            <w:r>
              <w:t xml:space="preserve">à </w:t>
            </w:r>
            <w:proofErr w:type="spellStart"/>
            <w:r>
              <w:t>compter</w:t>
            </w:r>
            <w:proofErr w:type="spellEnd"/>
            <w:r>
              <w:t xml:space="preserve"> du 29 </w:t>
            </w:r>
            <w:proofErr w:type="spellStart"/>
            <w:r>
              <w:t>septembre</w:t>
            </w:r>
            <w:proofErr w:type="spellEnd"/>
            <w:r>
              <w:t xml:space="preserve"> 2026</w:t>
            </w:r>
          </w:p>
        </w:tc>
      </w:tr>
      <w:tr w:rsidR="00141C00" w14:paraId="0F4FEE7D" w14:textId="77777777" w:rsidTr="007104F6">
        <w:trPr>
          <w:cantSplit/>
          <w:jc w:val="center"/>
        </w:trPr>
        <w:tc>
          <w:tcPr>
            <w:tcW w:w="5386" w:type="dxa"/>
            <w:tcMar>
              <w:top w:w="80" w:type="dxa"/>
              <w:left w:w="80" w:type="dxa"/>
              <w:bottom w:w="80" w:type="dxa"/>
              <w:right w:w="80" w:type="dxa"/>
            </w:tcMar>
            <w:vAlign w:val="center"/>
          </w:tcPr>
          <w:p w14:paraId="3D4F0491" w14:textId="77777777" w:rsidR="00141C00" w:rsidRDefault="007104F6">
            <w:pPr>
              <w:pStyle w:val="TableText"/>
              <w:spacing w:after="40"/>
            </w:pPr>
            <w:r>
              <w:t xml:space="preserve">Notification </w:t>
            </w:r>
            <w:proofErr w:type="spellStart"/>
            <w:r>
              <w:t>prévisionnelle</w:t>
            </w:r>
            <w:proofErr w:type="spellEnd"/>
          </w:p>
        </w:tc>
        <w:tc>
          <w:tcPr>
            <w:tcW w:w="3628" w:type="dxa"/>
            <w:tcMar>
              <w:top w:w="80" w:type="dxa"/>
              <w:left w:w="80" w:type="dxa"/>
              <w:bottom w:w="80" w:type="dxa"/>
              <w:right w:w="80" w:type="dxa"/>
            </w:tcMar>
            <w:vAlign w:val="center"/>
          </w:tcPr>
          <w:p w14:paraId="1B6F139B" w14:textId="77777777" w:rsidR="00141C00" w:rsidRDefault="007104F6">
            <w:pPr>
              <w:pStyle w:val="TableText"/>
              <w:spacing w:after="40"/>
            </w:pPr>
            <w:r>
              <w:t xml:space="preserve">15 </w:t>
            </w:r>
            <w:proofErr w:type="spellStart"/>
            <w:r>
              <w:t>octobre</w:t>
            </w:r>
            <w:proofErr w:type="spellEnd"/>
            <w:r>
              <w:t xml:space="preserve"> 2026</w:t>
            </w:r>
          </w:p>
        </w:tc>
      </w:tr>
    </w:tbl>
    <w:p w14:paraId="087CE856" w14:textId="77777777" w:rsidR="007104F6" w:rsidRDefault="007104F6">
      <w:pPr>
        <w:rPr>
          <w:lang w:val="fr-FR"/>
        </w:rPr>
      </w:pPr>
    </w:p>
    <w:p w14:paraId="3AE9E430" w14:textId="77777777" w:rsidR="00141C00" w:rsidRPr="007104F6" w:rsidRDefault="00FD52A4">
      <w:pPr>
        <w:rPr>
          <w:lang w:val="fr-FR"/>
        </w:rPr>
      </w:pPr>
      <w:r w:rsidRPr="007104F6">
        <w:rPr>
          <w:lang w:val="fr-FR"/>
        </w:rPr>
        <w:t>Ces dates, à l’exception de la date et de l’heure limites de réception des offres, sont indicatives et ne constituent pas des engagements contractuels.</w:t>
      </w:r>
    </w:p>
    <w:p w14:paraId="39E3E113" w14:textId="77777777" w:rsidR="00141C00" w:rsidRPr="007104F6" w:rsidRDefault="00FD52A4">
      <w:pPr>
        <w:pStyle w:val="Titre1"/>
        <w:rPr>
          <w:lang w:val="fr-FR"/>
        </w:rPr>
      </w:pPr>
      <w:r w:rsidRPr="007104F6">
        <w:rPr>
          <w:lang w:val="fr-FR"/>
        </w:rPr>
        <w:t>Article 3 – Allotissement et forme contractuelle</w:t>
      </w:r>
    </w:p>
    <w:p w14:paraId="763E755C" w14:textId="77777777" w:rsidR="00141C00" w:rsidRDefault="00FD52A4">
      <w:pPr>
        <w:rPr>
          <w:lang w:val="fr-FR"/>
        </w:rPr>
      </w:pPr>
      <w:r w:rsidRPr="007104F6">
        <w:rPr>
          <w:lang w:val="fr-FR"/>
        </w:rPr>
        <w:t>La consultation est allotie comme suit :</w:t>
      </w:r>
    </w:p>
    <w:p w14:paraId="552933FF" w14:textId="77777777" w:rsidR="007104F6" w:rsidRPr="007104F6" w:rsidRDefault="007104F6">
      <w:pPr>
        <w:rPr>
          <w:lang w:val="fr-FR"/>
        </w:rPr>
      </w:pPr>
    </w:p>
    <w:tbl>
      <w:tblPr>
        <w:tblStyle w:val="Grilledutableau"/>
        <w:tblW w:w="8704" w:type="dxa"/>
        <w:jc w:val="center"/>
        <w:tblLayout w:type="fixed"/>
        <w:tblLook w:val="04A0" w:firstRow="1" w:lastRow="0" w:firstColumn="1" w:lastColumn="0" w:noHBand="0" w:noVBand="1"/>
      </w:tblPr>
      <w:tblGrid>
        <w:gridCol w:w="4986"/>
        <w:gridCol w:w="3718"/>
      </w:tblGrid>
      <w:tr w:rsidR="00141C00" w14:paraId="4E687D61" w14:textId="77777777" w:rsidTr="00FC7E3B">
        <w:trPr>
          <w:cantSplit/>
          <w:tblHeader/>
          <w:jc w:val="center"/>
        </w:trPr>
        <w:tc>
          <w:tcPr>
            <w:tcW w:w="4986" w:type="dxa"/>
            <w:shd w:val="clear" w:color="auto" w:fill="19153F"/>
            <w:tcMar>
              <w:top w:w="80" w:type="dxa"/>
              <w:left w:w="80" w:type="dxa"/>
              <w:bottom w:w="80" w:type="dxa"/>
              <w:right w:w="80" w:type="dxa"/>
            </w:tcMar>
            <w:vAlign w:val="center"/>
          </w:tcPr>
          <w:p w14:paraId="28BC94EE" w14:textId="77777777" w:rsidR="00141C00" w:rsidRDefault="00FD52A4">
            <w:pPr>
              <w:pStyle w:val="TableText"/>
              <w:spacing w:after="40"/>
              <w:jc w:val="center"/>
            </w:pPr>
            <w:r>
              <w:rPr>
                <w:b/>
                <w:color w:val="FFFFFF"/>
              </w:rPr>
              <w:t>Lot</w:t>
            </w:r>
          </w:p>
        </w:tc>
        <w:tc>
          <w:tcPr>
            <w:tcW w:w="3718" w:type="dxa"/>
            <w:shd w:val="clear" w:color="auto" w:fill="19153F"/>
            <w:tcMar>
              <w:top w:w="80" w:type="dxa"/>
              <w:left w:w="80" w:type="dxa"/>
              <w:bottom w:w="80" w:type="dxa"/>
              <w:right w:w="80" w:type="dxa"/>
            </w:tcMar>
            <w:vAlign w:val="center"/>
          </w:tcPr>
          <w:p w14:paraId="65AA3963" w14:textId="77777777" w:rsidR="00141C00" w:rsidRDefault="00FD52A4">
            <w:pPr>
              <w:pStyle w:val="TableText"/>
              <w:spacing w:after="40"/>
              <w:jc w:val="center"/>
            </w:pPr>
            <w:proofErr w:type="spellStart"/>
            <w:r>
              <w:rPr>
                <w:b/>
                <w:color w:val="FFFFFF"/>
              </w:rPr>
              <w:t>Intitulé</w:t>
            </w:r>
            <w:proofErr w:type="spellEnd"/>
            <w:r>
              <w:rPr>
                <w:b/>
                <w:color w:val="FFFFFF"/>
              </w:rPr>
              <w:t xml:space="preserve"> et </w:t>
            </w:r>
            <w:proofErr w:type="spellStart"/>
            <w:r>
              <w:rPr>
                <w:b/>
                <w:color w:val="FFFFFF"/>
              </w:rPr>
              <w:t>périmètre</w:t>
            </w:r>
            <w:proofErr w:type="spellEnd"/>
            <w:r>
              <w:rPr>
                <w:b/>
                <w:color w:val="FFFFFF"/>
              </w:rPr>
              <w:t xml:space="preserve"> principal</w:t>
            </w:r>
          </w:p>
        </w:tc>
      </w:tr>
      <w:tr w:rsidR="00141C00" w:rsidRPr="00394CD1" w14:paraId="6488E621" w14:textId="77777777" w:rsidTr="00FC7E3B">
        <w:trPr>
          <w:cantSplit/>
          <w:jc w:val="center"/>
        </w:trPr>
        <w:tc>
          <w:tcPr>
            <w:tcW w:w="4986" w:type="dxa"/>
            <w:tcMar>
              <w:top w:w="80" w:type="dxa"/>
              <w:left w:w="80" w:type="dxa"/>
              <w:bottom w:w="80" w:type="dxa"/>
              <w:right w:w="80" w:type="dxa"/>
            </w:tcMar>
            <w:vAlign w:val="center"/>
          </w:tcPr>
          <w:p w14:paraId="199EDA17" w14:textId="77777777" w:rsidR="00141C00" w:rsidRDefault="00FD52A4">
            <w:pPr>
              <w:pStyle w:val="TableText"/>
              <w:spacing w:after="40"/>
            </w:pPr>
            <w:r>
              <w:t>Lot n° 1</w:t>
            </w:r>
          </w:p>
        </w:tc>
        <w:tc>
          <w:tcPr>
            <w:tcW w:w="3718" w:type="dxa"/>
            <w:tcMar>
              <w:top w:w="80" w:type="dxa"/>
              <w:left w:w="80" w:type="dxa"/>
              <w:bottom w:w="80" w:type="dxa"/>
              <w:right w:w="80" w:type="dxa"/>
            </w:tcMar>
            <w:vAlign w:val="center"/>
          </w:tcPr>
          <w:p w14:paraId="7E2174C0" w14:textId="77777777" w:rsidR="00141C00" w:rsidRPr="007104F6" w:rsidRDefault="00FD52A4">
            <w:pPr>
              <w:pStyle w:val="TableText"/>
              <w:spacing w:after="40"/>
              <w:rPr>
                <w:lang w:val="fr-FR"/>
              </w:rPr>
            </w:pPr>
            <w:r w:rsidRPr="007104F6">
              <w:rPr>
                <w:lang w:val="fr-FR"/>
              </w:rPr>
              <w:t>Pré-liquidation de la paie et interface avec le dispositif de paye à façon de la DGFiP, incluant la mise en œuvre et l’exploitation du dispositif transitoire complet de paie à compter du 1er janvier 2027.</w:t>
            </w:r>
          </w:p>
        </w:tc>
      </w:tr>
      <w:tr w:rsidR="00141C00" w:rsidRPr="00394CD1" w14:paraId="5F88732C" w14:textId="77777777" w:rsidTr="00FC7E3B">
        <w:trPr>
          <w:cantSplit/>
          <w:jc w:val="center"/>
        </w:trPr>
        <w:tc>
          <w:tcPr>
            <w:tcW w:w="4986" w:type="dxa"/>
            <w:shd w:val="clear" w:color="auto" w:fill="F7F8FB"/>
            <w:tcMar>
              <w:top w:w="80" w:type="dxa"/>
              <w:left w:w="80" w:type="dxa"/>
              <w:bottom w:w="80" w:type="dxa"/>
              <w:right w:w="80" w:type="dxa"/>
            </w:tcMar>
            <w:vAlign w:val="center"/>
          </w:tcPr>
          <w:p w14:paraId="72F16DE8" w14:textId="77777777" w:rsidR="00141C00" w:rsidRDefault="00FD52A4">
            <w:pPr>
              <w:pStyle w:val="TableText"/>
              <w:spacing w:after="40"/>
            </w:pPr>
            <w:r>
              <w:t>Lot n° 2</w:t>
            </w:r>
          </w:p>
        </w:tc>
        <w:tc>
          <w:tcPr>
            <w:tcW w:w="3718" w:type="dxa"/>
            <w:shd w:val="clear" w:color="auto" w:fill="F7F8FB"/>
            <w:tcMar>
              <w:top w:w="80" w:type="dxa"/>
              <w:left w:w="80" w:type="dxa"/>
              <w:bottom w:w="80" w:type="dxa"/>
              <w:right w:w="80" w:type="dxa"/>
            </w:tcMar>
            <w:vAlign w:val="center"/>
          </w:tcPr>
          <w:p w14:paraId="33124907" w14:textId="77777777" w:rsidR="00141C00" w:rsidRPr="007104F6" w:rsidRDefault="00FD52A4">
            <w:pPr>
              <w:pStyle w:val="TableText"/>
              <w:spacing w:after="40"/>
              <w:rPr>
                <w:lang w:val="fr-FR"/>
              </w:rPr>
            </w:pPr>
            <w:r w:rsidRPr="007104F6">
              <w:rPr>
                <w:lang w:val="fr-FR"/>
              </w:rPr>
              <w:t>Gestion RH, parcours de l’agent et déplacements professionnels. Le lot n° 2 constitue le référentiel maître des données administratives et RH communes et alimente le lot n° 1 sans ressaisie inutile.</w:t>
            </w:r>
          </w:p>
        </w:tc>
      </w:tr>
    </w:tbl>
    <w:p w14:paraId="10B752D4" w14:textId="77777777" w:rsidR="007104F6" w:rsidRDefault="007104F6">
      <w:pPr>
        <w:rPr>
          <w:lang w:val="fr-FR"/>
        </w:rPr>
      </w:pPr>
    </w:p>
    <w:p w14:paraId="63F13B72" w14:textId="77777777" w:rsidR="00141C00" w:rsidRDefault="00FD52A4">
      <w:pPr>
        <w:rPr>
          <w:lang w:val="fr-FR"/>
        </w:rPr>
      </w:pPr>
      <w:r w:rsidRPr="007104F6">
        <w:rPr>
          <w:lang w:val="fr-FR"/>
        </w:rPr>
        <w:t>Les candidats peuvent soumissionner à un seul lot ou aux deux lots. Chaque lot fait l’objet d’une analyse, d’un classement et d’une attribution distincts. Un même opérateur peut obtenir les deux lots.</w:t>
      </w:r>
    </w:p>
    <w:p w14:paraId="54D679CE" w14:textId="77777777" w:rsidR="002056E7" w:rsidRPr="002056E7" w:rsidRDefault="002056E7" w:rsidP="002056E7">
      <w:pPr>
        <w:rPr>
          <w:lang w:val="fr-FR"/>
        </w:rPr>
      </w:pPr>
      <w:r w:rsidRPr="002056E7">
        <w:rPr>
          <w:lang w:val="fr-FR"/>
        </w:rPr>
        <w:t>Chaque lot est un accord-cadre composite mono-attributaire comprenant :</w:t>
      </w:r>
    </w:p>
    <w:p w14:paraId="3645A727" w14:textId="623C26E8" w:rsidR="002056E7" w:rsidRPr="002056E7" w:rsidRDefault="002056E7" w:rsidP="002056E7">
      <w:pPr>
        <w:pStyle w:val="Puces"/>
      </w:pPr>
      <w:r w:rsidRPr="002056E7">
        <w:t>Une partie forfaitaire correspondant aux prestations obligatoires, aux prestations récurrentes prévues dans la DPGF et à la réversibilité minimale ;</w:t>
      </w:r>
    </w:p>
    <w:p w14:paraId="09B0D5EB" w14:textId="6FB31EAD" w:rsidR="00825413" w:rsidRPr="002056E7" w:rsidRDefault="002056E7" w:rsidP="002056E7">
      <w:pPr>
        <w:pStyle w:val="Puces"/>
      </w:pPr>
      <w:r w:rsidRPr="002056E7">
        <w:t>Une partie à bons de commande sans minimum, limitée aux prestations complémentaires identifiées dans le BPU.</w:t>
      </w:r>
    </w:p>
    <w:p w14:paraId="64BB4BD7" w14:textId="02D857F2" w:rsidR="002056E7" w:rsidRDefault="002056E7" w:rsidP="002056E7">
      <w:pPr>
        <w:rPr>
          <w:lang w:val="fr-FR"/>
        </w:rPr>
      </w:pPr>
      <w:r w:rsidRPr="002056E7">
        <w:rPr>
          <w:lang w:val="fr-FR"/>
        </w:rPr>
        <w:t>Les montants maximums applicables sur la durée totale de chaque lot, reconductions comprises, sont fixés comme suit :</w:t>
      </w:r>
    </w:p>
    <w:p w14:paraId="10FB9920" w14:textId="77777777" w:rsidR="00825413" w:rsidRDefault="00825413" w:rsidP="002056E7">
      <w:pPr>
        <w:rPr>
          <w:lang w:val="fr-FR"/>
        </w:rPr>
      </w:pPr>
    </w:p>
    <w:tbl>
      <w:tblPr>
        <w:tblStyle w:val="Grilledutableau"/>
        <w:tblW w:w="9020" w:type="dxa"/>
        <w:jc w:val="center"/>
        <w:tblLayout w:type="fixed"/>
        <w:tblLook w:val="04A0" w:firstRow="1" w:lastRow="0" w:firstColumn="1" w:lastColumn="0" w:noHBand="0" w:noVBand="1"/>
      </w:tblPr>
      <w:tblGrid>
        <w:gridCol w:w="1838"/>
        <w:gridCol w:w="2268"/>
        <w:gridCol w:w="2268"/>
        <w:gridCol w:w="2646"/>
      </w:tblGrid>
      <w:tr w:rsidR="002056E7" w:rsidRPr="00394CD1" w14:paraId="671E6165" w14:textId="77777777" w:rsidTr="002056E7">
        <w:trPr>
          <w:cantSplit/>
          <w:tblHeader/>
          <w:jc w:val="center"/>
        </w:trPr>
        <w:tc>
          <w:tcPr>
            <w:tcW w:w="1838" w:type="dxa"/>
            <w:shd w:val="clear" w:color="auto" w:fill="19153F"/>
            <w:tcMar>
              <w:top w:w="80" w:type="dxa"/>
              <w:left w:w="80" w:type="dxa"/>
              <w:bottom w:w="80" w:type="dxa"/>
              <w:right w:w="80" w:type="dxa"/>
            </w:tcMar>
            <w:vAlign w:val="center"/>
          </w:tcPr>
          <w:p w14:paraId="1EED61FC" w14:textId="77777777" w:rsidR="002056E7" w:rsidRDefault="002056E7" w:rsidP="00796FE1">
            <w:pPr>
              <w:pStyle w:val="TableText"/>
              <w:spacing w:after="40"/>
              <w:jc w:val="center"/>
            </w:pPr>
            <w:r>
              <w:rPr>
                <w:b/>
                <w:color w:val="FFFFFF"/>
              </w:rPr>
              <w:t>Lot</w:t>
            </w:r>
          </w:p>
        </w:tc>
        <w:tc>
          <w:tcPr>
            <w:tcW w:w="2268" w:type="dxa"/>
            <w:shd w:val="clear" w:color="auto" w:fill="19153F"/>
          </w:tcPr>
          <w:p w14:paraId="7D6A1020" w14:textId="7B968AB7" w:rsidR="002056E7" w:rsidRPr="007104F6" w:rsidRDefault="002056E7" w:rsidP="00796FE1">
            <w:pPr>
              <w:pStyle w:val="TableText"/>
              <w:spacing w:after="40"/>
              <w:jc w:val="center"/>
              <w:rPr>
                <w:b/>
                <w:color w:val="FFFFFF"/>
                <w:lang w:val="fr-FR"/>
              </w:rPr>
            </w:pPr>
            <w:r w:rsidRPr="002056E7">
              <w:rPr>
                <w:b/>
                <w:color w:val="FFFFFF"/>
                <w:lang w:val="fr-FR"/>
              </w:rPr>
              <w:t>Plafond de la partie forfaitaire HT</w:t>
            </w:r>
          </w:p>
        </w:tc>
        <w:tc>
          <w:tcPr>
            <w:tcW w:w="2268" w:type="dxa"/>
            <w:shd w:val="clear" w:color="auto" w:fill="19153F"/>
          </w:tcPr>
          <w:p w14:paraId="684E608E" w14:textId="597A21D2" w:rsidR="002056E7" w:rsidRPr="007104F6" w:rsidRDefault="002056E7" w:rsidP="00796FE1">
            <w:pPr>
              <w:pStyle w:val="TableText"/>
              <w:spacing w:after="40"/>
              <w:jc w:val="center"/>
              <w:rPr>
                <w:b/>
                <w:color w:val="FFFFFF"/>
                <w:lang w:val="fr-FR"/>
              </w:rPr>
            </w:pPr>
            <w:r w:rsidRPr="002056E7">
              <w:rPr>
                <w:b/>
                <w:color w:val="FFFFFF"/>
                <w:lang w:val="fr-FR"/>
              </w:rPr>
              <w:t>Maximum de la partie à bons de commande HT</w:t>
            </w:r>
          </w:p>
        </w:tc>
        <w:tc>
          <w:tcPr>
            <w:tcW w:w="2646" w:type="dxa"/>
            <w:shd w:val="clear" w:color="auto" w:fill="19153F"/>
            <w:tcMar>
              <w:top w:w="80" w:type="dxa"/>
              <w:left w:w="80" w:type="dxa"/>
              <w:bottom w:w="80" w:type="dxa"/>
              <w:right w:w="80" w:type="dxa"/>
            </w:tcMar>
            <w:vAlign w:val="center"/>
          </w:tcPr>
          <w:p w14:paraId="13D4D5E5" w14:textId="43B28CF7" w:rsidR="002056E7" w:rsidRPr="007104F6" w:rsidRDefault="002056E7" w:rsidP="00796FE1">
            <w:pPr>
              <w:pStyle w:val="TableText"/>
              <w:spacing w:after="40"/>
              <w:jc w:val="center"/>
              <w:rPr>
                <w:lang w:val="fr-FR"/>
              </w:rPr>
            </w:pPr>
            <w:r w:rsidRPr="002056E7">
              <w:rPr>
                <w:lang w:val="fr-FR"/>
              </w:rPr>
              <w:t>Montant maximum du lot HT</w:t>
            </w:r>
          </w:p>
        </w:tc>
      </w:tr>
      <w:tr w:rsidR="002056E7" w14:paraId="2D25F462" w14:textId="77777777" w:rsidTr="002056E7">
        <w:trPr>
          <w:cantSplit/>
          <w:jc w:val="center"/>
        </w:trPr>
        <w:tc>
          <w:tcPr>
            <w:tcW w:w="1838" w:type="dxa"/>
            <w:tcMar>
              <w:top w:w="80" w:type="dxa"/>
              <w:left w:w="80" w:type="dxa"/>
              <w:bottom w:w="80" w:type="dxa"/>
              <w:right w:w="80" w:type="dxa"/>
            </w:tcMar>
            <w:vAlign w:val="center"/>
          </w:tcPr>
          <w:p w14:paraId="138B4A2B" w14:textId="77777777" w:rsidR="002056E7" w:rsidRDefault="002056E7" w:rsidP="00796FE1">
            <w:pPr>
              <w:pStyle w:val="TableText"/>
              <w:spacing w:after="40"/>
            </w:pPr>
            <w:r>
              <w:t>Lot n° 1</w:t>
            </w:r>
          </w:p>
        </w:tc>
        <w:tc>
          <w:tcPr>
            <w:tcW w:w="2268" w:type="dxa"/>
          </w:tcPr>
          <w:p w14:paraId="47C84933" w14:textId="52E210C1" w:rsidR="002056E7" w:rsidRDefault="002056E7" w:rsidP="00796FE1">
            <w:pPr>
              <w:spacing w:after="40"/>
              <w:jc w:val="center"/>
              <w:rPr>
                <w:b/>
                <w:color w:val="1F2A5A"/>
                <w:sz w:val="17"/>
              </w:rPr>
            </w:pPr>
            <w:r w:rsidRPr="002056E7">
              <w:rPr>
                <w:b/>
                <w:color w:val="1F2A5A"/>
                <w:sz w:val="17"/>
              </w:rPr>
              <w:t>155 000 €</w:t>
            </w:r>
          </w:p>
        </w:tc>
        <w:tc>
          <w:tcPr>
            <w:tcW w:w="2268" w:type="dxa"/>
          </w:tcPr>
          <w:p w14:paraId="6CA403CE" w14:textId="055AC64B" w:rsidR="002056E7" w:rsidRDefault="002056E7" w:rsidP="00796FE1">
            <w:pPr>
              <w:spacing w:after="40"/>
              <w:jc w:val="center"/>
              <w:rPr>
                <w:b/>
                <w:color w:val="1F2A5A"/>
                <w:sz w:val="17"/>
              </w:rPr>
            </w:pPr>
            <w:r>
              <w:rPr>
                <w:b/>
                <w:color w:val="1F2A5A"/>
                <w:sz w:val="17"/>
              </w:rPr>
              <w:t>75 000 € HT</w:t>
            </w:r>
          </w:p>
        </w:tc>
        <w:tc>
          <w:tcPr>
            <w:tcW w:w="2646" w:type="dxa"/>
            <w:tcMar>
              <w:top w:w="80" w:type="dxa"/>
              <w:left w:w="80" w:type="dxa"/>
              <w:bottom w:w="80" w:type="dxa"/>
              <w:right w:w="80" w:type="dxa"/>
            </w:tcMar>
            <w:vAlign w:val="center"/>
          </w:tcPr>
          <w:p w14:paraId="61A90B5E" w14:textId="64579CC1" w:rsidR="002056E7" w:rsidRPr="002056E7" w:rsidRDefault="002056E7" w:rsidP="00796FE1">
            <w:pPr>
              <w:spacing w:after="40"/>
              <w:jc w:val="center"/>
              <w:rPr>
                <w:b/>
                <w:color w:val="1F2A5A"/>
                <w:sz w:val="17"/>
              </w:rPr>
            </w:pPr>
            <w:r w:rsidRPr="002056E7">
              <w:rPr>
                <w:b/>
                <w:color w:val="1F2A5A"/>
                <w:sz w:val="17"/>
              </w:rPr>
              <w:t>230 000 €</w:t>
            </w:r>
          </w:p>
        </w:tc>
      </w:tr>
      <w:tr w:rsidR="002056E7" w14:paraId="1E9E1D25" w14:textId="77777777" w:rsidTr="002056E7">
        <w:trPr>
          <w:cantSplit/>
          <w:jc w:val="center"/>
        </w:trPr>
        <w:tc>
          <w:tcPr>
            <w:tcW w:w="1838" w:type="dxa"/>
            <w:shd w:val="clear" w:color="auto" w:fill="F7F8FB"/>
            <w:tcMar>
              <w:top w:w="80" w:type="dxa"/>
              <w:left w:w="80" w:type="dxa"/>
              <w:bottom w:w="80" w:type="dxa"/>
              <w:right w:w="80" w:type="dxa"/>
            </w:tcMar>
            <w:vAlign w:val="center"/>
          </w:tcPr>
          <w:p w14:paraId="241D2846" w14:textId="77777777" w:rsidR="002056E7" w:rsidRDefault="002056E7" w:rsidP="00796FE1">
            <w:pPr>
              <w:pStyle w:val="TableText"/>
              <w:spacing w:after="40"/>
            </w:pPr>
            <w:r>
              <w:t>Lot n° 2</w:t>
            </w:r>
          </w:p>
        </w:tc>
        <w:tc>
          <w:tcPr>
            <w:tcW w:w="2268" w:type="dxa"/>
            <w:shd w:val="clear" w:color="auto" w:fill="F7F8FB"/>
          </w:tcPr>
          <w:p w14:paraId="2B1F7913" w14:textId="702F8996" w:rsidR="002056E7" w:rsidRDefault="002056E7" w:rsidP="00796FE1">
            <w:pPr>
              <w:spacing w:after="40"/>
              <w:jc w:val="center"/>
              <w:rPr>
                <w:b/>
                <w:color w:val="1F2A5A"/>
                <w:sz w:val="17"/>
              </w:rPr>
            </w:pPr>
            <w:r w:rsidRPr="002056E7">
              <w:rPr>
                <w:b/>
                <w:color w:val="1F2A5A"/>
                <w:sz w:val="17"/>
              </w:rPr>
              <w:t>210 000 €</w:t>
            </w:r>
          </w:p>
        </w:tc>
        <w:tc>
          <w:tcPr>
            <w:tcW w:w="2268" w:type="dxa"/>
            <w:shd w:val="clear" w:color="auto" w:fill="F7F8FB"/>
          </w:tcPr>
          <w:p w14:paraId="1D3B0DA0" w14:textId="030E9FAB" w:rsidR="002056E7" w:rsidRDefault="002056E7" w:rsidP="00796FE1">
            <w:pPr>
              <w:spacing w:after="40"/>
              <w:jc w:val="center"/>
              <w:rPr>
                <w:b/>
                <w:color w:val="1F2A5A"/>
                <w:sz w:val="17"/>
              </w:rPr>
            </w:pPr>
            <w:r>
              <w:rPr>
                <w:b/>
                <w:color w:val="1F2A5A"/>
                <w:sz w:val="17"/>
              </w:rPr>
              <w:t>60 000 € HT</w:t>
            </w:r>
          </w:p>
        </w:tc>
        <w:tc>
          <w:tcPr>
            <w:tcW w:w="2646" w:type="dxa"/>
            <w:shd w:val="clear" w:color="auto" w:fill="F7F8FB"/>
            <w:tcMar>
              <w:top w:w="80" w:type="dxa"/>
              <w:left w:w="80" w:type="dxa"/>
              <w:bottom w:w="80" w:type="dxa"/>
              <w:right w:w="80" w:type="dxa"/>
            </w:tcMar>
            <w:vAlign w:val="center"/>
          </w:tcPr>
          <w:p w14:paraId="0D9EC2A6" w14:textId="570B942B" w:rsidR="002056E7" w:rsidRPr="002056E7" w:rsidRDefault="002056E7" w:rsidP="002056E7">
            <w:pPr>
              <w:spacing w:after="40"/>
              <w:jc w:val="center"/>
              <w:rPr>
                <w:b/>
                <w:color w:val="1F2A5A"/>
                <w:sz w:val="17"/>
              </w:rPr>
            </w:pPr>
            <w:r w:rsidRPr="002056E7">
              <w:rPr>
                <w:b/>
                <w:color w:val="1F2A5A"/>
                <w:sz w:val="17"/>
              </w:rPr>
              <w:t>270 000 €</w:t>
            </w:r>
          </w:p>
        </w:tc>
      </w:tr>
    </w:tbl>
    <w:p w14:paraId="328F548E" w14:textId="77777777" w:rsidR="002056E7" w:rsidRDefault="002056E7">
      <w:pPr>
        <w:rPr>
          <w:lang w:val="fr-FR"/>
        </w:rPr>
      </w:pPr>
    </w:p>
    <w:p w14:paraId="10527474" w14:textId="77777777" w:rsidR="002056E7" w:rsidRPr="002056E7" w:rsidRDefault="002056E7" w:rsidP="002056E7">
      <w:pPr>
        <w:rPr>
          <w:lang w:val="fr-FR"/>
        </w:rPr>
      </w:pPr>
      <w:r w:rsidRPr="002056E7">
        <w:rPr>
          <w:lang w:val="fr-FR"/>
        </w:rPr>
        <w:t>Le montant maximum cumulé des deux lots est fixé à 500 000 € HT sur la durée totale du marché, reconductions comprises.</w:t>
      </w:r>
    </w:p>
    <w:p w14:paraId="2A3AA0EF" w14:textId="77777777" w:rsidR="002056E7" w:rsidRPr="002056E7" w:rsidRDefault="002056E7" w:rsidP="002056E7">
      <w:pPr>
        <w:rPr>
          <w:lang w:val="fr-FR"/>
        </w:rPr>
      </w:pPr>
      <w:r w:rsidRPr="002056E7">
        <w:rPr>
          <w:lang w:val="fr-FR"/>
        </w:rPr>
        <w:t>Le montant maximum de chaque lot comprend la totalité des prestations relevant de la partie forfaitaire et de la partie à bons de commande. Le maximum de la partie à bons de commande est inclus dans le montant maximum du lot et ne s’y ajoute pas.</w:t>
      </w:r>
    </w:p>
    <w:p w14:paraId="7FFC29B1" w14:textId="77777777" w:rsidR="002056E7" w:rsidRPr="002056E7" w:rsidRDefault="002056E7" w:rsidP="002056E7">
      <w:pPr>
        <w:rPr>
          <w:lang w:val="fr-FR"/>
        </w:rPr>
      </w:pPr>
      <w:r w:rsidRPr="002056E7">
        <w:rPr>
          <w:lang w:val="fr-FR"/>
        </w:rPr>
        <w:t>Le respect du plafond de la partie forfaitaire s’apprécie à partir du montant total de référence de la partie forfaitaire figurant dans la DPGF et dans l’acte d’engagement, calculé aux prix initiaux sur la durée maximale du lot.</w:t>
      </w:r>
    </w:p>
    <w:p w14:paraId="14E60282" w14:textId="77777777" w:rsidR="002056E7" w:rsidRPr="002056E7" w:rsidRDefault="002056E7" w:rsidP="002056E7">
      <w:pPr>
        <w:rPr>
          <w:lang w:val="fr-FR"/>
        </w:rPr>
      </w:pPr>
      <w:r w:rsidRPr="002056E7">
        <w:rPr>
          <w:lang w:val="fr-FR"/>
        </w:rPr>
        <w:t>Les prestations obligatoires du CCTP ne peuvent être déplacées vers le BPU ni facturées sur bon de commande. Les corrections, adaptations et compléments nécessaires au respect du périmètre contractuel sont réputés compris dans les prix de la DPGF.</w:t>
      </w:r>
    </w:p>
    <w:p w14:paraId="654499AE" w14:textId="76250BE0" w:rsidR="002056E7" w:rsidRDefault="002056E7" w:rsidP="002056E7">
      <w:pPr>
        <w:rPr>
          <w:lang w:val="fr-FR"/>
        </w:rPr>
      </w:pPr>
      <w:r w:rsidRPr="002056E7">
        <w:rPr>
          <w:lang w:val="fr-FR"/>
        </w:rPr>
        <w:t>Ces maximums ne constituent ni un engagement de reconduction ni un engagement de commande ou de consommation. Les paiements demeurent limités aux prestations effectivement exécutées, vérifiées et admises.</w:t>
      </w:r>
    </w:p>
    <w:p w14:paraId="5DEC4CE8" w14:textId="77777777" w:rsidR="00141C00" w:rsidRPr="007104F6" w:rsidRDefault="00FD52A4">
      <w:pPr>
        <w:pStyle w:val="Titre1"/>
        <w:rPr>
          <w:lang w:val="fr-FR"/>
        </w:rPr>
      </w:pPr>
      <w:r w:rsidRPr="007104F6">
        <w:rPr>
          <w:lang w:val="fr-FR"/>
        </w:rPr>
        <w:t>Article 4 – Durée, reconductions et calendrier d’exécution</w:t>
      </w:r>
    </w:p>
    <w:p w14:paraId="4D4F35C6" w14:textId="77777777" w:rsidR="00141C00" w:rsidRPr="007104F6" w:rsidRDefault="00FD52A4">
      <w:pPr>
        <w:rPr>
          <w:lang w:val="fr-FR"/>
        </w:rPr>
      </w:pPr>
      <w:r w:rsidRPr="007104F6">
        <w:rPr>
          <w:lang w:val="fr-FR"/>
        </w:rPr>
        <w:t>Chaque lot est conclu pour une durée initiale de vingt-quatre mois à compter de sa notification. Il peut être reconduit deux fois pour douze mois, sans que sa durée totale excède quarante-huit mois.</w:t>
      </w:r>
    </w:p>
    <w:p w14:paraId="72CED06F" w14:textId="77777777" w:rsidR="00141C00" w:rsidRPr="007104F6" w:rsidRDefault="00FD52A4">
      <w:pPr>
        <w:rPr>
          <w:lang w:val="fr-FR"/>
        </w:rPr>
      </w:pPr>
      <w:r w:rsidRPr="007104F6">
        <w:rPr>
          <w:lang w:val="fr-FR"/>
        </w:rPr>
        <w:t>Le calendrier d’exécution proposé doit être compatible avec la mise en service du dispositif transitoire au 1er janvier 2027 et la préparation de la cible paye à façon au 1er janvier 2028. Il distingue les tâches du titulaire, de l’OFDT, de la DGFiP et, le cas échéant, du titulaire de l’autre lot, ainsi que les jalons critiques, dépendances, marges et mesures de rattrapage.</w:t>
      </w:r>
    </w:p>
    <w:p w14:paraId="031F148F" w14:textId="77777777" w:rsidR="00141C00" w:rsidRPr="007104F6" w:rsidRDefault="00FD52A4">
      <w:pPr>
        <w:rPr>
          <w:lang w:val="fr-FR"/>
        </w:rPr>
      </w:pPr>
      <w:r w:rsidRPr="007104F6">
        <w:rPr>
          <w:lang w:val="fr-FR"/>
        </w:rPr>
        <w:t>Le délai de validité des offres est fixé à cent quatre-vingts jours à compter de la date limite de réception des offres.</w:t>
      </w:r>
    </w:p>
    <w:p w14:paraId="5A646A85" w14:textId="77777777" w:rsidR="00141C00" w:rsidRPr="007104F6" w:rsidRDefault="00FD52A4">
      <w:pPr>
        <w:pStyle w:val="Titre1"/>
        <w:rPr>
          <w:lang w:val="fr-FR"/>
        </w:rPr>
      </w:pPr>
      <w:r w:rsidRPr="007104F6">
        <w:rPr>
          <w:lang w:val="fr-FR"/>
        </w:rPr>
        <w:t>Article 5 – Dossier de consultation</w:t>
      </w:r>
    </w:p>
    <w:p w14:paraId="59574F7A" w14:textId="77777777" w:rsidR="00141C00" w:rsidRPr="007104F6" w:rsidRDefault="00FC7E3B" w:rsidP="007104F6">
      <w:pPr>
        <w:pStyle w:val="Puces"/>
      </w:pPr>
      <w:r w:rsidRPr="007104F6">
        <w:t>Le</w:t>
      </w:r>
      <w:r w:rsidR="00FD52A4" w:rsidRPr="007104F6">
        <w:t xml:space="preserve"> présent règlement de la consultation et ses annexes ;</w:t>
      </w:r>
    </w:p>
    <w:p w14:paraId="0590E007" w14:textId="77777777" w:rsidR="00141C00" w:rsidRPr="007104F6" w:rsidRDefault="00FC7E3B" w:rsidP="007104F6">
      <w:pPr>
        <w:pStyle w:val="Puces"/>
      </w:pPr>
      <w:r w:rsidRPr="007104F6">
        <w:t>L’acte</w:t>
      </w:r>
      <w:r w:rsidR="00FD52A4" w:rsidRPr="007104F6">
        <w:t xml:space="preserve"> d’engagement propre à chaque lot ;</w:t>
      </w:r>
    </w:p>
    <w:p w14:paraId="21EF24D1" w14:textId="77777777" w:rsidR="00141C00" w:rsidRPr="007104F6" w:rsidRDefault="00FC7E3B" w:rsidP="007104F6">
      <w:pPr>
        <w:pStyle w:val="Puces"/>
      </w:pPr>
      <w:r w:rsidRPr="007104F6">
        <w:t>Le</w:t>
      </w:r>
      <w:r w:rsidR="00FD52A4" w:rsidRPr="007104F6">
        <w:t xml:space="preserve"> cahier des clauses administratives particulières et son annexe relative aux données personnelles ;</w:t>
      </w:r>
    </w:p>
    <w:p w14:paraId="6E642935" w14:textId="77777777" w:rsidR="00141C00" w:rsidRPr="007104F6" w:rsidRDefault="00FC7E3B" w:rsidP="007104F6">
      <w:pPr>
        <w:pStyle w:val="Puces"/>
      </w:pPr>
      <w:r w:rsidRPr="007104F6">
        <w:t>Le</w:t>
      </w:r>
      <w:r w:rsidR="00FD52A4" w:rsidRPr="007104F6">
        <w:t xml:space="preserve"> cahier des clauses techniques particulières et ses annexes ;</w:t>
      </w:r>
    </w:p>
    <w:p w14:paraId="138DDACE" w14:textId="77777777" w:rsidR="00141C00" w:rsidRPr="007104F6" w:rsidRDefault="00FC7E3B" w:rsidP="007104F6">
      <w:pPr>
        <w:pStyle w:val="Puces"/>
      </w:pPr>
      <w:r w:rsidRPr="007104F6">
        <w:t>Le</w:t>
      </w:r>
      <w:r w:rsidR="00FD52A4" w:rsidRPr="007104F6">
        <w:t xml:space="preserve"> classeur des annexes financières comprenant la DPGF, le BPU, le DQE et le récapitulatif de chaque lot ;</w:t>
      </w:r>
    </w:p>
    <w:p w14:paraId="440FD0C0" w14:textId="77777777" w:rsidR="00141C00" w:rsidRPr="007104F6" w:rsidRDefault="00FC7E3B" w:rsidP="007104F6">
      <w:pPr>
        <w:pStyle w:val="Puces"/>
      </w:pPr>
      <w:r w:rsidRPr="007104F6">
        <w:t>Le</w:t>
      </w:r>
      <w:r w:rsidR="00FD52A4" w:rsidRPr="007104F6">
        <w:t xml:space="preserve"> plan imposé du mémoire technique et l’échelle de notation figurant en annexes 1 et 2 du présent règlement</w:t>
      </w:r>
      <w:r>
        <w:t>.</w:t>
      </w:r>
    </w:p>
    <w:p w14:paraId="2DC82D45" w14:textId="77777777" w:rsidR="00141C00" w:rsidRPr="007104F6" w:rsidRDefault="00FD52A4">
      <w:pPr>
        <w:rPr>
          <w:lang w:val="fr-FR"/>
        </w:rPr>
      </w:pPr>
      <w:r w:rsidRPr="007104F6">
        <w:rPr>
          <w:lang w:val="fr-FR"/>
        </w:rPr>
        <w:t>Le candidat vérifie la cohérence de l’ensemble des pièces et répond sur la dernière version mise à disposition sur PLACE. Toute réserve, hypothèse, dépendance, limite ou divergence identifiée doit être clairement signalée dans l’offre. Une réserve portant sur une exigence minimale ou modifiant le périmètre contractuel peut entraîner l’irrégularité de l’offre.</w:t>
      </w:r>
    </w:p>
    <w:p w14:paraId="737D6989" w14:textId="77777777" w:rsidR="00141C00" w:rsidRPr="00FC7E3B" w:rsidRDefault="00FD52A4" w:rsidP="00FD52A4">
      <w:pPr>
        <w:pStyle w:val="Titre1"/>
        <w:rPr>
          <w:lang w:val="fr-FR"/>
        </w:rPr>
      </w:pPr>
      <w:r w:rsidRPr="00FC7E3B">
        <w:rPr>
          <w:lang w:val="fr-FR"/>
        </w:rPr>
        <w:t>Article 6 – Variantes, prestations supplémentaires et offres globales</w:t>
      </w:r>
    </w:p>
    <w:p w14:paraId="2D4692D3" w14:textId="77777777" w:rsidR="00141C00" w:rsidRPr="007104F6" w:rsidRDefault="00FD52A4">
      <w:pPr>
        <w:rPr>
          <w:lang w:val="fr-FR"/>
        </w:rPr>
      </w:pPr>
      <w:r w:rsidRPr="007104F6">
        <w:rPr>
          <w:lang w:val="fr-FR"/>
        </w:rPr>
        <w:t>Les variantes ne sont pas autorisées. Les candidats répondent à la solution de base définie par le DCE. Ils peuvent expliquer les modalités techniques équivalentes retenues, sans réduire le niveau d’exigence ni modifier le périmètre.</w:t>
      </w:r>
    </w:p>
    <w:p w14:paraId="077B6B6B" w14:textId="77777777" w:rsidR="00141C00" w:rsidRPr="007104F6" w:rsidRDefault="00FD52A4">
      <w:pPr>
        <w:rPr>
          <w:lang w:val="fr-FR"/>
        </w:rPr>
      </w:pPr>
      <w:r w:rsidRPr="007104F6">
        <w:rPr>
          <w:lang w:val="fr-FR"/>
        </w:rPr>
        <w:t>Aucune prestation supplémentaire éventuelle n’est prévue. Aucune remise globale, offre liée ou offre conditionnée à l’obtention des deux lots n’est admise. Les prix et les engagements sont présentés et appréciés séparément pour chaque lot.</w:t>
      </w:r>
    </w:p>
    <w:p w14:paraId="24D49548" w14:textId="77777777" w:rsidR="00141C00" w:rsidRPr="00FC7E3B" w:rsidRDefault="00FD52A4" w:rsidP="00FD52A4">
      <w:pPr>
        <w:pStyle w:val="Titre1"/>
        <w:rPr>
          <w:lang w:val="fr-FR"/>
        </w:rPr>
      </w:pPr>
      <w:r w:rsidRPr="00FC7E3B">
        <w:rPr>
          <w:lang w:val="fr-FR"/>
        </w:rPr>
        <w:t>Article 7 – Modifications du DCE et renseignements complémentaires</w:t>
      </w:r>
    </w:p>
    <w:p w14:paraId="0A6FA17C" w14:textId="77777777" w:rsidR="00141C00" w:rsidRPr="007104F6" w:rsidRDefault="00FD52A4">
      <w:pPr>
        <w:rPr>
          <w:lang w:val="fr-FR"/>
        </w:rPr>
      </w:pPr>
      <w:r w:rsidRPr="007104F6">
        <w:rPr>
          <w:lang w:val="fr-FR"/>
        </w:rPr>
        <w:t>Toutes les questions sont posées exclusivement sur PLACE. Aucune réponse individuelle donnée par un autre moyen ne peut engager l’OFDT.</w:t>
      </w:r>
    </w:p>
    <w:p w14:paraId="7792B99B" w14:textId="6A6551A4" w:rsidR="00141C00" w:rsidRPr="007104F6" w:rsidRDefault="00FD52A4">
      <w:pPr>
        <w:rPr>
          <w:lang w:val="fr-FR"/>
        </w:rPr>
      </w:pPr>
      <w:r w:rsidRPr="00B1041E">
        <w:rPr>
          <w:lang w:val="fr-FR"/>
        </w:rPr>
        <w:t xml:space="preserve">Pour permettre une réponse en temps utile, </w:t>
      </w:r>
      <w:r w:rsidR="00B1041E" w:rsidRPr="00B1041E">
        <w:rPr>
          <w:lang w:val="fr-FR"/>
        </w:rPr>
        <w:t>les questions doivent parvenir au plus tard le 24 août 2026 à 12 h 00</w:t>
      </w:r>
      <w:r w:rsidR="00B1041E">
        <w:rPr>
          <w:lang w:val="fr-FR"/>
        </w:rPr>
        <w:t>.</w:t>
      </w:r>
      <w:r w:rsidRPr="007104F6">
        <w:rPr>
          <w:lang w:val="fr-FR"/>
        </w:rPr>
        <w:t xml:space="preserve"> L’OFDT peut ne pas répondre aux questions reçues après cette échéance. </w:t>
      </w:r>
      <w:r w:rsidR="00B1041E" w:rsidRPr="00B1041E">
        <w:rPr>
          <w:lang w:val="fr-FR"/>
        </w:rPr>
        <w:t>Les renseignements complémentaires demandés en temps utile sont publiés sur PLACE au plus tard le 28 août 2026.</w:t>
      </w:r>
    </w:p>
    <w:p w14:paraId="52E76BEA" w14:textId="77777777" w:rsidR="00141C00" w:rsidRPr="007104F6" w:rsidRDefault="00FD52A4">
      <w:pPr>
        <w:rPr>
          <w:lang w:val="fr-FR"/>
        </w:rPr>
      </w:pPr>
      <w:r w:rsidRPr="007104F6">
        <w:rPr>
          <w:lang w:val="fr-FR"/>
        </w:rPr>
        <w:t>L’OFDT peut modifier ou compléter le DCE pendant la consultation. Lorsque ces modifications sont importantes, la date limite de remise des offres est reportée afin de laisser aux opérateurs un délai proportionné pour en tenir compte. Les candidats doivent répondre sur la dernière version des documents publiée sur PLACE.</w:t>
      </w:r>
    </w:p>
    <w:p w14:paraId="1323CC8C" w14:textId="77777777" w:rsidR="00141C00" w:rsidRPr="007104F6" w:rsidRDefault="00FD52A4">
      <w:pPr>
        <w:pStyle w:val="Titre1"/>
        <w:rPr>
          <w:lang w:val="fr-FR"/>
        </w:rPr>
      </w:pPr>
      <w:r w:rsidRPr="007104F6">
        <w:rPr>
          <w:lang w:val="fr-FR"/>
        </w:rPr>
        <w:t>Article 8 – Présentation des candidatures</w:t>
      </w:r>
    </w:p>
    <w:p w14:paraId="5F6AD6D9" w14:textId="77777777" w:rsidR="00141C00" w:rsidRPr="007104F6" w:rsidRDefault="00FD52A4">
      <w:pPr>
        <w:rPr>
          <w:lang w:val="fr-FR"/>
        </w:rPr>
      </w:pPr>
      <w:r w:rsidRPr="007104F6">
        <w:rPr>
          <w:lang w:val="fr-FR"/>
        </w:rPr>
        <w:t>Le candidat transmet un DUME électronique ou, à défaut, les formulaires DC1 et DC2 accompagnés des renseignements équivalents.</w:t>
      </w:r>
    </w:p>
    <w:p w14:paraId="20C12152" w14:textId="77777777" w:rsidR="00141C00" w:rsidRPr="007104F6" w:rsidRDefault="00FC7E3B" w:rsidP="00FD52A4">
      <w:pPr>
        <w:pStyle w:val="Puces"/>
      </w:pPr>
      <w:r w:rsidRPr="007104F6">
        <w:t>Identification du candidat et, en cas de groupement, de chacun de ses membres ;</w:t>
      </w:r>
    </w:p>
    <w:p w14:paraId="2C27FC24" w14:textId="77777777" w:rsidR="00141C00" w:rsidRPr="007104F6" w:rsidRDefault="00FC7E3B" w:rsidP="00FD52A4">
      <w:pPr>
        <w:pStyle w:val="Puces"/>
      </w:pPr>
      <w:r w:rsidRPr="007104F6">
        <w:t>Déclaration sur l’honneur relative aux interdictions de soumissionner ;</w:t>
      </w:r>
    </w:p>
    <w:p w14:paraId="1500B125" w14:textId="77777777" w:rsidR="00141C00" w:rsidRPr="007104F6" w:rsidRDefault="00FC7E3B" w:rsidP="00FD52A4">
      <w:pPr>
        <w:pStyle w:val="Puces"/>
      </w:pPr>
      <w:r w:rsidRPr="007104F6">
        <w:t>Chiffre d’affaires global et chiffre d’affaires en lien avec le lot sur les trois derniers exercices disponibles ;</w:t>
      </w:r>
    </w:p>
    <w:p w14:paraId="56989788" w14:textId="77777777" w:rsidR="00141C00" w:rsidRPr="007104F6" w:rsidRDefault="00FC7E3B" w:rsidP="00FD52A4">
      <w:pPr>
        <w:pStyle w:val="Puces"/>
      </w:pPr>
      <w:r w:rsidRPr="007104F6">
        <w:t>Effectifs moyens, compétences mobilisables et organisation générale ;</w:t>
      </w:r>
    </w:p>
    <w:p w14:paraId="36FA1400" w14:textId="77777777" w:rsidR="00141C00" w:rsidRPr="007104F6" w:rsidRDefault="00FC7E3B" w:rsidP="00FD52A4">
      <w:pPr>
        <w:pStyle w:val="Puces"/>
      </w:pPr>
      <w:r w:rsidRPr="007104F6">
        <w:t>Principales références pertinentes exécutées au cours des trois dernières années, ou tout moyen équivalent permettant d’établir les capacités ;</w:t>
      </w:r>
    </w:p>
    <w:p w14:paraId="32DE0471" w14:textId="77777777" w:rsidR="00141C00" w:rsidRPr="007104F6" w:rsidRDefault="00FC7E3B" w:rsidP="00FD52A4">
      <w:pPr>
        <w:pStyle w:val="Puces"/>
      </w:pPr>
      <w:r w:rsidRPr="007104F6">
        <w:t>Le</w:t>
      </w:r>
      <w:r w:rsidR="00FD52A4" w:rsidRPr="007104F6">
        <w:t xml:space="preserve"> cas échéant, capacités d’autres opérateurs et engagement de mise à disposition de leurs moyens ;</w:t>
      </w:r>
    </w:p>
    <w:p w14:paraId="0A5D1E9F" w14:textId="77777777" w:rsidR="00141C00" w:rsidRPr="007104F6" w:rsidRDefault="00FC7E3B" w:rsidP="00FD52A4">
      <w:pPr>
        <w:pStyle w:val="Puces"/>
      </w:pPr>
      <w:r w:rsidRPr="007104F6">
        <w:t>Informations relatives aux membres du groupement et au mandataire.</w:t>
      </w:r>
    </w:p>
    <w:p w14:paraId="316C7CC0" w14:textId="77777777" w:rsidR="00141C00" w:rsidRPr="007104F6" w:rsidRDefault="00FD52A4" w:rsidP="00FC7E3B">
      <w:pPr>
        <w:rPr>
          <w:lang w:val="fr-FR"/>
        </w:rPr>
      </w:pPr>
      <w:r w:rsidRPr="007104F6">
        <w:rPr>
          <w:lang w:val="fr-FR"/>
        </w:rPr>
        <w:t>Aucun niveau minimal de chiffre d’affaires n’est fixé. L’appréciation des capacités est proportionnée à l’objet, au montant et aux risques du lot concerné.</w:t>
      </w:r>
    </w:p>
    <w:p w14:paraId="29FA9410" w14:textId="77777777" w:rsidR="00141C00" w:rsidRPr="007104F6" w:rsidRDefault="00FD52A4" w:rsidP="00FC7E3B">
      <w:pPr>
        <w:rPr>
          <w:lang w:val="fr-FR"/>
        </w:rPr>
      </w:pPr>
      <w:r w:rsidRPr="007104F6">
        <w:rPr>
          <w:lang w:val="fr-FR"/>
        </w:rPr>
        <w:t>Aucune forme de groupement n’est imposée au stade de la remise des offres. Compte tenu de la criticité des interfaces et de la nécessité d’un pilotage unifié, l’OFDT exigera, après attribution, que le mandataire d’un groupement conjoint soit solidaire de chacun des membres pour l’exécution de ses obligations contractuelles.</w:t>
      </w:r>
    </w:p>
    <w:p w14:paraId="0D0EFA24" w14:textId="77777777" w:rsidR="0099611F" w:rsidRPr="00FC7E3B" w:rsidRDefault="00FC7E3B" w:rsidP="00FC7E3B">
      <w:pPr>
        <w:rPr>
          <w:lang w:val="fr-FR"/>
        </w:rPr>
      </w:pPr>
      <w:r w:rsidRPr="00FC7E3B">
        <w:rPr>
          <w:lang w:val="fr-FR"/>
        </w:rPr>
        <w:t>Lorsque des pièces ou informations demandées au titre de la candidature sont absentes ou incomplètes, l’OFDT peut demander à tous les candidats concernés de compléter leur dossier dans un délai approprié et identique pour tous. À défaut de transmission dans le délai imparti, la candidature est déclarée irrecevable et le candidat est éliminé.</w:t>
      </w:r>
    </w:p>
    <w:p w14:paraId="129EDFC4" w14:textId="77777777" w:rsidR="00141C00" w:rsidRPr="007104F6" w:rsidRDefault="00FD52A4">
      <w:pPr>
        <w:pStyle w:val="Titre1"/>
        <w:rPr>
          <w:lang w:val="fr-FR"/>
        </w:rPr>
      </w:pPr>
      <w:r w:rsidRPr="007104F6">
        <w:rPr>
          <w:lang w:val="fr-FR"/>
        </w:rPr>
        <w:t>Article 9 – Contenu et présentation des offres</w:t>
      </w:r>
    </w:p>
    <w:p w14:paraId="73FB2DE1" w14:textId="77777777" w:rsidR="00141C00" w:rsidRPr="007104F6" w:rsidRDefault="00FD52A4">
      <w:pPr>
        <w:rPr>
          <w:lang w:val="fr-FR"/>
        </w:rPr>
      </w:pPr>
      <w:r w:rsidRPr="007104F6">
        <w:rPr>
          <w:lang w:val="fr-FR"/>
        </w:rPr>
        <w:t>Pour chaque lot soumissionné, l’offre comprend obligatoirement :</w:t>
      </w:r>
    </w:p>
    <w:p w14:paraId="061BFC1D" w14:textId="77777777" w:rsidR="00141C00" w:rsidRPr="007104F6" w:rsidRDefault="00FC7E3B" w:rsidP="00FD52A4">
      <w:pPr>
        <w:pStyle w:val="Puces"/>
      </w:pPr>
      <w:r w:rsidRPr="007104F6">
        <w:t>L’acte</w:t>
      </w:r>
      <w:r w:rsidR="00FD52A4" w:rsidRPr="007104F6">
        <w:t xml:space="preserve"> d’engagement du lot, intégralement renseigné ; sa signature n’est pas exigée au stade du dépôt, mais sera demandée au candidat pressenti ;</w:t>
      </w:r>
    </w:p>
    <w:p w14:paraId="7AA3A33F" w14:textId="77777777" w:rsidR="00141C00" w:rsidRPr="007104F6" w:rsidRDefault="00FC7E3B" w:rsidP="00FD52A4">
      <w:pPr>
        <w:pStyle w:val="Puces"/>
      </w:pPr>
      <w:r w:rsidRPr="007104F6">
        <w:t>La</w:t>
      </w:r>
      <w:r w:rsidR="00FD52A4" w:rsidRPr="007104F6">
        <w:t xml:space="preserve"> DPGF et le BPU du lot, complétés sans modification de structure ;</w:t>
      </w:r>
    </w:p>
    <w:p w14:paraId="72BAA95C" w14:textId="77777777" w:rsidR="00141C00" w:rsidRPr="007104F6" w:rsidRDefault="00FC7E3B" w:rsidP="00FD52A4">
      <w:pPr>
        <w:pStyle w:val="Puces"/>
      </w:pPr>
      <w:r w:rsidRPr="007104F6">
        <w:t>Le</w:t>
      </w:r>
      <w:r w:rsidR="00FD52A4" w:rsidRPr="007104F6">
        <w:t xml:space="preserve"> DQE du lot, non contractuel, complété ou alimenté par les formules du classeur ;</w:t>
      </w:r>
    </w:p>
    <w:p w14:paraId="7E0029D3" w14:textId="77777777" w:rsidR="00141C00" w:rsidRPr="007104F6" w:rsidRDefault="00FC7E3B" w:rsidP="00FD52A4">
      <w:pPr>
        <w:pStyle w:val="Puces"/>
      </w:pPr>
      <w:r w:rsidRPr="007104F6">
        <w:t>Le</w:t>
      </w:r>
      <w:r w:rsidR="00FD52A4" w:rsidRPr="007104F6">
        <w:t xml:space="preserve"> mémoire technique respectant le plan imposé en annexe 1 ;</w:t>
      </w:r>
    </w:p>
    <w:p w14:paraId="67518A26" w14:textId="77777777" w:rsidR="00141C00" w:rsidRPr="007104F6" w:rsidRDefault="00FC7E3B" w:rsidP="00FD52A4">
      <w:pPr>
        <w:pStyle w:val="Puces"/>
      </w:pPr>
      <w:r w:rsidRPr="007104F6">
        <w:t>Un</w:t>
      </w:r>
      <w:r w:rsidR="00FD52A4" w:rsidRPr="007104F6">
        <w:t xml:space="preserve"> calendrier détaillé et réaliste ;</w:t>
      </w:r>
    </w:p>
    <w:p w14:paraId="3E2DAF71" w14:textId="77777777" w:rsidR="00141C00" w:rsidRPr="007104F6" w:rsidRDefault="00FC7E3B" w:rsidP="00FD52A4">
      <w:pPr>
        <w:pStyle w:val="Puces"/>
      </w:pPr>
      <w:r w:rsidRPr="007104F6">
        <w:t>La</w:t>
      </w:r>
      <w:r w:rsidR="00FD52A4" w:rsidRPr="007104F6">
        <w:t xml:space="preserve"> présentation de l’équipe dédiée, les CV synthétiques et l’identification des sous-traitants ou services tiers connus ;</w:t>
      </w:r>
    </w:p>
    <w:p w14:paraId="79B06182" w14:textId="77777777" w:rsidR="00141C00" w:rsidRPr="007104F6" w:rsidRDefault="00FC7E3B" w:rsidP="00FD52A4">
      <w:pPr>
        <w:pStyle w:val="Puces"/>
      </w:pPr>
      <w:r w:rsidRPr="007104F6">
        <w:t>Les</w:t>
      </w:r>
      <w:r w:rsidR="00FD52A4" w:rsidRPr="007104F6">
        <w:t xml:space="preserve"> informations relatives à l’hébergement, à la sécurité, aux données personnelles, à la réversibilité et aux éventuels transferts hors Espace économique européen</w:t>
      </w:r>
      <w:r w:rsidR="00FD52A4">
        <w:t>.</w:t>
      </w:r>
    </w:p>
    <w:p w14:paraId="7E99A1CC" w14:textId="77777777" w:rsidR="00141C00" w:rsidRPr="007104F6" w:rsidRDefault="00FD52A4">
      <w:pPr>
        <w:rPr>
          <w:lang w:val="fr-FR"/>
        </w:rPr>
      </w:pPr>
      <w:r w:rsidRPr="007104F6">
        <w:rPr>
          <w:lang w:val="fr-FR"/>
        </w:rPr>
        <w:t xml:space="preserve">Les mémoires techniques sont distincts par lot. Leur volume recommandé est de quarante-cinq </w:t>
      </w:r>
      <w:proofErr w:type="gramStart"/>
      <w:r w:rsidRPr="007104F6">
        <w:rPr>
          <w:lang w:val="fr-FR"/>
        </w:rPr>
        <w:t>pages maximum</w:t>
      </w:r>
      <w:proofErr w:type="gramEnd"/>
      <w:r w:rsidRPr="007104F6">
        <w:rPr>
          <w:lang w:val="fr-FR"/>
        </w:rPr>
        <w:t xml:space="preserve"> par lot, hors page de garde, sommaire, CV, fiches techniques et annexes probantes. La qualité, la précision et la proportionnalité priment sur le volume documentaire.</w:t>
      </w:r>
    </w:p>
    <w:p w14:paraId="66E10CC3" w14:textId="77777777" w:rsidR="00141C00" w:rsidRPr="007104F6" w:rsidRDefault="00FD52A4">
      <w:pPr>
        <w:rPr>
          <w:lang w:val="fr-FR"/>
        </w:rPr>
      </w:pPr>
      <w:r w:rsidRPr="007104F6">
        <w:rPr>
          <w:lang w:val="fr-FR"/>
        </w:rPr>
        <w:t>Chaque cellule de prix obligatoire de la DPGF et du BPU doit être renseignée par une valeur numérique. Un prix nul n’est admis que si aucun coût spécifique n’est associé à la ligne et sous réserve d’une justification explicite dans la colonne « Commentaires du candidat ». Tous les frais nécessaires à l’exécution sont réputés compris : licences, abonnements, hébergement, services tiers, déplacements, documentation, support, formation, interfaces et frais généraux, selon le périmètre de la ligne.</w:t>
      </w:r>
    </w:p>
    <w:p w14:paraId="62B38634" w14:textId="77777777" w:rsidR="00141C00" w:rsidRPr="007104F6" w:rsidRDefault="00FD52A4">
      <w:pPr>
        <w:rPr>
          <w:lang w:val="fr-FR"/>
        </w:rPr>
      </w:pPr>
      <w:r w:rsidRPr="007104F6">
        <w:rPr>
          <w:lang w:val="fr-FR"/>
        </w:rPr>
        <w:t>Le candidat ne doit ni insérer, supprimer ou déplacer des lignes ou colonnes, ni modifier les quantités de comparaison, les unités, les formules ou la structure du classeur financier. En cas d’altération, l’OFDT peut reconstituer le montant de comparaison à partir des prix contractuels régulièrement renseignés ; une modification empêchant cette reconstitution ou affectant la portée de l’offre peut entraîner son irrégularité.</w:t>
      </w:r>
    </w:p>
    <w:p w14:paraId="1C307247" w14:textId="77777777" w:rsidR="00141C00" w:rsidRPr="007104F6" w:rsidRDefault="00FD52A4">
      <w:pPr>
        <w:rPr>
          <w:lang w:val="fr-FR"/>
        </w:rPr>
      </w:pPr>
      <w:r w:rsidRPr="007104F6">
        <w:rPr>
          <w:lang w:val="fr-FR"/>
        </w:rPr>
        <w:t>Pour le lot n° 1, l’offre distingue sans ambiguïté la paie complète du dispositif transitoire et la pré-liquidation cible destinée à la paye à façon. Elle précise l’état réel de compatibilité avec l’interface GEST, les références disponibles, les travaux restant à conduire, les délais, les risques et les engagements associés. Pour le lot n° 2, l’offre identifie les coûts éventuels de signature électronique ou de tout service tiers, leur caractère natif ou externe, les volumes inclus, les dépendances contractuelles et les modalités d’échange avec PEP et le lot n° 1.</w:t>
      </w:r>
    </w:p>
    <w:p w14:paraId="099CCB2A" w14:textId="77777777" w:rsidR="00141C00" w:rsidRPr="007104F6" w:rsidRDefault="00FD52A4">
      <w:pPr>
        <w:pStyle w:val="Titre1"/>
        <w:rPr>
          <w:lang w:val="fr-FR"/>
        </w:rPr>
      </w:pPr>
      <w:r w:rsidRPr="007104F6">
        <w:rPr>
          <w:lang w:val="fr-FR"/>
        </w:rPr>
        <w:t>Article 10 – Examen des candidatures et des offres</w:t>
      </w:r>
    </w:p>
    <w:p w14:paraId="5F2AB4AA" w14:textId="77777777" w:rsidR="00141C00" w:rsidRPr="007104F6" w:rsidRDefault="00FD52A4">
      <w:pPr>
        <w:rPr>
          <w:lang w:val="fr-FR"/>
        </w:rPr>
      </w:pPr>
      <w:r w:rsidRPr="007104F6">
        <w:rPr>
          <w:lang w:val="fr-FR"/>
        </w:rPr>
        <w:t>Les candidatures sont examinées au regard des capacités économiques, financières, techniques et professionnelles nécessaires à l’exécution du lot.</w:t>
      </w:r>
    </w:p>
    <w:p w14:paraId="0461D69F" w14:textId="77777777" w:rsidR="0099611F" w:rsidRPr="00FC7E3B" w:rsidRDefault="00FC7E3B">
      <w:pPr>
        <w:rPr>
          <w:lang w:val="fr-FR"/>
        </w:rPr>
      </w:pPr>
      <w:r w:rsidRPr="00FC7E3B">
        <w:rPr>
          <w:lang w:val="fr-FR"/>
        </w:rPr>
        <w:t>Les offres inappropriées, irrégulières ou inacceptables sont traitées conformément au Code de la commande publique. Une offre irrégulière est éliminée, sous réserve de la faculté de régularisation prévue à l’article 14.</w:t>
      </w:r>
    </w:p>
    <w:p w14:paraId="387344B7" w14:textId="77777777" w:rsidR="0099611F" w:rsidRDefault="00FC7E3B">
      <w:r w:rsidRPr="00FC7E3B">
        <w:rPr>
          <w:lang w:val="fr-FR"/>
        </w:rPr>
        <w:t xml:space="preserve">L’absence d’une pièce obligatoire de l’offre, son caractère substantiellement incomplet ou l’absence d’une information nécessaire à l’analyse est susceptible de rendre l’offre irrégulière. </w:t>
      </w:r>
      <w:r>
        <w:t xml:space="preserve">Sont </w:t>
      </w:r>
      <w:proofErr w:type="spellStart"/>
      <w:r>
        <w:t>notamment</w:t>
      </w:r>
      <w:proofErr w:type="spellEnd"/>
      <w:r>
        <w:t xml:space="preserve"> </w:t>
      </w:r>
      <w:proofErr w:type="spellStart"/>
      <w:r>
        <w:t>susceptibles</w:t>
      </w:r>
      <w:proofErr w:type="spellEnd"/>
      <w:r>
        <w:t xml:space="preserve"> </w:t>
      </w:r>
      <w:proofErr w:type="spellStart"/>
      <w:r>
        <w:t>d’empêcher</w:t>
      </w:r>
      <w:proofErr w:type="spellEnd"/>
      <w:r>
        <w:t xml:space="preserve"> </w:t>
      </w:r>
      <w:proofErr w:type="spellStart"/>
      <w:r>
        <w:t>l’analyse</w:t>
      </w:r>
      <w:proofErr w:type="spellEnd"/>
      <w:r>
        <w:t xml:space="preserve"> de </w:t>
      </w:r>
      <w:proofErr w:type="spellStart"/>
      <w:proofErr w:type="gramStart"/>
      <w:r>
        <w:t>l’offre</w:t>
      </w:r>
      <w:proofErr w:type="spellEnd"/>
      <w:r>
        <w:t xml:space="preserve"> :</w:t>
      </w:r>
      <w:proofErr w:type="gramEnd"/>
    </w:p>
    <w:p w14:paraId="391FE7BD" w14:textId="77777777" w:rsidR="0099611F" w:rsidRDefault="00FC7E3B">
      <w:pPr>
        <w:pStyle w:val="Puces"/>
      </w:pPr>
      <w:r>
        <w:t>L’absence complète du mémoire technique ou du cadre de réponse technique ;</w:t>
      </w:r>
    </w:p>
    <w:p w14:paraId="180A0D89" w14:textId="77777777" w:rsidR="0099611F" w:rsidRDefault="00FC7E3B">
      <w:pPr>
        <w:pStyle w:val="Puces"/>
      </w:pPr>
      <w:r>
        <w:t>L’absence de la DPGF ou du BPU ;</w:t>
      </w:r>
    </w:p>
    <w:p w14:paraId="54B60C5F" w14:textId="77777777" w:rsidR="0099611F" w:rsidRDefault="00FC7E3B">
      <w:pPr>
        <w:pStyle w:val="Puces"/>
      </w:pPr>
      <w:r>
        <w:t>L’absence d’un prix nécessaire à l’exécution du périmètre obligatoire ;</w:t>
      </w:r>
    </w:p>
    <w:p w14:paraId="67057CEA" w14:textId="77777777" w:rsidR="0099611F" w:rsidRDefault="00FC7E3B">
      <w:pPr>
        <w:pStyle w:val="Puces"/>
      </w:pPr>
      <w:r>
        <w:t>L’absence d’un engagement portant sur une exigence essentielle du CCTP ;</w:t>
      </w:r>
    </w:p>
    <w:p w14:paraId="58960622" w14:textId="77777777" w:rsidR="0099611F" w:rsidRDefault="00FC7E3B">
      <w:pPr>
        <w:pStyle w:val="Puces"/>
      </w:pPr>
      <w:r>
        <w:t>L’impossibilité de distinguer, pour le lot n° 1, la paie complète du dispositif transitoire de la pré-liquidation cible destinée à la paye à façon ;</w:t>
      </w:r>
    </w:p>
    <w:p w14:paraId="0E761A20" w14:textId="77777777" w:rsidR="0099611F" w:rsidRDefault="00FC7E3B">
      <w:pPr>
        <w:pStyle w:val="Puces"/>
      </w:pPr>
      <w:r>
        <w:t>L’absence des éléments permettant d’apprécier la compatibilité avec l’interface GEST, les interfaces obligatoires ou le calendrier de mise en production.</w:t>
      </w:r>
    </w:p>
    <w:p w14:paraId="63D4F3F2" w14:textId="77777777" w:rsidR="0099611F" w:rsidRPr="00FC7E3B" w:rsidRDefault="00FC7E3B">
      <w:pPr>
        <w:rPr>
          <w:lang w:val="fr-FR"/>
        </w:rPr>
      </w:pPr>
      <w:r w:rsidRPr="00FC7E3B">
        <w:rPr>
          <w:lang w:val="fr-FR"/>
        </w:rPr>
        <w:t>L’absence ou l’incomplétude du DQE est susceptible de rendre l’offre irrégulière. Elle ne peut être régularisée que si le DQE peut être intégralement reconstitué à partir des prix déjà renseignés dans la DPGF et le BPU, sans ajout ni modification d’un prix et sans modification de l’économie de l’offre.</w:t>
      </w:r>
    </w:p>
    <w:p w14:paraId="7B9F7F33" w14:textId="77777777" w:rsidR="0099611F" w:rsidRPr="00FC7E3B" w:rsidRDefault="00FC7E3B">
      <w:pPr>
        <w:rPr>
          <w:lang w:val="fr-FR"/>
        </w:rPr>
      </w:pPr>
      <w:r w:rsidRPr="00FC7E3B">
        <w:rPr>
          <w:lang w:val="fr-FR"/>
        </w:rPr>
        <w:t>L’absence de démonstration d’une exigence minimale, notamment la continuité de la paie complète au 1er janvier 2027 pour le lot n° 1, ou l’incapacité à atteindre la compatibilité GEST dans le calendrier contractuel, peut conduire à l’irrégularité de l’offre lorsque l’exigence du CCTP n’est pas satisfaite.</w:t>
      </w:r>
    </w:p>
    <w:p w14:paraId="30DFC422" w14:textId="77777777" w:rsidR="00141C00" w:rsidRPr="007104F6" w:rsidRDefault="00FD52A4">
      <w:pPr>
        <w:rPr>
          <w:lang w:val="fr-FR"/>
        </w:rPr>
      </w:pPr>
      <w:r w:rsidRPr="007104F6">
        <w:rPr>
          <w:lang w:val="fr-FR"/>
        </w:rPr>
        <w:t>Une note inférieure à 30 points sur 55 au titre du seul critère « valeur technique » entraîne l’élimination de l’offre. Cette règle s’applique séparément à chaque lot, avant addition des notes de prix et de performance environnementale.</w:t>
      </w:r>
    </w:p>
    <w:p w14:paraId="137428E4" w14:textId="77777777" w:rsidR="00141C00" w:rsidRPr="007104F6" w:rsidRDefault="00FD52A4">
      <w:pPr>
        <w:pStyle w:val="Titre1"/>
        <w:rPr>
          <w:lang w:val="fr-FR"/>
        </w:rPr>
      </w:pPr>
      <w:r w:rsidRPr="007104F6">
        <w:rPr>
          <w:lang w:val="fr-FR"/>
        </w:rPr>
        <w:t>Article 11 – Critères d’attribution du lot n° 1</w:t>
      </w:r>
    </w:p>
    <w:p w14:paraId="6A5172D1" w14:textId="77777777" w:rsidR="00141C00" w:rsidRPr="007104F6" w:rsidRDefault="00FD52A4">
      <w:pPr>
        <w:rPr>
          <w:lang w:val="fr-FR"/>
        </w:rPr>
      </w:pPr>
      <w:r w:rsidRPr="007104F6">
        <w:rPr>
          <w:lang w:val="fr-FR"/>
        </w:rPr>
        <w:t>Le lot n° 1 est attribué à l’offre économiquement la plus avantageuse selon les critères suivants</w:t>
      </w:r>
      <w:r w:rsidR="00FC7E3B">
        <w:rPr>
          <w:lang w:val="fr-FR"/>
        </w:rPr>
        <w:t> </w:t>
      </w:r>
      <w:r w:rsidRPr="007104F6">
        <w:rPr>
          <w:lang w:val="fr-FR"/>
        </w:rPr>
        <w:t>:</w:t>
      </w:r>
    </w:p>
    <w:tbl>
      <w:tblPr>
        <w:tblStyle w:val="Grilledutableau"/>
        <w:tblW w:w="9067" w:type="dxa"/>
        <w:jc w:val="center"/>
        <w:tblLayout w:type="fixed"/>
        <w:tblLook w:val="04A0" w:firstRow="1" w:lastRow="0" w:firstColumn="1" w:lastColumn="0" w:noHBand="0" w:noVBand="1"/>
      </w:tblPr>
      <w:tblGrid>
        <w:gridCol w:w="3039"/>
        <w:gridCol w:w="1946"/>
        <w:gridCol w:w="4082"/>
      </w:tblGrid>
      <w:tr w:rsidR="00141C00" w14:paraId="409EB500" w14:textId="77777777" w:rsidTr="00FC7E3B">
        <w:trPr>
          <w:cantSplit/>
          <w:tblHeader/>
          <w:jc w:val="center"/>
        </w:trPr>
        <w:tc>
          <w:tcPr>
            <w:tcW w:w="3039" w:type="dxa"/>
            <w:shd w:val="clear" w:color="auto" w:fill="19153F"/>
            <w:tcMar>
              <w:top w:w="80" w:type="dxa"/>
              <w:left w:w="80" w:type="dxa"/>
              <w:bottom w:w="80" w:type="dxa"/>
              <w:right w:w="80" w:type="dxa"/>
            </w:tcMar>
            <w:vAlign w:val="center"/>
          </w:tcPr>
          <w:p w14:paraId="51AE9A69" w14:textId="77777777" w:rsidR="00141C00" w:rsidRDefault="00FD52A4">
            <w:pPr>
              <w:pStyle w:val="TableText"/>
              <w:spacing w:after="40"/>
              <w:jc w:val="center"/>
            </w:pPr>
            <w:proofErr w:type="spellStart"/>
            <w:r>
              <w:rPr>
                <w:b/>
                <w:color w:val="FFFFFF"/>
              </w:rPr>
              <w:t>Critère</w:t>
            </w:r>
            <w:proofErr w:type="spellEnd"/>
            <w:r>
              <w:rPr>
                <w:b/>
                <w:color w:val="FFFFFF"/>
              </w:rPr>
              <w:t xml:space="preserve"> / sous-</w:t>
            </w:r>
            <w:proofErr w:type="spellStart"/>
            <w:r>
              <w:rPr>
                <w:b/>
                <w:color w:val="FFFFFF"/>
              </w:rPr>
              <w:t>critère</w:t>
            </w:r>
            <w:proofErr w:type="spellEnd"/>
          </w:p>
        </w:tc>
        <w:tc>
          <w:tcPr>
            <w:tcW w:w="1946" w:type="dxa"/>
            <w:shd w:val="clear" w:color="auto" w:fill="19153F"/>
            <w:tcMar>
              <w:top w:w="80" w:type="dxa"/>
              <w:left w:w="80" w:type="dxa"/>
              <w:bottom w:w="80" w:type="dxa"/>
              <w:right w:w="80" w:type="dxa"/>
            </w:tcMar>
            <w:vAlign w:val="center"/>
          </w:tcPr>
          <w:p w14:paraId="326689DC" w14:textId="77777777" w:rsidR="00141C00" w:rsidRDefault="00FD52A4">
            <w:pPr>
              <w:pStyle w:val="TableText"/>
              <w:spacing w:after="40"/>
              <w:jc w:val="center"/>
            </w:pPr>
            <w:proofErr w:type="spellStart"/>
            <w:r>
              <w:rPr>
                <w:b/>
                <w:color w:val="FFFFFF"/>
              </w:rPr>
              <w:t>Pondération</w:t>
            </w:r>
            <w:proofErr w:type="spellEnd"/>
          </w:p>
        </w:tc>
        <w:tc>
          <w:tcPr>
            <w:tcW w:w="4082" w:type="dxa"/>
            <w:shd w:val="clear" w:color="auto" w:fill="19153F"/>
            <w:tcMar>
              <w:top w:w="80" w:type="dxa"/>
              <w:left w:w="80" w:type="dxa"/>
              <w:bottom w:w="80" w:type="dxa"/>
              <w:right w:w="80" w:type="dxa"/>
            </w:tcMar>
            <w:vAlign w:val="center"/>
          </w:tcPr>
          <w:p w14:paraId="22C37CFD" w14:textId="77777777" w:rsidR="00141C00" w:rsidRDefault="00FD52A4">
            <w:pPr>
              <w:pStyle w:val="TableText"/>
              <w:spacing w:after="40"/>
              <w:jc w:val="center"/>
            </w:pPr>
            <w:proofErr w:type="spellStart"/>
            <w:r>
              <w:rPr>
                <w:b/>
                <w:color w:val="FFFFFF"/>
              </w:rPr>
              <w:t>Éléments</w:t>
            </w:r>
            <w:proofErr w:type="spellEnd"/>
            <w:r>
              <w:rPr>
                <w:b/>
                <w:color w:val="FFFFFF"/>
              </w:rPr>
              <w:t xml:space="preserve"> </w:t>
            </w:r>
            <w:proofErr w:type="spellStart"/>
            <w:r>
              <w:rPr>
                <w:b/>
                <w:color w:val="FFFFFF"/>
              </w:rPr>
              <w:t>principaux</w:t>
            </w:r>
            <w:proofErr w:type="spellEnd"/>
            <w:r>
              <w:rPr>
                <w:b/>
                <w:color w:val="FFFFFF"/>
              </w:rPr>
              <w:t xml:space="preserve"> </w:t>
            </w:r>
            <w:proofErr w:type="spellStart"/>
            <w:r>
              <w:rPr>
                <w:b/>
                <w:color w:val="FFFFFF"/>
              </w:rPr>
              <w:t>appréciés</w:t>
            </w:r>
            <w:proofErr w:type="spellEnd"/>
          </w:p>
        </w:tc>
      </w:tr>
      <w:tr w:rsidR="00141C00" w14:paraId="6145D3B7" w14:textId="77777777" w:rsidTr="00FC7E3B">
        <w:trPr>
          <w:cantSplit/>
          <w:jc w:val="center"/>
        </w:trPr>
        <w:tc>
          <w:tcPr>
            <w:tcW w:w="3039" w:type="dxa"/>
            <w:tcMar>
              <w:top w:w="80" w:type="dxa"/>
              <w:left w:w="80" w:type="dxa"/>
              <w:bottom w:w="80" w:type="dxa"/>
              <w:right w:w="80" w:type="dxa"/>
            </w:tcMar>
            <w:vAlign w:val="center"/>
          </w:tcPr>
          <w:p w14:paraId="23929898" w14:textId="77777777" w:rsidR="00141C00" w:rsidRDefault="00FD52A4">
            <w:pPr>
              <w:pStyle w:val="TableText"/>
              <w:spacing w:after="40"/>
            </w:pPr>
            <w:r>
              <w:t>1. Valeur technique</w:t>
            </w:r>
          </w:p>
        </w:tc>
        <w:tc>
          <w:tcPr>
            <w:tcW w:w="1946" w:type="dxa"/>
            <w:tcMar>
              <w:top w:w="80" w:type="dxa"/>
              <w:left w:w="80" w:type="dxa"/>
              <w:bottom w:w="80" w:type="dxa"/>
              <w:right w:w="80" w:type="dxa"/>
            </w:tcMar>
            <w:vAlign w:val="center"/>
          </w:tcPr>
          <w:p w14:paraId="49F4BFA8" w14:textId="77777777" w:rsidR="00141C00" w:rsidRDefault="00FD52A4">
            <w:pPr>
              <w:pStyle w:val="TableText"/>
              <w:spacing w:after="40"/>
            </w:pPr>
            <w:r>
              <w:t>55 points</w:t>
            </w:r>
          </w:p>
        </w:tc>
        <w:tc>
          <w:tcPr>
            <w:tcW w:w="4082" w:type="dxa"/>
            <w:tcMar>
              <w:top w:w="80" w:type="dxa"/>
              <w:left w:w="80" w:type="dxa"/>
              <w:bottom w:w="80" w:type="dxa"/>
              <w:right w:w="80" w:type="dxa"/>
            </w:tcMar>
            <w:vAlign w:val="center"/>
          </w:tcPr>
          <w:p w14:paraId="4D6971F6" w14:textId="77777777" w:rsidR="00141C00" w:rsidRDefault="00141C00">
            <w:pPr>
              <w:pStyle w:val="TableText"/>
              <w:spacing w:after="40"/>
            </w:pPr>
          </w:p>
        </w:tc>
      </w:tr>
      <w:tr w:rsidR="00141C00" w:rsidRPr="00394CD1" w14:paraId="1168F65A" w14:textId="77777777" w:rsidTr="00FC7E3B">
        <w:trPr>
          <w:cantSplit/>
          <w:jc w:val="center"/>
        </w:trPr>
        <w:tc>
          <w:tcPr>
            <w:tcW w:w="3039" w:type="dxa"/>
            <w:shd w:val="clear" w:color="auto" w:fill="F7F8FB"/>
            <w:tcMar>
              <w:top w:w="80" w:type="dxa"/>
              <w:left w:w="80" w:type="dxa"/>
              <w:bottom w:w="80" w:type="dxa"/>
              <w:right w:w="80" w:type="dxa"/>
            </w:tcMar>
            <w:vAlign w:val="center"/>
          </w:tcPr>
          <w:p w14:paraId="4ED7FC28" w14:textId="77777777" w:rsidR="00141C00" w:rsidRPr="007104F6" w:rsidRDefault="00FD52A4">
            <w:pPr>
              <w:pStyle w:val="TableText"/>
              <w:spacing w:after="40"/>
              <w:rPr>
                <w:lang w:val="fr-FR"/>
              </w:rPr>
            </w:pPr>
            <w:r w:rsidRPr="007104F6">
              <w:rPr>
                <w:lang w:val="fr-FR"/>
              </w:rPr>
              <w:t>1.1 Compréhension du besoin et architecture proposée</w:t>
            </w:r>
          </w:p>
        </w:tc>
        <w:tc>
          <w:tcPr>
            <w:tcW w:w="1946" w:type="dxa"/>
            <w:shd w:val="clear" w:color="auto" w:fill="F7F8FB"/>
            <w:tcMar>
              <w:top w:w="80" w:type="dxa"/>
              <w:left w:w="80" w:type="dxa"/>
              <w:bottom w:w="80" w:type="dxa"/>
              <w:right w:w="80" w:type="dxa"/>
            </w:tcMar>
            <w:vAlign w:val="center"/>
          </w:tcPr>
          <w:p w14:paraId="4EF15ADB" w14:textId="77777777" w:rsidR="00141C00" w:rsidRDefault="00FD52A4">
            <w:pPr>
              <w:pStyle w:val="TableText"/>
              <w:spacing w:after="40"/>
            </w:pPr>
            <w:r>
              <w:t>8 points</w:t>
            </w:r>
          </w:p>
        </w:tc>
        <w:tc>
          <w:tcPr>
            <w:tcW w:w="4082" w:type="dxa"/>
            <w:shd w:val="clear" w:color="auto" w:fill="F7F8FB"/>
            <w:tcMar>
              <w:top w:w="80" w:type="dxa"/>
              <w:left w:w="80" w:type="dxa"/>
              <w:bottom w:w="80" w:type="dxa"/>
              <w:right w:w="80" w:type="dxa"/>
            </w:tcMar>
            <w:vAlign w:val="center"/>
          </w:tcPr>
          <w:p w14:paraId="1C37529C" w14:textId="77777777" w:rsidR="00141C00" w:rsidRPr="007104F6" w:rsidRDefault="00FD52A4">
            <w:pPr>
              <w:pStyle w:val="TableText"/>
              <w:spacing w:after="40"/>
              <w:rPr>
                <w:lang w:val="fr-FR"/>
              </w:rPr>
            </w:pPr>
            <w:r w:rsidRPr="007104F6">
              <w:rPr>
                <w:lang w:val="fr-FR"/>
              </w:rPr>
              <w:t>Deux étapes 2027/2028 ; articulation transitoire/cible ; rôle de la DGFiP ; lot n° 2 référentiel maître ; absence de référentiel concurrent.</w:t>
            </w:r>
          </w:p>
        </w:tc>
      </w:tr>
      <w:tr w:rsidR="00141C00" w:rsidRPr="00394CD1" w14:paraId="4D02C8E6" w14:textId="77777777" w:rsidTr="00FC7E3B">
        <w:trPr>
          <w:cantSplit/>
          <w:jc w:val="center"/>
        </w:trPr>
        <w:tc>
          <w:tcPr>
            <w:tcW w:w="3039" w:type="dxa"/>
            <w:tcMar>
              <w:top w:w="80" w:type="dxa"/>
              <w:left w:w="80" w:type="dxa"/>
              <w:bottom w:w="80" w:type="dxa"/>
              <w:right w:w="80" w:type="dxa"/>
            </w:tcMar>
            <w:vAlign w:val="center"/>
          </w:tcPr>
          <w:p w14:paraId="02BF9FB5" w14:textId="77777777" w:rsidR="00141C00" w:rsidRPr="007104F6" w:rsidRDefault="00FD52A4">
            <w:pPr>
              <w:pStyle w:val="TableText"/>
              <w:spacing w:after="40"/>
              <w:rPr>
                <w:lang w:val="fr-FR"/>
              </w:rPr>
            </w:pPr>
            <w:r w:rsidRPr="007104F6">
              <w:rPr>
                <w:lang w:val="fr-FR"/>
              </w:rPr>
              <w:t>1.2 Dispositif transitoire complet et calendrier de sécurisation</w:t>
            </w:r>
          </w:p>
        </w:tc>
        <w:tc>
          <w:tcPr>
            <w:tcW w:w="1946" w:type="dxa"/>
            <w:tcMar>
              <w:top w:w="80" w:type="dxa"/>
              <w:left w:w="80" w:type="dxa"/>
              <w:bottom w:w="80" w:type="dxa"/>
              <w:right w:w="80" w:type="dxa"/>
            </w:tcMar>
            <w:vAlign w:val="center"/>
          </w:tcPr>
          <w:p w14:paraId="0C5EA166" w14:textId="77777777" w:rsidR="00141C00" w:rsidRDefault="00FD52A4">
            <w:pPr>
              <w:pStyle w:val="TableText"/>
              <w:spacing w:after="40"/>
            </w:pPr>
            <w:r>
              <w:t>15 points</w:t>
            </w:r>
          </w:p>
        </w:tc>
        <w:tc>
          <w:tcPr>
            <w:tcW w:w="4082" w:type="dxa"/>
            <w:tcMar>
              <w:top w:w="80" w:type="dxa"/>
              <w:left w:w="80" w:type="dxa"/>
              <w:bottom w:w="80" w:type="dxa"/>
              <w:right w:w="80" w:type="dxa"/>
            </w:tcMar>
            <w:vAlign w:val="center"/>
          </w:tcPr>
          <w:p w14:paraId="256273D7" w14:textId="77777777" w:rsidR="00141C00" w:rsidRPr="007104F6" w:rsidRDefault="00FD52A4">
            <w:pPr>
              <w:pStyle w:val="TableText"/>
              <w:spacing w:after="40"/>
              <w:rPr>
                <w:lang w:val="fr-FR"/>
              </w:rPr>
            </w:pPr>
            <w:r w:rsidRPr="007104F6">
              <w:rPr>
                <w:lang w:val="fr-FR"/>
              </w:rPr>
              <w:t>Couverture de la paie complète, reprise et fiabilisation des données, DSN/PAS/IRCANTEC/assurance chômage, historiques, contrôles, plan de bascule, ressources, continuité et mesures de rattrapage.</w:t>
            </w:r>
          </w:p>
        </w:tc>
      </w:tr>
      <w:tr w:rsidR="00141C00" w:rsidRPr="00394CD1" w14:paraId="087B2519" w14:textId="77777777" w:rsidTr="00FC7E3B">
        <w:trPr>
          <w:cantSplit/>
          <w:jc w:val="center"/>
        </w:trPr>
        <w:tc>
          <w:tcPr>
            <w:tcW w:w="3039" w:type="dxa"/>
            <w:shd w:val="clear" w:color="auto" w:fill="F7F8FB"/>
            <w:tcMar>
              <w:top w:w="80" w:type="dxa"/>
              <w:left w:w="80" w:type="dxa"/>
              <w:bottom w:w="80" w:type="dxa"/>
              <w:right w:w="80" w:type="dxa"/>
            </w:tcMar>
            <w:vAlign w:val="center"/>
          </w:tcPr>
          <w:p w14:paraId="7EE20D49" w14:textId="77777777" w:rsidR="00141C00" w:rsidRPr="007104F6" w:rsidRDefault="00FD52A4">
            <w:pPr>
              <w:pStyle w:val="TableText"/>
              <w:spacing w:after="40"/>
              <w:rPr>
                <w:lang w:val="fr-FR"/>
              </w:rPr>
            </w:pPr>
            <w:r w:rsidRPr="007104F6">
              <w:rPr>
                <w:lang w:val="fr-FR"/>
              </w:rPr>
              <w:t>1.3 Compatibilité paye à façon, GEST et retours DGFiP</w:t>
            </w:r>
          </w:p>
        </w:tc>
        <w:tc>
          <w:tcPr>
            <w:tcW w:w="1946" w:type="dxa"/>
            <w:shd w:val="clear" w:color="auto" w:fill="F7F8FB"/>
            <w:tcMar>
              <w:top w:w="80" w:type="dxa"/>
              <w:left w:w="80" w:type="dxa"/>
              <w:bottom w:w="80" w:type="dxa"/>
              <w:right w:w="80" w:type="dxa"/>
            </w:tcMar>
            <w:vAlign w:val="center"/>
          </w:tcPr>
          <w:p w14:paraId="41249711" w14:textId="77777777" w:rsidR="00141C00" w:rsidRDefault="00FD52A4">
            <w:pPr>
              <w:pStyle w:val="TableText"/>
              <w:spacing w:after="40"/>
            </w:pPr>
            <w:r>
              <w:t>13 points</w:t>
            </w:r>
          </w:p>
        </w:tc>
        <w:tc>
          <w:tcPr>
            <w:tcW w:w="4082" w:type="dxa"/>
            <w:shd w:val="clear" w:color="auto" w:fill="F7F8FB"/>
            <w:tcMar>
              <w:top w:w="80" w:type="dxa"/>
              <w:left w:w="80" w:type="dxa"/>
              <w:bottom w:w="80" w:type="dxa"/>
              <w:right w:w="80" w:type="dxa"/>
            </w:tcMar>
            <w:vAlign w:val="center"/>
          </w:tcPr>
          <w:p w14:paraId="33C4303B" w14:textId="77777777" w:rsidR="00141C00" w:rsidRPr="007104F6" w:rsidRDefault="00FD52A4">
            <w:pPr>
              <w:pStyle w:val="TableText"/>
              <w:spacing w:after="40"/>
              <w:rPr>
                <w:lang w:val="fr-FR"/>
              </w:rPr>
            </w:pPr>
            <w:r w:rsidRPr="007104F6">
              <w:rPr>
                <w:lang w:val="fr-FR"/>
              </w:rPr>
              <w:t xml:space="preserve">État réel de compatibilité ou homologation ; références ; travaux restant à conduire ; tests ; risques ; production GEST ; exploitation KA, KX, LR, </w:t>
            </w:r>
            <w:proofErr w:type="spellStart"/>
            <w:r w:rsidRPr="007104F6">
              <w:rPr>
                <w:lang w:val="fr-FR"/>
              </w:rPr>
              <w:t>PDFEdit</w:t>
            </w:r>
            <w:proofErr w:type="spellEnd"/>
            <w:r w:rsidRPr="007104F6">
              <w:rPr>
                <w:lang w:val="fr-FR"/>
              </w:rPr>
              <w:t xml:space="preserve"> et INDiA ; responsabilités et engagements de délai.</w:t>
            </w:r>
          </w:p>
        </w:tc>
      </w:tr>
      <w:tr w:rsidR="00141C00" w:rsidRPr="00394CD1" w14:paraId="45088AAA" w14:textId="77777777" w:rsidTr="00FC7E3B">
        <w:trPr>
          <w:cantSplit/>
          <w:jc w:val="center"/>
        </w:trPr>
        <w:tc>
          <w:tcPr>
            <w:tcW w:w="3039" w:type="dxa"/>
            <w:tcMar>
              <w:top w:w="80" w:type="dxa"/>
              <w:left w:w="80" w:type="dxa"/>
              <w:bottom w:w="80" w:type="dxa"/>
              <w:right w:w="80" w:type="dxa"/>
            </w:tcMar>
            <w:vAlign w:val="center"/>
          </w:tcPr>
          <w:p w14:paraId="774AE581" w14:textId="77777777" w:rsidR="00141C00" w:rsidRPr="007104F6" w:rsidRDefault="00FD52A4">
            <w:pPr>
              <w:pStyle w:val="TableText"/>
              <w:spacing w:after="40"/>
              <w:rPr>
                <w:lang w:val="fr-FR"/>
              </w:rPr>
            </w:pPr>
            <w:r w:rsidRPr="007104F6">
              <w:rPr>
                <w:lang w:val="fr-FR"/>
              </w:rPr>
              <w:t>1.4 Interopérabilité, données et contrôle interne</w:t>
            </w:r>
          </w:p>
        </w:tc>
        <w:tc>
          <w:tcPr>
            <w:tcW w:w="1946" w:type="dxa"/>
            <w:tcMar>
              <w:top w:w="80" w:type="dxa"/>
              <w:left w:w="80" w:type="dxa"/>
              <w:bottom w:w="80" w:type="dxa"/>
              <w:right w:w="80" w:type="dxa"/>
            </w:tcMar>
            <w:vAlign w:val="center"/>
          </w:tcPr>
          <w:p w14:paraId="0F537343" w14:textId="77777777" w:rsidR="00141C00" w:rsidRDefault="00FD52A4">
            <w:pPr>
              <w:pStyle w:val="TableText"/>
              <w:spacing w:after="40"/>
            </w:pPr>
            <w:r>
              <w:t>10 points</w:t>
            </w:r>
          </w:p>
        </w:tc>
        <w:tc>
          <w:tcPr>
            <w:tcW w:w="4082" w:type="dxa"/>
            <w:tcMar>
              <w:top w:w="80" w:type="dxa"/>
              <w:left w:w="80" w:type="dxa"/>
              <w:bottom w:w="80" w:type="dxa"/>
              <w:right w:w="80" w:type="dxa"/>
            </w:tcMar>
            <w:vAlign w:val="center"/>
          </w:tcPr>
          <w:p w14:paraId="0F798C50" w14:textId="77777777" w:rsidR="00141C00" w:rsidRPr="007104F6" w:rsidRDefault="00FD52A4">
            <w:pPr>
              <w:pStyle w:val="TableText"/>
              <w:spacing w:after="40"/>
              <w:rPr>
                <w:lang w:val="fr-FR"/>
              </w:rPr>
            </w:pPr>
            <w:r w:rsidRPr="007104F6">
              <w:rPr>
                <w:lang w:val="fr-FR"/>
              </w:rPr>
              <w:t>Échanges avec le lot n° 2 et PEP ; séparation RH/ordonnateur/agent comptable ; signature et visa ; pièces justificatives ; RIB et prévention des faux ordres de virement ; traçabilité ; coopération inter-titulaires.</w:t>
            </w:r>
          </w:p>
        </w:tc>
      </w:tr>
      <w:tr w:rsidR="00141C00" w:rsidRPr="00394CD1" w14:paraId="0D658924" w14:textId="77777777" w:rsidTr="00FC7E3B">
        <w:trPr>
          <w:cantSplit/>
          <w:jc w:val="center"/>
        </w:trPr>
        <w:tc>
          <w:tcPr>
            <w:tcW w:w="3039" w:type="dxa"/>
            <w:shd w:val="clear" w:color="auto" w:fill="F7F8FB"/>
            <w:tcMar>
              <w:top w:w="80" w:type="dxa"/>
              <w:left w:w="80" w:type="dxa"/>
              <w:bottom w:w="80" w:type="dxa"/>
              <w:right w:w="80" w:type="dxa"/>
            </w:tcMar>
            <w:vAlign w:val="center"/>
          </w:tcPr>
          <w:p w14:paraId="73BC7F09" w14:textId="77777777" w:rsidR="00141C00" w:rsidRPr="007104F6" w:rsidRDefault="00FD52A4">
            <w:pPr>
              <w:pStyle w:val="TableText"/>
              <w:spacing w:after="40"/>
              <w:rPr>
                <w:lang w:val="fr-FR"/>
              </w:rPr>
            </w:pPr>
            <w:r w:rsidRPr="007104F6">
              <w:rPr>
                <w:lang w:val="fr-FR"/>
              </w:rPr>
              <w:t>1.5 Gouvernance, accompagnement, sécurité et réversibilité</w:t>
            </w:r>
          </w:p>
        </w:tc>
        <w:tc>
          <w:tcPr>
            <w:tcW w:w="1946" w:type="dxa"/>
            <w:shd w:val="clear" w:color="auto" w:fill="F7F8FB"/>
            <w:tcMar>
              <w:top w:w="80" w:type="dxa"/>
              <w:left w:w="80" w:type="dxa"/>
              <w:bottom w:w="80" w:type="dxa"/>
              <w:right w:w="80" w:type="dxa"/>
            </w:tcMar>
            <w:vAlign w:val="center"/>
          </w:tcPr>
          <w:p w14:paraId="21626FF6" w14:textId="77777777" w:rsidR="00141C00" w:rsidRDefault="00FD52A4">
            <w:pPr>
              <w:pStyle w:val="TableText"/>
              <w:spacing w:after="40"/>
            </w:pPr>
            <w:r>
              <w:t>9 points</w:t>
            </w:r>
          </w:p>
        </w:tc>
        <w:tc>
          <w:tcPr>
            <w:tcW w:w="4082" w:type="dxa"/>
            <w:shd w:val="clear" w:color="auto" w:fill="F7F8FB"/>
            <w:tcMar>
              <w:top w:w="80" w:type="dxa"/>
              <w:left w:w="80" w:type="dxa"/>
              <w:bottom w:w="80" w:type="dxa"/>
              <w:right w:w="80" w:type="dxa"/>
            </w:tcMar>
            <w:vAlign w:val="center"/>
          </w:tcPr>
          <w:p w14:paraId="586DF53A" w14:textId="77777777" w:rsidR="00141C00" w:rsidRPr="007104F6" w:rsidRDefault="00FD52A4">
            <w:pPr>
              <w:pStyle w:val="TableText"/>
              <w:spacing w:after="40"/>
              <w:rPr>
                <w:lang w:val="fr-FR"/>
              </w:rPr>
            </w:pPr>
            <w:r w:rsidRPr="007104F6">
              <w:rPr>
                <w:lang w:val="fr-FR"/>
              </w:rPr>
              <w:t>Équipe, méthode proportionnée, formation, support, documentation essentielle, hébergement, sécurité, données personnelles, continuité, réversibilité et limitation de la dépendance.</w:t>
            </w:r>
          </w:p>
        </w:tc>
      </w:tr>
      <w:tr w:rsidR="00141C00" w:rsidRPr="00394CD1" w14:paraId="3FE72645" w14:textId="77777777" w:rsidTr="00FC7E3B">
        <w:trPr>
          <w:cantSplit/>
          <w:jc w:val="center"/>
        </w:trPr>
        <w:tc>
          <w:tcPr>
            <w:tcW w:w="3039" w:type="dxa"/>
            <w:tcMar>
              <w:top w:w="80" w:type="dxa"/>
              <w:left w:w="80" w:type="dxa"/>
              <w:bottom w:w="80" w:type="dxa"/>
              <w:right w:w="80" w:type="dxa"/>
            </w:tcMar>
            <w:vAlign w:val="center"/>
          </w:tcPr>
          <w:p w14:paraId="0B4AE01B" w14:textId="77777777" w:rsidR="00141C00" w:rsidRDefault="00FD52A4">
            <w:pPr>
              <w:pStyle w:val="TableText"/>
              <w:spacing w:after="40"/>
            </w:pPr>
            <w:r>
              <w:t>2. Prix</w:t>
            </w:r>
          </w:p>
        </w:tc>
        <w:tc>
          <w:tcPr>
            <w:tcW w:w="1946" w:type="dxa"/>
            <w:tcMar>
              <w:top w:w="80" w:type="dxa"/>
              <w:left w:w="80" w:type="dxa"/>
              <w:bottom w:w="80" w:type="dxa"/>
              <w:right w:w="80" w:type="dxa"/>
            </w:tcMar>
            <w:vAlign w:val="center"/>
          </w:tcPr>
          <w:p w14:paraId="52841DDC" w14:textId="77777777" w:rsidR="00141C00" w:rsidRDefault="00FD52A4">
            <w:pPr>
              <w:pStyle w:val="TableText"/>
              <w:spacing w:after="40"/>
            </w:pPr>
            <w:r>
              <w:t>40 points</w:t>
            </w:r>
          </w:p>
        </w:tc>
        <w:tc>
          <w:tcPr>
            <w:tcW w:w="4082" w:type="dxa"/>
            <w:tcMar>
              <w:top w:w="80" w:type="dxa"/>
              <w:left w:w="80" w:type="dxa"/>
              <w:bottom w:w="80" w:type="dxa"/>
              <w:right w:w="80" w:type="dxa"/>
            </w:tcMar>
            <w:vAlign w:val="center"/>
          </w:tcPr>
          <w:p w14:paraId="317A67A6" w14:textId="77777777" w:rsidR="00141C00" w:rsidRPr="007104F6" w:rsidRDefault="00FD52A4">
            <w:pPr>
              <w:pStyle w:val="TableText"/>
              <w:spacing w:after="40"/>
              <w:rPr>
                <w:lang w:val="fr-FR"/>
              </w:rPr>
            </w:pPr>
            <w:r w:rsidRPr="007104F6">
              <w:rPr>
                <w:lang w:val="fr-FR"/>
              </w:rPr>
              <w:t>Montant total TTC du DQE de référence, selon l’article 13.</w:t>
            </w:r>
          </w:p>
        </w:tc>
      </w:tr>
      <w:tr w:rsidR="00141C00" w:rsidRPr="00394CD1" w14:paraId="5E882370" w14:textId="77777777" w:rsidTr="00FC7E3B">
        <w:trPr>
          <w:cantSplit/>
          <w:jc w:val="center"/>
        </w:trPr>
        <w:tc>
          <w:tcPr>
            <w:tcW w:w="3039" w:type="dxa"/>
            <w:shd w:val="clear" w:color="auto" w:fill="F7F8FB"/>
            <w:tcMar>
              <w:top w:w="80" w:type="dxa"/>
              <w:left w:w="80" w:type="dxa"/>
              <w:bottom w:w="80" w:type="dxa"/>
              <w:right w:w="80" w:type="dxa"/>
            </w:tcMar>
            <w:vAlign w:val="center"/>
          </w:tcPr>
          <w:p w14:paraId="21B3EC2D" w14:textId="77777777" w:rsidR="00141C00" w:rsidRDefault="00FD52A4">
            <w:pPr>
              <w:pStyle w:val="TableText"/>
              <w:spacing w:after="40"/>
            </w:pPr>
            <w:r>
              <w:t xml:space="preserve">3. Performance </w:t>
            </w:r>
            <w:proofErr w:type="spellStart"/>
            <w:r>
              <w:t>environnementale</w:t>
            </w:r>
            <w:proofErr w:type="spellEnd"/>
          </w:p>
        </w:tc>
        <w:tc>
          <w:tcPr>
            <w:tcW w:w="1946" w:type="dxa"/>
            <w:shd w:val="clear" w:color="auto" w:fill="F7F8FB"/>
            <w:tcMar>
              <w:top w:w="80" w:type="dxa"/>
              <w:left w:w="80" w:type="dxa"/>
              <w:bottom w:w="80" w:type="dxa"/>
              <w:right w:w="80" w:type="dxa"/>
            </w:tcMar>
            <w:vAlign w:val="center"/>
          </w:tcPr>
          <w:p w14:paraId="0E783C4A" w14:textId="77777777" w:rsidR="00141C00" w:rsidRDefault="00FD52A4">
            <w:pPr>
              <w:pStyle w:val="TableText"/>
              <w:spacing w:after="40"/>
            </w:pPr>
            <w:r>
              <w:t>5 points</w:t>
            </w:r>
          </w:p>
        </w:tc>
        <w:tc>
          <w:tcPr>
            <w:tcW w:w="4082" w:type="dxa"/>
            <w:shd w:val="clear" w:color="auto" w:fill="F7F8FB"/>
            <w:tcMar>
              <w:top w:w="80" w:type="dxa"/>
              <w:left w:w="80" w:type="dxa"/>
              <w:bottom w:w="80" w:type="dxa"/>
              <w:right w:w="80" w:type="dxa"/>
            </w:tcMar>
            <w:vAlign w:val="center"/>
          </w:tcPr>
          <w:p w14:paraId="35AD905E" w14:textId="77777777" w:rsidR="00141C00" w:rsidRPr="007104F6" w:rsidRDefault="00FD52A4">
            <w:pPr>
              <w:spacing w:after="40"/>
              <w:rPr>
                <w:lang w:val="fr-FR"/>
              </w:rPr>
            </w:pPr>
            <w:r w:rsidRPr="007104F6">
              <w:rPr>
                <w:sz w:val="17"/>
                <w:lang w:val="fr-FR"/>
              </w:rPr>
              <w:t>Sobriété de l’architecture et de l’hébergement ; maîtrise des ressources, volumes et durées de conservation ; compatibilité avec les équipements existants ; limitation des déplacements ; indicateurs et engagements directement liés aux prestations.</w:t>
            </w:r>
          </w:p>
        </w:tc>
      </w:tr>
    </w:tbl>
    <w:p w14:paraId="27C46FDB" w14:textId="77777777" w:rsidR="00141C00" w:rsidRPr="007104F6" w:rsidRDefault="00FD52A4">
      <w:pPr>
        <w:pStyle w:val="Titre1"/>
        <w:rPr>
          <w:lang w:val="fr-FR"/>
        </w:rPr>
      </w:pPr>
      <w:r w:rsidRPr="007104F6">
        <w:rPr>
          <w:lang w:val="fr-FR"/>
        </w:rPr>
        <w:t>Article 12 – Critères d’attribution du lot n° 2</w:t>
      </w:r>
    </w:p>
    <w:p w14:paraId="3603FB2D" w14:textId="77777777" w:rsidR="00141C00" w:rsidRPr="007104F6" w:rsidRDefault="00FD52A4">
      <w:pPr>
        <w:rPr>
          <w:lang w:val="fr-FR"/>
        </w:rPr>
      </w:pPr>
      <w:r w:rsidRPr="007104F6">
        <w:rPr>
          <w:lang w:val="fr-FR"/>
        </w:rPr>
        <w:t>Le lot n° 2 est attribué à l’offre économiquement la plus avantageuse selon les critères suivants</w:t>
      </w:r>
      <w:r w:rsidR="00FC7E3B">
        <w:rPr>
          <w:lang w:val="fr-FR"/>
        </w:rPr>
        <w:t> </w:t>
      </w:r>
      <w:r w:rsidRPr="007104F6">
        <w:rPr>
          <w:lang w:val="fr-FR"/>
        </w:rPr>
        <w:t>:</w:t>
      </w:r>
    </w:p>
    <w:tbl>
      <w:tblPr>
        <w:tblStyle w:val="Grilledutableau"/>
        <w:tblW w:w="8926" w:type="dxa"/>
        <w:jc w:val="center"/>
        <w:tblLayout w:type="fixed"/>
        <w:tblLook w:val="04A0" w:firstRow="1" w:lastRow="0" w:firstColumn="1" w:lastColumn="0" w:noHBand="0" w:noVBand="1"/>
      </w:tblPr>
      <w:tblGrid>
        <w:gridCol w:w="3216"/>
        <w:gridCol w:w="1749"/>
        <w:gridCol w:w="3961"/>
      </w:tblGrid>
      <w:tr w:rsidR="00141C00" w14:paraId="47ADDD2E" w14:textId="77777777" w:rsidTr="00FC7E3B">
        <w:trPr>
          <w:cantSplit/>
          <w:tblHeader/>
          <w:jc w:val="center"/>
        </w:trPr>
        <w:tc>
          <w:tcPr>
            <w:tcW w:w="3216" w:type="dxa"/>
            <w:shd w:val="clear" w:color="auto" w:fill="19153F"/>
            <w:tcMar>
              <w:top w:w="80" w:type="dxa"/>
              <w:left w:w="80" w:type="dxa"/>
              <w:bottom w:w="80" w:type="dxa"/>
              <w:right w:w="80" w:type="dxa"/>
            </w:tcMar>
            <w:vAlign w:val="center"/>
          </w:tcPr>
          <w:p w14:paraId="51C7C649" w14:textId="77777777" w:rsidR="00141C00" w:rsidRDefault="00FD52A4">
            <w:pPr>
              <w:pStyle w:val="TableText"/>
              <w:spacing w:after="40"/>
              <w:jc w:val="center"/>
            </w:pPr>
            <w:proofErr w:type="spellStart"/>
            <w:r>
              <w:rPr>
                <w:b/>
                <w:color w:val="FFFFFF"/>
              </w:rPr>
              <w:t>Critère</w:t>
            </w:r>
            <w:proofErr w:type="spellEnd"/>
            <w:r>
              <w:rPr>
                <w:b/>
                <w:color w:val="FFFFFF"/>
              </w:rPr>
              <w:t xml:space="preserve"> / sous-</w:t>
            </w:r>
            <w:proofErr w:type="spellStart"/>
            <w:r>
              <w:rPr>
                <w:b/>
                <w:color w:val="FFFFFF"/>
              </w:rPr>
              <w:t>critère</w:t>
            </w:r>
            <w:proofErr w:type="spellEnd"/>
          </w:p>
        </w:tc>
        <w:tc>
          <w:tcPr>
            <w:tcW w:w="1749" w:type="dxa"/>
            <w:shd w:val="clear" w:color="auto" w:fill="19153F"/>
            <w:tcMar>
              <w:top w:w="80" w:type="dxa"/>
              <w:left w:w="80" w:type="dxa"/>
              <w:bottom w:w="80" w:type="dxa"/>
              <w:right w:w="80" w:type="dxa"/>
            </w:tcMar>
            <w:vAlign w:val="center"/>
          </w:tcPr>
          <w:p w14:paraId="780ECFA8" w14:textId="77777777" w:rsidR="00141C00" w:rsidRDefault="00FD52A4">
            <w:pPr>
              <w:pStyle w:val="TableText"/>
              <w:spacing w:after="40"/>
              <w:jc w:val="center"/>
            </w:pPr>
            <w:proofErr w:type="spellStart"/>
            <w:r>
              <w:rPr>
                <w:b/>
                <w:color w:val="FFFFFF"/>
              </w:rPr>
              <w:t>Pondération</w:t>
            </w:r>
            <w:proofErr w:type="spellEnd"/>
          </w:p>
        </w:tc>
        <w:tc>
          <w:tcPr>
            <w:tcW w:w="3961" w:type="dxa"/>
            <w:shd w:val="clear" w:color="auto" w:fill="19153F"/>
            <w:tcMar>
              <w:top w:w="80" w:type="dxa"/>
              <w:left w:w="80" w:type="dxa"/>
              <w:bottom w:w="80" w:type="dxa"/>
              <w:right w:w="80" w:type="dxa"/>
            </w:tcMar>
            <w:vAlign w:val="center"/>
          </w:tcPr>
          <w:p w14:paraId="6B416ADF" w14:textId="77777777" w:rsidR="00141C00" w:rsidRDefault="00FD52A4">
            <w:pPr>
              <w:pStyle w:val="TableText"/>
              <w:spacing w:after="40"/>
              <w:jc w:val="center"/>
            </w:pPr>
            <w:proofErr w:type="spellStart"/>
            <w:r>
              <w:rPr>
                <w:b/>
                <w:color w:val="FFFFFF"/>
              </w:rPr>
              <w:t>Éléments</w:t>
            </w:r>
            <w:proofErr w:type="spellEnd"/>
            <w:r>
              <w:rPr>
                <w:b/>
                <w:color w:val="FFFFFF"/>
              </w:rPr>
              <w:t xml:space="preserve"> </w:t>
            </w:r>
            <w:proofErr w:type="spellStart"/>
            <w:r>
              <w:rPr>
                <w:b/>
                <w:color w:val="FFFFFF"/>
              </w:rPr>
              <w:t>principaux</w:t>
            </w:r>
            <w:proofErr w:type="spellEnd"/>
            <w:r>
              <w:rPr>
                <w:b/>
                <w:color w:val="FFFFFF"/>
              </w:rPr>
              <w:t xml:space="preserve"> </w:t>
            </w:r>
            <w:proofErr w:type="spellStart"/>
            <w:r>
              <w:rPr>
                <w:b/>
                <w:color w:val="FFFFFF"/>
              </w:rPr>
              <w:t>appréciés</w:t>
            </w:r>
            <w:proofErr w:type="spellEnd"/>
          </w:p>
        </w:tc>
      </w:tr>
      <w:tr w:rsidR="00141C00" w14:paraId="02FC60D8" w14:textId="77777777" w:rsidTr="00FC7E3B">
        <w:trPr>
          <w:cantSplit/>
          <w:jc w:val="center"/>
        </w:trPr>
        <w:tc>
          <w:tcPr>
            <w:tcW w:w="3216" w:type="dxa"/>
            <w:tcMar>
              <w:top w:w="80" w:type="dxa"/>
              <w:left w:w="80" w:type="dxa"/>
              <w:bottom w:w="80" w:type="dxa"/>
              <w:right w:w="80" w:type="dxa"/>
            </w:tcMar>
            <w:vAlign w:val="center"/>
          </w:tcPr>
          <w:p w14:paraId="740B0466" w14:textId="77777777" w:rsidR="00141C00" w:rsidRDefault="00FD52A4">
            <w:pPr>
              <w:pStyle w:val="TableText"/>
              <w:spacing w:after="40"/>
            </w:pPr>
            <w:r>
              <w:t>1. Valeur technique</w:t>
            </w:r>
          </w:p>
        </w:tc>
        <w:tc>
          <w:tcPr>
            <w:tcW w:w="1749" w:type="dxa"/>
            <w:tcMar>
              <w:top w:w="80" w:type="dxa"/>
              <w:left w:w="80" w:type="dxa"/>
              <w:bottom w:w="80" w:type="dxa"/>
              <w:right w:w="80" w:type="dxa"/>
            </w:tcMar>
            <w:vAlign w:val="center"/>
          </w:tcPr>
          <w:p w14:paraId="65B4C353" w14:textId="77777777" w:rsidR="00141C00" w:rsidRDefault="00FD52A4">
            <w:pPr>
              <w:pStyle w:val="TableText"/>
              <w:spacing w:after="40"/>
            </w:pPr>
            <w:r>
              <w:t>55 points</w:t>
            </w:r>
          </w:p>
        </w:tc>
        <w:tc>
          <w:tcPr>
            <w:tcW w:w="3961" w:type="dxa"/>
            <w:tcMar>
              <w:top w:w="80" w:type="dxa"/>
              <w:left w:w="80" w:type="dxa"/>
              <w:bottom w:w="80" w:type="dxa"/>
              <w:right w:w="80" w:type="dxa"/>
            </w:tcMar>
            <w:vAlign w:val="center"/>
          </w:tcPr>
          <w:p w14:paraId="62B6342C" w14:textId="77777777" w:rsidR="00141C00" w:rsidRDefault="00141C00">
            <w:pPr>
              <w:pStyle w:val="TableText"/>
              <w:spacing w:after="40"/>
            </w:pPr>
          </w:p>
        </w:tc>
      </w:tr>
      <w:tr w:rsidR="00141C00" w:rsidRPr="00394CD1" w14:paraId="548C68A6" w14:textId="77777777" w:rsidTr="00FC7E3B">
        <w:trPr>
          <w:cantSplit/>
          <w:jc w:val="center"/>
        </w:trPr>
        <w:tc>
          <w:tcPr>
            <w:tcW w:w="3216" w:type="dxa"/>
            <w:shd w:val="clear" w:color="auto" w:fill="F7F8FB"/>
            <w:tcMar>
              <w:top w:w="80" w:type="dxa"/>
              <w:left w:w="80" w:type="dxa"/>
              <w:bottom w:w="80" w:type="dxa"/>
              <w:right w:w="80" w:type="dxa"/>
            </w:tcMar>
            <w:vAlign w:val="center"/>
          </w:tcPr>
          <w:p w14:paraId="271BDE51" w14:textId="77777777" w:rsidR="00141C00" w:rsidRPr="007104F6" w:rsidRDefault="00FD52A4">
            <w:pPr>
              <w:pStyle w:val="TableText"/>
              <w:spacing w:after="40"/>
              <w:rPr>
                <w:lang w:val="fr-FR"/>
              </w:rPr>
            </w:pPr>
            <w:r w:rsidRPr="007104F6">
              <w:rPr>
                <w:lang w:val="fr-FR"/>
              </w:rPr>
              <w:t>1.1 Compréhension du besoin et architecture proposée</w:t>
            </w:r>
          </w:p>
        </w:tc>
        <w:tc>
          <w:tcPr>
            <w:tcW w:w="1749" w:type="dxa"/>
            <w:shd w:val="clear" w:color="auto" w:fill="F7F8FB"/>
            <w:tcMar>
              <w:top w:w="80" w:type="dxa"/>
              <w:left w:w="80" w:type="dxa"/>
              <w:bottom w:w="80" w:type="dxa"/>
              <w:right w:w="80" w:type="dxa"/>
            </w:tcMar>
            <w:vAlign w:val="center"/>
          </w:tcPr>
          <w:p w14:paraId="732C8478" w14:textId="77777777" w:rsidR="00141C00" w:rsidRDefault="00FD52A4">
            <w:pPr>
              <w:pStyle w:val="TableText"/>
              <w:spacing w:after="40"/>
            </w:pPr>
            <w:r>
              <w:t>8 points</w:t>
            </w:r>
          </w:p>
        </w:tc>
        <w:tc>
          <w:tcPr>
            <w:tcW w:w="3961" w:type="dxa"/>
            <w:shd w:val="clear" w:color="auto" w:fill="F7F8FB"/>
            <w:tcMar>
              <w:top w:w="80" w:type="dxa"/>
              <w:left w:w="80" w:type="dxa"/>
              <w:bottom w:w="80" w:type="dxa"/>
              <w:right w:w="80" w:type="dxa"/>
            </w:tcMar>
            <w:vAlign w:val="center"/>
          </w:tcPr>
          <w:p w14:paraId="0DE2E589" w14:textId="77777777" w:rsidR="00141C00" w:rsidRPr="007104F6" w:rsidRDefault="00FD52A4">
            <w:pPr>
              <w:pStyle w:val="TableText"/>
              <w:spacing w:after="40"/>
              <w:rPr>
                <w:lang w:val="fr-FR"/>
              </w:rPr>
            </w:pPr>
            <w:r w:rsidRPr="007104F6">
              <w:rPr>
                <w:lang w:val="fr-FR"/>
              </w:rPr>
              <w:t>Référentiel maître RH, événement unique, limitation des ressaisies, articulation avec le lot n° 1 et proportionnalité à une structure d’environ trente agents.</w:t>
            </w:r>
          </w:p>
        </w:tc>
      </w:tr>
      <w:tr w:rsidR="00141C00" w:rsidRPr="00394CD1" w14:paraId="77BDA56B" w14:textId="77777777" w:rsidTr="00FC7E3B">
        <w:trPr>
          <w:cantSplit/>
          <w:jc w:val="center"/>
        </w:trPr>
        <w:tc>
          <w:tcPr>
            <w:tcW w:w="3216" w:type="dxa"/>
            <w:tcMar>
              <w:top w:w="80" w:type="dxa"/>
              <w:left w:w="80" w:type="dxa"/>
              <w:bottom w:w="80" w:type="dxa"/>
              <w:right w:w="80" w:type="dxa"/>
            </w:tcMar>
            <w:vAlign w:val="center"/>
          </w:tcPr>
          <w:p w14:paraId="299784C5" w14:textId="77777777" w:rsidR="00141C00" w:rsidRPr="007104F6" w:rsidRDefault="00FD52A4">
            <w:pPr>
              <w:pStyle w:val="TableText"/>
              <w:spacing w:after="40"/>
              <w:rPr>
                <w:lang w:val="fr-FR"/>
              </w:rPr>
            </w:pPr>
            <w:r w:rsidRPr="007104F6">
              <w:rPr>
                <w:lang w:val="fr-FR"/>
              </w:rPr>
              <w:t>1.2 Couverture fonctionnelle et qualité des workflows</w:t>
            </w:r>
          </w:p>
        </w:tc>
        <w:tc>
          <w:tcPr>
            <w:tcW w:w="1749" w:type="dxa"/>
            <w:tcMar>
              <w:top w:w="80" w:type="dxa"/>
              <w:left w:w="80" w:type="dxa"/>
              <w:bottom w:w="80" w:type="dxa"/>
              <w:right w:w="80" w:type="dxa"/>
            </w:tcMar>
            <w:vAlign w:val="center"/>
          </w:tcPr>
          <w:p w14:paraId="34CD3296" w14:textId="77777777" w:rsidR="00141C00" w:rsidRDefault="00FD52A4">
            <w:pPr>
              <w:pStyle w:val="TableText"/>
              <w:spacing w:after="40"/>
            </w:pPr>
            <w:r>
              <w:t>15 points</w:t>
            </w:r>
          </w:p>
        </w:tc>
        <w:tc>
          <w:tcPr>
            <w:tcW w:w="3961" w:type="dxa"/>
            <w:tcMar>
              <w:top w:w="80" w:type="dxa"/>
              <w:left w:w="80" w:type="dxa"/>
              <w:bottom w:w="80" w:type="dxa"/>
              <w:right w:w="80" w:type="dxa"/>
            </w:tcMar>
            <w:vAlign w:val="center"/>
          </w:tcPr>
          <w:p w14:paraId="3F1A8719" w14:textId="77777777" w:rsidR="00141C00" w:rsidRPr="007104F6" w:rsidRDefault="00FD52A4">
            <w:pPr>
              <w:pStyle w:val="TableText"/>
              <w:spacing w:after="40"/>
              <w:rPr>
                <w:lang w:val="fr-FR"/>
              </w:rPr>
            </w:pPr>
            <w:r w:rsidRPr="007104F6">
              <w:rPr>
                <w:lang w:val="fr-FR"/>
              </w:rPr>
              <w:t>Dossier agent, contrats, absences, CET, télétravail, formation, entretiens, santé au travail, campagnes RH, déplacements et circuits de validation.</w:t>
            </w:r>
          </w:p>
        </w:tc>
      </w:tr>
      <w:tr w:rsidR="00141C00" w:rsidRPr="00394CD1" w14:paraId="23B8BD88" w14:textId="77777777" w:rsidTr="00FC7E3B">
        <w:trPr>
          <w:cantSplit/>
          <w:jc w:val="center"/>
        </w:trPr>
        <w:tc>
          <w:tcPr>
            <w:tcW w:w="3216" w:type="dxa"/>
            <w:shd w:val="clear" w:color="auto" w:fill="F7F8FB"/>
            <w:tcMar>
              <w:top w:w="80" w:type="dxa"/>
              <w:left w:w="80" w:type="dxa"/>
              <w:bottom w:w="80" w:type="dxa"/>
              <w:right w:w="80" w:type="dxa"/>
            </w:tcMar>
            <w:vAlign w:val="center"/>
          </w:tcPr>
          <w:p w14:paraId="417FE3D2" w14:textId="77777777" w:rsidR="00141C00" w:rsidRPr="007104F6" w:rsidRDefault="00FD52A4">
            <w:pPr>
              <w:pStyle w:val="TableText"/>
              <w:spacing w:after="40"/>
              <w:rPr>
                <w:lang w:val="fr-FR"/>
              </w:rPr>
            </w:pPr>
            <w:r w:rsidRPr="007104F6">
              <w:rPr>
                <w:lang w:val="fr-FR"/>
              </w:rPr>
              <w:t>1.3 Interopérabilité, données et services transverses</w:t>
            </w:r>
          </w:p>
        </w:tc>
        <w:tc>
          <w:tcPr>
            <w:tcW w:w="1749" w:type="dxa"/>
            <w:shd w:val="clear" w:color="auto" w:fill="F7F8FB"/>
            <w:tcMar>
              <w:top w:w="80" w:type="dxa"/>
              <w:left w:w="80" w:type="dxa"/>
              <w:bottom w:w="80" w:type="dxa"/>
              <w:right w:w="80" w:type="dxa"/>
            </w:tcMar>
            <w:vAlign w:val="center"/>
          </w:tcPr>
          <w:p w14:paraId="6253C322" w14:textId="77777777" w:rsidR="00141C00" w:rsidRDefault="00FD52A4">
            <w:pPr>
              <w:pStyle w:val="TableText"/>
              <w:spacing w:after="40"/>
            </w:pPr>
            <w:r>
              <w:t>12 points</w:t>
            </w:r>
          </w:p>
        </w:tc>
        <w:tc>
          <w:tcPr>
            <w:tcW w:w="3961" w:type="dxa"/>
            <w:shd w:val="clear" w:color="auto" w:fill="F7F8FB"/>
            <w:tcMar>
              <w:top w:w="80" w:type="dxa"/>
              <w:left w:w="80" w:type="dxa"/>
              <w:bottom w:w="80" w:type="dxa"/>
              <w:right w:w="80" w:type="dxa"/>
            </w:tcMar>
            <w:vAlign w:val="center"/>
          </w:tcPr>
          <w:p w14:paraId="4271D302" w14:textId="77777777" w:rsidR="00141C00" w:rsidRPr="007104F6" w:rsidRDefault="00FD52A4">
            <w:pPr>
              <w:pStyle w:val="TableText"/>
              <w:spacing w:after="40"/>
              <w:rPr>
                <w:lang w:val="fr-FR"/>
              </w:rPr>
            </w:pPr>
            <w:r w:rsidRPr="007104F6">
              <w:rPr>
                <w:lang w:val="fr-FR"/>
              </w:rPr>
              <w:t>Interfaces avec le lot n° 1 et PEP ; documentation des flux ; gestion des anomalies de bout en bout ; signature électronique native ou tierce ; coûts, licences, volumes et responsabilités.</w:t>
            </w:r>
          </w:p>
        </w:tc>
      </w:tr>
      <w:tr w:rsidR="00141C00" w:rsidRPr="00394CD1" w14:paraId="2D157B94" w14:textId="77777777" w:rsidTr="00FC7E3B">
        <w:trPr>
          <w:cantSplit/>
          <w:jc w:val="center"/>
        </w:trPr>
        <w:tc>
          <w:tcPr>
            <w:tcW w:w="3216" w:type="dxa"/>
            <w:tcMar>
              <w:top w:w="80" w:type="dxa"/>
              <w:left w:w="80" w:type="dxa"/>
              <w:bottom w:w="80" w:type="dxa"/>
              <w:right w:w="80" w:type="dxa"/>
            </w:tcMar>
            <w:vAlign w:val="center"/>
          </w:tcPr>
          <w:p w14:paraId="014BE107" w14:textId="77777777" w:rsidR="00141C00" w:rsidRPr="007104F6" w:rsidRDefault="00FD52A4">
            <w:pPr>
              <w:pStyle w:val="TableText"/>
              <w:spacing w:after="40"/>
              <w:rPr>
                <w:lang w:val="fr-FR"/>
              </w:rPr>
            </w:pPr>
            <w:r w:rsidRPr="007104F6">
              <w:rPr>
                <w:lang w:val="fr-FR"/>
              </w:rPr>
              <w:t>1.4 Mise en œuvre, reprise des données et conduite du changement</w:t>
            </w:r>
          </w:p>
        </w:tc>
        <w:tc>
          <w:tcPr>
            <w:tcW w:w="1749" w:type="dxa"/>
            <w:tcMar>
              <w:top w:w="80" w:type="dxa"/>
              <w:left w:w="80" w:type="dxa"/>
              <w:bottom w:w="80" w:type="dxa"/>
              <w:right w:w="80" w:type="dxa"/>
            </w:tcMar>
            <w:vAlign w:val="center"/>
          </w:tcPr>
          <w:p w14:paraId="57047C1E" w14:textId="77777777" w:rsidR="00141C00" w:rsidRDefault="00FD52A4">
            <w:pPr>
              <w:pStyle w:val="TableText"/>
              <w:spacing w:after="40"/>
            </w:pPr>
            <w:r>
              <w:t>10 points</w:t>
            </w:r>
          </w:p>
        </w:tc>
        <w:tc>
          <w:tcPr>
            <w:tcW w:w="3961" w:type="dxa"/>
            <w:tcMar>
              <w:top w:w="80" w:type="dxa"/>
              <w:left w:w="80" w:type="dxa"/>
              <w:bottom w:w="80" w:type="dxa"/>
              <w:right w:w="80" w:type="dxa"/>
            </w:tcMar>
            <w:vAlign w:val="center"/>
          </w:tcPr>
          <w:p w14:paraId="621A7C0A" w14:textId="77777777" w:rsidR="00141C00" w:rsidRPr="007104F6" w:rsidRDefault="00FD52A4">
            <w:pPr>
              <w:pStyle w:val="TableText"/>
              <w:spacing w:after="40"/>
              <w:rPr>
                <w:lang w:val="fr-FR"/>
              </w:rPr>
            </w:pPr>
            <w:r w:rsidRPr="007104F6">
              <w:rPr>
                <w:lang w:val="fr-FR"/>
              </w:rPr>
              <w:t>Planning concret, reprise GRH.Net/OHRIS/fichiers, contrôles, tests, formation, charge OFDT, dépendances et coopération avec l’autre titulaire.</w:t>
            </w:r>
          </w:p>
        </w:tc>
      </w:tr>
      <w:tr w:rsidR="00141C00" w:rsidRPr="00394CD1" w14:paraId="71980356" w14:textId="77777777" w:rsidTr="00FC7E3B">
        <w:trPr>
          <w:cantSplit/>
          <w:jc w:val="center"/>
        </w:trPr>
        <w:tc>
          <w:tcPr>
            <w:tcW w:w="3216" w:type="dxa"/>
            <w:shd w:val="clear" w:color="auto" w:fill="F7F8FB"/>
            <w:tcMar>
              <w:top w:w="80" w:type="dxa"/>
              <w:left w:w="80" w:type="dxa"/>
              <w:bottom w:w="80" w:type="dxa"/>
              <w:right w:w="80" w:type="dxa"/>
            </w:tcMar>
            <w:vAlign w:val="center"/>
          </w:tcPr>
          <w:p w14:paraId="2C329E7B" w14:textId="77777777" w:rsidR="00141C00" w:rsidRPr="007104F6" w:rsidRDefault="00FD52A4">
            <w:pPr>
              <w:pStyle w:val="TableText"/>
              <w:spacing w:after="40"/>
              <w:rPr>
                <w:lang w:val="fr-FR"/>
              </w:rPr>
            </w:pPr>
            <w:r w:rsidRPr="007104F6">
              <w:rPr>
                <w:lang w:val="fr-FR"/>
              </w:rPr>
              <w:t>1.5 Sécurité, hébergement, continuité, support et réversibilité</w:t>
            </w:r>
          </w:p>
        </w:tc>
        <w:tc>
          <w:tcPr>
            <w:tcW w:w="1749" w:type="dxa"/>
            <w:shd w:val="clear" w:color="auto" w:fill="F7F8FB"/>
            <w:tcMar>
              <w:top w:w="80" w:type="dxa"/>
              <w:left w:w="80" w:type="dxa"/>
              <w:bottom w:w="80" w:type="dxa"/>
              <w:right w:w="80" w:type="dxa"/>
            </w:tcMar>
            <w:vAlign w:val="center"/>
          </w:tcPr>
          <w:p w14:paraId="2CF693A0" w14:textId="77777777" w:rsidR="00141C00" w:rsidRDefault="00FD52A4">
            <w:pPr>
              <w:pStyle w:val="TableText"/>
              <w:spacing w:after="40"/>
            </w:pPr>
            <w:r>
              <w:t>10 points</w:t>
            </w:r>
          </w:p>
        </w:tc>
        <w:tc>
          <w:tcPr>
            <w:tcW w:w="3961" w:type="dxa"/>
            <w:shd w:val="clear" w:color="auto" w:fill="F7F8FB"/>
            <w:tcMar>
              <w:top w:w="80" w:type="dxa"/>
              <w:left w:w="80" w:type="dxa"/>
              <w:bottom w:w="80" w:type="dxa"/>
              <w:right w:w="80" w:type="dxa"/>
            </w:tcMar>
            <w:vAlign w:val="center"/>
          </w:tcPr>
          <w:p w14:paraId="0A8A2AC8" w14:textId="77777777" w:rsidR="00141C00" w:rsidRPr="007104F6" w:rsidRDefault="00FD52A4">
            <w:pPr>
              <w:pStyle w:val="TableText"/>
              <w:spacing w:after="40"/>
              <w:rPr>
                <w:lang w:val="fr-FR"/>
              </w:rPr>
            </w:pPr>
            <w:r w:rsidRPr="007104F6">
              <w:rPr>
                <w:lang w:val="fr-FR"/>
              </w:rPr>
              <w:t>Localisation, sous-traitants, transferts, sauvegardes, restauration, disponibilité, incidents, journalisation, tests, support, documentation proportionnée et réversibilité.</w:t>
            </w:r>
          </w:p>
        </w:tc>
      </w:tr>
      <w:tr w:rsidR="00141C00" w:rsidRPr="00394CD1" w14:paraId="4584C5B8" w14:textId="77777777" w:rsidTr="00FC7E3B">
        <w:trPr>
          <w:cantSplit/>
          <w:jc w:val="center"/>
        </w:trPr>
        <w:tc>
          <w:tcPr>
            <w:tcW w:w="3216" w:type="dxa"/>
            <w:tcMar>
              <w:top w:w="80" w:type="dxa"/>
              <w:left w:w="80" w:type="dxa"/>
              <w:bottom w:w="80" w:type="dxa"/>
              <w:right w:w="80" w:type="dxa"/>
            </w:tcMar>
            <w:vAlign w:val="center"/>
          </w:tcPr>
          <w:p w14:paraId="6FC4DB6C" w14:textId="77777777" w:rsidR="00141C00" w:rsidRDefault="00FD52A4">
            <w:pPr>
              <w:pStyle w:val="TableText"/>
              <w:spacing w:after="40"/>
            </w:pPr>
            <w:r>
              <w:t>2. Prix</w:t>
            </w:r>
          </w:p>
        </w:tc>
        <w:tc>
          <w:tcPr>
            <w:tcW w:w="1749" w:type="dxa"/>
            <w:tcMar>
              <w:top w:w="80" w:type="dxa"/>
              <w:left w:w="80" w:type="dxa"/>
              <w:bottom w:w="80" w:type="dxa"/>
              <w:right w:w="80" w:type="dxa"/>
            </w:tcMar>
            <w:vAlign w:val="center"/>
          </w:tcPr>
          <w:p w14:paraId="6E22AEB3" w14:textId="77777777" w:rsidR="00141C00" w:rsidRDefault="00FD52A4">
            <w:pPr>
              <w:pStyle w:val="TableText"/>
              <w:spacing w:after="40"/>
            </w:pPr>
            <w:r>
              <w:t>40 points</w:t>
            </w:r>
          </w:p>
        </w:tc>
        <w:tc>
          <w:tcPr>
            <w:tcW w:w="3961" w:type="dxa"/>
            <w:tcMar>
              <w:top w:w="80" w:type="dxa"/>
              <w:left w:w="80" w:type="dxa"/>
              <w:bottom w:w="80" w:type="dxa"/>
              <w:right w:w="80" w:type="dxa"/>
            </w:tcMar>
            <w:vAlign w:val="center"/>
          </w:tcPr>
          <w:p w14:paraId="4394FB98" w14:textId="77777777" w:rsidR="00141C00" w:rsidRPr="007104F6" w:rsidRDefault="00FD52A4">
            <w:pPr>
              <w:pStyle w:val="TableText"/>
              <w:spacing w:after="40"/>
              <w:rPr>
                <w:lang w:val="fr-FR"/>
              </w:rPr>
            </w:pPr>
            <w:r w:rsidRPr="007104F6">
              <w:rPr>
                <w:lang w:val="fr-FR"/>
              </w:rPr>
              <w:t>Montant total TTC du DQE de référence, selon l’article 13.</w:t>
            </w:r>
          </w:p>
        </w:tc>
      </w:tr>
      <w:tr w:rsidR="00141C00" w:rsidRPr="00394CD1" w14:paraId="30241B06" w14:textId="77777777" w:rsidTr="00FC7E3B">
        <w:trPr>
          <w:cantSplit/>
          <w:jc w:val="center"/>
        </w:trPr>
        <w:tc>
          <w:tcPr>
            <w:tcW w:w="3216" w:type="dxa"/>
            <w:shd w:val="clear" w:color="auto" w:fill="F7F8FB"/>
            <w:tcMar>
              <w:top w:w="80" w:type="dxa"/>
              <w:left w:w="80" w:type="dxa"/>
              <w:bottom w:w="80" w:type="dxa"/>
              <w:right w:w="80" w:type="dxa"/>
            </w:tcMar>
            <w:vAlign w:val="center"/>
          </w:tcPr>
          <w:p w14:paraId="11A1F2F9" w14:textId="77777777" w:rsidR="00141C00" w:rsidRDefault="00FD52A4">
            <w:pPr>
              <w:pStyle w:val="TableText"/>
              <w:spacing w:after="40"/>
            </w:pPr>
            <w:r>
              <w:t xml:space="preserve">3. Performance </w:t>
            </w:r>
            <w:proofErr w:type="spellStart"/>
            <w:r>
              <w:t>environnementale</w:t>
            </w:r>
            <w:proofErr w:type="spellEnd"/>
          </w:p>
        </w:tc>
        <w:tc>
          <w:tcPr>
            <w:tcW w:w="1749" w:type="dxa"/>
            <w:shd w:val="clear" w:color="auto" w:fill="F7F8FB"/>
            <w:tcMar>
              <w:top w:w="80" w:type="dxa"/>
              <w:left w:w="80" w:type="dxa"/>
              <w:bottom w:w="80" w:type="dxa"/>
              <w:right w:w="80" w:type="dxa"/>
            </w:tcMar>
            <w:vAlign w:val="center"/>
          </w:tcPr>
          <w:p w14:paraId="0CF2E6BE" w14:textId="77777777" w:rsidR="00141C00" w:rsidRDefault="00FD52A4">
            <w:pPr>
              <w:pStyle w:val="TableText"/>
              <w:spacing w:after="40"/>
            </w:pPr>
            <w:r>
              <w:t>5 points</w:t>
            </w:r>
          </w:p>
        </w:tc>
        <w:tc>
          <w:tcPr>
            <w:tcW w:w="3961" w:type="dxa"/>
            <w:shd w:val="clear" w:color="auto" w:fill="F7F8FB"/>
            <w:tcMar>
              <w:top w:w="80" w:type="dxa"/>
              <w:left w:w="80" w:type="dxa"/>
              <w:bottom w:w="80" w:type="dxa"/>
              <w:right w:w="80" w:type="dxa"/>
            </w:tcMar>
            <w:vAlign w:val="center"/>
          </w:tcPr>
          <w:p w14:paraId="5D8AC7E9" w14:textId="77777777" w:rsidR="00141C00" w:rsidRPr="007104F6" w:rsidRDefault="00FD52A4">
            <w:pPr>
              <w:spacing w:after="40"/>
              <w:rPr>
                <w:lang w:val="fr-FR"/>
              </w:rPr>
            </w:pPr>
            <w:r w:rsidRPr="007104F6">
              <w:rPr>
                <w:sz w:val="17"/>
                <w:lang w:val="fr-FR"/>
              </w:rPr>
              <w:t>Sobriété numérique de la solution et de l’hébergement ; maîtrise des ressources, volumes et durées de conservation ; compatibilité matérielle ; limitation des déplacements ; indicateurs et engagements directement liés aux prestations.</w:t>
            </w:r>
          </w:p>
        </w:tc>
      </w:tr>
    </w:tbl>
    <w:p w14:paraId="742D85CD" w14:textId="77777777" w:rsidR="00FD52A4" w:rsidRDefault="00FD52A4">
      <w:pPr>
        <w:rPr>
          <w:lang w:val="fr-FR"/>
        </w:rPr>
      </w:pPr>
    </w:p>
    <w:p w14:paraId="1172F466" w14:textId="77777777" w:rsidR="00FE1F18" w:rsidRPr="00B1041E" w:rsidRDefault="00390675">
      <w:pPr>
        <w:rPr>
          <w:lang w:val="fr-FR"/>
        </w:rPr>
      </w:pPr>
      <w:r w:rsidRPr="00B1041E">
        <w:rPr>
          <w:lang w:val="fr-FR"/>
        </w:rPr>
        <w:t>La valeur technique et la performance environnementale sont appréciées selon l’échelle commune figurant en annexe 2. Pour le critère de performance environnementale, le coefficient correspondant au niveau d’appréciation retenu est appliqué à la note maximale de 5 points.</w:t>
      </w:r>
    </w:p>
    <w:p w14:paraId="0216A854" w14:textId="77777777" w:rsidR="00141C00" w:rsidRPr="007104F6" w:rsidRDefault="00FD52A4">
      <w:pPr>
        <w:rPr>
          <w:lang w:val="fr-FR"/>
        </w:rPr>
      </w:pPr>
      <w:r w:rsidRPr="007104F6">
        <w:rPr>
          <w:lang w:val="fr-FR"/>
        </w:rPr>
        <w:t>Seuls les éléments contenus dans l’offre et ses annexes contractuelles ou probantes sont pris en compte. Les documents commerciaux généraux non reliés aux engagements du candidat ne sont pas valorisés.</w:t>
      </w:r>
    </w:p>
    <w:p w14:paraId="3A4445A1" w14:textId="77777777" w:rsidR="00141C00" w:rsidRPr="007104F6" w:rsidRDefault="00FD52A4">
      <w:pPr>
        <w:pStyle w:val="Titre1"/>
        <w:rPr>
          <w:lang w:val="fr-FR"/>
        </w:rPr>
      </w:pPr>
      <w:r w:rsidRPr="007104F6">
        <w:rPr>
          <w:lang w:val="fr-FR"/>
        </w:rPr>
        <w:t>Article 13 – Méthode d’analyse du prix</w:t>
      </w:r>
    </w:p>
    <w:p w14:paraId="68300449" w14:textId="77777777" w:rsidR="00141C00" w:rsidRPr="007104F6" w:rsidRDefault="00FD52A4">
      <w:pPr>
        <w:rPr>
          <w:lang w:val="fr-FR"/>
        </w:rPr>
      </w:pPr>
      <w:r w:rsidRPr="007104F6">
        <w:rPr>
          <w:lang w:val="fr-FR"/>
        </w:rPr>
        <w:t>Le prix est analysé toutes taxes comprises, sur la base du montant total TTC du DQE de référence du lot, l’OFDT ne récupérant pas la TVA. Le DQE est un document non contractuel destiné exclusivement à comparer les offres selon un scénario et des quantités identiques.</w:t>
      </w:r>
    </w:p>
    <w:p w14:paraId="15214A5A" w14:textId="77777777" w:rsidR="00141C00" w:rsidRPr="007104F6" w:rsidRDefault="00FD52A4">
      <w:pPr>
        <w:rPr>
          <w:lang w:val="fr-FR"/>
        </w:rPr>
      </w:pPr>
      <w:r w:rsidRPr="007104F6">
        <w:rPr>
          <w:lang w:val="fr-FR"/>
        </w:rPr>
        <w:t>La note de prix est calculée selon la formule suivante :</w:t>
      </w:r>
    </w:p>
    <w:p w14:paraId="392E0C67" w14:textId="77777777" w:rsidR="00141C00" w:rsidRPr="007104F6" w:rsidRDefault="00FD52A4">
      <w:pPr>
        <w:jc w:val="center"/>
        <w:rPr>
          <w:lang w:val="fr-FR"/>
        </w:rPr>
      </w:pPr>
      <w:r w:rsidRPr="007104F6">
        <w:rPr>
          <w:b/>
          <w:lang w:val="fr-FR"/>
        </w:rPr>
        <w:t>Note prix = 40 × (montant TTC de l’offre régulière la moins élevée / montant TTC de l’offre analysée)</w:t>
      </w:r>
    </w:p>
    <w:p w14:paraId="369E9D9D" w14:textId="77777777" w:rsidR="00141C00" w:rsidRPr="007104F6" w:rsidRDefault="00FD52A4">
      <w:pPr>
        <w:rPr>
          <w:lang w:val="fr-FR"/>
        </w:rPr>
      </w:pPr>
      <w:r w:rsidRPr="007104F6">
        <w:rPr>
          <w:lang w:val="fr-FR"/>
        </w:rPr>
        <w:t>Le montant de comparaison inclut les prestations initiales, la réversibilité minimale, les prestations récurrentes sur la durée de référence et les seules quantités estimatives du BPU prévues dans le DQE. Les maximums contractuels des parties à bons de commande ne sont pas ajoutés forfaitairement à la note de prix.</w:t>
      </w:r>
    </w:p>
    <w:p w14:paraId="7E1173D6" w14:textId="77777777" w:rsidR="00141C00" w:rsidRPr="007104F6" w:rsidRDefault="00FD52A4">
      <w:pPr>
        <w:rPr>
          <w:lang w:val="fr-FR"/>
        </w:rPr>
      </w:pPr>
      <w:r w:rsidRPr="007104F6">
        <w:rPr>
          <w:lang w:val="fr-FR"/>
        </w:rPr>
        <w:t>Pour le lot n° 1, le tableau de sensibilité au report de l’entrée en paye à façon est utilisé pour contrôler la cohérence économique, identifier les coûts en cas de décalage et éclairer l’analyse des risques budgétaires. Il ne donne pas lieu à une pondération distincte non annoncée. Les prix contractuels demeurent ceux de la DPGF et du BPU.</w:t>
      </w:r>
    </w:p>
    <w:p w14:paraId="7E95D6D8" w14:textId="77777777" w:rsidR="00141C00" w:rsidRPr="007104F6" w:rsidRDefault="00FD52A4">
      <w:pPr>
        <w:rPr>
          <w:lang w:val="fr-FR"/>
        </w:rPr>
      </w:pPr>
      <w:r w:rsidRPr="007104F6">
        <w:rPr>
          <w:lang w:val="fr-FR"/>
        </w:rPr>
        <w:t>En cas d’erreur de calcul, les prix unitaires, prix par période et montants forfaitaires saisis dans les cellules contractuelles de la DPGF et du BPU prévalent sur les sous-totaux et totaux calculés. L’OFDT peut rectifier les opérations arithmétiques et demander au candidat de confirmer le montant reconstitué, sans permettre une modification des prix proposés.</w:t>
      </w:r>
    </w:p>
    <w:p w14:paraId="55601148" w14:textId="77777777" w:rsidR="00141C00" w:rsidRPr="007104F6" w:rsidRDefault="00FD52A4">
      <w:pPr>
        <w:rPr>
          <w:lang w:val="fr-FR"/>
        </w:rPr>
      </w:pPr>
      <w:r w:rsidRPr="007104F6">
        <w:rPr>
          <w:lang w:val="fr-FR"/>
        </w:rPr>
        <w:t>L’analyse comporte également un contrôle de complétude et de cohérence : cellules non chiffrées, coûts indispensables reportés au BPU, incohérences entre DPGF, BPU, DQE, récapitulatif et acte d’engagement, hypothèses ou réserves, coûts de licences ou de services tiers, taux de taxe et absence de coûts non déclarés.</w:t>
      </w:r>
    </w:p>
    <w:p w14:paraId="6183D7E3" w14:textId="77777777" w:rsidR="00141C00" w:rsidRPr="007104F6" w:rsidRDefault="00FD52A4">
      <w:pPr>
        <w:rPr>
          <w:lang w:val="fr-FR"/>
        </w:rPr>
      </w:pPr>
      <w:r w:rsidRPr="007104F6">
        <w:rPr>
          <w:lang w:val="fr-FR"/>
        </w:rPr>
        <w:t>Lorsqu’une offre paraît anormalement basse, l’OFDT demande au candidat les précisions et justifications nécessaires et procède à son examen conformément au Code de la commande publique.</w:t>
      </w:r>
    </w:p>
    <w:p w14:paraId="19FE0C6A" w14:textId="77777777" w:rsidR="00141C00" w:rsidRPr="007104F6" w:rsidRDefault="00FD52A4">
      <w:pPr>
        <w:pStyle w:val="Titre1"/>
        <w:rPr>
          <w:lang w:val="fr-FR"/>
        </w:rPr>
      </w:pPr>
      <w:r w:rsidRPr="007104F6">
        <w:rPr>
          <w:lang w:val="fr-FR"/>
        </w:rPr>
        <w:t>Article 14 – Négociation, précisions et régularisation</w:t>
      </w:r>
    </w:p>
    <w:p w14:paraId="422EF608" w14:textId="77777777" w:rsidR="00141C00" w:rsidRPr="007104F6" w:rsidRDefault="00FD52A4">
      <w:pPr>
        <w:rPr>
          <w:lang w:val="fr-FR"/>
        </w:rPr>
      </w:pPr>
      <w:r w:rsidRPr="007104F6">
        <w:rPr>
          <w:lang w:val="fr-FR"/>
        </w:rPr>
        <w:t>L’appel d’offres ouvert ne comporte pas de négociation. L’OFDT peut demander aux candidats des précisions ou compléments strictement nécessaires à la compréhension de leur offre, dans le respect de l’égalité de traitement et sans permettre la remise d’une nouvelle offre.</w:t>
      </w:r>
    </w:p>
    <w:p w14:paraId="1EA15B3D" w14:textId="77777777" w:rsidR="00141C00" w:rsidRPr="007104F6" w:rsidRDefault="00FD52A4">
      <w:pPr>
        <w:rPr>
          <w:lang w:val="fr-FR"/>
        </w:rPr>
      </w:pPr>
      <w:r w:rsidRPr="007104F6">
        <w:rPr>
          <w:lang w:val="fr-FR"/>
        </w:rPr>
        <w:t>Les demandes et réponses sont transmises par PLACE. Elles peuvent être prises en compte pour vérifier ou préciser des engagements déjà contenus dans l’offre, mais ne peuvent conduire à modifier ses caractéristiques substantielles. Aucune audition ni démonstration notée n’est prévue.</w:t>
      </w:r>
    </w:p>
    <w:p w14:paraId="2F35EDD5" w14:textId="77777777" w:rsidR="0099611F" w:rsidRPr="00FC7E3B" w:rsidRDefault="00FC7E3B">
      <w:pPr>
        <w:rPr>
          <w:lang w:val="fr-FR"/>
        </w:rPr>
      </w:pPr>
      <w:r w:rsidRPr="00FC7E3B">
        <w:rPr>
          <w:lang w:val="fr-FR"/>
        </w:rPr>
        <w:t>L’OFDT se réserve la faculté d’inviter les soumissionnaires concernés à régulariser leur offre dans un délai approprié, dans le respect du principe d’égalité de traitement. Cette faculté ne constitue pas une obligation pour l’OFDT.</w:t>
      </w:r>
    </w:p>
    <w:p w14:paraId="42F1C079" w14:textId="77777777" w:rsidR="0099611F" w:rsidRPr="00FC7E3B" w:rsidRDefault="00FC7E3B">
      <w:pPr>
        <w:rPr>
          <w:lang w:val="fr-FR"/>
        </w:rPr>
      </w:pPr>
      <w:r w:rsidRPr="00FC7E3B">
        <w:rPr>
          <w:lang w:val="fr-FR"/>
        </w:rPr>
        <w:t>La régularisation ne peut avoir pour effet :</w:t>
      </w:r>
    </w:p>
    <w:p w14:paraId="4F71AF5B" w14:textId="77777777" w:rsidR="0099611F" w:rsidRDefault="00FC7E3B">
      <w:pPr>
        <w:pStyle w:val="Puces"/>
      </w:pPr>
      <w:r>
        <w:t>De permettre au soumissionnaire de présenter une offre nouvelle ;</w:t>
      </w:r>
    </w:p>
    <w:p w14:paraId="57612840" w14:textId="77777777" w:rsidR="0099611F" w:rsidRDefault="00FC7E3B">
      <w:pPr>
        <w:pStyle w:val="Puces"/>
      </w:pPr>
      <w:r>
        <w:t>D’ajouter une solution technique qui n’était pas proposée à la date limite de remise des offres ;</w:t>
      </w:r>
    </w:p>
    <w:p w14:paraId="4551F232" w14:textId="77777777" w:rsidR="0099611F" w:rsidRDefault="00FC7E3B">
      <w:pPr>
        <w:pStyle w:val="Puces"/>
      </w:pPr>
      <w:r>
        <w:t>De modifier les prix, sauf correction strictement matérielle pouvant être établie à partir des prix déjà remis ;</w:t>
      </w:r>
    </w:p>
    <w:p w14:paraId="73C544EC" w14:textId="77777777" w:rsidR="0099611F" w:rsidRDefault="00FC7E3B">
      <w:pPr>
        <w:pStyle w:val="Puces"/>
      </w:pPr>
      <w:r>
        <w:t>De compléter un élément essentiel dont l’absence empêchait de connaître l’engagement initial du soumissionnaire ;</w:t>
      </w:r>
    </w:p>
    <w:p w14:paraId="71F20CFD" w14:textId="77777777" w:rsidR="0099611F" w:rsidRDefault="00FC7E3B">
      <w:pPr>
        <w:pStyle w:val="Puces"/>
      </w:pPr>
      <w:r>
        <w:t>De modifier une caractéristique substantielle de l’offre.</w:t>
      </w:r>
    </w:p>
    <w:p w14:paraId="6DE93E78" w14:textId="77777777" w:rsidR="0099611F" w:rsidRPr="00FC7E3B" w:rsidRDefault="00FC7E3B">
      <w:pPr>
        <w:rPr>
          <w:lang w:val="fr-FR"/>
        </w:rPr>
      </w:pPr>
      <w:r w:rsidRPr="00FC7E3B">
        <w:rPr>
          <w:lang w:val="fr-FR"/>
        </w:rPr>
        <w:t>L’absence complète d’un document contenant une composante essentielle de l’offre, notamment le mémoire technique, la DPGF ou le BPU, ne peut être régularisée lorsque sa production conduirait le soumissionnaire à définir, après la date limite de remise des offres, tout ou partie de sa proposition technique ou financière.</w:t>
      </w:r>
    </w:p>
    <w:p w14:paraId="280E657A" w14:textId="77777777" w:rsidR="0099611F" w:rsidRPr="00FC7E3B" w:rsidRDefault="00FC7E3B">
      <w:pPr>
        <w:rPr>
          <w:lang w:val="fr-FR"/>
        </w:rPr>
      </w:pPr>
      <w:r w:rsidRPr="00FC7E3B">
        <w:rPr>
          <w:lang w:val="fr-FR"/>
        </w:rPr>
        <w:t>Lorsqu’une régularisation est mise en œuvre pour une catégorie d’irrégularité, elle l’est dans des conditions garantissant l’égalité de traitement des soumissionnaires concernés et dans un délai identique pour tous.</w:t>
      </w:r>
    </w:p>
    <w:p w14:paraId="4B57B1BE" w14:textId="77777777" w:rsidR="00141C00" w:rsidRPr="007104F6" w:rsidRDefault="00FD52A4">
      <w:pPr>
        <w:pStyle w:val="Titre1"/>
        <w:rPr>
          <w:lang w:val="fr-FR"/>
        </w:rPr>
      </w:pPr>
      <w:r w:rsidRPr="007104F6">
        <w:rPr>
          <w:lang w:val="fr-FR"/>
        </w:rPr>
        <w:t>Article 15 – Attribution et pièces du candidat pressenti</w:t>
      </w:r>
    </w:p>
    <w:p w14:paraId="7E4A973E" w14:textId="77777777" w:rsidR="00141C00" w:rsidRPr="007104F6" w:rsidRDefault="00FD52A4">
      <w:pPr>
        <w:rPr>
          <w:lang w:val="fr-FR"/>
        </w:rPr>
      </w:pPr>
      <w:r w:rsidRPr="007104F6">
        <w:rPr>
          <w:lang w:val="fr-FR"/>
        </w:rPr>
        <w:t>Avant l’attribution définitive, le candidat pressenti produit dans le délai indiqué par l’OFDT :</w:t>
      </w:r>
    </w:p>
    <w:p w14:paraId="0E9921D5" w14:textId="77777777" w:rsidR="00141C00" w:rsidRPr="007104F6" w:rsidRDefault="00FC7E3B" w:rsidP="00FD52A4">
      <w:pPr>
        <w:pStyle w:val="Puces"/>
      </w:pPr>
      <w:r w:rsidRPr="007104F6">
        <w:t>Les justificatifs attestant qu’il ne se trouve pas dans un cas d’exclusion ;</w:t>
      </w:r>
    </w:p>
    <w:p w14:paraId="23B3A90B" w14:textId="77777777" w:rsidR="00141C00" w:rsidRPr="007104F6" w:rsidRDefault="00FC7E3B" w:rsidP="00FD52A4">
      <w:pPr>
        <w:pStyle w:val="Puces"/>
      </w:pPr>
      <w:r w:rsidRPr="007104F6">
        <w:t>Les attestations fiscales et sociales ou les éléments permettant leur vérification ;</w:t>
      </w:r>
    </w:p>
    <w:p w14:paraId="3E68DB78" w14:textId="77777777" w:rsidR="00141C00" w:rsidRPr="007104F6" w:rsidRDefault="00FC7E3B" w:rsidP="00FD52A4">
      <w:pPr>
        <w:pStyle w:val="Puces"/>
      </w:pPr>
      <w:r w:rsidRPr="007104F6">
        <w:t>Les pouvoirs du signataire ;</w:t>
      </w:r>
    </w:p>
    <w:p w14:paraId="57B86794" w14:textId="77777777" w:rsidR="00141C00" w:rsidRPr="007104F6" w:rsidRDefault="00FC7E3B" w:rsidP="00FD52A4">
      <w:pPr>
        <w:pStyle w:val="Puces"/>
      </w:pPr>
      <w:r w:rsidRPr="007104F6">
        <w:t>L’acte d’engagement signé et, le cas échéant, les habilitations des membres du groupement ;</w:t>
      </w:r>
    </w:p>
    <w:p w14:paraId="586A8290" w14:textId="77777777" w:rsidR="00141C00" w:rsidRPr="007104F6" w:rsidRDefault="00FC7E3B" w:rsidP="00FD52A4">
      <w:pPr>
        <w:pStyle w:val="Puces"/>
      </w:pPr>
      <w:r w:rsidRPr="007104F6">
        <w:t>Les actes spéciaux de sous-traitance et les informations relatives aux sous-traitants de données ;</w:t>
      </w:r>
    </w:p>
    <w:p w14:paraId="091FBA70" w14:textId="77777777" w:rsidR="00141C00" w:rsidRPr="007104F6" w:rsidRDefault="00FC7E3B" w:rsidP="00FD52A4">
      <w:pPr>
        <w:pStyle w:val="Puces"/>
      </w:pPr>
      <w:r w:rsidRPr="007104F6">
        <w:t>L’attestation d’assurance en cours de validité ;</w:t>
      </w:r>
    </w:p>
    <w:p w14:paraId="21401249" w14:textId="77777777" w:rsidR="00141C00" w:rsidRPr="007104F6" w:rsidRDefault="00FC7E3B" w:rsidP="00FD52A4">
      <w:pPr>
        <w:pStyle w:val="Puces"/>
      </w:pPr>
      <w:r w:rsidRPr="007104F6">
        <w:t>Le ou les relevés d’identité bancaire ;</w:t>
      </w:r>
    </w:p>
    <w:p w14:paraId="320A4BD1" w14:textId="77777777" w:rsidR="00141C00" w:rsidRPr="007104F6" w:rsidRDefault="00FC7E3B" w:rsidP="00FD52A4">
      <w:pPr>
        <w:pStyle w:val="Puces"/>
      </w:pPr>
      <w:r w:rsidRPr="007104F6">
        <w:t>Toute pièce nécessaire à la mise au point non substantielle du marché.</w:t>
      </w:r>
    </w:p>
    <w:p w14:paraId="500B6DD6" w14:textId="77777777" w:rsidR="00141C00" w:rsidRPr="007104F6" w:rsidRDefault="00FD52A4">
      <w:pPr>
        <w:rPr>
          <w:lang w:val="fr-FR"/>
        </w:rPr>
      </w:pPr>
      <w:r w:rsidRPr="007104F6">
        <w:rPr>
          <w:lang w:val="fr-FR"/>
        </w:rPr>
        <w:t>À défaut de production des pièces dans le délai imparti, l’offre peut être écartée et le candidat classé immédiatement après peut être sollicité. La mise au point éventuelle du marché ne peut modifier les caractéristiques substantielles de l’offre ou du besoin.</w:t>
      </w:r>
    </w:p>
    <w:p w14:paraId="61818D92" w14:textId="77777777" w:rsidR="00141C00" w:rsidRPr="007104F6" w:rsidRDefault="00FD52A4">
      <w:pPr>
        <w:rPr>
          <w:lang w:val="fr-FR"/>
        </w:rPr>
      </w:pPr>
      <w:r w:rsidRPr="007104F6">
        <w:rPr>
          <w:lang w:val="fr-FR"/>
        </w:rPr>
        <w:t>Après la décision d’attribution, les candidats non retenus sont informés par voie électronique. Le marché n’est signé qu’après expiration du délai réglementaire de suspension applicable à la procédure formalisée.</w:t>
      </w:r>
    </w:p>
    <w:p w14:paraId="42210A48" w14:textId="77777777" w:rsidR="00141C00" w:rsidRPr="007104F6" w:rsidRDefault="00FD52A4">
      <w:pPr>
        <w:pStyle w:val="Titre1"/>
        <w:rPr>
          <w:lang w:val="fr-FR"/>
        </w:rPr>
      </w:pPr>
      <w:r w:rsidRPr="007104F6">
        <w:rPr>
          <w:lang w:val="fr-FR"/>
        </w:rPr>
        <w:t>Article 16 – Transmission électronique des plis</w:t>
      </w:r>
    </w:p>
    <w:p w14:paraId="089449BF" w14:textId="77777777" w:rsidR="00141C00" w:rsidRPr="007104F6" w:rsidRDefault="00FD52A4">
      <w:pPr>
        <w:rPr>
          <w:lang w:val="fr-FR"/>
        </w:rPr>
      </w:pPr>
      <w:r w:rsidRPr="007104F6">
        <w:rPr>
          <w:lang w:val="fr-FR"/>
        </w:rPr>
        <w:t>Les plis sont transmis exclusivement par voie électronique sur la plateforme des achats de l’État PLACE avant la date et l’heure limites indiquées en page de garde. Tout pli reçu hors délai est éliminé.</w:t>
      </w:r>
    </w:p>
    <w:p w14:paraId="3BDDD2D8" w14:textId="77777777" w:rsidR="00141C00" w:rsidRPr="007104F6" w:rsidRDefault="00FD52A4">
      <w:pPr>
        <w:rPr>
          <w:lang w:val="fr-FR"/>
        </w:rPr>
      </w:pPr>
      <w:r w:rsidRPr="007104F6">
        <w:rPr>
          <w:lang w:val="fr-FR"/>
        </w:rPr>
        <w:t>La référence de la consultation sur PLACE est : S2604.</w:t>
      </w:r>
    </w:p>
    <w:p w14:paraId="47EE739F" w14:textId="77777777" w:rsidR="00141C00" w:rsidRPr="007104F6" w:rsidRDefault="00FD52A4">
      <w:pPr>
        <w:rPr>
          <w:lang w:val="fr-FR"/>
        </w:rPr>
      </w:pPr>
      <w:r w:rsidRPr="007104F6">
        <w:rPr>
          <w:lang w:val="fr-FR"/>
        </w:rPr>
        <w:t>Il est recommandé de nommer clairement les fichiers par lot, de limiter les formats non usuels, de vérifier l’absence de virus et d’anticiper le temps de téléversement. Le candidat reçoit un accusé de réception électronique horodaté.</w:t>
      </w:r>
    </w:p>
    <w:p w14:paraId="21D67BB9" w14:textId="77777777" w:rsidR="00141C00" w:rsidRPr="007104F6" w:rsidRDefault="00FD52A4">
      <w:pPr>
        <w:rPr>
          <w:lang w:val="fr-FR"/>
        </w:rPr>
      </w:pPr>
      <w:r w:rsidRPr="007104F6">
        <w:rPr>
          <w:lang w:val="fr-FR"/>
        </w:rPr>
        <w:t>La signature électronique du pli et de l’offre n’est pas exigée au stade du dépôt. Elle sera demandée au candidat pressenti dans les conditions fixées par l’OFDT.</w:t>
      </w:r>
    </w:p>
    <w:p w14:paraId="3C551D55" w14:textId="77777777" w:rsidR="00141C00" w:rsidRPr="007104F6" w:rsidRDefault="00FD52A4">
      <w:pPr>
        <w:pStyle w:val="Titre1"/>
        <w:rPr>
          <w:lang w:val="fr-FR"/>
        </w:rPr>
      </w:pPr>
      <w:r w:rsidRPr="007104F6">
        <w:rPr>
          <w:lang w:val="fr-FR"/>
        </w:rPr>
        <w:t>Article 17 – Copie de sauvegarde</w:t>
      </w:r>
    </w:p>
    <w:p w14:paraId="28531767" w14:textId="77777777" w:rsidR="00141C00" w:rsidRPr="007104F6" w:rsidRDefault="00FD52A4">
      <w:pPr>
        <w:rPr>
          <w:lang w:val="fr-FR"/>
        </w:rPr>
      </w:pPr>
      <w:r w:rsidRPr="007104F6">
        <w:rPr>
          <w:lang w:val="fr-FR"/>
        </w:rPr>
        <w:t>Le candidat peut transmettre une copie de sauvegarde dans les conditions réglementaires, sur support papier, sur support physique électronique ou par voie électronique selon les fonctionnalités indiquées sur PLACE. Elle doit parvenir avant la date et l’heure limites de remise des offres et porter clairement la mention « Copie de sauvegarde - Marché PAF-SIRH - Ne pas ouvrir ».</w:t>
      </w:r>
    </w:p>
    <w:p w14:paraId="16B595E0" w14:textId="77777777" w:rsidR="00141C00" w:rsidRPr="007104F6" w:rsidRDefault="00FD52A4">
      <w:pPr>
        <w:rPr>
          <w:lang w:val="fr-FR"/>
        </w:rPr>
      </w:pPr>
      <w:r w:rsidRPr="007104F6">
        <w:rPr>
          <w:lang w:val="fr-FR"/>
        </w:rPr>
        <w:t>Adresse d’envoi ou de dépôt physique : OFDT - Secrétariat général - 69 rue de Varenne - 75007 Paris. La copie de sauvegarde n’est ouverte que dans les cas prévus par la réglementation.</w:t>
      </w:r>
    </w:p>
    <w:p w14:paraId="4F43627A" w14:textId="77777777" w:rsidR="00141C00" w:rsidRPr="007104F6" w:rsidRDefault="00FD52A4">
      <w:pPr>
        <w:pStyle w:val="Titre1"/>
        <w:rPr>
          <w:lang w:val="fr-FR"/>
        </w:rPr>
      </w:pPr>
      <w:r w:rsidRPr="007104F6">
        <w:rPr>
          <w:lang w:val="fr-FR"/>
        </w:rPr>
        <w:t>Article 18 – Confidentialité, données et secret des affaires</w:t>
      </w:r>
    </w:p>
    <w:p w14:paraId="6725D3AF" w14:textId="77777777" w:rsidR="00141C00" w:rsidRPr="007104F6" w:rsidRDefault="00FD52A4">
      <w:pPr>
        <w:rPr>
          <w:lang w:val="fr-FR"/>
        </w:rPr>
      </w:pPr>
      <w:r w:rsidRPr="007104F6">
        <w:rPr>
          <w:lang w:val="fr-FR"/>
        </w:rPr>
        <w:t>Le candidat signale de manière précise les informations qu’il estime couvertes par le secret des affaires, sans pouvoir qualifier l’intégralité de son offre de confidentielle. L’OFDT protège les informations dans le respect des obligations légales de transparence, d’accès aux documents administratifs et de protection des données.</w:t>
      </w:r>
    </w:p>
    <w:p w14:paraId="3136D9F6" w14:textId="77777777" w:rsidR="00141C00" w:rsidRPr="007104F6" w:rsidRDefault="00FD52A4">
      <w:pPr>
        <w:pStyle w:val="Titre1"/>
        <w:rPr>
          <w:lang w:val="fr-FR"/>
        </w:rPr>
      </w:pPr>
      <w:r w:rsidRPr="007104F6">
        <w:rPr>
          <w:lang w:val="fr-FR"/>
        </w:rPr>
        <w:t>Article 19 – Abandon de la procédure et condition budgétaire</w:t>
      </w:r>
    </w:p>
    <w:p w14:paraId="20546FBC" w14:textId="77777777" w:rsidR="00141C00" w:rsidRPr="007104F6" w:rsidRDefault="00FD52A4">
      <w:pPr>
        <w:rPr>
          <w:lang w:val="fr-FR"/>
        </w:rPr>
      </w:pPr>
      <w:r w:rsidRPr="007104F6">
        <w:rPr>
          <w:lang w:val="fr-FR"/>
        </w:rPr>
        <w:t>La consultation est engagée sous réserve de l’autorisation budgétaire destinée à financer le projet. La publication, la réception et l’analyse des offres ne constituent ni un engagement juridique de l’OFDT ni une promesse d’attribution. Aucune décision définitive d’attribution, signature ou notification ne pourra intervenir avant l’adoption et le caractère exécutoire du budget rectificatif prévu le 28 septembre 2026.</w:t>
      </w:r>
    </w:p>
    <w:p w14:paraId="624F5011" w14:textId="77777777" w:rsidR="00141C00" w:rsidRPr="007104F6" w:rsidRDefault="00FD52A4">
      <w:pPr>
        <w:rPr>
          <w:lang w:val="fr-FR"/>
        </w:rPr>
      </w:pPr>
      <w:r w:rsidRPr="007104F6">
        <w:rPr>
          <w:lang w:val="fr-FR"/>
        </w:rPr>
        <w:t>L’OFDT peut déclarer la procédure sans suite pour un motif d’intérêt général, notamment budgétaire, organisationnel, juridique, technique ou lié à l’évolution du calendrier ou des prérequis de la DGFiP. Cette décision n’ouvre droit à aucune indemnité au titre des frais engagés pour présenter une offre.</w:t>
      </w:r>
    </w:p>
    <w:p w14:paraId="17BF950A" w14:textId="77777777" w:rsidR="00141C00" w:rsidRPr="007104F6" w:rsidRDefault="00FD52A4">
      <w:pPr>
        <w:pStyle w:val="Titre1"/>
        <w:rPr>
          <w:lang w:val="fr-FR"/>
        </w:rPr>
      </w:pPr>
      <w:r w:rsidRPr="007104F6">
        <w:rPr>
          <w:lang w:val="fr-FR"/>
        </w:rPr>
        <w:t>Article 20 – Voies et délais de recours</w:t>
      </w:r>
    </w:p>
    <w:p w14:paraId="2BC55396" w14:textId="77777777" w:rsidR="00141C00" w:rsidRPr="007104F6" w:rsidRDefault="00FD52A4">
      <w:pPr>
        <w:rPr>
          <w:lang w:val="fr-FR"/>
        </w:rPr>
      </w:pPr>
      <w:r w:rsidRPr="007104F6">
        <w:rPr>
          <w:lang w:val="fr-FR"/>
        </w:rPr>
        <w:t>La juridiction compétente est le tribunal administratif de Paris, 7 rue de Jouy, 75181 Paris Cedex 04, téléphone : 01 44 59 44 00.</w:t>
      </w:r>
    </w:p>
    <w:p w14:paraId="4C2468C0" w14:textId="77777777" w:rsidR="00141C00" w:rsidRPr="007104F6" w:rsidRDefault="00FD52A4">
      <w:pPr>
        <w:rPr>
          <w:lang w:val="fr-FR"/>
        </w:rPr>
      </w:pPr>
      <w:r w:rsidRPr="007104F6">
        <w:rPr>
          <w:lang w:val="fr-FR"/>
        </w:rPr>
        <w:t>Les voies de recours ouvertes comprennent notamment le référé précontractuel avant la signature, le référé contractuel dans les conditions légales et le recours en contestation de la validité du contrat. Les recours peuvent être déposés au greffe ou par voie électronique au moyen des applications Télérecours ou Télérecours citoyens, selon la qualité du requérant.</w:t>
      </w:r>
    </w:p>
    <w:p w14:paraId="2BD35DA0" w14:textId="77777777" w:rsidR="00141C00" w:rsidRPr="007104F6" w:rsidRDefault="00FD52A4">
      <w:pPr>
        <w:rPr>
          <w:lang w:val="fr-FR"/>
        </w:rPr>
      </w:pPr>
      <w:r w:rsidRPr="007104F6">
        <w:rPr>
          <w:lang w:val="fr-FR"/>
        </w:rPr>
        <w:br w:type="page"/>
      </w:r>
    </w:p>
    <w:p w14:paraId="66BB8EBA" w14:textId="77777777" w:rsidR="00141C00" w:rsidRPr="007104F6" w:rsidRDefault="00FD52A4">
      <w:pPr>
        <w:pStyle w:val="Titre1"/>
        <w:pageBreakBefore/>
        <w:rPr>
          <w:lang w:val="fr-FR"/>
        </w:rPr>
      </w:pPr>
      <w:r w:rsidRPr="007104F6">
        <w:rPr>
          <w:lang w:val="fr-FR"/>
        </w:rPr>
        <w:t>Annexe 1 – Plan imposé du mémoire technique</w:t>
      </w:r>
    </w:p>
    <w:p w14:paraId="445F59F9" w14:textId="77777777" w:rsidR="00141C00" w:rsidRPr="007104F6" w:rsidRDefault="00FD52A4">
      <w:pPr>
        <w:rPr>
          <w:lang w:val="fr-FR"/>
        </w:rPr>
      </w:pPr>
      <w:r w:rsidRPr="007104F6">
        <w:rPr>
          <w:lang w:val="fr-FR"/>
        </w:rPr>
        <w:t>Le candidat répond dans l’ordre ci-dessous, dans un mémoire distinct pour chaque lot. Il complète les rubriques communes et la rubrique spécifique au lot soumissionné ; la rubrique propre à l’autre lot est sans objet. Il identifie clairement les fonctionnalités natives, paramétrables ou à développer, les composants tiers, les limites, les délais et les responsabilités.</w:t>
      </w:r>
    </w:p>
    <w:tbl>
      <w:tblPr>
        <w:tblStyle w:val="Grilledutableau"/>
        <w:tblW w:w="0" w:type="auto"/>
        <w:jc w:val="center"/>
        <w:tblLayout w:type="fixed"/>
        <w:tblLook w:val="04A0" w:firstRow="1" w:lastRow="0" w:firstColumn="1" w:lastColumn="0" w:noHBand="0" w:noVBand="1"/>
      </w:tblPr>
      <w:tblGrid>
        <w:gridCol w:w="4083"/>
        <w:gridCol w:w="4983"/>
      </w:tblGrid>
      <w:tr w:rsidR="00141C00" w14:paraId="52A6FD3D" w14:textId="77777777" w:rsidTr="00FD52A4">
        <w:trPr>
          <w:cantSplit/>
          <w:tblHeader/>
          <w:jc w:val="center"/>
        </w:trPr>
        <w:tc>
          <w:tcPr>
            <w:tcW w:w="4083" w:type="dxa"/>
            <w:shd w:val="clear" w:color="auto" w:fill="19153F"/>
            <w:tcMar>
              <w:top w:w="80" w:type="dxa"/>
              <w:left w:w="80" w:type="dxa"/>
              <w:bottom w:w="80" w:type="dxa"/>
              <w:right w:w="80" w:type="dxa"/>
            </w:tcMar>
            <w:vAlign w:val="center"/>
          </w:tcPr>
          <w:p w14:paraId="190B8E96" w14:textId="77777777" w:rsidR="00141C00" w:rsidRDefault="00FD52A4">
            <w:pPr>
              <w:pStyle w:val="TableText"/>
              <w:spacing w:after="40"/>
              <w:jc w:val="center"/>
            </w:pPr>
            <w:proofErr w:type="spellStart"/>
            <w:r>
              <w:rPr>
                <w:b/>
                <w:color w:val="FFFFFF"/>
              </w:rPr>
              <w:t>Rubrique</w:t>
            </w:r>
            <w:proofErr w:type="spellEnd"/>
          </w:p>
        </w:tc>
        <w:tc>
          <w:tcPr>
            <w:tcW w:w="4983" w:type="dxa"/>
            <w:shd w:val="clear" w:color="auto" w:fill="19153F"/>
            <w:tcMar>
              <w:top w:w="80" w:type="dxa"/>
              <w:left w:w="80" w:type="dxa"/>
              <w:bottom w:w="80" w:type="dxa"/>
              <w:right w:w="80" w:type="dxa"/>
            </w:tcMar>
            <w:vAlign w:val="center"/>
          </w:tcPr>
          <w:p w14:paraId="6B69BDE5" w14:textId="77777777" w:rsidR="00141C00" w:rsidRDefault="00FD52A4">
            <w:pPr>
              <w:pStyle w:val="TableText"/>
              <w:spacing w:after="40"/>
              <w:jc w:val="center"/>
            </w:pPr>
            <w:proofErr w:type="spellStart"/>
            <w:r>
              <w:rPr>
                <w:b/>
                <w:color w:val="FFFFFF"/>
              </w:rPr>
              <w:t>Attendus</w:t>
            </w:r>
            <w:proofErr w:type="spellEnd"/>
            <w:r>
              <w:rPr>
                <w:b/>
                <w:color w:val="FFFFFF"/>
              </w:rPr>
              <w:t xml:space="preserve"> </w:t>
            </w:r>
            <w:proofErr w:type="spellStart"/>
            <w:r>
              <w:rPr>
                <w:b/>
                <w:color w:val="FFFFFF"/>
              </w:rPr>
              <w:t>communs</w:t>
            </w:r>
            <w:proofErr w:type="spellEnd"/>
            <w:r>
              <w:rPr>
                <w:b/>
                <w:color w:val="FFFFFF"/>
              </w:rPr>
              <w:t xml:space="preserve"> et </w:t>
            </w:r>
            <w:proofErr w:type="spellStart"/>
            <w:r>
              <w:rPr>
                <w:b/>
                <w:color w:val="FFFFFF"/>
              </w:rPr>
              <w:t>spécifiques</w:t>
            </w:r>
            <w:proofErr w:type="spellEnd"/>
          </w:p>
        </w:tc>
      </w:tr>
      <w:tr w:rsidR="00141C00" w:rsidRPr="00394CD1" w14:paraId="6FE8592A" w14:textId="77777777" w:rsidTr="00FD52A4">
        <w:trPr>
          <w:cantSplit/>
          <w:jc w:val="center"/>
        </w:trPr>
        <w:tc>
          <w:tcPr>
            <w:tcW w:w="4083" w:type="dxa"/>
            <w:tcMar>
              <w:top w:w="80" w:type="dxa"/>
              <w:left w:w="80" w:type="dxa"/>
              <w:bottom w:w="80" w:type="dxa"/>
              <w:right w:w="80" w:type="dxa"/>
            </w:tcMar>
            <w:vAlign w:val="center"/>
          </w:tcPr>
          <w:p w14:paraId="6B4E0185" w14:textId="77777777" w:rsidR="00141C00" w:rsidRDefault="00FD52A4" w:rsidP="00FC7E3B">
            <w:pPr>
              <w:pStyle w:val="TableText"/>
              <w:spacing w:after="40"/>
            </w:pPr>
            <w:r>
              <w:t xml:space="preserve">1. </w:t>
            </w:r>
            <w:proofErr w:type="spellStart"/>
            <w:r>
              <w:t>Synthèse</w:t>
            </w:r>
            <w:proofErr w:type="spellEnd"/>
            <w:r>
              <w:t xml:space="preserve"> </w:t>
            </w:r>
            <w:proofErr w:type="spellStart"/>
            <w:r>
              <w:t>exécutive</w:t>
            </w:r>
            <w:proofErr w:type="spellEnd"/>
          </w:p>
        </w:tc>
        <w:tc>
          <w:tcPr>
            <w:tcW w:w="4983" w:type="dxa"/>
            <w:tcMar>
              <w:top w:w="80" w:type="dxa"/>
              <w:left w:w="80" w:type="dxa"/>
              <w:bottom w:w="80" w:type="dxa"/>
              <w:right w:w="80" w:type="dxa"/>
            </w:tcMar>
            <w:vAlign w:val="center"/>
          </w:tcPr>
          <w:p w14:paraId="2A9D4EE4" w14:textId="77777777" w:rsidR="00141C00" w:rsidRPr="007104F6" w:rsidRDefault="00FD52A4">
            <w:pPr>
              <w:pStyle w:val="TableText"/>
              <w:spacing w:after="40"/>
              <w:rPr>
                <w:lang w:val="fr-FR"/>
              </w:rPr>
            </w:pPr>
            <w:r w:rsidRPr="007104F6">
              <w:rPr>
                <w:lang w:val="fr-FR"/>
              </w:rPr>
              <w:t>Compréhension des enjeux, architecture, deux étapes 2027/2028 et principaux engagements.</w:t>
            </w:r>
          </w:p>
        </w:tc>
      </w:tr>
      <w:tr w:rsidR="00141C00" w:rsidRPr="00394CD1" w14:paraId="098D14A1" w14:textId="77777777" w:rsidTr="00FD52A4">
        <w:trPr>
          <w:cantSplit/>
          <w:jc w:val="center"/>
        </w:trPr>
        <w:tc>
          <w:tcPr>
            <w:tcW w:w="4083" w:type="dxa"/>
            <w:shd w:val="clear" w:color="auto" w:fill="F7F8FB"/>
            <w:tcMar>
              <w:top w:w="80" w:type="dxa"/>
              <w:left w:w="80" w:type="dxa"/>
              <w:bottom w:w="80" w:type="dxa"/>
              <w:right w:w="80" w:type="dxa"/>
            </w:tcMar>
            <w:vAlign w:val="center"/>
          </w:tcPr>
          <w:p w14:paraId="3FB1A661" w14:textId="77777777" w:rsidR="00141C00" w:rsidRDefault="00FD52A4" w:rsidP="00FC7E3B">
            <w:pPr>
              <w:pStyle w:val="TableText"/>
              <w:spacing w:after="40"/>
            </w:pPr>
            <w:r>
              <w:t xml:space="preserve">2. Solution et architecture </w:t>
            </w:r>
            <w:proofErr w:type="spellStart"/>
            <w:r>
              <w:t>fonctionnelle</w:t>
            </w:r>
            <w:proofErr w:type="spellEnd"/>
          </w:p>
        </w:tc>
        <w:tc>
          <w:tcPr>
            <w:tcW w:w="4983" w:type="dxa"/>
            <w:shd w:val="clear" w:color="auto" w:fill="F7F8FB"/>
            <w:tcMar>
              <w:top w:w="80" w:type="dxa"/>
              <w:left w:w="80" w:type="dxa"/>
              <w:bottom w:w="80" w:type="dxa"/>
              <w:right w:w="80" w:type="dxa"/>
            </w:tcMar>
            <w:vAlign w:val="center"/>
          </w:tcPr>
          <w:p w14:paraId="1D48B679" w14:textId="77777777" w:rsidR="00141C00" w:rsidRPr="007104F6" w:rsidRDefault="00FD52A4">
            <w:pPr>
              <w:pStyle w:val="TableText"/>
              <w:spacing w:after="40"/>
              <w:rPr>
                <w:lang w:val="fr-FR"/>
              </w:rPr>
            </w:pPr>
            <w:r w:rsidRPr="007104F6">
              <w:rPr>
                <w:lang w:val="fr-FR"/>
              </w:rPr>
              <w:t>Modules, référentiels, données maîtres, interfaces, services tiers, hébergement et schéma d’architecture.</w:t>
            </w:r>
          </w:p>
        </w:tc>
      </w:tr>
      <w:tr w:rsidR="00141C00" w:rsidRPr="00394CD1" w14:paraId="31A87E98" w14:textId="77777777" w:rsidTr="00FD52A4">
        <w:trPr>
          <w:cantSplit/>
          <w:jc w:val="center"/>
        </w:trPr>
        <w:tc>
          <w:tcPr>
            <w:tcW w:w="4083" w:type="dxa"/>
            <w:tcMar>
              <w:top w:w="80" w:type="dxa"/>
              <w:left w:w="80" w:type="dxa"/>
              <w:bottom w:w="80" w:type="dxa"/>
              <w:right w:w="80" w:type="dxa"/>
            </w:tcMar>
            <w:vAlign w:val="center"/>
          </w:tcPr>
          <w:p w14:paraId="045D21B5" w14:textId="77777777" w:rsidR="00141C00" w:rsidRDefault="00FD52A4" w:rsidP="00FC7E3B">
            <w:pPr>
              <w:pStyle w:val="TableText"/>
              <w:spacing w:after="40"/>
            </w:pPr>
            <w:r>
              <w:t xml:space="preserve">3. Couverture </w:t>
            </w:r>
            <w:proofErr w:type="spellStart"/>
            <w:r>
              <w:t>fonctionnelle</w:t>
            </w:r>
            <w:proofErr w:type="spellEnd"/>
          </w:p>
        </w:tc>
        <w:tc>
          <w:tcPr>
            <w:tcW w:w="4983" w:type="dxa"/>
            <w:tcMar>
              <w:top w:w="80" w:type="dxa"/>
              <w:left w:w="80" w:type="dxa"/>
              <w:bottom w:w="80" w:type="dxa"/>
              <w:right w:w="80" w:type="dxa"/>
            </w:tcMar>
            <w:vAlign w:val="center"/>
          </w:tcPr>
          <w:p w14:paraId="03E2DF98" w14:textId="77777777" w:rsidR="00141C00" w:rsidRPr="007104F6" w:rsidRDefault="00FD52A4">
            <w:pPr>
              <w:spacing w:after="40"/>
              <w:rPr>
                <w:lang w:val="fr-FR"/>
              </w:rPr>
            </w:pPr>
            <w:r w:rsidRPr="007104F6">
              <w:rPr>
                <w:sz w:val="17"/>
                <w:lang w:val="fr-FR"/>
              </w:rPr>
              <w:t>Réponse structurée aux exigences du CCTP, avec identification des fonctionnalités natives, paramétrables ou à développer, des écarts, prérequis, délais et responsabilités.</w:t>
            </w:r>
          </w:p>
        </w:tc>
      </w:tr>
      <w:tr w:rsidR="00141C00" w:rsidRPr="00394CD1" w14:paraId="09F48283" w14:textId="77777777" w:rsidTr="00FD52A4">
        <w:trPr>
          <w:cantSplit/>
          <w:jc w:val="center"/>
        </w:trPr>
        <w:tc>
          <w:tcPr>
            <w:tcW w:w="4083" w:type="dxa"/>
            <w:shd w:val="clear" w:color="auto" w:fill="F7F8FB"/>
            <w:tcMar>
              <w:top w:w="80" w:type="dxa"/>
              <w:left w:w="80" w:type="dxa"/>
              <w:bottom w:w="80" w:type="dxa"/>
              <w:right w:w="80" w:type="dxa"/>
            </w:tcMar>
            <w:vAlign w:val="center"/>
          </w:tcPr>
          <w:p w14:paraId="280D65C9" w14:textId="77777777" w:rsidR="00141C00" w:rsidRPr="00B1041E" w:rsidRDefault="00FD52A4" w:rsidP="00FC7E3B">
            <w:pPr>
              <w:pStyle w:val="TableText"/>
              <w:spacing w:after="40"/>
              <w:rPr>
                <w:lang w:val="fr-FR"/>
              </w:rPr>
            </w:pPr>
            <w:r w:rsidRPr="00B1041E">
              <w:rPr>
                <w:lang w:val="fr-FR"/>
              </w:rPr>
              <w:t>4. Lot n° 1 uniquement - Transitoire et PAF</w:t>
            </w:r>
          </w:p>
        </w:tc>
        <w:tc>
          <w:tcPr>
            <w:tcW w:w="4983" w:type="dxa"/>
            <w:shd w:val="clear" w:color="auto" w:fill="F7F8FB"/>
            <w:tcMar>
              <w:top w:w="80" w:type="dxa"/>
              <w:left w:w="80" w:type="dxa"/>
              <w:bottom w:w="80" w:type="dxa"/>
              <w:right w:w="80" w:type="dxa"/>
            </w:tcMar>
            <w:vAlign w:val="center"/>
          </w:tcPr>
          <w:p w14:paraId="25069E52" w14:textId="77777777" w:rsidR="00141C00" w:rsidRPr="007104F6" w:rsidRDefault="00FD52A4">
            <w:pPr>
              <w:pStyle w:val="TableText"/>
              <w:spacing w:after="40"/>
              <w:rPr>
                <w:lang w:val="fr-FR"/>
              </w:rPr>
            </w:pPr>
            <w:r w:rsidRPr="007104F6">
              <w:rPr>
                <w:lang w:val="fr-FR"/>
              </w:rPr>
              <w:t>Paie complète transitoire ; cible pré-liquidation ; état réel GEST ; homologation/validation ; retours DGFiP ; calendrier et risques.</w:t>
            </w:r>
          </w:p>
        </w:tc>
      </w:tr>
      <w:tr w:rsidR="00141C00" w:rsidRPr="00394CD1" w14:paraId="55DAF07B" w14:textId="77777777" w:rsidTr="00FD52A4">
        <w:trPr>
          <w:cantSplit/>
          <w:jc w:val="center"/>
        </w:trPr>
        <w:tc>
          <w:tcPr>
            <w:tcW w:w="4083" w:type="dxa"/>
            <w:tcMar>
              <w:top w:w="80" w:type="dxa"/>
              <w:left w:w="80" w:type="dxa"/>
              <w:bottom w:w="80" w:type="dxa"/>
              <w:right w:w="80" w:type="dxa"/>
            </w:tcMar>
            <w:vAlign w:val="center"/>
          </w:tcPr>
          <w:p w14:paraId="043FA373" w14:textId="77777777" w:rsidR="00141C00" w:rsidRPr="00B1041E" w:rsidRDefault="00FD52A4" w:rsidP="00FC7E3B">
            <w:pPr>
              <w:pStyle w:val="TableText"/>
              <w:spacing w:after="40"/>
              <w:rPr>
                <w:lang w:val="fr-FR"/>
              </w:rPr>
            </w:pPr>
            <w:r w:rsidRPr="00B1041E">
              <w:rPr>
                <w:lang w:val="fr-FR"/>
              </w:rPr>
              <w:t>5. Lot n° 2 uniquement - RH et déplacements</w:t>
            </w:r>
          </w:p>
        </w:tc>
        <w:tc>
          <w:tcPr>
            <w:tcW w:w="4983" w:type="dxa"/>
            <w:tcMar>
              <w:top w:w="80" w:type="dxa"/>
              <w:left w:w="80" w:type="dxa"/>
              <w:bottom w:w="80" w:type="dxa"/>
              <w:right w:w="80" w:type="dxa"/>
            </w:tcMar>
            <w:vAlign w:val="center"/>
          </w:tcPr>
          <w:p w14:paraId="186E2DAC" w14:textId="77777777" w:rsidR="00141C00" w:rsidRPr="007104F6" w:rsidRDefault="00FD52A4">
            <w:pPr>
              <w:pStyle w:val="TableText"/>
              <w:spacing w:after="40"/>
              <w:rPr>
                <w:lang w:val="fr-FR"/>
              </w:rPr>
            </w:pPr>
            <w:r w:rsidRPr="007104F6">
              <w:rPr>
                <w:lang w:val="fr-FR"/>
              </w:rPr>
              <w:t>Parcours agent ; absences ; campagnes ; documents ; missions et frais ; échanges PEP ; signature électronique et coûts tiers.</w:t>
            </w:r>
          </w:p>
        </w:tc>
      </w:tr>
      <w:tr w:rsidR="00141C00" w:rsidRPr="00394CD1" w14:paraId="7478FA4B" w14:textId="77777777" w:rsidTr="00FD52A4">
        <w:trPr>
          <w:cantSplit/>
          <w:jc w:val="center"/>
        </w:trPr>
        <w:tc>
          <w:tcPr>
            <w:tcW w:w="4083" w:type="dxa"/>
            <w:shd w:val="clear" w:color="auto" w:fill="F7F8FB"/>
            <w:tcMar>
              <w:top w:w="80" w:type="dxa"/>
              <w:left w:w="80" w:type="dxa"/>
              <w:bottom w:w="80" w:type="dxa"/>
              <w:right w:w="80" w:type="dxa"/>
            </w:tcMar>
            <w:vAlign w:val="center"/>
          </w:tcPr>
          <w:p w14:paraId="4B488616" w14:textId="77777777" w:rsidR="00141C00" w:rsidRDefault="00FD52A4" w:rsidP="00FC7E3B">
            <w:pPr>
              <w:pStyle w:val="TableText"/>
              <w:spacing w:after="40"/>
            </w:pPr>
            <w:r>
              <w:t xml:space="preserve">6. </w:t>
            </w:r>
            <w:proofErr w:type="spellStart"/>
            <w:r>
              <w:t>Interopérabilité</w:t>
            </w:r>
            <w:proofErr w:type="spellEnd"/>
            <w:r>
              <w:t xml:space="preserve"> et </w:t>
            </w:r>
            <w:proofErr w:type="spellStart"/>
            <w:r>
              <w:t>coopération</w:t>
            </w:r>
            <w:proofErr w:type="spellEnd"/>
          </w:p>
        </w:tc>
        <w:tc>
          <w:tcPr>
            <w:tcW w:w="4983" w:type="dxa"/>
            <w:shd w:val="clear" w:color="auto" w:fill="F7F8FB"/>
            <w:tcMar>
              <w:top w:w="80" w:type="dxa"/>
              <w:left w:w="80" w:type="dxa"/>
              <w:bottom w:w="80" w:type="dxa"/>
              <w:right w:w="80" w:type="dxa"/>
            </w:tcMar>
            <w:vAlign w:val="center"/>
          </w:tcPr>
          <w:p w14:paraId="384CC6F2" w14:textId="77777777" w:rsidR="00141C00" w:rsidRPr="007104F6" w:rsidRDefault="00FD52A4">
            <w:pPr>
              <w:pStyle w:val="TableText"/>
              <w:spacing w:after="40"/>
              <w:rPr>
                <w:lang w:val="fr-FR"/>
              </w:rPr>
            </w:pPr>
            <w:r w:rsidRPr="007104F6">
              <w:rPr>
                <w:lang w:val="fr-FR"/>
              </w:rPr>
              <w:t>Interfaces, formats, API, cartographie, traitement des anomalies, responsabilités et coopération avec l’autre titulaire.</w:t>
            </w:r>
          </w:p>
        </w:tc>
      </w:tr>
      <w:tr w:rsidR="00141C00" w:rsidRPr="00394CD1" w14:paraId="695A1EFE" w14:textId="77777777" w:rsidTr="00FD52A4">
        <w:trPr>
          <w:cantSplit/>
          <w:jc w:val="center"/>
        </w:trPr>
        <w:tc>
          <w:tcPr>
            <w:tcW w:w="4083" w:type="dxa"/>
            <w:tcMar>
              <w:top w:w="80" w:type="dxa"/>
              <w:left w:w="80" w:type="dxa"/>
              <w:bottom w:w="80" w:type="dxa"/>
              <w:right w:w="80" w:type="dxa"/>
            </w:tcMar>
            <w:vAlign w:val="center"/>
          </w:tcPr>
          <w:p w14:paraId="6026FAEB" w14:textId="77777777" w:rsidR="00141C00" w:rsidRDefault="00FD52A4" w:rsidP="00FC7E3B">
            <w:pPr>
              <w:pStyle w:val="TableText"/>
              <w:spacing w:after="40"/>
            </w:pPr>
            <w:r>
              <w:t xml:space="preserve">7. Données, reprise et </w:t>
            </w:r>
            <w:proofErr w:type="spellStart"/>
            <w:r>
              <w:t>contrôles</w:t>
            </w:r>
            <w:proofErr w:type="spellEnd"/>
          </w:p>
        </w:tc>
        <w:tc>
          <w:tcPr>
            <w:tcW w:w="4983" w:type="dxa"/>
            <w:tcMar>
              <w:top w:w="80" w:type="dxa"/>
              <w:left w:w="80" w:type="dxa"/>
              <w:bottom w:w="80" w:type="dxa"/>
              <w:right w:w="80" w:type="dxa"/>
            </w:tcMar>
            <w:vAlign w:val="center"/>
          </w:tcPr>
          <w:p w14:paraId="5274E3F5" w14:textId="77777777" w:rsidR="00141C00" w:rsidRPr="007104F6" w:rsidRDefault="00FD52A4">
            <w:pPr>
              <w:pStyle w:val="TableText"/>
              <w:spacing w:after="40"/>
              <w:rPr>
                <w:lang w:val="fr-FR"/>
              </w:rPr>
            </w:pPr>
            <w:r w:rsidRPr="007104F6">
              <w:rPr>
                <w:lang w:val="fr-FR"/>
              </w:rPr>
              <w:t>Sources, règles de transformation, contrôles, rapprochements, anomalies, données non reprises, RIB et pièces justificatives.</w:t>
            </w:r>
          </w:p>
        </w:tc>
      </w:tr>
      <w:tr w:rsidR="00141C00" w:rsidRPr="00394CD1" w14:paraId="4D34F179" w14:textId="77777777" w:rsidTr="00FD52A4">
        <w:trPr>
          <w:cantSplit/>
          <w:jc w:val="center"/>
        </w:trPr>
        <w:tc>
          <w:tcPr>
            <w:tcW w:w="4083" w:type="dxa"/>
            <w:shd w:val="clear" w:color="auto" w:fill="F7F8FB"/>
            <w:tcMar>
              <w:top w:w="80" w:type="dxa"/>
              <w:left w:w="80" w:type="dxa"/>
              <w:bottom w:w="80" w:type="dxa"/>
              <w:right w:w="80" w:type="dxa"/>
            </w:tcMar>
            <w:vAlign w:val="center"/>
          </w:tcPr>
          <w:p w14:paraId="4163F32E" w14:textId="77777777" w:rsidR="00141C00" w:rsidRDefault="00FD52A4" w:rsidP="00FC7E3B">
            <w:pPr>
              <w:pStyle w:val="TableText"/>
              <w:spacing w:after="40"/>
            </w:pPr>
            <w:r>
              <w:t xml:space="preserve">8. </w:t>
            </w:r>
            <w:proofErr w:type="spellStart"/>
            <w:r>
              <w:t>Sécurité</w:t>
            </w:r>
            <w:proofErr w:type="spellEnd"/>
            <w:r>
              <w:t xml:space="preserve"> et données </w:t>
            </w:r>
            <w:proofErr w:type="spellStart"/>
            <w:r>
              <w:t>personnelles</w:t>
            </w:r>
            <w:proofErr w:type="spellEnd"/>
          </w:p>
        </w:tc>
        <w:tc>
          <w:tcPr>
            <w:tcW w:w="4983" w:type="dxa"/>
            <w:shd w:val="clear" w:color="auto" w:fill="F7F8FB"/>
            <w:tcMar>
              <w:top w:w="80" w:type="dxa"/>
              <w:left w:w="80" w:type="dxa"/>
              <w:bottom w:w="80" w:type="dxa"/>
              <w:right w:w="80" w:type="dxa"/>
            </w:tcMar>
            <w:vAlign w:val="center"/>
          </w:tcPr>
          <w:p w14:paraId="3274FDAF" w14:textId="77777777" w:rsidR="00141C00" w:rsidRPr="007104F6" w:rsidRDefault="00FD52A4">
            <w:pPr>
              <w:pStyle w:val="TableText"/>
              <w:spacing w:after="40"/>
              <w:rPr>
                <w:lang w:val="fr-FR"/>
              </w:rPr>
            </w:pPr>
            <w:r w:rsidRPr="007104F6">
              <w:rPr>
                <w:lang w:val="fr-FR"/>
              </w:rPr>
              <w:t>Hébergement, sous-traitants, transferts, habilitations, journalisation, sauvegarde, restauration, tests et incidents.</w:t>
            </w:r>
          </w:p>
        </w:tc>
      </w:tr>
      <w:tr w:rsidR="00141C00" w:rsidRPr="00394CD1" w14:paraId="5F413C11" w14:textId="77777777" w:rsidTr="00FD52A4">
        <w:trPr>
          <w:cantSplit/>
          <w:jc w:val="center"/>
        </w:trPr>
        <w:tc>
          <w:tcPr>
            <w:tcW w:w="4083" w:type="dxa"/>
            <w:tcMar>
              <w:top w:w="80" w:type="dxa"/>
              <w:left w:w="80" w:type="dxa"/>
              <w:bottom w:w="80" w:type="dxa"/>
              <w:right w:w="80" w:type="dxa"/>
            </w:tcMar>
            <w:vAlign w:val="center"/>
          </w:tcPr>
          <w:p w14:paraId="03209311" w14:textId="77777777" w:rsidR="00141C00" w:rsidRDefault="00FD52A4">
            <w:pPr>
              <w:pStyle w:val="TableText"/>
              <w:spacing w:after="40"/>
            </w:pPr>
            <w:r>
              <w:t xml:space="preserve">9. </w:t>
            </w:r>
            <w:proofErr w:type="spellStart"/>
            <w:r>
              <w:t>Gouvernance</w:t>
            </w:r>
            <w:proofErr w:type="spellEnd"/>
            <w:r>
              <w:t xml:space="preserve"> et </w:t>
            </w:r>
            <w:proofErr w:type="spellStart"/>
            <w:r>
              <w:t>calendrier</w:t>
            </w:r>
            <w:proofErr w:type="spellEnd"/>
          </w:p>
        </w:tc>
        <w:tc>
          <w:tcPr>
            <w:tcW w:w="4983" w:type="dxa"/>
            <w:tcMar>
              <w:top w:w="80" w:type="dxa"/>
              <w:left w:w="80" w:type="dxa"/>
              <w:bottom w:w="80" w:type="dxa"/>
              <w:right w:w="80" w:type="dxa"/>
            </w:tcMar>
            <w:vAlign w:val="center"/>
          </w:tcPr>
          <w:p w14:paraId="13B69A11" w14:textId="77777777" w:rsidR="00141C00" w:rsidRPr="007104F6" w:rsidRDefault="00FD52A4">
            <w:pPr>
              <w:spacing w:after="40"/>
              <w:rPr>
                <w:lang w:val="fr-FR"/>
              </w:rPr>
            </w:pPr>
            <w:r w:rsidRPr="007104F6">
              <w:rPr>
                <w:sz w:val="17"/>
                <w:lang w:val="fr-FR"/>
              </w:rPr>
              <w:t>Équipe, RACI, tâches du titulaire, de l’OFDT, de la DGFiP et de l’autre lot, jalons, disponibilité des ressources, marges, risques et plan de rattrapage.</w:t>
            </w:r>
          </w:p>
        </w:tc>
      </w:tr>
      <w:tr w:rsidR="00141C00" w:rsidRPr="00394CD1" w14:paraId="6AC3347A" w14:textId="77777777" w:rsidTr="00FD52A4">
        <w:trPr>
          <w:cantSplit/>
          <w:jc w:val="center"/>
        </w:trPr>
        <w:tc>
          <w:tcPr>
            <w:tcW w:w="4083" w:type="dxa"/>
            <w:shd w:val="clear" w:color="auto" w:fill="F7F8FB"/>
            <w:tcMar>
              <w:top w:w="80" w:type="dxa"/>
              <w:left w:w="80" w:type="dxa"/>
              <w:bottom w:w="80" w:type="dxa"/>
              <w:right w:w="80" w:type="dxa"/>
            </w:tcMar>
            <w:vAlign w:val="center"/>
          </w:tcPr>
          <w:p w14:paraId="64AA4A5D" w14:textId="77777777" w:rsidR="00141C00" w:rsidRPr="00B1041E" w:rsidRDefault="00FD52A4">
            <w:pPr>
              <w:pStyle w:val="TableText"/>
              <w:spacing w:after="40"/>
              <w:rPr>
                <w:lang w:val="fr-FR"/>
              </w:rPr>
            </w:pPr>
            <w:r w:rsidRPr="00B1041E">
              <w:rPr>
                <w:lang w:val="fr-FR"/>
              </w:rPr>
              <w:t>10. Tests, recette et mise en production</w:t>
            </w:r>
          </w:p>
        </w:tc>
        <w:tc>
          <w:tcPr>
            <w:tcW w:w="4983" w:type="dxa"/>
            <w:shd w:val="clear" w:color="auto" w:fill="F7F8FB"/>
            <w:tcMar>
              <w:top w:w="80" w:type="dxa"/>
              <w:left w:w="80" w:type="dxa"/>
              <w:bottom w:w="80" w:type="dxa"/>
              <w:right w:w="80" w:type="dxa"/>
            </w:tcMar>
            <w:vAlign w:val="center"/>
          </w:tcPr>
          <w:p w14:paraId="73F3CB17" w14:textId="77777777" w:rsidR="00141C00" w:rsidRPr="007104F6" w:rsidRDefault="00FD52A4">
            <w:pPr>
              <w:pStyle w:val="TableText"/>
              <w:spacing w:after="40"/>
              <w:rPr>
                <w:lang w:val="fr-FR"/>
              </w:rPr>
            </w:pPr>
            <w:r w:rsidRPr="007104F6">
              <w:rPr>
                <w:lang w:val="fr-FR"/>
              </w:rPr>
              <w:t>Stratégie, jeux de données, environnements, critères d’entrée/sortie, accompagnement, stabilisation.</w:t>
            </w:r>
          </w:p>
        </w:tc>
      </w:tr>
      <w:tr w:rsidR="00141C00" w:rsidRPr="00394CD1" w14:paraId="54BEF715" w14:textId="77777777" w:rsidTr="00FD52A4">
        <w:trPr>
          <w:cantSplit/>
          <w:jc w:val="center"/>
        </w:trPr>
        <w:tc>
          <w:tcPr>
            <w:tcW w:w="4083" w:type="dxa"/>
            <w:tcMar>
              <w:top w:w="80" w:type="dxa"/>
              <w:left w:w="80" w:type="dxa"/>
              <w:bottom w:w="80" w:type="dxa"/>
              <w:right w:w="80" w:type="dxa"/>
            </w:tcMar>
            <w:vAlign w:val="center"/>
          </w:tcPr>
          <w:p w14:paraId="5DC127BA" w14:textId="77777777" w:rsidR="00141C00" w:rsidRDefault="00FD52A4">
            <w:pPr>
              <w:pStyle w:val="TableText"/>
              <w:spacing w:after="40"/>
            </w:pPr>
            <w:r>
              <w:t>11. Formation, support et documentation</w:t>
            </w:r>
          </w:p>
        </w:tc>
        <w:tc>
          <w:tcPr>
            <w:tcW w:w="4983" w:type="dxa"/>
            <w:tcMar>
              <w:top w:w="80" w:type="dxa"/>
              <w:left w:w="80" w:type="dxa"/>
              <w:bottom w:w="80" w:type="dxa"/>
              <w:right w:w="80" w:type="dxa"/>
            </w:tcMar>
            <w:vAlign w:val="center"/>
          </w:tcPr>
          <w:p w14:paraId="561DEAA1" w14:textId="77777777" w:rsidR="00141C00" w:rsidRPr="007104F6" w:rsidRDefault="00FD52A4">
            <w:pPr>
              <w:pStyle w:val="TableText"/>
              <w:spacing w:after="40"/>
              <w:rPr>
                <w:lang w:val="fr-FR"/>
              </w:rPr>
            </w:pPr>
            <w:r w:rsidRPr="007104F6">
              <w:rPr>
                <w:lang w:val="fr-FR"/>
              </w:rPr>
              <w:t>Approche proportionnée, autonomie OFDT, documentation essentielle, support, SLA et maintien des compétences.</w:t>
            </w:r>
          </w:p>
        </w:tc>
      </w:tr>
      <w:tr w:rsidR="00141C00" w:rsidRPr="00394CD1" w14:paraId="3567DB0C" w14:textId="77777777" w:rsidTr="00FD52A4">
        <w:trPr>
          <w:cantSplit/>
          <w:jc w:val="center"/>
        </w:trPr>
        <w:tc>
          <w:tcPr>
            <w:tcW w:w="4083" w:type="dxa"/>
            <w:shd w:val="clear" w:color="auto" w:fill="F7F8FB"/>
            <w:tcMar>
              <w:top w:w="80" w:type="dxa"/>
              <w:left w:w="80" w:type="dxa"/>
              <w:bottom w:w="80" w:type="dxa"/>
              <w:right w:w="80" w:type="dxa"/>
            </w:tcMar>
            <w:vAlign w:val="center"/>
          </w:tcPr>
          <w:p w14:paraId="3D19BD3E" w14:textId="77777777" w:rsidR="00141C00" w:rsidRDefault="00FD52A4">
            <w:pPr>
              <w:pStyle w:val="TableText"/>
              <w:spacing w:after="40"/>
            </w:pPr>
            <w:r>
              <w:t xml:space="preserve">12. </w:t>
            </w:r>
            <w:proofErr w:type="spellStart"/>
            <w:r>
              <w:t>Réversibilité</w:t>
            </w:r>
            <w:proofErr w:type="spellEnd"/>
          </w:p>
        </w:tc>
        <w:tc>
          <w:tcPr>
            <w:tcW w:w="4983" w:type="dxa"/>
            <w:shd w:val="clear" w:color="auto" w:fill="F7F8FB"/>
            <w:tcMar>
              <w:top w:w="80" w:type="dxa"/>
              <w:left w:w="80" w:type="dxa"/>
              <w:bottom w:w="80" w:type="dxa"/>
              <w:right w:w="80" w:type="dxa"/>
            </w:tcMar>
            <w:vAlign w:val="center"/>
          </w:tcPr>
          <w:p w14:paraId="1F7DBA7C" w14:textId="77777777" w:rsidR="00141C00" w:rsidRPr="007104F6" w:rsidRDefault="00FD52A4">
            <w:pPr>
              <w:pStyle w:val="TableText"/>
              <w:spacing w:after="40"/>
              <w:rPr>
                <w:lang w:val="fr-FR"/>
              </w:rPr>
            </w:pPr>
            <w:r w:rsidRPr="007104F6">
              <w:rPr>
                <w:lang w:val="fr-FR"/>
              </w:rPr>
              <w:t>Formats, calendrier, assistance incluse, restitution des données et paramétrages, suppression sécurisée.</w:t>
            </w:r>
          </w:p>
        </w:tc>
      </w:tr>
      <w:tr w:rsidR="00141C00" w:rsidRPr="00394CD1" w14:paraId="7F7561A2" w14:textId="77777777" w:rsidTr="00FD52A4">
        <w:trPr>
          <w:cantSplit/>
          <w:jc w:val="center"/>
        </w:trPr>
        <w:tc>
          <w:tcPr>
            <w:tcW w:w="4083" w:type="dxa"/>
            <w:tcMar>
              <w:top w:w="80" w:type="dxa"/>
              <w:left w:w="80" w:type="dxa"/>
              <w:bottom w:w="80" w:type="dxa"/>
              <w:right w:w="80" w:type="dxa"/>
            </w:tcMar>
            <w:vAlign w:val="center"/>
          </w:tcPr>
          <w:p w14:paraId="6C4B3772" w14:textId="77777777" w:rsidR="00141C00" w:rsidRDefault="00FD52A4">
            <w:pPr>
              <w:pStyle w:val="TableText"/>
              <w:spacing w:after="40"/>
            </w:pPr>
            <w:r>
              <w:t xml:space="preserve">13. Performance </w:t>
            </w:r>
            <w:proofErr w:type="spellStart"/>
            <w:r>
              <w:t>environnementale</w:t>
            </w:r>
            <w:proofErr w:type="spellEnd"/>
          </w:p>
        </w:tc>
        <w:tc>
          <w:tcPr>
            <w:tcW w:w="4983" w:type="dxa"/>
            <w:tcMar>
              <w:top w:w="80" w:type="dxa"/>
              <w:left w:w="80" w:type="dxa"/>
              <w:bottom w:w="80" w:type="dxa"/>
              <w:right w:w="80" w:type="dxa"/>
            </w:tcMar>
            <w:vAlign w:val="center"/>
          </w:tcPr>
          <w:p w14:paraId="1C9AF352" w14:textId="77777777" w:rsidR="00141C00" w:rsidRPr="007104F6" w:rsidRDefault="00FD52A4">
            <w:pPr>
              <w:spacing w:after="40"/>
              <w:rPr>
                <w:lang w:val="fr-FR"/>
              </w:rPr>
            </w:pPr>
            <w:r w:rsidRPr="007104F6">
              <w:rPr>
                <w:sz w:val="17"/>
                <w:lang w:val="fr-FR"/>
              </w:rPr>
              <w:t>Engagements précis, mesurables, vérifiables et directement liés à l’architecture, à l’hébergement, aux données, aux équipements et aux modalités d’exécution.</w:t>
            </w:r>
          </w:p>
        </w:tc>
      </w:tr>
      <w:tr w:rsidR="00141C00" w:rsidRPr="00394CD1" w14:paraId="71B94027" w14:textId="77777777" w:rsidTr="00FD52A4">
        <w:trPr>
          <w:cantSplit/>
          <w:jc w:val="center"/>
        </w:trPr>
        <w:tc>
          <w:tcPr>
            <w:tcW w:w="4083" w:type="dxa"/>
            <w:shd w:val="clear" w:color="auto" w:fill="F7F8FB"/>
            <w:tcMar>
              <w:top w:w="80" w:type="dxa"/>
              <w:left w:w="80" w:type="dxa"/>
              <w:bottom w:w="80" w:type="dxa"/>
              <w:right w:w="80" w:type="dxa"/>
            </w:tcMar>
            <w:vAlign w:val="center"/>
          </w:tcPr>
          <w:p w14:paraId="552F83AE" w14:textId="77777777" w:rsidR="00141C00" w:rsidRDefault="00FD52A4">
            <w:pPr>
              <w:pStyle w:val="TableText"/>
              <w:spacing w:after="40"/>
            </w:pPr>
            <w:r>
              <w:t xml:space="preserve">14. </w:t>
            </w:r>
            <w:proofErr w:type="spellStart"/>
            <w:r>
              <w:t>Hypothèses</w:t>
            </w:r>
            <w:proofErr w:type="spellEnd"/>
            <w:r>
              <w:t xml:space="preserve">, </w:t>
            </w:r>
            <w:proofErr w:type="spellStart"/>
            <w:r>
              <w:t>réserves</w:t>
            </w:r>
            <w:proofErr w:type="spellEnd"/>
            <w:r>
              <w:t xml:space="preserve"> et </w:t>
            </w:r>
            <w:proofErr w:type="spellStart"/>
            <w:r>
              <w:t>dépendances</w:t>
            </w:r>
            <w:proofErr w:type="spellEnd"/>
          </w:p>
        </w:tc>
        <w:tc>
          <w:tcPr>
            <w:tcW w:w="4983" w:type="dxa"/>
            <w:shd w:val="clear" w:color="auto" w:fill="F7F8FB"/>
            <w:tcMar>
              <w:top w:w="80" w:type="dxa"/>
              <w:left w:w="80" w:type="dxa"/>
              <w:bottom w:w="80" w:type="dxa"/>
              <w:right w:w="80" w:type="dxa"/>
            </w:tcMar>
            <w:vAlign w:val="center"/>
          </w:tcPr>
          <w:p w14:paraId="1ADB7F8F" w14:textId="77777777" w:rsidR="00141C00" w:rsidRPr="007104F6" w:rsidRDefault="00FD52A4">
            <w:pPr>
              <w:pStyle w:val="TableText"/>
              <w:spacing w:after="40"/>
              <w:rPr>
                <w:lang w:val="fr-FR"/>
              </w:rPr>
            </w:pPr>
            <w:r w:rsidRPr="007104F6">
              <w:rPr>
                <w:lang w:val="fr-FR"/>
              </w:rPr>
              <w:t>Liste exhaustive ; toute omission est réputée couverte par l’offre.</w:t>
            </w:r>
          </w:p>
        </w:tc>
      </w:tr>
    </w:tbl>
    <w:p w14:paraId="6ADF02A4" w14:textId="77777777" w:rsidR="00FD52A4" w:rsidRDefault="00FD52A4" w:rsidP="00FD52A4">
      <w:pPr>
        <w:rPr>
          <w:lang w:val="fr-FR"/>
        </w:rPr>
      </w:pPr>
    </w:p>
    <w:p w14:paraId="08752BC4" w14:textId="77777777" w:rsidR="00FD52A4" w:rsidRDefault="00FD52A4" w:rsidP="00FD52A4">
      <w:pPr>
        <w:rPr>
          <w:lang w:val="fr-FR"/>
        </w:rPr>
      </w:pPr>
    </w:p>
    <w:p w14:paraId="121CBE1F" w14:textId="77777777" w:rsidR="00141C00" w:rsidRPr="007104F6" w:rsidRDefault="00FD52A4">
      <w:pPr>
        <w:pStyle w:val="Titre1"/>
        <w:rPr>
          <w:lang w:val="fr-FR"/>
        </w:rPr>
      </w:pPr>
      <w:r w:rsidRPr="00B1041E">
        <w:rPr>
          <w:lang w:val="fr-FR"/>
        </w:rPr>
        <w:t>Annexe 2 – Échelle commune de notation des critères qualitatifs</w:t>
      </w:r>
    </w:p>
    <w:tbl>
      <w:tblPr>
        <w:tblStyle w:val="Grilledutableau"/>
        <w:tblW w:w="8788" w:type="dxa"/>
        <w:jc w:val="center"/>
        <w:tblLayout w:type="fixed"/>
        <w:tblLook w:val="04A0" w:firstRow="1" w:lastRow="0" w:firstColumn="1" w:lastColumn="0" w:noHBand="0" w:noVBand="1"/>
      </w:tblPr>
      <w:tblGrid>
        <w:gridCol w:w="2338"/>
        <w:gridCol w:w="3827"/>
        <w:gridCol w:w="2623"/>
      </w:tblGrid>
      <w:tr w:rsidR="00141C00" w:rsidRPr="00394CD1" w14:paraId="1E4CE6E1" w14:textId="77777777" w:rsidTr="00FD52A4">
        <w:trPr>
          <w:cantSplit/>
          <w:tblHeader/>
          <w:jc w:val="center"/>
        </w:trPr>
        <w:tc>
          <w:tcPr>
            <w:tcW w:w="2338" w:type="dxa"/>
            <w:shd w:val="clear" w:color="auto" w:fill="19153F"/>
            <w:tcMar>
              <w:top w:w="80" w:type="dxa"/>
              <w:left w:w="80" w:type="dxa"/>
              <w:bottom w:w="80" w:type="dxa"/>
              <w:right w:w="80" w:type="dxa"/>
            </w:tcMar>
            <w:vAlign w:val="center"/>
          </w:tcPr>
          <w:p w14:paraId="73B65C69" w14:textId="77777777" w:rsidR="00141C00" w:rsidRDefault="00FD52A4">
            <w:pPr>
              <w:pStyle w:val="TableText"/>
              <w:spacing w:after="40"/>
              <w:jc w:val="center"/>
            </w:pPr>
            <w:proofErr w:type="spellStart"/>
            <w:r>
              <w:rPr>
                <w:b/>
                <w:color w:val="FFFFFF"/>
              </w:rPr>
              <w:t>Niveau</w:t>
            </w:r>
            <w:proofErr w:type="spellEnd"/>
          </w:p>
        </w:tc>
        <w:tc>
          <w:tcPr>
            <w:tcW w:w="3827" w:type="dxa"/>
            <w:shd w:val="clear" w:color="auto" w:fill="19153F"/>
            <w:tcMar>
              <w:top w:w="80" w:type="dxa"/>
              <w:left w:w="80" w:type="dxa"/>
              <w:bottom w:w="80" w:type="dxa"/>
              <w:right w:w="80" w:type="dxa"/>
            </w:tcMar>
            <w:vAlign w:val="center"/>
          </w:tcPr>
          <w:p w14:paraId="36042E58" w14:textId="77777777" w:rsidR="00141C00" w:rsidRDefault="00FD52A4">
            <w:pPr>
              <w:pStyle w:val="TableText"/>
              <w:spacing w:after="40"/>
              <w:jc w:val="center"/>
            </w:pPr>
            <w:proofErr w:type="spellStart"/>
            <w:r>
              <w:rPr>
                <w:b/>
                <w:color w:val="FFFFFF"/>
              </w:rPr>
              <w:t>Appréciation</w:t>
            </w:r>
            <w:proofErr w:type="spellEnd"/>
            <w:r>
              <w:rPr>
                <w:b/>
                <w:color w:val="FFFFFF"/>
              </w:rPr>
              <w:t xml:space="preserve"> indicative</w:t>
            </w:r>
          </w:p>
        </w:tc>
        <w:tc>
          <w:tcPr>
            <w:tcW w:w="2623" w:type="dxa"/>
            <w:shd w:val="clear" w:color="auto" w:fill="19153F"/>
            <w:tcMar>
              <w:top w:w="80" w:type="dxa"/>
              <w:left w:w="80" w:type="dxa"/>
              <w:bottom w:w="80" w:type="dxa"/>
              <w:right w:w="80" w:type="dxa"/>
            </w:tcMar>
            <w:vAlign w:val="center"/>
          </w:tcPr>
          <w:p w14:paraId="5972A5BB" w14:textId="77777777" w:rsidR="00FE1F18" w:rsidRPr="00B1041E" w:rsidRDefault="00390675">
            <w:pPr>
              <w:jc w:val="center"/>
              <w:rPr>
                <w:lang w:val="fr-FR"/>
              </w:rPr>
            </w:pPr>
            <w:r w:rsidRPr="00B1041E">
              <w:rPr>
                <w:b/>
                <w:color w:val="FFFFFF"/>
                <w:lang w:val="fr-FR"/>
              </w:rPr>
              <w:t>Taux de la note maximale du critère ou sous-critère</w:t>
            </w:r>
          </w:p>
        </w:tc>
      </w:tr>
      <w:tr w:rsidR="00141C00" w14:paraId="74229832" w14:textId="77777777" w:rsidTr="00FD52A4">
        <w:trPr>
          <w:cantSplit/>
          <w:jc w:val="center"/>
        </w:trPr>
        <w:tc>
          <w:tcPr>
            <w:tcW w:w="2338" w:type="dxa"/>
            <w:tcMar>
              <w:top w:w="80" w:type="dxa"/>
              <w:left w:w="80" w:type="dxa"/>
              <w:bottom w:w="80" w:type="dxa"/>
              <w:right w:w="80" w:type="dxa"/>
            </w:tcMar>
            <w:vAlign w:val="center"/>
          </w:tcPr>
          <w:p w14:paraId="07420774" w14:textId="77777777" w:rsidR="00141C00" w:rsidRDefault="00FD52A4">
            <w:pPr>
              <w:spacing w:after="40"/>
              <w:jc w:val="center"/>
            </w:pPr>
            <w:r>
              <w:rPr>
                <w:b/>
                <w:sz w:val="17"/>
              </w:rPr>
              <w:t>Excellent</w:t>
            </w:r>
          </w:p>
        </w:tc>
        <w:tc>
          <w:tcPr>
            <w:tcW w:w="3827" w:type="dxa"/>
            <w:tcMar>
              <w:top w:w="80" w:type="dxa"/>
              <w:left w:w="80" w:type="dxa"/>
              <w:bottom w:w="80" w:type="dxa"/>
              <w:right w:w="80" w:type="dxa"/>
            </w:tcMar>
            <w:vAlign w:val="center"/>
          </w:tcPr>
          <w:p w14:paraId="0B24AC15" w14:textId="77777777" w:rsidR="00141C00" w:rsidRPr="007104F6" w:rsidRDefault="00FD52A4">
            <w:pPr>
              <w:spacing w:after="40"/>
              <w:rPr>
                <w:lang w:val="fr-FR"/>
              </w:rPr>
            </w:pPr>
            <w:r w:rsidRPr="007104F6">
              <w:rPr>
                <w:sz w:val="17"/>
                <w:lang w:val="fr-FR"/>
              </w:rPr>
              <w:t>Réponse complète, précise, directement opérationnelle, très bien adaptée à l’OFDT, avec engagements vérifiables et risques maîtrisés.</w:t>
            </w:r>
          </w:p>
        </w:tc>
        <w:tc>
          <w:tcPr>
            <w:tcW w:w="2623" w:type="dxa"/>
            <w:tcMar>
              <w:top w:w="80" w:type="dxa"/>
              <w:left w:w="80" w:type="dxa"/>
              <w:bottom w:w="80" w:type="dxa"/>
              <w:right w:w="80" w:type="dxa"/>
            </w:tcMar>
            <w:vAlign w:val="center"/>
          </w:tcPr>
          <w:p w14:paraId="18EA6B49" w14:textId="77777777" w:rsidR="00141C00" w:rsidRDefault="00FD52A4">
            <w:pPr>
              <w:spacing w:after="40"/>
              <w:jc w:val="center"/>
            </w:pPr>
            <w:r>
              <w:rPr>
                <w:sz w:val="17"/>
              </w:rPr>
              <w:t>100 %</w:t>
            </w:r>
          </w:p>
        </w:tc>
      </w:tr>
      <w:tr w:rsidR="00141C00" w14:paraId="5CAD3911" w14:textId="77777777" w:rsidTr="00FD52A4">
        <w:trPr>
          <w:cantSplit/>
          <w:jc w:val="center"/>
        </w:trPr>
        <w:tc>
          <w:tcPr>
            <w:tcW w:w="2338" w:type="dxa"/>
            <w:shd w:val="clear" w:color="auto" w:fill="F7F8FB"/>
            <w:tcMar>
              <w:top w:w="80" w:type="dxa"/>
              <w:left w:w="80" w:type="dxa"/>
              <w:bottom w:w="80" w:type="dxa"/>
              <w:right w:w="80" w:type="dxa"/>
            </w:tcMar>
            <w:vAlign w:val="center"/>
          </w:tcPr>
          <w:p w14:paraId="6E35BDB5" w14:textId="77777777" w:rsidR="00141C00" w:rsidRDefault="00FD52A4">
            <w:pPr>
              <w:spacing w:after="40"/>
              <w:jc w:val="center"/>
            </w:pPr>
            <w:r>
              <w:rPr>
                <w:b/>
                <w:sz w:val="17"/>
              </w:rPr>
              <w:t xml:space="preserve">Très </w:t>
            </w:r>
            <w:proofErr w:type="spellStart"/>
            <w:r>
              <w:rPr>
                <w:b/>
                <w:sz w:val="17"/>
              </w:rPr>
              <w:t>satisfaisant</w:t>
            </w:r>
            <w:proofErr w:type="spellEnd"/>
          </w:p>
        </w:tc>
        <w:tc>
          <w:tcPr>
            <w:tcW w:w="3827" w:type="dxa"/>
            <w:shd w:val="clear" w:color="auto" w:fill="F7F8FB"/>
            <w:tcMar>
              <w:top w:w="80" w:type="dxa"/>
              <w:left w:w="80" w:type="dxa"/>
              <w:bottom w:w="80" w:type="dxa"/>
              <w:right w:w="80" w:type="dxa"/>
            </w:tcMar>
            <w:vAlign w:val="center"/>
          </w:tcPr>
          <w:p w14:paraId="1EBBB939" w14:textId="77777777" w:rsidR="00141C00" w:rsidRPr="007104F6" w:rsidRDefault="00FD52A4">
            <w:pPr>
              <w:spacing w:after="40"/>
              <w:rPr>
                <w:lang w:val="fr-FR"/>
              </w:rPr>
            </w:pPr>
            <w:r w:rsidRPr="007104F6">
              <w:rPr>
                <w:sz w:val="17"/>
                <w:lang w:val="fr-FR"/>
              </w:rPr>
              <w:t>Réponse complète et crédible, présentant seulement des faiblesses ou réserves mineures.</w:t>
            </w:r>
          </w:p>
        </w:tc>
        <w:tc>
          <w:tcPr>
            <w:tcW w:w="2623" w:type="dxa"/>
            <w:shd w:val="clear" w:color="auto" w:fill="F7F8FB"/>
            <w:tcMar>
              <w:top w:w="80" w:type="dxa"/>
              <w:left w:w="80" w:type="dxa"/>
              <w:bottom w:w="80" w:type="dxa"/>
              <w:right w:w="80" w:type="dxa"/>
            </w:tcMar>
            <w:vAlign w:val="center"/>
          </w:tcPr>
          <w:p w14:paraId="22BD8BE9" w14:textId="77777777" w:rsidR="00141C00" w:rsidRDefault="00FD52A4">
            <w:pPr>
              <w:spacing w:after="40"/>
              <w:jc w:val="center"/>
            </w:pPr>
            <w:r>
              <w:rPr>
                <w:sz w:val="17"/>
              </w:rPr>
              <w:t>85 %</w:t>
            </w:r>
          </w:p>
        </w:tc>
      </w:tr>
      <w:tr w:rsidR="00141C00" w14:paraId="34201A62" w14:textId="77777777" w:rsidTr="00FD52A4">
        <w:trPr>
          <w:cantSplit/>
          <w:jc w:val="center"/>
        </w:trPr>
        <w:tc>
          <w:tcPr>
            <w:tcW w:w="2338" w:type="dxa"/>
            <w:tcMar>
              <w:top w:w="80" w:type="dxa"/>
              <w:left w:w="80" w:type="dxa"/>
              <w:bottom w:w="80" w:type="dxa"/>
              <w:right w:w="80" w:type="dxa"/>
            </w:tcMar>
            <w:vAlign w:val="center"/>
          </w:tcPr>
          <w:p w14:paraId="7C732FB1" w14:textId="77777777" w:rsidR="00141C00" w:rsidRDefault="00FD52A4">
            <w:pPr>
              <w:spacing w:after="40"/>
              <w:jc w:val="center"/>
            </w:pPr>
            <w:proofErr w:type="spellStart"/>
            <w:r>
              <w:rPr>
                <w:b/>
                <w:sz w:val="17"/>
              </w:rPr>
              <w:t>Satisfaisant</w:t>
            </w:r>
            <w:proofErr w:type="spellEnd"/>
          </w:p>
        </w:tc>
        <w:tc>
          <w:tcPr>
            <w:tcW w:w="3827" w:type="dxa"/>
            <w:tcMar>
              <w:top w:w="80" w:type="dxa"/>
              <w:left w:w="80" w:type="dxa"/>
              <w:bottom w:w="80" w:type="dxa"/>
              <w:right w:w="80" w:type="dxa"/>
            </w:tcMar>
            <w:vAlign w:val="center"/>
          </w:tcPr>
          <w:p w14:paraId="69F9966E" w14:textId="77777777" w:rsidR="00141C00" w:rsidRPr="007104F6" w:rsidRDefault="00FD52A4">
            <w:pPr>
              <w:spacing w:after="40"/>
              <w:rPr>
                <w:lang w:val="fr-FR"/>
              </w:rPr>
            </w:pPr>
            <w:r w:rsidRPr="007104F6">
              <w:rPr>
                <w:sz w:val="17"/>
                <w:lang w:val="fr-FR"/>
              </w:rPr>
              <w:t>Réponse conforme et exploitable, mais restant générale ou comportant plusieurs limites sans risque majeur.</w:t>
            </w:r>
          </w:p>
        </w:tc>
        <w:tc>
          <w:tcPr>
            <w:tcW w:w="2623" w:type="dxa"/>
            <w:tcMar>
              <w:top w:w="80" w:type="dxa"/>
              <w:left w:w="80" w:type="dxa"/>
              <w:bottom w:w="80" w:type="dxa"/>
              <w:right w:w="80" w:type="dxa"/>
            </w:tcMar>
            <w:vAlign w:val="center"/>
          </w:tcPr>
          <w:p w14:paraId="270CE0FD" w14:textId="77777777" w:rsidR="00141C00" w:rsidRDefault="00FD52A4">
            <w:pPr>
              <w:spacing w:after="40"/>
              <w:jc w:val="center"/>
            </w:pPr>
            <w:r>
              <w:rPr>
                <w:sz w:val="17"/>
              </w:rPr>
              <w:t>65 %</w:t>
            </w:r>
          </w:p>
        </w:tc>
      </w:tr>
      <w:tr w:rsidR="00141C00" w14:paraId="386A9553" w14:textId="77777777" w:rsidTr="00FD52A4">
        <w:trPr>
          <w:cantSplit/>
          <w:jc w:val="center"/>
        </w:trPr>
        <w:tc>
          <w:tcPr>
            <w:tcW w:w="2338" w:type="dxa"/>
            <w:shd w:val="clear" w:color="auto" w:fill="F7F8FB"/>
            <w:tcMar>
              <w:top w:w="80" w:type="dxa"/>
              <w:left w:w="80" w:type="dxa"/>
              <w:bottom w:w="80" w:type="dxa"/>
              <w:right w:w="80" w:type="dxa"/>
            </w:tcMar>
            <w:vAlign w:val="center"/>
          </w:tcPr>
          <w:p w14:paraId="4EA0FE96" w14:textId="77777777" w:rsidR="00141C00" w:rsidRDefault="00FD52A4">
            <w:pPr>
              <w:spacing w:after="40"/>
              <w:jc w:val="center"/>
            </w:pPr>
            <w:proofErr w:type="spellStart"/>
            <w:r>
              <w:rPr>
                <w:b/>
                <w:sz w:val="17"/>
              </w:rPr>
              <w:t>Faible</w:t>
            </w:r>
            <w:proofErr w:type="spellEnd"/>
          </w:p>
        </w:tc>
        <w:tc>
          <w:tcPr>
            <w:tcW w:w="3827" w:type="dxa"/>
            <w:shd w:val="clear" w:color="auto" w:fill="F7F8FB"/>
            <w:tcMar>
              <w:top w:w="80" w:type="dxa"/>
              <w:left w:w="80" w:type="dxa"/>
              <w:bottom w:w="80" w:type="dxa"/>
              <w:right w:w="80" w:type="dxa"/>
            </w:tcMar>
            <w:vAlign w:val="center"/>
          </w:tcPr>
          <w:p w14:paraId="1153AA4B" w14:textId="77777777" w:rsidR="00141C00" w:rsidRPr="007104F6" w:rsidRDefault="00FD52A4">
            <w:pPr>
              <w:spacing w:after="40"/>
              <w:rPr>
                <w:lang w:val="fr-FR"/>
              </w:rPr>
            </w:pPr>
            <w:r w:rsidRPr="007104F6">
              <w:rPr>
                <w:sz w:val="17"/>
                <w:lang w:val="fr-FR"/>
              </w:rPr>
              <w:t>Réponse partielle, insuffisamment démontrée, générant des risques ou une charge significative pour l’OFDT.</w:t>
            </w:r>
          </w:p>
        </w:tc>
        <w:tc>
          <w:tcPr>
            <w:tcW w:w="2623" w:type="dxa"/>
            <w:shd w:val="clear" w:color="auto" w:fill="F7F8FB"/>
            <w:tcMar>
              <w:top w:w="80" w:type="dxa"/>
              <w:left w:w="80" w:type="dxa"/>
              <w:bottom w:w="80" w:type="dxa"/>
              <w:right w:w="80" w:type="dxa"/>
            </w:tcMar>
            <w:vAlign w:val="center"/>
          </w:tcPr>
          <w:p w14:paraId="51B8C501" w14:textId="77777777" w:rsidR="00141C00" w:rsidRDefault="00FD52A4">
            <w:pPr>
              <w:spacing w:after="40"/>
              <w:jc w:val="center"/>
            </w:pPr>
            <w:r>
              <w:rPr>
                <w:sz w:val="17"/>
              </w:rPr>
              <w:t>40 %</w:t>
            </w:r>
          </w:p>
        </w:tc>
      </w:tr>
      <w:tr w:rsidR="00141C00" w14:paraId="1CCF0B73" w14:textId="77777777" w:rsidTr="00FD52A4">
        <w:trPr>
          <w:cantSplit/>
          <w:jc w:val="center"/>
        </w:trPr>
        <w:tc>
          <w:tcPr>
            <w:tcW w:w="2338" w:type="dxa"/>
            <w:tcMar>
              <w:top w:w="80" w:type="dxa"/>
              <w:left w:w="80" w:type="dxa"/>
              <w:bottom w:w="80" w:type="dxa"/>
              <w:right w:w="80" w:type="dxa"/>
            </w:tcMar>
            <w:vAlign w:val="center"/>
          </w:tcPr>
          <w:p w14:paraId="6BEF6272" w14:textId="77777777" w:rsidR="00141C00" w:rsidRDefault="00FD52A4">
            <w:pPr>
              <w:spacing w:after="40"/>
              <w:jc w:val="center"/>
            </w:pPr>
            <w:r>
              <w:rPr>
                <w:b/>
                <w:sz w:val="17"/>
              </w:rPr>
              <w:t xml:space="preserve">Très </w:t>
            </w:r>
            <w:proofErr w:type="spellStart"/>
            <w:r>
              <w:rPr>
                <w:b/>
                <w:sz w:val="17"/>
              </w:rPr>
              <w:t>insuffisant</w:t>
            </w:r>
            <w:proofErr w:type="spellEnd"/>
          </w:p>
        </w:tc>
        <w:tc>
          <w:tcPr>
            <w:tcW w:w="3827" w:type="dxa"/>
            <w:tcMar>
              <w:top w:w="80" w:type="dxa"/>
              <w:left w:w="80" w:type="dxa"/>
              <w:bottom w:w="80" w:type="dxa"/>
              <w:right w:w="80" w:type="dxa"/>
            </w:tcMar>
            <w:vAlign w:val="center"/>
          </w:tcPr>
          <w:p w14:paraId="59A0B2B0" w14:textId="77777777" w:rsidR="00141C00" w:rsidRPr="007104F6" w:rsidRDefault="00FD52A4">
            <w:pPr>
              <w:spacing w:after="40"/>
              <w:rPr>
                <w:lang w:val="fr-FR"/>
              </w:rPr>
            </w:pPr>
            <w:r w:rsidRPr="007104F6">
              <w:rPr>
                <w:sz w:val="17"/>
                <w:lang w:val="fr-FR"/>
              </w:rPr>
              <w:t>Réponse très lacunaire, incohérente ou peu crédible, faisant peser un risque important sur l’exécution.</w:t>
            </w:r>
          </w:p>
        </w:tc>
        <w:tc>
          <w:tcPr>
            <w:tcW w:w="2623" w:type="dxa"/>
            <w:tcMar>
              <w:top w:w="80" w:type="dxa"/>
              <w:left w:w="80" w:type="dxa"/>
              <w:bottom w:w="80" w:type="dxa"/>
              <w:right w:w="80" w:type="dxa"/>
            </w:tcMar>
            <w:vAlign w:val="center"/>
          </w:tcPr>
          <w:p w14:paraId="04F3ECC6" w14:textId="77777777" w:rsidR="00141C00" w:rsidRDefault="00FD52A4">
            <w:pPr>
              <w:spacing w:after="40"/>
              <w:jc w:val="center"/>
            </w:pPr>
            <w:r>
              <w:rPr>
                <w:sz w:val="17"/>
              </w:rPr>
              <w:t>15 %</w:t>
            </w:r>
          </w:p>
        </w:tc>
      </w:tr>
      <w:tr w:rsidR="00141C00" w14:paraId="569D5502" w14:textId="77777777" w:rsidTr="00FD52A4">
        <w:trPr>
          <w:cantSplit/>
          <w:jc w:val="center"/>
        </w:trPr>
        <w:tc>
          <w:tcPr>
            <w:tcW w:w="2338" w:type="dxa"/>
            <w:shd w:val="clear" w:color="auto" w:fill="F7F8FB"/>
            <w:tcMar>
              <w:top w:w="80" w:type="dxa"/>
              <w:left w:w="80" w:type="dxa"/>
              <w:bottom w:w="80" w:type="dxa"/>
              <w:right w:w="80" w:type="dxa"/>
            </w:tcMar>
            <w:vAlign w:val="center"/>
          </w:tcPr>
          <w:p w14:paraId="4DF6F200" w14:textId="77777777" w:rsidR="00141C00" w:rsidRDefault="00FD52A4">
            <w:pPr>
              <w:spacing w:after="40"/>
              <w:jc w:val="center"/>
            </w:pPr>
            <w:r>
              <w:rPr>
                <w:b/>
                <w:sz w:val="17"/>
              </w:rPr>
              <w:t xml:space="preserve">Absent / non </w:t>
            </w:r>
            <w:proofErr w:type="spellStart"/>
            <w:r>
              <w:rPr>
                <w:b/>
                <w:sz w:val="17"/>
              </w:rPr>
              <w:t>conforme</w:t>
            </w:r>
            <w:proofErr w:type="spellEnd"/>
          </w:p>
        </w:tc>
        <w:tc>
          <w:tcPr>
            <w:tcW w:w="3827" w:type="dxa"/>
            <w:shd w:val="clear" w:color="auto" w:fill="F7F8FB"/>
            <w:tcMar>
              <w:top w:w="80" w:type="dxa"/>
              <w:left w:w="80" w:type="dxa"/>
              <w:bottom w:w="80" w:type="dxa"/>
              <w:right w:w="80" w:type="dxa"/>
            </w:tcMar>
            <w:vAlign w:val="center"/>
          </w:tcPr>
          <w:p w14:paraId="15AEBED2" w14:textId="77777777" w:rsidR="00141C00" w:rsidRPr="007104F6" w:rsidRDefault="00FD52A4">
            <w:pPr>
              <w:spacing w:after="40"/>
              <w:rPr>
                <w:lang w:val="fr-FR"/>
              </w:rPr>
            </w:pPr>
            <w:r w:rsidRPr="007104F6">
              <w:rPr>
                <w:sz w:val="17"/>
                <w:lang w:val="fr-FR"/>
              </w:rPr>
              <w:t>Aucune réponse exploitable ou non-respect de l’exigence évaluée.</w:t>
            </w:r>
          </w:p>
        </w:tc>
        <w:tc>
          <w:tcPr>
            <w:tcW w:w="2623" w:type="dxa"/>
            <w:shd w:val="clear" w:color="auto" w:fill="F7F8FB"/>
            <w:tcMar>
              <w:top w:w="80" w:type="dxa"/>
              <w:left w:w="80" w:type="dxa"/>
              <w:bottom w:w="80" w:type="dxa"/>
              <w:right w:w="80" w:type="dxa"/>
            </w:tcMar>
            <w:vAlign w:val="center"/>
          </w:tcPr>
          <w:p w14:paraId="6BDB4971" w14:textId="77777777" w:rsidR="00141C00" w:rsidRDefault="00FD52A4">
            <w:pPr>
              <w:spacing w:after="40"/>
              <w:jc w:val="center"/>
            </w:pPr>
            <w:r>
              <w:rPr>
                <w:sz w:val="17"/>
              </w:rPr>
              <w:t>0 %</w:t>
            </w:r>
          </w:p>
        </w:tc>
      </w:tr>
    </w:tbl>
    <w:p w14:paraId="6CD3095D" w14:textId="77777777" w:rsidR="00141C00" w:rsidRDefault="00141C00"/>
    <w:p w14:paraId="771B143E" w14:textId="77777777" w:rsidR="00141C00" w:rsidRPr="007104F6" w:rsidRDefault="00FD52A4">
      <w:pPr>
        <w:rPr>
          <w:lang w:val="fr-FR"/>
        </w:rPr>
      </w:pPr>
      <w:r w:rsidRPr="00B1041E">
        <w:rPr>
          <w:lang w:val="fr-FR"/>
        </w:rPr>
        <w:t>Pour chaque sous-critère technique, le coefficient correspondant au niveau retenu est appliqué à la note maximale du sous-critère. La même échelle est appliquée au critère de performance environnementale, noté sur 5 points. À titre d’exemple, une appréciation « Très satisfaisant » conduit à une note de 4,25 points sur 5 (5 × 85 %). Les notes sont arrondies, le cas échéant, à deux décimales. La même méthode est appliquée à l’ensemble des offres d’un même lot.</w:t>
      </w:r>
    </w:p>
    <w:sectPr w:rsidR="00141C00" w:rsidRPr="007104F6" w:rsidSect="0003461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163E3" w14:textId="77777777" w:rsidR="00FD52A4" w:rsidRDefault="00FD52A4">
      <w:pPr>
        <w:spacing w:after="0"/>
      </w:pPr>
      <w:r>
        <w:separator/>
      </w:r>
    </w:p>
  </w:endnote>
  <w:endnote w:type="continuationSeparator" w:id="0">
    <w:p w14:paraId="50BDBCAC" w14:textId="77777777" w:rsidR="00FD52A4" w:rsidRDefault="00FD52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CB7E8" w14:textId="77777777" w:rsidR="00141C00" w:rsidRDefault="00FD52A4">
    <w:pPr>
      <w:jc w:val="center"/>
    </w:pPr>
    <w:r>
      <w:rPr>
        <w:sz w:val="20"/>
      </w:rPr>
      <w:fldChar w:fldCharType="begin"/>
    </w:r>
    <w:r>
      <w:rPr>
        <w:sz w:val="20"/>
      </w:rPr>
      <w:instrText>PAGE</w:instrText>
    </w:r>
    <w:r>
      <w:rPr>
        <w:sz w:val="20"/>
      </w:rPr>
      <w:fldChar w:fldCharType="separate"/>
    </w:r>
    <w:r>
      <w:rPr>
        <w:sz w:val="20"/>
      </w:rPr>
      <w:t>1</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3F42" w14:textId="77777777" w:rsidR="00141C00" w:rsidRDefault="00FD52A4">
    <w:pPr>
      <w:jc w:val="center"/>
    </w:pPr>
    <w:r>
      <w:rPr>
        <w:sz w:val="20"/>
      </w:rPr>
      <w:fldChar w:fldCharType="begin"/>
    </w:r>
    <w:r>
      <w:rPr>
        <w:sz w:val="20"/>
      </w:rPr>
      <w:instrText>PAGE</w:instrText>
    </w:r>
    <w:r>
      <w:rPr>
        <w:sz w:val="20"/>
      </w:rPr>
      <w:fldChar w:fldCharType="separate"/>
    </w:r>
    <w:r>
      <w:rPr>
        <w:sz w:val="20"/>
      </w:rPr>
      <w:t>1</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59789" w14:textId="77777777" w:rsidR="00141C00" w:rsidRDefault="00FD52A4">
    <w:pPr>
      <w:jc w:val="center"/>
    </w:pPr>
    <w:r>
      <w:rPr>
        <w:sz w:val="20"/>
      </w:rPr>
      <w:fldChar w:fldCharType="begin"/>
    </w:r>
    <w:r>
      <w:rPr>
        <w:sz w:val="20"/>
      </w:rPr>
      <w:instrText>PAGE</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BC24B" w14:textId="77777777" w:rsidR="00FD52A4" w:rsidRDefault="00FD52A4">
      <w:pPr>
        <w:spacing w:after="0"/>
      </w:pPr>
      <w:r>
        <w:separator/>
      </w:r>
    </w:p>
  </w:footnote>
  <w:footnote w:type="continuationSeparator" w:id="0">
    <w:p w14:paraId="08FB1EA4" w14:textId="77777777" w:rsidR="00FD52A4" w:rsidRDefault="00FD52A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B00E" w14:textId="77777777" w:rsidR="00141C00" w:rsidRDefault="00141C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84A3" w14:textId="77777777" w:rsidR="00141C00" w:rsidRDefault="00141C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A513" w14:textId="77777777" w:rsidR="00141C00" w:rsidRDefault="00141C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31204F9E"/>
    <w:multiLevelType w:val="hybridMultilevel"/>
    <w:tmpl w:val="625E0622"/>
    <w:lvl w:ilvl="0" w:tplc="B136E882">
      <w:start w:val="1"/>
      <w:numFmt w:val="bullet"/>
      <w:pStyle w:val="Puces"/>
      <w:lvlText w:val=""/>
      <w:lvlJc w:val="left"/>
      <w:pPr>
        <w:ind w:left="891" w:hanging="360"/>
      </w:pPr>
      <w:rPr>
        <w:rFonts w:ascii="Symbol" w:hAnsi="Symbol" w:hint="default"/>
      </w:rPr>
    </w:lvl>
    <w:lvl w:ilvl="1" w:tplc="040C0003" w:tentative="1">
      <w:start w:val="1"/>
      <w:numFmt w:val="bullet"/>
      <w:lvlText w:val="o"/>
      <w:lvlJc w:val="left"/>
      <w:pPr>
        <w:ind w:left="1611" w:hanging="360"/>
      </w:pPr>
      <w:rPr>
        <w:rFonts w:ascii="Courier New" w:hAnsi="Courier New" w:cs="Courier New" w:hint="default"/>
      </w:rPr>
    </w:lvl>
    <w:lvl w:ilvl="2" w:tplc="040C0005" w:tentative="1">
      <w:start w:val="1"/>
      <w:numFmt w:val="bullet"/>
      <w:lvlText w:val=""/>
      <w:lvlJc w:val="left"/>
      <w:pPr>
        <w:ind w:left="2331" w:hanging="360"/>
      </w:pPr>
      <w:rPr>
        <w:rFonts w:ascii="Wingdings" w:hAnsi="Wingdings" w:hint="default"/>
      </w:rPr>
    </w:lvl>
    <w:lvl w:ilvl="3" w:tplc="040C0001" w:tentative="1">
      <w:start w:val="1"/>
      <w:numFmt w:val="bullet"/>
      <w:lvlText w:val=""/>
      <w:lvlJc w:val="left"/>
      <w:pPr>
        <w:ind w:left="3051" w:hanging="360"/>
      </w:pPr>
      <w:rPr>
        <w:rFonts w:ascii="Symbol" w:hAnsi="Symbol" w:hint="default"/>
      </w:rPr>
    </w:lvl>
    <w:lvl w:ilvl="4" w:tplc="040C0003" w:tentative="1">
      <w:start w:val="1"/>
      <w:numFmt w:val="bullet"/>
      <w:lvlText w:val="o"/>
      <w:lvlJc w:val="left"/>
      <w:pPr>
        <w:ind w:left="3771" w:hanging="360"/>
      </w:pPr>
      <w:rPr>
        <w:rFonts w:ascii="Courier New" w:hAnsi="Courier New" w:cs="Courier New" w:hint="default"/>
      </w:rPr>
    </w:lvl>
    <w:lvl w:ilvl="5" w:tplc="040C0005" w:tentative="1">
      <w:start w:val="1"/>
      <w:numFmt w:val="bullet"/>
      <w:lvlText w:val=""/>
      <w:lvlJc w:val="left"/>
      <w:pPr>
        <w:ind w:left="4491" w:hanging="360"/>
      </w:pPr>
      <w:rPr>
        <w:rFonts w:ascii="Wingdings" w:hAnsi="Wingdings" w:hint="default"/>
      </w:rPr>
    </w:lvl>
    <w:lvl w:ilvl="6" w:tplc="040C0001" w:tentative="1">
      <w:start w:val="1"/>
      <w:numFmt w:val="bullet"/>
      <w:lvlText w:val=""/>
      <w:lvlJc w:val="left"/>
      <w:pPr>
        <w:ind w:left="5211" w:hanging="360"/>
      </w:pPr>
      <w:rPr>
        <w:rFonts w:ascii="Symbol" w:hAnsi="Symbol" w:hint="default"/>
      </w:rPr>
    </w:lvl>
    <w:lvl w:ilvl="7" w:tplc="040C0003" w:tentative="1">
      <w:start w:val="1"/>
      <w:numFmt w:val="bullet"/>
      <w:lvlText w:val="o"/>
      <w:lvlJc w:val="left"/>
      <w:pPr>
        <w:ind w:left="5931" w:hanging="360"/>
      </w:pPr>
      <w:rPr>
        <w:rFonts w:ascii="Courier New" w:hAnsi="Courier New" w:cs="Courier New" w:hint="default"/>
      </w:rPr>
    </w:lvl>
    <w:lvl w:ilvl="8" w:tplc="040C0005" w:tentative="1">
      <w:start w:val="1"/>
      <w:numFmt w:val="bullet"/>
      <w:lvlText w:val=""/>
      <w:lvlJc w:val="left"/>
      <w:pPr>
        <w:ind w:left="6651" w:hanging="360"/>
      </w:pPr>
      <w:rPr>
        <w:rFonts w:ascii="Wingdings" w:hAnsi="Wingdings" w:hint="default"/>
      </w:rPr>
    </w:lvl>
  </w:abstractNum>
  <w:num w:numId="1" w16cid:durableId="626400318">
    <w:abstractNumId w:val="8"/>
  </w:num>
  <w:num w:numId="2" w16cid:durableId="1568958977">
    <w:abstractNumId w:val="6"/>
  </w:num>
  <w:num w:numId="3" w16cid:durableId="2032219559">
    <w:abstractNumId w:val="5"/>
  </w:num>
  <w:num w:numId="4" w16cid:durableId="1307976264">
    <w:abstractNumId w:val="4"/>
  </w:num>
  <w:num w:numId="5" w16cid:durableId="135994086">
    <w:abstractNumId w:val="7"/>
  </w:num>
  <w:num w:numId="6" w16cid:durableId="85351222">
    <w:abstractNumId w:val="3"/>
  </w:num>
  <w:num w:numId="7" w16cid:durableId="1152987047">
    <w:abstractNumId w:val="2"/>
  </w:num>
  <w:num w:numId="8" w16cid:durableId="1481654936">
    <w:abstractNumId w:val="1"/>
  </w:num>
  <w:num w:numId="9" w16cid:durableId="450898256">
    <w:abstractNumId w:val="0"/>
  </w:num>
  <w:num w:numId="10" w16cid:durableId="2851574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1C00"/>
    <w:rsid w:val="0015074B"/>
    <w:rsid w:val="00192AE9"/>
    <w:rsid w:val="002056E7"/>
    <w:rsid w:val="0029639D"/>
    <w:rsid w:val="00326F90"/>
    <w:rsid w:val="00390675"/>
    <w:rsid w:val="00394CD1"/>
    <w:rsid w:val="00575D3C"/>
    <w:rsid w:val="00593F1F"/>
    <w:rsid w:val="007104F6"/>
    <w:rsid w:val="00735AED"/>
    <w:rsid w:val="007B18D7"/>
    <w:rsid w:val="00825413"/>
    <w:rsid w:val="00985199"/>
    <w:rsid w:val="0099611F"/>
    <w:rsid w:val="00A84F1D"/>
    <w:rsid w:val="00AA1D8D"/>
    <w:rsid w:val="00B1041E"/>
    <w:rsid w:val="00B47730"/>
    <w:rsid w:val="00B61941"/>
    <w:rsid w:val="00B643D0"/>
    <w:rsid w:val="00C336C5"/>
    <w:rsid w:val="00CB0664"/>
    <w:rsid w:val="00D73C82"/>
    <w:rsid w:val="00F92323"/>
    <w:rsid w:val="00FC693F"/>
    <w:rsid w:val="00FC7E3B"/>
    <w:rsid w:val="00FD52A4"/>
    <w:rsid w:val="00FE1F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9C0724"/>
  <w14:defaultImageDpi w14:val="300"/>
  <w15:docId w15:val="{BD2851FB-0A17-43E5-B39C-C0B9122C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E3B"/>
    <w:pPr>
      <w:spacing w:after="120" w:line="240" w:lineRule="auto"/>
      <w:jc w:val="both"/>
    </w:pPr>
    <w:rPr>
      <w:rFonts w:ascii="Arial" w:eastAsia="Arial" w:hAnsi="Arial"/>
      <w:color w:val="000000"/>
    </w:rPr>
  </w:style>
  <w:style w:type="paragraph" w:styleId="Titre1">
    <w:name w:val="heading 1"/>
    <w:basedOn w:val="Normal"/>
    <w:next w:val="Normal"/>
    <w:link w:val="Titre1Car"/>
    <w:uiPriority w:val="9"/>
    <w:qFormat/>
    <w:rsid w:val="00FC693F"/>
    <w:pPr>
      <w:keepNext/>
      <w:keepLines/>
      <w:spacing w:before="360" w:after="240"/>
      <w:outlineLvl w:val="0"/>
    </w:pPr>
    <w:rPr>
      <w:rFonts w:asciiTheme="majorHAnsi" w:eastAsiaTheme="majorEastAsia" w:hAnsiTheme="majorHAnsi" w:cstheme="majorBidi"/>
      <w:b/>
      <w:bCs/>
      <w:sz w:val="32"/>
      <w:szCs w:val="28"/>
    </w:rPr>
  </w:style>
  <w:style w:type="paragraph" w:styleId="Titre2">
    <w:name w:val="heading 2"/>
    <w:basedOn w:val="Normal"/>
    <w:next w:val="Normal"/>
    <w:link w:val="Titre2Car"/>
    <w:uiPriority w:val="9"/>
    <w:unhideWhenUsed/>
    <w:qFormat/>
    <w:rsid w:val="00FC693F"/>
    <w:pPr>
      <w:keepNext/>
      <w:keepLines/>
      <w:spacing w:before="200" w:after="100"/>
      <w:outlineLvl w:val="1"/>
    </w:pPr>
    <w:rPr>
      <w:rFonts w:asciiTheme="majorHAnsi" w:eastAsiaTheme="majorEastAsia" w:hAnsiTheme="majorHAnsi" w:cstheme="majorBidi"/>
      <w:b/>
      <w:bCs/>
      <w:color w:val="19153F"/>
      <w:sz w:val="24"/>
      <w:szCs w:val="26"/>
    </w:rPr>
  </w:style>
  <w:style w:type="paragraph" w:styleId="Titre3">
    <w:name w:val="heading 3"/>
    <w:basedOn w:val="Normal"/>
    <w:next w:val="Normal"/>
    <w:link w:val="Titre3Car"/>
    <w:uiPriority w:val="9"/>
    <w:unhideWhenUsed/>
    <w:qFormat/>
    <w:rsid w:val="00FC693F"/>
    <w:pPr>
      <w:keepNext/>
      <w:keepLines/>
      <w:spacing w:before="140" w:after="60"/>
      <w:outlineLvl w:val="2"/>
    </w:pPr>
    <w:rPr>
      <w:rFonts w:asciiTheme="majorHAnsi" w:eastAsiaTheme="majorEastAsia" w:hAnsiTheme="majorHAnsi" w:cstheme="majorBidi"/>
      <w:b/>
      <w:bCs/>
      <w:color w:val="4B4B4B"/>
      <w:sz w:val="2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keepNext/>
      <w:pBdr>
        <w:bottom w:val="single" w:sz="8" w:space="4" w:color="4F81BD" w:themeColor="accent1"/>
      </w:pBdr>
      <w:spacing w:after="240"/>
      <w:contextualSpacing/>
    </w:pPr>
    <w:rPr>
      <w:rFonts w:asciiTheme="majorHAnsi" w:eastAsiaTheme="majorEastAsia" w:hAnsiTheme="majorHAnsi" w:cstheme="majorBidi"/>
      <w:b/>
      <w:color w:val="19153F"/>
      <w:spacing w:val="5"/>
      <w:kern w:val="28"/>
      <w:sz w:val="44"/>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keepNext/>
      <w:numPr>
        <w:ilvl w:val="1"/>
      </w:numPr>
      <w:spacing w:after="160"/>
    </w:pPr>
    <w:rPr>
      <w:rFonts w:asciiTheme="majorHAnsi" w:eastAsiaTheme="majorEastAsia" w:hAnsiTheme="majorHAnsi" w:cstheme="majorBidi"/>
      <w:b/>
      <w:i/>
      <w:iCs/>
      <w:color w:val="4B4B4B"/>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40"/>
    </w:pPr>
    <w:rPr>
      <w:rFonts w:ascii="Arial" w:hAnsi="Arial"/>
      <w:color w:val="4B4B4B"/>
      <w:sz w:val="16"/>
    </w:rPr>
  </w:style>
  <w:style w:type="paragraph" w:customStyle="1" w:styleId="TableText">
    <w:name w:val="Table Text"/>
    <w:pPr>
      <w:spacing w:after="0"/>
    </w:pPr>
    <w:rPr>
      <w:rFonts w:ascii="Arial" w:hAnsi="Arial"/>
      <w:sz w:val="17"/>
    </w:rPr>
  </w:style>
  <w:style w:type="paragraph" w:customStyle="1" w:styleId="BulletCompact">
    <w:name w:val="Bullet Compact"/>
    <w:link w:val="BulletCompactCar"/>
    <w:pPr>
      <w:spacing w:after="40" w:line="240" w:lineRule="auto"/>
      <w:ind w:left="369" w:hanging="198"/>
    </w:pPr>
    <w:rPr>
      <w:rFonts w:ascii="Arial" w:hAnsi="Arial"/>
      <w:color w:val="000000"/>
    </w:rPr>
  </w:style>
  <w:style w:type="paragraph" w:customStyle="1" w:styleId="Puces">
    <w:name w:val="Puces"/>
    <w:basedOn w:val="BulletCompact"/>
    <w:link w:val="PucesCar"/>
    <w:qFormat/>
    <w:rsid w:val="007104F6"/>
    <w:pPr>
      <w:numPr>
        <w:numId w:val="10"/>
      </w:numPr>
      <w:spacing w:after="120"/>
      <w:ind w:left="890" w:hanging="357"/>
      <w:jc w:val="both"/>
    </w:pPr>
    <w:rPr>
      <w:lang w:val="fr-FR"/>
    </w:rPr>
  </w:style>
  <w:style w:type="character" w:customStyle="1" w:styleId="BulletCompactCar">
    <w:name w:val="Bullet Compact Car"/>
    <w:basedOn w:val="Policepardfaut"/>
    <w:link w:val="BulletCompact"/>
    <w:rsid w:val="007104F6"/>
    <w:rPr>
      <w:rFonts w:ascii="Arial" w:hAnsi="Arial"/>
      <w:color w:val="000000"/>
    </w:rPr>
  </w:style>
  <w:style w:type="character" w:customStyle="1" w:styleId="PucesCar">
    <w:name w:val="Puces Car"/>
    <w:basedOn w:val="BulletCompactCar"/>
    <w:link w:val="Puces"/>
    <w:rsid w:val="007104F6"/>
    <w:rPr>
      <w:rFonts w:ascii="Arial" w:hAnsi="Arial"/>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4973</Words>
  <Characters>27352</Characters>
  <Application>Microsoft Office Word</Application>
  <DocSecurity>0</DocSecurity>
  <Lines>227</Lines>
  <Paragraphs>64</Paragraphs>
  <ScaleCrop>false</ScaleCrop>
  <HeadingPairs>
    <vt:vector size="6" baseType="variant">
      <vt:variant>
        <vt:lpstr>Titre</vt:lpstr>
      </vt:variant>
      <vt:variant>
        <vt:i4>1</vt:i4>
      </vt:variant>
      <vt:variant>
        <vt:lpstr>Titres</vt:lpstr>
      </vt:variant>
      <vt:variant>
        <vt:i4>24</vt:i4>
      </vt:variant>
      <vt:variant>
        <vt:lpstr>Title</vt:lpstr>
      </vt:variant>
      <vt:variant>
        <vt:i4>1</vt:i4>
      </vt:variant>
    </vt:vector>
  </HeadingPairs>
  <TitlesOfParts>
    <vt:vector size="26" baseType="lpstr">
      <vt:lpstr>Règlement de la consultation – Marché PAF-SIRH</vt:lpstr>
      <vt:lpstr>Points restant à compléter ou à confirmer avant publication</vt:lpstr>
      <vt:lpstr>SOMMAIRE</vt:lpstr>
      <vt:lpstr>Article 1 – Objet de la consultation et contexte</vt:lpstr>
      <vt:lpstr>Article 2 – Acheteur, procédure et calendrier prévisionnel</vt:lpstr>
      <vt:lpstr>Article 3 – Allotissement et forme contractuelle</vt:lpstr>
      <vt:lpstr>Article 4 – Durée, reconductions et calendrier d’exécution</vt:lpstr>
      <vt:lpstr>Article 5 – Dossier de consultation</vt:lpstr>
      <vt:lpstr>Article 6 – Variantes, prestations supplémentaires et offres globales</vt:lpstr>
      <vt:lpstr>Article 7 – Modifications du DCE et renseignements complémentaires</vt:lpstr>
      <vt:lpstr>Article 8 – Présentation des candidatures</vt:lpstr>
      <vt:lpstr>Article 9 – Contenu et présentation des offres</vt:lpstr>
      <vt:lpstr>Article 10 – Examen des candidatures et des offres</vt:lpstr>
      <vt:lpstr>Article 11 – Critères d’attribution du lot n  1</vt:lpstr>
      <vt:lpstr>Article 12 – Critères d’attribution du lot n  2</vt:lpstr>
      <vt:lpstr>Article 13 – Méthode d’analyse du prix</vt:lpstr>
      <vt:lpstr>Article 14 – Négociation, précisions et régularisation</vt:lpstr>
      <vt:lpstr>Article 15 – Attribution et pièces du candidat pressenti</vt:lpstr>
      <vt:lpstr>Article 16 – Transmission électronique des plis</vt:lpstr>
      <vt:lpstr>Article 17 – Copie de sauvegarde</vt:lpstr>
      <vt:lpstr>Article 18 – Confidentialité, données et secret des affaires</vt:lpstr>
      <vt:lpstr>Article 19 – Abandon de la procédure et condition budgétaire</vt:lpstr>
      <vt:lpstr>Article 20 – Voies et délais de recours</vt:lpstr>
      <vt:lpstr>Annexe 1 – Plan imposé du mémoire technique</vt:lpstr>
      <vt:lpstr>Annexe 2 – Échelle commune de notation technique</vt:lpstr>
      <vt:lpstr/>
    </vt:vector>
  </TitlesOfParts>
  <Manager/>
  <Company/>
  <LinksUpToDate>false</LinksUpToDate>
  <CharactersWithSpaces>32261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de la consultation S2604 - PAF-SIRH</dc:title>
  <dc:subject>Marché PAF-SIRH - GIP OFDT</dc:subject>
  <dc:creator>OFDT – Secrétariat général</dc:creator>
  <cp:keywords>OFDT, S2604, PAF, SIRH, règlement de la consultation</cp:keywords>
  <dc:description>Version intégrant les plafonds BDC et les remarques de l’agente comptable.</dc:description>
  <cp:lastModifiedBy>Cristina Diaz-Gomez</cp:lastModifiedBy>
  <cp:revision>8</cp:revision>
  <dcterms:created xsi:type="dcterms:W3CDTF">2026-08-01T17:37:00Z</dcterms:created>
  <dcterms:modified xsi:type="dcterms:W3CDTF">2026-08-03T10:13:00Z</dcterms:modified>
  <cp:category/>
</cp:coreProperties>
</file>