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C7871" w14:textId="77777777" w:rsidR="00FC2744" w:rsidRDefault="00FC2744"/>
    <w:p w14:paraId="21C53C41" w14:textId="77777777" w:rsidR="00FC2744" w:rsidRDefault="009A3E3E">
      <w:pPr>
        <w:pStyle w:val="Titre"/>
      </w:pPr>
      <w:r>
        <w:rPr>
          <w:noProof/>
        </w:rPr>
        <w:drawing>
          <wp:inline distT="0" distB="0" distL="0" distR="0" wp14:anchorId="7B0E6A74" wp14:editId="7316D85A">
            <wp:extent cx="2451100" cy="1103630"/>
            <wp:effectExtent l="0" t="0" r="6350" b="1270"/>
            <wp:docPr id="1342125635" name="Image 1" descr="Une image contenant Police, texte, capture d’écran,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125635" name="Image 1" descr="Une image contenant Police, texte, capture d’écran, logo&#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51100" cy="1103630"/>
                    </a:xfrm>
                    <a:prstGeom prst="rect">
                      <a:avLst/>
                    </a:prstGeom>
                    <a:noFill/>
                  </pic:spPr>
                </pic:pic>
              </a:graphicData>
            </a:graphic>
          </wp:inline>
        </w:drawing>
      </w:r>
    </w:p>
    <w:p w14:paraId="26A53BBE" w14:textId="77777777" w:rsidR="00FC2744" w:rsidRDefault="00FC2744"/>
    <w:p w14:paraId="2BF1AF5B" w14:textId="77777777" w:rsidR="00FC2744" w:rsidRDefault="009A3E3E">
      <w:pPr>
        <w:pStyle w:val="Normaltextenote"/>
      </w:pPr>
      <w:r>
        <w:t>Référence de la consultation : S2604</w:t>
      </w:r>
    </w:p>
    <w:p w14:paraId="71E10CE6" w14:textId="77777777" w:rsidR="00FC2744" w:rsidRDefault="00FC2744"/>
    <w:p w14:paraId="61B8C166" w14:textId="77777777" w:rsidR="00FC2744" w:rsidRDefault="009A3E3E">
      <w:pPr>
        <w:pStyle w:val="Titre"/>
      </w:pPr>
      <w:r>
        <w:t>CAHIER DES CLAUSES ADMINISTRATIVES PARTICULIÈRES</w:t>
      </w:r>
    </w:p>
    <w:p w14:paraId="07E04AFD" w14:textId="77777777" w:rsidR="00FC2744" w:rsidRDefault="00FC2744">
      <w:pPr>
        <w:pStyle w:val="Titre"/>
      </w:pPr>
    </w:p>
    <w:p w14:paraId="79A3007D" w14:textId="7DDCBE42" w:rsidR="00FC2744" w:rsidRDefault="00B9333F" w:rsidP="00B9333F">
      <w:pPr>
        <w:jc w:val="center"/>
        <w:rPr>
          <w:rStyle w:val="lev"/>
        </w:rPr>
      </w:pPr>
      <w:r w:rsidRPr="00B9333F">
        <w:rPr>
          <w:rStyle w:val="lev"/>
        </w:rPr>
        <w:t>Marché relatif à la mise en place et à l’exploitation de solutions de gestion des ressources humaines et de préparation de la paie</w:t>
      </w:r>
    </w:p>
    <w:p w14:paraId="64B13A02" w14:textId="77777777" w:rsidR="00B9333F" w:rsidRDefault="00B9333F"/>
    <w:p w14:paraId="7D56C114" w14:textId="77777777" w:rsidR="00FC2744" w:rsidRDefault="009A3E3E">
      <w:pPr>
        <w:pStyle w:val="Sous-titre"/>
      </w:pPr>
      <w:r>
        <w:t>Pouvoir adjudicateur</w:t>
      </w:r>
    </w:p>
    <w:p w14:paraId="043A1E45" w14:textId="77777777" w:rsidR="00FC2744" w:rsidRDefault="009A3E3E">
      <w:pPr>
        <w:pStyle w:val="Sous-titre"/>
      </w:pPr>
      <w:r>
        <w:t>Groupement d’intérêt public Observatoire français des drogues et des tendances addictives (GIP OFDT)</w:t>
      </w:r>
    </w:p>
    <w:p w14:paraId="44A7F63D" w14:textId="77777777" w:rsidR="00FC2744" w:rsidRDefault="00FC2744"/>
    <w:p w14:paraId="7A9E4C56" w14:textId="77777777" w:rsidR="00FC2744" w:rsidRDefault="009A3E3E">
      <w:pPr>
        <w:spacing w:after="160" w:line="278" w:lineRule="auto"/>
        <w:jc w:val="left"/>
      </w:pPr>
      <w:r>
        <w:br w:type="page"/>
      </w:r>
    </w:p>
    <w:p w14:paraId="25E378B4" w14:textId="77777777" w:rsidR="00FC2744" w:rsidRDefault="00FC2744"/>
    <w:p w14:paraId="229A55CD" w14:textId="77777777" w:rsidR="00FC2744" w:rsidRDefault="009A3E3E">
      <w:r>
        <w:t>SOMMAIRE</w:t>
      </w:r>
    </w:p>
    <w:p w14:paraId="15DA6D18" w14:textId="77777777" w:rsidR="00FC2744" w:rsidRDefault="009A3E3E">
      <w:r>
        <w:t>Article 1 — Objet du marché</w:t>
      </w:r>
    </w:p>
    <w:p w14:paraId="77980077" w14:textId="77777777" w:rsidR="00FC2744" w:rsidRDefault="009A3E3E">
      <w:r>
        <w:t>Article 2 — Décomposition en lots</w:t>
      </w:r>
    </w:p>
    <w:p w14:paraId="1D56D1C4" w14:textId="77777777" w:rsidR="00FC2744" w:rsidRDefault="009A3E3E">
      <w:r>
        <w:t>Article 3 — Forme du marché</w:t>
      </w:r>
    </w:p>
    <w:p w14:paraId="26B9FB7C" w14:textId="77777777" w:rsidR="00FC2744" w:rsidRDefault="009A3E3E">
      <w:r>
        <w:t>Article 4 — Durée du marché</w:t>
      </w:r>
    </w:p>
    <w:p w14:paraId="47F18F20" w14:textId="77777777" w:rsidR="00FC2744" w:rsidRDefault="009A3E3E">
      <w:r>
        <w:t>Article 5 — Pièces contractuelles</w:t>
      </w:r>
    </w:p>
    <w:p w14:paraId="190C989E" w14:textId="77777777" w:rsidR="00FC2744" w:rsidRDefault="009A3E3E">
      <w:r>
        <w:t>Article 6 — Modalités générales d’exécution</w:t>
      </w:r>
    </w:p>
    <w:p w14:paraId="13479EA6" w14:textId="77777777" w:rsidR="00FC2744" w:rsidRDefault="009A3E3E">
      <w:r>
        <w:t>Article 7 — Interlocuteurs et pilotage</w:t>
      </w:r>
    </w:p>
    <w:p w14:paraId="3D9DF117" w14:textId="77777777" w:rsidR="00FC2744" w:rsidRDefault="009A3E3E">
      <w:r>
        <w:t>Article 8 — Calendrier d’exécution</w:t>
      </w:r>
    </w:p>
    <w:p w14:paraId="6F36CE54" w14:textId="77777777" w:rsidR="00FC2744" w:rsidRDefault="009A3E3E">
      <w:r>
        <w:t>Article 9 — Coopération entre les titulaires</w:t>
      </w:r>
    </w:p>
    <w:p w14:paraId="24965797" w14:textId="77777777" w:rsidR="00FC2744" w:rsidRDefault="009A3E3E">
      <w:r>
        <w:t>Article 10 — Prix du marché</w:t>
      </w:r>
    </w:p>
    <w:p w14:paraId="36AB0510" w14:textId="77777777" w:rsidR="00FC2744" w:rsidRDefault="009A3E3E">
      <w:r>
        <w:t>Article 11 — Variation des prix</w:t>
      </w:r>
    </w:p>
    <w:p w14:paraId="59EDFC0C" w14:textId="77777777" w:rsidR="00FC2744" w:rsidRDefault="009A3E3E">
      <w:r>
        <w:t>Article 12 — Avance, facturation et paiement</w:t>
      </w:r>
    </w:p>
    <w:p w14:paraId="19EB2BE8" w14:textId="77777777" w:rsidR="00FC2744" w:rsidRDefault="009A3E3E">
      <w:r>
        <w:t>Article 13 — Vérifications, admission et service fait</w:t>
      </w:r>
    </w:p>
    <w:p w14:paraId="6E002B0F" w14:textId="77777777" w:rsidR="00FC2744" w:rsidRDefault="009A3E3E">
      <w:r>
        <w:t>Article 14 — Maintenance et assistance</w:t>
      </w:r>
    </w:p>
    <w:p w14:paraId="1780DF1B" w14:textId="77777777" w:rsidR="00FC2744" w:rsidRDefault="009A3E3E">
      <w:r>
        <w:t>Article 15 — Pénalités</w:t>
      </w:r>
    </w:p>
    <w:p w14:paraId="45FBBDA4" w14:textId="77777777" w:rsidR="00FC2744" w:rsidRDefault="009A3E3E">
      <w:r>
        <w:t>Article 16 — Confidentialité et sécurité des informations</w:t>
      </w:r>
    </w:p>
    <w:p w14:paraId="65A70435" w14:textId="77777777" w:rsidR="00FC2744" w:rsidRDefault="009A3E3E">
      <w:r>
        <w:t>Article 17 — Protection des données à caractère personnel</w:t>
      </w:r>
    </w:p>
    <w:p w14:paraId="535957F8" w14:textId="77777777" w:rsidR="00FC2744" w:rsidRDefault="009A3E3E">
      <w:r>
        <w:t>Article 18 — Droits d’utilisation et propriété intellectuelle</w:t>
      </w:r>
    </w:p>
    <w:p w14:paraId="2590A275" w14:textId="77777777" w:rsidR="00FC2744" w:rsidRDefault="009A3E3E">
      <w:r>
        <w:t>Article 19 — Réversibilité et transfert des prestations</w:t>
      </w:r>
    </w:p>
    <w:p w14:paraId="38B5226B" w14:textId="77777777" w:rsidR="00FC2744" w:rsidRDefault="009A3E3E">
      <w:r>
        <w:t>Article 20 — Sous-traitance</w:t>
      </w:r>
    </w:p>
    <w:p w14:paraId="17F63A64" w14:textId="77777777" w:rsidR="00FC2744" w:rsidRDefault="009A3E3E">
      <w:r>
        <w:t>Article 21 — Assurances et responsabilité</w:t>
      </w:r>
    </w:p>
    <w:p w14:paraId="5C2AC7CC" w14:textId="77777777" w:rsidR="00FC2744" w:rsidRDefault="009A3E3E">
      <w:r>
        <w:t>Article 22 — Évolution et modification du marché</w:t>
      </w:r>
    </w:p>
    <w:p w14:paraId="703FC329" w14:textId="77777777" w:rsidR="00FC2744" w:rsidRDefault="009A3E3E">
      <w:r>
        <w:t>Article 23 — Résiliation</w:t>
      </w:r>
    </w:p>
    <w:p w14:paraId="592EE4DE" w14:textId="77777777" w:rsidR="00FC2744" w:rsidRDefault="009A3E3E">
      <w:r>
        <w:t>Article 24 — Règlement des différends</w:t>
      </w:r>
    </w:p>
    <w:p w14:paraId="770F04EB" w14:textId="77777777" w:rsidR="00FC2744" w:rsidRDefault="009A3E3E">
      <w:r>
        <w:t>Article 25 — Dérogations au CCAG-TIC</w:t>
      </w:r>
    </w:p>
    <w:p w14:paraId="163C9745" w14:textId="77777777" w:rsidR="00FC2744" w:rsidRDefault="009A3E3E">
      <w:r>
        <w:t>Annexe 1 — Protection des données à caractère personnel</w:t>
      </w:r>
    </w:p>
    <w:p w14:paraId="2D83FB1F" w14:textId="77777777" w:rsidR="00FC2744" w:rsidRDefault="009A3E3E">
      <w:pPr>
        <w:spacing w:after="160" w:line="278" w:lineRule="auto"/>
        <w:jc w:val="left"/>
      </w:pPr>
      <w:r>
        <w:br w:type="page"/>
      </w:r>
    </w:p>
    <w:p w14:paraId="3B45B1EC" w14:textId="77777777" w:rsidR="00FC2744" w:rsidRDefault="009A3E3E">
      <w:pPr>
        <w:pStyle w:val="Titre1"/>
      </w:pPr>
      <w:r>
        <w:lastRenderedPageBreak/>
        <w:t>Article 1 — Objet du marché</w:t>
      </w:r>
    </w:p>
    <w:p w14:paraId="7BC78685" w14:textId="77777777" w:rsidR="00FC2744" w:rsidRDefault="009A3E3E">
      <w:r>
        <w:t>Le présent marché a pour objet la mise en place d’un écosystème de solutions interopérables, évolutives, réversibles et sécurisées destiné à transformer, fluidifier et sécuriser les processus de gestion des ressources humaines, de préparation de la paie et de gestion des déplacements professionnels de l’Observatoire français des drogues et des tendances addictives (OFDT), ainsi que leurs interfaces avec les processus budgétaires et comptables.</w:t>
      </w:r>
    </w:p>
    <w:p w14:paraId="308089B7" w14:textId="77777777" w:rsidR="00FC2744" w:rsidRDefault="009A3E3E">
      <w:r>
        <w:t>Les prestations comprennent notamment :</w:t>
      </w:r>
    </w:p>
    <w:p w14:paraId="4E2FEC73" w14:textId="77777777" w:rsidR="00FC2744" w:rsidRDefault="009A3E3E">
      <w:pPr>
        <w:pStyle w:val="Sansinterligne"/>
      </w:pPr>
      <w:r>
        <w:t>La fourniture ou la mise à disposition des solutions ;</w:t>
      </w:r>
    </w:p>
    <w:p w14:paraId="1F8ECFBF" w14:textId="77777777" w:rsidR="00FC2744" w:rsidRDefault="009A3E3E">
      <w:pPr>
        <w:pStyle w:val="Sansinterligne"/>
      </w:pPr>
      <w:r>
        <w:t>Leur paramétrage, leur configuration et leur intégration ;</w:t>
      </w:r>
    </w:p>
    <w:p w14:paraId="44C48F4E" w14:textId="77777777" w:rsidR="00FC2744" w:rsidRDefault="009A3E3E">
      <w:pPr>
        <w:pStyle w:val="Sansinterligne"/>
      </w:pPr>
      <w:r>
        <w:t>La reprise, la fiabilisation et le contrôle des données ;</w:t>
      </w:r>
    </w:p>
    <w:p w14:paraId="43BA70A9" w14:textId="77777777" w:rsidR="00FC2744" w:rsidRDefault="009A3E3E">
      <w:pPr>
        <w:pStyle w:val="Sansinterligne"/>
      </w:pPr>
      <w:r>
        <w:t>La réalisation des interfaces prévues par le marché ;</w:t>
      </w:r>
    </w:p>
    <w:p w14:paraId="6280EE9D" w14:textId="77777777" w:rsidR="00FC2744" w:rsidRDefault="009A3E3E">
      <w:pPr>
        <w:pStyle w:val="Sansinterligne"/>
      </w:pPr>
      <w:r>
        <w:t>Les opérations de tests, de vérification et de mise en production ;</w:t>
      </w:r>
    </w:p>
    <w:p w14:paraId="074EFA78" w14:textId="77777777" w:rsidR="00FC2744" w:rsidRDefault="009A3E3E">
      <w:pPr>
        <w:pStyle w:val="Sansinterligne"/>
      </w:pPr>
      <w:r>
        <w:t>La formation initiale et la documentation ;</w:t>
      </w:r>
    </w:p>
    <w:p w14:paraId="7BEB839D" w14:textId="77777777" w:rsidR="00FC2744" w:rsidRDefault="009A3E3E">
      <w:pPr>
        <w:pStyle w:val="Sansinterligne"/>
      </w:pPr>
      <w:r>
        <w:t>L’hébergement, l’exploitation, la maintenance et l’assistance ;</w:t>
      </w:r>
    </w:p>
    <w:p w14:paraId="15251CD1" w14:textId="77777777" w:rsidR="00FC2744" w:rsidRDefault="009A3E3E">
      <w:pPr>
        <w:pStyle w:val="Sansinterligne"/>
      </w:pPr>
      <w:r>
        <w:t>L’accompagnement à la transition vers la paye à façon de la direction générale des finances publiques (DGFiP) ;</w:t>
      </w:r>
    </w:p>
    <w:p w14:paraId="4BCF3E4A" w14:textId="77777777" w:rsidR="00FC2744" w:rsidRDefault="009A3E3E">
      <w:pPr>
        <w:pStyle w:val="Sansinterligne"/>
      </w:pPr>
      <w:r>
        <w:t>Les prestations de réversibilité et de transfert.</w:t>
      </w:r>
    </w:p>
    <w:p w14:paraId="689577D8" w14:textId="77777777" w:rsidR="00FC2744" w:rsidRDefault="00FC2744"/>
    <w:p w14:paraId="492386F0" w14:textId="77777777" w:rsidR="00FC2744" w:rsidRDefault="009A3E3E">
      <w:r>
        <w:t>Le contenu détaillé des prestations et les exigences techniques et fonctionnelles sont définis par le cahier des clauses techniques particulières (CCTP).</w:t>
      </w:r>
    </w:p>
    <w:p w14:paraId="72FC8D7C" w14:textId="77777777" w:rsidR="00FC2744" w:rsidRDefault="009A3E3E">
      <w:pPr>
        <w:pStyle w:val="Titre1"/>
      </w:pPr>
      <w:r>
        <w:t>Article 2 — Décomposition en lots</w:t>
      </w:r>
    </w:p>
    <w:p w14:paraId="5DCCC841" w14:textId="77777777" w:rsidR="00FC2744" w:rsidRDefault="009A3E3E">
      <w:r>
        <w:t>Le marché est décomposé en deux lots fonctionnels complémentaires, conçus comme les composantes d’un écosystème unique de solutions interopérables.</w:t>
      </w:r>
    </w:p>
    <w:p w14:paraId="142B4959" w14:textId="77777777" w:rsidR="00FC2744" w:rsidRDefault="009A3E3E">
      <w:pPr>
        <w:pStyle w:val="Titre2"/>
      </w:pPr>
      <w:r>
        <w:t>2.1 — Lot n° 1 : pré-liquidation de la paie et interface avec le dispositif de paye à façon de la DGFiP</w:t>
      </w:r>
    </w:p>
    <w:p w14:paraId="5BA985BD" w14:textId="77777777" w:rsidR="00FC2744" w:rsidRDefault="009A3E3E">
      <w:r>
        <w:t>Le lot n° 1 a pour objet la mise en œuvre d’une solution permettant à l’OFDT de préparer, contrôler, pré-liquider et transmettre les mouvements de paie nécessaires à la prise en charge de ses agents dans le dispositif de paye à façon de la DGFiP.</w:t>
      </w:r>
    </w:p>
    <w:p w14:paraId="117C9C86" w14:textId="77777777" w:rsidR="00FC2744" w:rsidRDefault="009A3E3E">
      <w:r>
        <w:t>Il comprend notamment :</w:t>
      </w:r>
    </w:p>
    <w:p w14:paraId="748D73A1" w14:textId="77777777" w:rsidR="00FC2744" w:rsidRDefault="009A3E3E">
      <w:pPr>
        <w:pStyle w:val="Sansinterligne"/>
      </w:pPr>
      <w:r>
        <w:t>La mise en place d’un dispositif transitoire permettant d’assurer, à compter du 1er janvier 2027, la continuité de l’ensemble des fonctions nécessaires à la réalisation complète de la paie ;</w:t>
      </w:r>
    </w:p>
    <w:p w14:paraId="7199D51B" w14:textId="77777777" w:rsidR="00FC2744" w:rsidRDefault="009A3E3E">
      <w:pPr>
        <w:pStyle w:val="Sansinterligne"/>
      </w:pPr>
      <w:r>
        <w:t>La gestion des données nécessaires à la rémunération et la pré-liquidation ;</w:t>
      </w:r>
    </w:p>
    <w:p w14:paraId="3591631F" w14:textId="77777777" w:rsidR="00FC2744" w:rsidRDefault="009A3E3E">
      <w:pPr>
        <w:pStyle w:val="Sansinterligne"/>
      </w:pPr>
      <w:r>
        <w:t>La génération des mouvements conformes à l’interface GEST ;</w:t>
      </w:r>
    </w:p>
    <w:p w14:paraId="25946EE9" w14:textId="77777777" w:rsidR="00FC2744" w:rsidRDefault="009A3E3E">
      <w:pPr>
        <w:pStyle w:val="Sansinterligne"/>
      </w:pPr>
      <w:r>
        <w:t>Les contrôles, corrections, rejets et régularisations ;</w:t>
      </w:r>
    </w:p>
    <w:p w14:paraId="4A6FA188" w14:textId="77777777" w:rsidR="00FC2744" w:rsidRDefault="009A3E3E">
      <w:pPr>
        <w:pStyle w:val="Sansinterligne"/>
      </w:pPr>
      <w:r>
        <w:t>L’exploitation des retours et restitutions de la DGFiP ;</w:t>
      </w:r>
    </w:p>
    <w:p w14:paraId="3794C3C9" w14:textId="77777777" w:rsidR="00FC2744" w:rsidRDefault="009A3E3E">
      <w:pPr>
        <w:pStyle w:val="Sansinterligne"/>
      </w:pPr>
      <w:r>
        <w:t>Les interfaces nécessaires avec le lot n° 2, PEP et les autres applications de l’OFDT ;</w:t>
      </w:r>
    </w:p>
    <w:p w14:paraId="6127C6A4" w14:textId="77777777" w:rsidR="00FC2744" w:rsidRDefault="009A3E3E">
      <w:pPr>
        <w:pStyle w:val="Sansinterligne"/>
      </w:pPr>
      <w:r>
        <w:t>L’accompagnement de l’OFDT dans la préparation, les tests et la mise en œuvre de la paye à façon ;</w:t>
      </w:r>
    </w:p>
    <w:p w14:paraId="4DFC6C80" w14:textId="77777777" w:rsidR="00FC2744" w:rsidRDefault="009A3E3E">
      <w:pPr>
        <w:pStyle w:val="Sansinterligne"/>
      </w:pPr>
      <w:r>
        <w:t>La maintenance, l’assistance et la réversibilité.</w:t>
      </w:r>
    </w:p>
    <w:p w14:paraId="67DB4C0E" w14:textId="77777777" w:rsidR="00FC2744" w:rsidRDefault="00FC2744"/>
    <w:p w14:paraId="6301A1F4" w14:textId="77777777" w:rsidR="00FC2744" w:rsidRDefault="009A3E3E">
      <w:r>
        <w:lastRenderedPageBreak/>
        <w:t>L’entrée de l’OFDT dans le dispositif de paye à façon est envisagée à compter du 1er janvier 2028, sous réserve de l’accord, du calendrier, des prérequis et des décisions relevant de la DGFiP.</w:t>
      </w:r>
    </w:p>
    <w:p w14:paraId="50AF0AEC" w14:textId="77777777" w:rsidR="00FC2744" w:rsidRDefault="009A3E3E">
      <w:pPr>
        <w:pStyle w:val="Titre2"/>
      </w:pPr>
      <w:r>
        <w:t>2.2 — Lot n° 2 : gestion RH, parcours de l’agent et déplacements professionnels</w:t>
      </w:r>
    </w:p>
    <w:p w14:paraId="0E99B2EB" w14:textId="77777777" w:rsidR="00C15967" w:rsidRDefault="009A3E3E">
      <w:r>
        <w:t xml:space="preserve">Le lot n° 2 a pour objet la mise en œuvre d’une solution permettant de gérer les processus RH et administratifs intervenant tout au long du parcours de l’agent. </w:t>
      </w:r>
    </w:p>
    <w:p w14:paraId="5553FB68" w14:textId="78214A4F" w:rsidR="00C15967" w:rsidRDefault="00C15967">
      <w:r w:rsidRPr="00C15967">
        <w:t>Il constitue le référentiel maître des données administratives et RH communes nécessaires à la gestion des agents et à l’alimentation du lot n° 1.</w:t>
      </w:r>
    </w:p>
    <w:p w14:paraId="2BECC1BC" w14:textId="77777777" w:rsidR="00FC2744" w:rsidRDefault="009A3E3E">
      <w:r>
        <w:t>Il comprend notamment :</w:t>
      </w:r>
    </w:p>
    <w:p w14:paraId="34D108E9" w14:textId="77777777" w:rsidR="00FC2744" w:rsidRDefault="009A3E3E">
      <w:pPr>
        <w:pStyle w:val="Sansinterligne"/>
      </w:pPr>
      <w:r>
        <w:t>La gestion du dossier administratif de l’agent, des contrats, avenants, situations statutaires et événements de carrière ;</w:t>
      </w:r>
    </w:p>
    <w:p w14:paraId="524FB4A6" w14:textId="77777777" w:rsidR="00FC2744" w:rsidRDefault="009A3E3E">
      <w:pPr>
        <w:pStyle w:val="Sansinterligne"/>
      </w:pPr>
      <w:r>
        <w:t>La gestion des congés, absences, jours de réduction du temps de travail, comptes épargne-temps et du télétravail ;</w:t>
      </w:r>
    </w:p>
    <w:p w14:paraId="56D2349F" w14:textId="77777777" w:rsidR="00FC2744" w:rsidRDefault="009A3E3E">
      <w:pPr>
        <w:pStyle w:val="Sansinterligne"/>
      </w:pPr>
      <w:r>
        <w:t>La formation, les entretiens professionnels et les processus de santé au travail et de prévention relevant du périmètre de l’employeur ;</w:t>
      </w:r>
    </w:p>
    <w:p w14:paraId="59399C50" w14:textId="77777777" w:rsidR="00FC2744" w:rsidRDefault="009A3E3E">
      <w:pPr>
        <w:pStyle w:val="Sansinterligne"/>
      </w:pPr>
      <w:r>
        <w:t>Le suivi des échéances et campagnes RH ;</w:t>
      </w:r>
    </w:p>
    <w:p w14:paraId="122EA020" w14:textId="77777777" w:rsidR="00FC2744" w:rsidRDefault="009A3E3E">
      <w:pPr>
        <w:pStyle w:val="Sansinterligne"/>
      </w:pPr>
      <w:r>
        <w:t>La production documentaire et les circuits de validation ;</w:t>
      </w:r>
    </w:p>
    <w:p w14:paraId="21C1B728" w14:textId="77777777" w:rsidR="00FC2744" w:rsidRDefault="009A3E3E">
      <w:pPr>
        <w:pStyle w:val="Sansinterligne"/>
      </w:pPr>
      <w:r>
        <w:t>La gestion des déplacements professionnels, ordres de mission, frais, avances, régularisations et remboursements ;</w:t>
      </w:r>
    </w:p>
    <w:p w14:paraId="1F9C309B" w14:textId="77777777" w:rsidR="00FC2744" w:rsidRDefault="009A3E3E">
      <w:pPr>
        <w:pStyle w:val="Sansinterligne"/>
      </w:pPr>
      <w:r>
        <w:t>La reprise des données, les interfaces, la maintenance, l’assistance et la réversibilité.</w:t>
      </w:r>
    </w:p>
    <w:p w14:paraId="46017131" w14:textId="77777777" w:rsidR="00FC2744" w:rsidRDefault="009A3E3E">
      <w:pPr>
        <w:pStyle w:val="Titre2"/>
      </w:pPr>
      <w:r>
        <w:t>2.3 — Conditions de réponse et d’attribution</w:t>
      </w:r>
    </w:p>
    <w:p w14:paraId="40603832" w14:textId="77777777" w:rsidR="00FC2744" w:rsidRDefault="009A3E3E">
      <w:r>
        <w:t>Les candidats peuvent présenter une offre pour un seul lot ou pour les deux lots. Aucune limitation n’est apportée au nombre de lots pour lesquels un candidat peut présenter une offre ni au nombre de lots pouvant lui être attribués.</w:t>
      </w:r>
    </w:p>
    <w:p w14:paraId="4658B65F" w14:textId="77777777" w:rsidR="00FC2744" w:rsidRDefault="009A3E3E">
      <w:r>
        <w:t>Chaque lot fait l’objet d’une analyse, d’un classement et d’une attribution distincts. Un même opérateur économique peut se voir attribuer les deux lots lorsqu’il présente, pour chacun d’eux, l’offre économiquement la plus avantageuse.</w:t>
      </w:r>
    </w:p>
    <w:p w14:paraId="54593D0B" w14:textId="77777777" w:rsidR="00FC2744" w:rsidRDefault="009A3E3E">
      <w:pPr>
        <w:pStyle w:val="Titre1"/>
      </w:pPr>
      <w:r>
        <w:t>Article 3 — Forme du marché</w:t>
      </w:r>
    </w:p>
    <w:p w14:paraId="7E87A35D" w14:textId="77777777" w:rsidR="00FC2744" w:rsidRDefault="009A3E3E">
      <w:r>
        <w:t>Chaque lot est conclu avec un titulaire unique et constitue un accord-cadre composite comprenant :</w:t>
      </w:r>
    </w:p>
    <w:p w14:paraId="349314DB" w14:textId="77777777" w:rsidR="00FC2744" w:rsidRDefault="009A3E3E">
      <w:pPr>
        <w:pStyle w:val="Sansinterligne"/>
      </w:pPr>
      <w:r>
        <w:t>Une partie forfaitaire correspondant aux prestations obligatoires définies par le CCTP ;</w:t>
      </w:r>
    </w:p>
    <w:p w14:paraId="0993E8F5" w14:textId="77777777" w:rsidR="00FC2744" w:rsidRDefault="009A3E3E">
      <w:pPr>
        <w:pStyle w:val="Sansinterligne"/>
      </w:pPr>
      <w:r>
        <w:t>Une partie exécutée par l’émission de bons de commande, correspondant exclusivement aux prestations complémentaires identifiées dans le bordereau des prix unitaires (BPU).</w:t>
      </w:r>
    </w:p>
    <w:p w14:paraId="0A5CB8DA" w14:textId="77777777" w:rsidR="00FC2744" w:rsidRDefault="00FC2744"/>
    <w:p w14:paraId="222C3F5D" w14:textId="77777777" w:rsidR="00FC2744" w:rsidRDefault="009A3E3E">
      <w:r>
        <w:t xml:space="preserve">La partie forfaitaire couvre notamment la mise en œuvre initiale, le paramétrage, la reprise des données, les interfaces prévues, les vérifications, la formation initiale, la documentation, les prestations récurrentes prévues à la </w:t>
      </w:r>
      <w:bookmarkStart w:id="0" w:name="_Hlk236168832"/>
      <w:r>
        <w:t xml:space="preserve">décomposition du prix global et forfaitaire </w:t>
      </w:r>
      <w:bookmarkEnd w:id="0"/>
      <w:r>
        <w:t>(DPGF), ainsi que la réversibilité minimale.</w:t>
      </w:r>
    </w:p>
    <w:p w14:paraId="1687A728" w14:textId="77777777" w:rsidR="00FC2744" w:rsidRDefault="009A3E3E">
      <w:r>
        <w:lastRenderedPageBreak/>
        <w:t>Les prestations relevant du périmètre obligatoire du marché ne peuvent être facturées au titre d’un bon de commande.</w:t>
      </w:r>
    </w:p>
    <w:p w14:paraId="08B73880" w14:textId="77777777" w:rsidR="003E2D6E" w:rsidRDefault="003E2D6E" w:rsidP="003E2D6E">
      <w:r>
        <w:t>Les montants maximums applicables sur la durée totale de chaque lot, reconductions comprises, sont fixés comme suit :</w:t>
      </w:r>
    </w:p>
    <w:p w14:paraId="77FF479C" w14:textId="77777777" w:rsidR="003E2D6E" w:rsidRDefault="003E2D6E" w:rsidP="003E2D6E"/>
    <w:p w14:paraId="176B25F5" w14:textId="441ABC01" w:rsidR="003E2D6E" w:rsidRDefault="003E2D6E" w:rsidP="003E2D6E">
      <w:r>
        <w:t>Pour le lot n° 1, le montant maximum est fixé à 230 000 € HT, comprenant :</w:t>
      </w:r>
    </w:p>
    <w:p w14:paraId="049BEC44" w14:textId="6995D452" w:rsidR="003E2D6E" w:rsidRDefault="003E2D6E" w:rsidP="003E2D6E">
      <w:pPr>
        <w:pStyle w:val="Sansinterligne"/>
      </w:pPr>
      <w:r>
        <w:t>Une partie forfaitaire plafonnée à 155 000 € HT ;</w:t>
      </w:r>
    </w:p>
    <w:p w14:paraId="6CC3B262" w14:textId="3C11DF3C" w:rsidR="003E2D6E" w:rsidRDefault="003E2D6E" w:rsidP="003E2D6E">
      <w:pPr>
        <w:pStyle w:val="Sansinterligne"/>
      </w:pPr>
      <w:r>
        <w:t>Une partie à bons de commande conclue sans minimum et avec un maximum de 75 000 € HT.</w:t>
      </w:r>
    </w:p>
    <w:p w14:paraId="2FE3EB4A" w14:textId="77777777" w:rsidR="003E2D6E" w:rsidRDefault="003E2D6E" w:rsidP="003E2D6E"/>
    <w:p w14:paraId="3DD7CA7F" w14:textId="2B6A8102" w:rsidR="003E2D6E" w:rsidRDefault="003E2D6E" w:rsidP="003E2D6E">
      <w:r>
        <w:t>Pour le lot n° 2, le montant maximum est fixé à 270 000 € HT, comprenant :</w:t>
      </w:r>
    </w:p>
    <w:p w14:paraId="1A804DA5" w14:textId="486454D9" w:rsidR="003E2D6E" w:rsidRDefault="003E2D6E" w:rsidP="003E2D6E">
      <w:pPr>
        <w:pStyle w:val="Sansinterligne"/>
      </w:pPr>
      <w:r>
        <w:t>Une partie forfaitaire plafonnée à 210 000 € HT ;</w:t>
      </w:r>
    </w:p>
    <w:p w14:paraId="472F6ECF" w14:textId="49D30401" w:rsidR="003E2D6E" w:rsidRDefault="003E2D6E" w:rsidP="003E2D6E">
      <w:pPr>
        <w:pStyle w:val="Sansinterligne"/>
      </w:pPr>
      <w:r>
        <w:t>Une partie à bons de commande conclue sans minimum et avec un maximum de 60 000 € HT.</w:t>
      </w:r>
    </w:p>
    <w:p w14:paraId="185BCCFB" w14:textId="77777777" w:rsidR="003E2D6E" w:rsidRDefault="003E2D6E" w:rsidP="003E2D6E"/>
    <w:p w14:paraId="784C49A3" w14:textId="3F4D6D02" w:rsidR="003E2D6E" w:rsidRDefault="003E2D6E" w:rsidP="003E2D6E">
      <w:r>
        <w:t>Le montant maximum cumulé des deux lots est fixé à 500 000 € HT sur la durée totale du marché, reconductions comprises.</w:t>
      </w:r>
    </w:p>
    <w:p w14:paraId="417A4975" w14:textId="77777777" w:rsidR="003E2D6E" w:rsidRDefault="003E2D6E" w:rsidP="003E2D6E">
      <w:r>
        <w:t>Pour chaque lot, le maximum de la partie à bons de commande est inclus dans le montant maximum du lot et ne s’y ajoute pas.</w:t>
      </w:r>
    </w:p>
    <w:p w14:paraId="220D7052" w14:textId="77777777" w:rsidR="003E2D6E" w:rsidRDefault="003E2D6E" w:rsidP="003E2D6E">
      <w:r>
        <w:t>Le respect du plafond de la partie forfaitaire s’apprécie au regard du montant total de référence de la partie forfaitaire figurant dans la DPGF et dans l’acte d’engagement, calculé aux prix initiaux sur la durée maximale du lot.</w:t>
      </w:r>
    </w:p>
    <w:p w14:paraId="7D16CD71" w14:textId="639F1CB9" w:rsidR="003E2D6E" w:rsidRDefault="003E2D6E" w:rsidP="003E2D6E">
      <w:r>
        <w:t>Ces montants maximums ne constituent ni un engagement de reconduction ni un engagement de commande ou de consommation de la part de l’OFDT. Les paiements demeurent limités aux prestations effectivement exécutées, vérifiées et admises.</w:t>
      </w:r>
    </w:p>
    <w:p w14:paraId="2B5330F6" w14:textId="77777777" w:rsidR="00FC2744" w:rsidRDefault="009A3E3E">
      <w:r>
        <w:t>Les bons de commande sont établis par écrit, précisent les prestations demandées, leur quantité, leur prix et, le cas échéant, les livrables et délais associés. Ils sont notifiés au titulaire avant tout commencement d’exécution.</w:t>
      </w:r>
    </w:p>
    <w:p w14:paraId="318A1899" w14:textId="77777777" w:rsidR="00FC2744" w:rsidRDefault="009A3E3E">
      <w:r>
        <w:t>Aucune prestation complémentaire ne peut être engagée ou facturée sans bon de commande régulièrement émis par l’OFDT.</w:t>
      </w:r>
    </w:p>
    <w:p w14:paraId="19DE6726" w14:textId="77777777" w:rsidR="00FC2744" w:rsidRDefault="009A3E3E">
      <w:pPr>
        <w:pStyle w:val="Titre1"/>
      </w:pPr>
      <w:r>
        <w:t>Article 4 — Durée du marché</w:t>
      </w:r>
    </w:p>
    <w:p w14:paraId="0427CDD0" w14:textId="77777777" w:rsidR="00FC2744" w:rsidRDefault="009A3E3E">
      <w:r>
        <w:t>Chaque lot est conclu pour une durée initiale de vingt-quatre mois à compter de sa date de notification.</w:t>
      </w:r>
    </w:p>
    <w:p w14:paraId="060F501A" w14:textId="77777777" w:rsidR="00FC2744" w:rsidRDefault="009A3E3E">
      <w:r>
        <w:t>Il peut être reconduit deux fois pour une période de douze mois, sans que sa durée totale puisse excéder quarante-huit mois :</w:t>
      </w:r>
    </w:p>
    <w:p w14:paraId="14809704" w14:textId="567FE2A0" w:rsidR="00FC2744" w:rsidRDefault="0097615B">
      <w:pPr>
        <w:pStyle w:val="Sansinterligne"/>
      </w:pPr>
      <w:r>
        <w:t>Période</w:t>
      </w:r>
      <w:r w:rsidR="009A3E3E">
        <w:t xml:space="preserve"> initiale : vingt-quatre mois ;</w:t>
      </w:r>
    </w:p>
    <w:p w14:paraId="242E3651" w14:textId="6406CD4B" w:rsidR="00FC2744" w:rsidRDefault="0097615B">
      <w:pPr>
        <w:pStyle w:val="Sansinterligne"/>
      </w:pPr>
      <w:r>
        <w:t>Première</w:t>
      </w:r>
      <w:r w:rsidR="009A3E3E">
        <w:t xml:space="preserve"> reconduction : douze mois ;</w:t>
      </w:r>
    </w:p>
    <w:p w14:paraId="1BE68E4E" w14:textId="0AB92457" w:rsidR="00FC2744" w:rsidRDefault="0097615B">
      <w:pPr>
        <w:pStyle w:val="Sansinterligne"/>
      </w:pPr>
      <w:r>
        <w:t>Deuxième</w:t>
      </w:r>
      <w:r w:rsidR="009A3E3E">
        <w:t xml:space="preserve"> reconduction : douze mois.</w:t>
      </w:r>
    </w:p>
    <w:p w14:paraId="76EE07BF" w14:textId="77777777" w:rsidR="00FC2744" w:rsidRDefault="00FC2744"/>
    <w:p w14:paraId="24AC1A2F" w14:textId="77777777" w:rsidR="00FC2744" w:rsidRDefault="009A3E3E">
      <w:r>
        <w:lastRenderedPageBreak/>
        <w:t>La reconduction est tacite, sauf décision écrite de non-reconduction prise par l’OFDT et notifiée au titulaire avant l’échéance de la période en cours. Le titulaire ne peut refuser la reconduction. La non-reconduction n’ouvre droit à aucune indemnité.</w:t>
      </w:r>
    </w:p>
    <w:p w14:paraId="797530D9" w14:textId="77777777" w:rsidR="00FC2744" w:rsidRDefault="009A3E3E">
      <w:r>
        <w:t>Les bons de commande ne peuvent être émis qu’au cours de la durée de validité du lot concerné. Leur exécution peut se poursuivre au-delà de cette durée lorsque le bon de commande a été régulièrement émis avant son échéance et que sa durée demeure compatible avec son objet, sans avoir pour effet de prolonger artificiellement le marché.</w:t>
      </w:r>
    </w:p>
    <w:p w14:paraId="1FDFE261" w14:textId="77777777" w:rsidR="00FC2744" w:rsidRDefault="009A3E3E">
      <w:pPr>
        <w:pStyle w:val="Titre1"/>
      </w:pPr>
      <w:r>
        <w:t>Article 5 — Pièces contractuelles</w:t>
      </w:r>
    </w:p>
    <w:p w14:paraId="6AFC6C4B" w14:textId="77777777" w:rsidR="00FC2744" w:rsidRDefault="009A3E3E">
      <w:r>
        <w:t>En cas de contradiction entre les stipulations des pièces contractuelles, celles-ci prévalent dans l’ordre suivant :</w:t>
      </w:r>
    </w:p>
    <w:p w14:paraId="70D356E7" w14:textId="77777777" w:rsidR="00FC2744" w:rsidRDefault="009A3E3E" w:rsidP="0097615B">
      <w:pPr>
        <w:ind w:left="708"/>
      </w:pPr>
      <w:r>
        <w:t>1. L’acte d’engagement et ses annexes financières, notamment la DPGF et le BPU ;</w:t>
      </w:r>
    </w:p>
    <w:p w14:paraId="76B9DE37" w14:textId="77777777" w:rsidR="00FC2744" w:rsidRDefault="009A3E3E" w:rsidP="0097615B">
      <w:pPr>
        <w:ind w:left="708"/>
      </w:pPr>
      <w:r>
        <w:t>2. Le présent cahier des clauses administratives particulières (CCAP) et ses annexes, notamment l’annexe relative à la protection des données à caractère personnel ;</w:t>
      </w:r>
    </w:p>
    <w:p w14:paraId="538EDF63" w14:textId="77777777" w:rsidR="00FC2744" w:rsidRDefault="009A3E3E" w:rsidP="0097615B">
      <w:pPr>
        <w:ind w:left="708"/>
      </w:pPr>
      <w:r>
        <w:t>3. Le cahier des clauses techniques particulières (CCTP) et ses annexes ;</w:t>
      </w:r>
    </w:p>
    <w:p w14:paraId="2B1CB919" w14:textId="77777777" w:rsidR="00FC2744" w:rsidRDefault="009A3E3E" w:rsidP="0097615B">
      <w:pPr>
        <w:ind w:left="708"/>
      </w:pPr>
      <w:r>
        <w:t>4. Le cahier des clauses administratives générales applicables aux marchés publics de techniques de l’information et de la communication (CCAG-TIC), dans sa version issue de l’arrêté du 30 mars 2021 ;</w:t>
      </w:r>
    </w:p>
    <w:p w14:paraId="07F5CFA6" w14:textId="77777777" w:rsidR="00FC2744" w:rsidRDefault="009A3E3E" w:rsidP="0097615B">
      <w:pPr>
        <w:ind w:left="708"/>
      </w:pPr>
      <w:r>
        <w:t>5. L’offre technique du titulaire et ses annexes ;</w:t>
      </w:r>
    </w:p>
    <w:p w14:paraId="7C2BC56E" w14:textId="77777777" w:rsidR="00FC2744" w:rsidRDefault="009A3E3E" w:rsidP="0097615B">
      <w:pPr>
        <w:ind w:left="708"/>
      </w:pPr>
      <w:r>
        <w:t>6. Les actes spéciaux de sous-traitance et leurs éventuels actes modificatifs postérieurs à la notification.</w:t>
      </w:r>
    </w:p>
    <w:p w14:paraId="1C39D5E0" w14:textId="77777777" w:rsidR="00FC2744" w:rsidRDefault="009A3E3E">
      <w:r>
        <w:t>Les engagements contenus dans l’offre du titulaire complètent les exigences du marché sans pouvoir les réduire, les contredire ou en modifier la portée.</w:t>
      </w:r>
    </w:p>
    <w:p w14:paraId="71CEB9DB" w14:textId="77777777" w:rsidR="00FC2744" w:rsidRDefault="009A3E3E">
      <w:r>
        <w:t>Les conditions générales de vente, de licence, d’abonnement ou d’utilisation du titulaire ne sont opposables à l’OFDT que lorsqu’elles ont été expressément acceptées et intégrées dans une pièce contractuelle du marché.</w:t>
      </w:r>
    </w:p>
    <w:p w14:paraId="22BCEB57" w14:textId="77777777" w:rsidR="00FC2744" w:rsidRDefault="009A3E3E">
      <w:pPr>
        <w:pStyle w:val="Titre1"/>
      </w:pPr>
      <w:r>
        <w:t>Article 6 — Modalités générales d’exécution</w:t>
      </w:r>
    </w:p>
    <w:p w14:paraId="449D27EC" w14:textId="77777777" w:rsidR="00FC2744" w:rsidRDefault="009A3E3E">
      <w:r>
        <w:t>Les prestations sont exécutées conformément au présent CCAP, au CCTP, à l’offre du titulaire et au calendrier contractuel.</w:t>
      </w:r>
    </w:p>
    <w:p w14:paraId="5C114EDE" w14:textId="77777777" w:rsidR="00FC2744" w:rsidRDefault="009A3E3E">
      <w:r>
        <w:t>Pour chaque lot, le titulaire est responsable de l’organisation et de la coordination des moyens nécessaires à la bonne exécution de son périmètre. Il lui appartient notamment :</w:t>
      </w:r>
    </w:p>
    <w:p w14:paraId="1F0B7517" w14:textId="77777777" w:rsidR="00FC2744" w:rsidRDefault="009A3E3E">
      <w:pPr>
        <w:pStyle w:val="Sansinterligne"/>
      </w:pPr>
      <w:r>
        <w:t>D’identifier les prérequis, données et décisions nécessaires ;</w:t>
      </w:r>
    </w:p>
    <w:p w14:paraId="1597B00D" w14:textId="77777777" w:rsidR="00FC2744" w:rsidRDefault="009A3E3E">
      <w:pPr>
        <w:pStyle w:val="Sansinterligne"/>
      </w:pPr>
      <w:r>
        <w:t>D’alerter l’OFDT dans les meilleurs délais sur toute difficulté susceptible d’affecter le calendrier, la qualité, la sécurité ou la continuité du service ;</w:t>
      </w:r>
    </w:p>
    <w:p w14:paraId="77499B24" w14:textId="77777777" w:rsidR="00FC2744" w:rsidRDefault="009A3E3E">
      <w:pPr>
        <w:pStyle w:val="Sansinterligne"/>
      </w:pPr>
      <w:r>
        <w:t>De proposer les mesures permettant de prévenir ou de limiter les conséquences de cette difficulté ;</w:t>
      </w:r>
    </w:p>
    <w:p w14:paraId="5DD1ABAA" w14:textId="77777777" w:rsidR="00FC2744" w:rsidRDefault="009A3E3E">
      <w:pPr>
        <w:pStyle w:val="Sansinterligne"/>
      </w:pPr>
      <w:r>
        <w:t>De tenir à jour les principaux documents nécessaires au suivi du projet.</w:t>
      </w:r>
    </w:p>
    <w:p w14:paraId="4FB36EB3" w14:textId="77777777" w:rsidR="00FC2744" w:rsidRDefault="00FC2744"/>
    <w:p w14:paraId="31AAAFFB" w14:textId="77777777" w:rsidR="00FC2744" w:rsidRDefault="009A3E3E">
      <w:r>
        <w:lastRenderedPageBreak/>
        <w:t>Les obligations de conseil et d’alerte du titulaire ne dispensent pas l’OFDT de lui transmettre les informations et décisions nécessaires à l’exécution des prestations.</w:t>
      </w:r>
    </w:p>
    <w:p w14:paraId="7C2DF9AF" w14:textId="77777777" w:rsidR="00FC2744" w:rsidRDefault="009A3E3E">
      <w:r>
        <w:t>Le titulaire ne peut se prévaloir d’une difficulté qu’il n’aurait pas signalée dans un délai raisonnable après en avoir eu connaissance.</w:t>
      </w:r>
    </w:p>
    <w:p w14:paraId="0AD0B60C" w14:textId="77777777" w:rsidR="00FC2744" w:rsidRDefault="009A3E3E">
      <w:pPr>
        <w:pStyle w:val="Titre1"/>
      </w:pPr>
      <w:r>
        <w:t>Article 7 — Interlocuteurs et pilotage</w:t>
      </w:r>
    </w:p>
    <w:p w14:paraId="03E4AD6D" w14:textId="77777777" w:rsidR="00FC2744" w:rsidRDefault="009A3E3E">
      <w:pPr>
        <w:pStyle w:val="Titre2"/>
      </w:pPr>
      <w:r>
        <w:t>7.1 — Interlocuteurs</w:t>
      </w:r>
    </w:p>
    <w:p w14:paraId="76DDD183" w14:textId="77777777" w:rsidR="00FC2744" w:rsidRDefault="009A3E3E">
      <w:r>
        <w:t>Pour chaque lot, l’OFDT et le titulaire désignent un interlocuteur principal chargé de centraliser les échanges relatifs à l’exécution du marché. Le titulaire désigne également un suppléant en mesure d’assurer la continuité des échanges en cas d’absence.</w:t>
      </w:r>
    </w:p>
    <w:p w14:paraId="36BB8128" w14:textId="77777777" w:rsidR="00FC2744" w:rsidRDefault="009A3E3E">
      <w:r>
        <w:t>Lorsque les deux lots sont attribués au même opérateur économique, celui-ci désigne un interlocuteur principal commun, sans préjudice de la désignation de référents spécialisés pour chacun des lots.</w:t>
      </w:r>
    </w:p>
    <w:p w14:paraId="5256AB08" w14:textId="77777777" w:rsidR="00FC2744" w:rsidRDefault="009A3E3E">
      <w:r>
        <w:t>Tout changement d’interlocuteur est porté à la connaissance de l’autre partie dans les meilleurs délais. Le remplacement d’un intervenant essentiel ne doit pas entraîner de dégradation de la qualité des prestations ni de coût supplémentaire pour l’OFDT.</w:t>
      </w:r>
    </w:p>
    <w:p w14:paraId="61EC2107" w14:textId="77777777" w:rsidR="00FC2744" w:rsidRDefault="009A3E3E">
      <w:pPr>
        <w:pStyle w:val="Titre2"/>
      </w:pPr>
      <w:r>
        <w:t>7.2 — Réunion de démarrage</w:t>
      </w:r>
    </w:p>
    <w:p w14:paraId="3ABC028E" w14:textId="77777777" w:rsidR="00FC2744" w:rsidRDefault="009A3E3E">
      <w:r>
        <w:t>Une réunion de démarrage est organisée après la notification de chaque lot. Elle a notamment pour objet :</w:t>
      </w:r>
    </w:p>
    <w:p w14:paraId="59BAC279" w14:textId="77777777" w:rsidR="00FC2744" w:rsidRDefault="009A3E3E">
      <w:pPr>
        <w:pStyle w:val="Sansinterligne"/>
      </w:pPr>
      <w:r>
        <w:t>De confirmer les interlocuteurs ;</w:t>
      </w:r>
    </w:p>
    <w:p w14:paraId="6CC38155" w14:textId="77777777" w:rsidR="00FC2744" w:rsidRDefault="009A3E3E">
      <w:pPr>
        <w:pStyle w:val="Sansinterligne"/>
      </w:pPr>
      <w:r>
        <w:t>De préciser le calendrier de mise en œuvre ;</w:t>
      </w:r>
    </w:p>
    <w:p w14:paraId="234590DE" w14:textId="77777777" w:rsidR="00FC2744" w:rsidRDefault="009A3E3E">
      <w:pPr>
        <w:pStyle w:val="Sansinterligne"/>
      </w:pPr>
      <w:r>
        <w:t>D’identifier les prérequis et les données nécessaires ;</w:t>
      </w:r>
    </w:p>
    <w:p w14:paraId="3ED35935" w14:textId="77777777" w:rsidR="00FC2744" w:rsidRDefault="009A3E3E">
      <w:pPr>
        <w:pStyle w:val="Sansinterligne"/>
      </w:pPr>
      <w:r>
        <w:t>De confirmer les principaux livrables ;</w:t>
      </w:r>
    </w:p>
    <w:p w14:paraId="4D1227CF" w14:textId="77777777" w:rsidR="00FC2744" w:rsidRDefault="009A3E3E">
      <w:pPr>
        <w:pStyle w:val="Sansinterligne"/>
      </w:pPr>
      <w:r>
        <w:t>De définir les modalités pratiques de suivi et de coordination.</w:t>
      </w:r>
    </w:p>
    <w:p w14:paraId="4C8E1D12" w14:textId="77777777" w:rsidR="00FC2744" w:rsidRDefault="00FC2744"/>
    <w:p w14:paraId="02FE1276" w14:textId="77777777" w:rsidR="00FC2744" w:rsidRDefault="009A3E3E">
      <w:r>
        <w:t>Lorsque les deux lots sont attribués à des titulaires différents, une réunion commune peut être organisée pour les sujets nécessitant leur coopération.</w:t>
      </w:r>
    </w:p>
    <w:p w14:paraId="6816E0F4" w14:textId="77777777" w:rsidR="00FC2744" w:rsidRDefault="009A3E3E">
      <w:pPr>
        <w:pStyle w:val="Titre2"/>
      </w:pPr>
      <w:r>
        <w:t>7.3 — Suivi</w:t>
      </w:r>
    </w:p>
    <w:p w14:paraId="50C0D14D" w14:textId="77777777" w:rsidR="00FC2744" w:rsidRDefault="009A3E3E">
      <w:r>
        <w:t>Le suivi est adapté à la nature et à l’état d’avancement des prestations. Pendant les phases de mise en œuvre, des points de suivi sont organisés selon une périodicité arrêtée lors de la réunion de démarrage. Cette périodicité peut être allégée après la mise en production.</w:t>
      </w:r>
    </w:p>
    <w:p w14:paraId="102A4D98" w14:textId="77777777" w:rsidR="00FC2744" w:rsidRDefault="009A3E3E">
      <w:r>
        <w:t>Les points de suivi portent sur les éléments strictement nécessaires au pilotage : état d’avancement, décisions attendues, difficultés et risques, prochaines échéances et éventuelles actions correctives.</w:t>
      </w:r>
    </w:p>
    <w:p w14:paraId="41EF72CC" w14:textId="77777777" w:rsidR="00FC2744" w:rsidRDefault="009A3E3E">
      <w:r>
        <w:t>Le titulaire établit un relevé synthétique des décisions et actions convenues. Ce relevé peut prendre la forme d’un compte rendu succinct ou d’un tableau de suivi partagé.</w:t>
      </w:r>
    </w:p>
    <w:p w14:paraId="1A13C6E4" w14:textId="77777777" w:rsidR="00FC2744" w:rsidRDefault="009A3E3E">
      <w:pPr>
        <w:pStyle w:val="Titre1"/>
      </w:pPr>
      <w:r>
        <w:lastRenderedPageBreak/>
        <w:t>Article 8 — Calendrier d’exécution</w:t>
      </w:r>
    </w:p>
    <w:p w14:paraId="03C1D6F3" w14:textId="77777777" w:rsidR="00FC2744" w:rsidRDefault="009A3E3E">
      <w:pPr>
        <w:pStyle w:val="Titre2"/>
      </w:pPr>
      <w:r>
        <w:t>8.1 — Calendrier contractuel</w:t>
      </w:r>
    </w:p>
    <w:p w14:paraId="3E5FCBA5" w14:textId="77777777" w:rsidR="00FC2744" w:rsidRDefault="009A3E3E">
      <w:r>
        <w:t>Le candidat joint à son offre un calendrier prévisionnel d’exécution adapté au lot concerné. Ce calendrier est précisé et validé lors de la réunion de démarrage ; il devient alors le calendrier de référence du marché.</w:t>
      </w:r>
    </w:p>
    <w:p w14:paraId="7C144896" w14:textId="77777777" w:rsidR="00FC2744" w:rsidRDefault="009A3E3E">
      <w:r>
        <w:t>Le calendrier identifie au minimum les principales phases, les livrables associés, les opérations de reprise de données, les périodes de paramétrage et de vérification, les mises en production et les dépendances à l’égard de l’OFDT, de la DGFiP ou du titulaire de l’autre lot.</w:t>
      </w:r>
    </w:p>
    <w:p w14:paraId="3131A5EB" w14:textId="77777777" w:rsidR="00FC2744" w:rsidRDefault="009A3E3E">
      <w:r>
        <w:t>Toute modification substantielle du calendrier est portée à la connaissance de l’OFDT et fait l’objet de son accord écrit.</w:t>
      </w:r>
    </w:p>
    <w:p w14:paraId="58B6F2EC" w14:textId="77777777" w:rsidR="00FC2744" w:rsidRDefault="009A3E3E">
      <w:pPr>
        <w:pStyle w:val="Titre2"/>
      </w:pPr>
      <w:r>
        <w:t>8.2 — Lot n° 1</w:t>
      </w:r>
    </w:p>
    <w:p w14:paraId="7D923DAB" w14:textId="77777777" w:rsidR="00FC2744" w:rsidRDefault="009A3E3E">
      <w:r>
        <w:t>Le calendrier du lot n° 1 tient compte des objectifs suivants :</w:t>
      </w:r>
    </w:p>
    <w:p w14:paraId="6E54C593" w14:textId="77777777" w:rsidR="00FC2744" w:rsidRDefault="009A3E3E">
      <w:pPr>
        <w:pStyle w:val="Sansinterligne"/>
      </w:pPr>
      <w:r>
        <w:t>Assurer, à compter du 1er janvier 2027, la continuité de l’ensemble des fonctions nécessaires à la réalisation complète de la paie ;</w:t>
      </w:r>
    </w:p>
    <w:p w14:paraId="452C8D5E" w14:textId="77777777" w:rsidR="00FC2744" w:rsidRDefault="009A3E3E">
      <w:pPr>
        <w:pStyle w:val="Sansinterligne"/>
      </w:pPr>
      <w:r>
        <w:t>Accompagner l’exploitation et la stabilisation du dispositif transitoire ;</w:t>
      </w:r>
    </w:p>
    <w:p w14:paraId="59381774" w14:textId="77777777" w:rsidR="00FC2744" w:rsidRDefault="009A3E3E">
      <w:pPr>
        <w:pStyle w:val="Sansinterligne"/>
      </w:pPr>
      <w:r>
        <w:t>Préparer les échanges, essais et opérations nécessaires à l’entrée dans le dispositif de paye à façon ;</w:t>
      </w:r>
    </w:p>
    <w:p w14:paraId="57E8A1D8" w14:textId="77777777" w:rsidR="00FC2744" w:rsidRDefault="009A3E3E">
      <w:pPr>
        <w:pStyle w:val="Sansinterligne"/>
      </w:pPr>
      <w:r>
        <w:t>Permettre une entrée dans la paye à façon envisagée à compter du 1er janvier 2028, sous réserve du calendrier et des décisions relevant de la DGFiP ;</w:t>
      </w:r>
    </w:p>
    <w:p w14:paraId="1295BA1B" w14:textId="77777777" w:rsidR="00FC2744" w:rsidRDefault="009A3E3E">
      <w:pPr>
        <w:pStyle w:val="Sansinterligne"/>
      </w:pPr>
      <w:r>
        <w:t>Assurer la stabilisation et la réversibilité des prestations.</w:t>
      </w:r>
    </w:p>
    <w:p w14:paraId="15116119" w14:textId="77777777" w:rsidR="00FC2744" w:rsidRDefault="00FC2744"/>
    <w:p w14:paraId="56C6B3E7" w14:textId="77777777" w:rsidR="00FC2744" w:rsidRDefault="009A3E3E">
      <w:r>
        <w:t>Le titulaire identifie clairement les opérations relevant de sa responsabilité et celles dépendant de décisions ou d’interventions de tiers.</w:t>
      </w:r>
    </w:p>
    <w:p w14:paraId="1FF08B1F" w14:textId="77777777" w:rsidR="00FC2744" w:rsidRDefault="009A3E3E">
      <w:pPr>
        <w:pStyle w:val="Titre2"/>
      </w:pPr>
      <w:r>
        <w:t>8.3 — Lot n° 2</w:t>
      </w:r>
    </w:p>
    <w:p w14:paraId="6A15F4CF" w14:textId="77777777" w:rsidR="00FC2744" w:rsidRDefault="009A3E3E">
      <w:r>
        <w:t>Le calendrier du lot n° 2 prévoit une mise en œuvre progressive et maîtrisée des fonctionnalités. Il tient compte notamment de la reprise des données, du paramétrage du dossier agent et des processus RH, des interfaces avec le lot n° 1 et les outils de l’OFDT, de la mise en œuvre des fonctionnalités relatives aux absences, au télétravail et aux déplacements professionnels, ainsi que des opérations de formation, de vérification et de stabilisation.</w:t>
      </w:r>
    </w:p>
    <w:p w14:paraId="675D8D27" w14:textId="77777777" w:rsidR="00FC2744" w:rsidRDefault="009A3E3E">
      <w:r>
        <w:t>L’ordre de mise en œuvre des différents modules est proposé par le titulaire dans son offre et validé par l’OFDT lors du cadrage.</w:t>
      </w:r>
    </w:p>
    <w:p w14:paraId="0AFCF6D9" w14:textId="77777777" w:rsidR="00FC2744" w:rsidRDefault="009A3E3E">
      <w:pPr>
        <w:pStyle w:val="Titre1"/>
      </w:pPr>
      <w:r>
        <w:t>Article 9 — Coopération entre les titulaires</w:t>
      </w:r>
    </w:p>
    <w:p w14:paraId="2596A8F8" w14:textId="77777777" w:rsidR="00FC2744" w:rsidRDefault="009A3E3E">
      <w:r>
        <w:t>Lorsque les deux lots sont attribués à des titulaires différents, ceux-ci coopèrent pour les opérations nécessaires :</w:t>
      </w:r>
    </w:p>
    <w:p w14:paraId="1FDCE62C" w14:textId="77777777" w:rsidR="00FC2744" w:rsidRDefault="009A3E3E">
      <w:pPr>
        <w:pStyle w:val="Sansinterligne"/>
      </w:pPr>
      <w:r>
        <w:rPr>
          <w:rFonts w:cs="Arial"/>
        </w:rPr>
        <w:t>À</w:t>
      </w:r>
      <w:r>
        <w:t xml:space="preserve"> la reprise, à la fiabilisation et à la synchronisation des données ;</w:t>
      </w:r>
    </w:p>
    <w:p w14:paraId="7876E2AC" w14:textId="77777777" w:rsidR="00FC2744" w:rsidRDefault="009A3E3E">
      <w:pPr>
        <w:pStyle w:val="Sansinterligne"/>
      </w:pPr>
      <w:r>
        <w:t>Au fonctionnement des interfaces ;</w:t>
      </w:r>
    </w:p>
    <w:p w14:paraId="03E2E5A3" w14:textId="77777777" w:rsidR="00FC2744" w:rsidRDefault="009A3E3E">
      <w:pPr>
        <w:pStyle w:val="Sansinterligne"/>
      </w:pPr>
      <w:r>
        <w:rPr>
          <w:rFonts w:cs="Arial"/>
        </w:rPr>
        <w:lastRenderedPageBreak/>
        <w:t>À</w:t>
      </w:r>
      <w:r>
        <w:t xml:space="preserve"> la cohérence du dossier agent ;</w:t>
      </w:r>
    </w:p>
    <w:p w14:paraId="32904926" w14:textId="77777777" w:rsidR="00FC2744" w:rsidRDefault="009A3E3E">
      <w:pPr>
        <w:pStyle w:val="Sansinterligne"/>
      </w:pPr>
      <w:r>
        <w:t>Au traitement des événements ayant une incidence sur la paie ;</w:t>
      </w:r>
    </w:p>
    <w:p w14:paraId="645313B7" w14:textId="77777777" w:rsidR="00FC2744" w:rsidRDefault="009A3E3E">
      <w:pPr>
        <w:pStyle w:val="Sansinterligne"/>
      </w:pPr>
      <w:r>
        <w:rPr>
          <w:rFonts w:cs="Arial"/>
        </w:rPr>
        <w:t>À</w:t>
      </w:r>
      <w:r>
        <w:t xml:space="preserve"> l’analyse et à la correction des anomalies concernant les deux solutions ;</w:t>
      </w:r>
    </w:p>
    <w:p w14:paraId="6228364F" w14:textId="77777777" w:rsidR="00FC2744" w:rsidRDefault="009A3E3E">
      <w:pPr>
        <w:pStyle w:val="Sansinterligne"/>
      </w:pPr>
      <w:r>
        <w:rPr>
          <w:rFonts w:cs="Arial"/>
        </w:rPr>
        <w:t>À</w:t>
      </w:r>
      <w:r>
        <w:t xml:space="preserve"> la mise en production et à la réversibilité.</w:t>
      </w:r>
    </w:p>
    <w:p w14:paraId="3BB864F1" w14:textId="77777777" w:rsidR="00FC2744" w:rsidRDefault="00FC2744"/>
    <w:p w14:paraId="2C054F23" w14:textId="77777777" w:rsidR="00FC2744" w:rsidRDefault="009A3E3E">
      <w:r>
        <w:t>Chaque titulaire demeure responsable des prestations relevant de son lot. Il ne peut subordonner l’exécution de ses obligations à la conclusion d’un contrat commercial direct avec le titulaire de l’autre lot, sauf dépendance clairement identifiée et acceptée dans les pièces contractuelles.</w:t>
      </w:r>
    </w:p>
    <w:p w14:paraId="62B9C688" w14:textId="77777777" w:rsidR="00FC2744" w:rsidRDefault="009A3E3E">
      <w:r>
        <w:t>La coopération normalement nécessaire à l’exécution des prestations obligatoires est comprise dans les prix du marché.</w:t>
      </w:r>
    </w:p>
    <w:p w14:paraId="0C0240ED" w14:textId="77777777" w:rsidR="00FC2744" w:rsidRDefault="009A3E3E">
      <w:r>
        <w:t>En cas de difficulté relative à la répartition des responsabilités, chaque titulaire communique à l’OFDT les éléments techniques utiles. L’OFDT arrête les modalités de poursuite des opérations, sans préjudice de la responsabilité contractuelle de chacun.</w:t>
      </w:r>
    </w:p>
    <w:p w14:paraId="4D817EB1" w14:textId="77777777" w:rsidR="00FC2744" w:rsidRDefault="009A3E3E">
      <w:r>
        <w:t>Lorsque les deux lots sont attribués au même opérateur économique, celui-ci présente un calendrier coordonné et assure la cohérence d’ensemble des prestations.</w:t>
      </w:r>
    </w:p>
    <w:p w14:paraId="7BE627C9" w14:textId="77777777" w:rsidR="00FC2744" w:rsidRDefault="009A3E3E">
      <w:pPr>
        <w:pStyle w:val="Titre1"/>
      </w:pPr>
      <w:r>
        <w:t>Article 10 — Prix du marché</w:t>
      </w:r>
    </w:p>
    <w:p w14:paraId="479141E8" w14:textId="77777777" w:rsidR="00FC2744" w:rsidRDefault="009A3E3E">
      <w:pPr>
        <w:pStyle w:val="Titre2"/>
      </w:pPr>
      <w:r>
        <w:t>10.1 — Structure des prix</w:t>
      </w:r>
    </w:p>
    <w:p w14:paraId="2A9A2CBC" w14:textId="77777777" w:rsidR="00FC2744" w:rsidRDefault="009A3E3E">
      <w:r>
        <w:t>Pour chaque lot, les prestations sont rémunérées selon des prix forfaitaires couvrant les prestations obligatoires et des prix unitaires appliqués aux seules prestations complémentaires commandées par bons de commande.</w:t>
      </w:r>
    </w:p>
    <w:p w14:paraId="77B2FEC3" w14:textId="77777777" w:rsidR="00FC2744" w:rsidRDefault="009A3E3E">
      <w:r>
        <w:t>Les prestations comprises dans le périmètre obligatoire du CCTP ne peuvent donner lieu à une facturation supplémentaire, y compris lorsqu’elles nécessitent des ajustements ou corrections nécessaires à leur bonne exécution.</w:t>
      </w:r>
    </w:p>
    <w:p w14:paraId="28E47035" w14:textId="77777777" w:rsidR="00FC2744" w:rsidRDefault="009A3E3E">
      <w:pPr>
        <w:pStyle w:val="Titre2"/>
      </w:pPr>
      <w:r>
        <w:t>10.2 — Prestations forfaitaires</w:t>
      </w:r>
    </w:p>
    <w:p w14:paraId="5EB17459" w14:textId="77777777" w:rsidR="00FC2744" w:rsidRDefault="009A3E3E">
      <w:r>
        <w:t>Les prix forfaitaires comprennent l’ensemble des dépenses nécessaires à l’exécution des prestations concernées, notamment :</w:t>
      </w:r>
    </w:p>
    <w:p w14:paraId="58C96507" w14:textId="77777777" w:rsidR="00FC2744" w:rsidRDefault="009A3E3E">
      <w:pPr>
        <w:pStyle w:val="Sansinterligne"/>
      </w:pPr>
      <w:r>
        <w:t>La conduite et le cadrage du projet ;</w:t>
      </w:r>
    </w:p>
    <w:p w14:paraId="4135B08F" w14:textId="77777777" w:rsidR="00FC2744" w:rsidRDefault="009A3E3E">
      <w:pPr>
        <w:pStyle w:val="Sansinterligne"/>
      </w:pPr>
      <w:r>
        <w:t>Le paramétrage et la configuration ;</w:t>
      </w:r>
    </w:p>
    <w:p w14:paraId="43C330D2" w14:textId="77777777" w:rsidR="00FC2744" w:rsidRDefault="009A3E3E">
      <w:pPr>
        <w:pStyle w:val="Sansinterligne"/>
      </w:pPr>
      <w:r>
        <w:t>La reprise et la fiabilisation des données ;</w:t>
      </w:r>
    </w:p>
    <w:p w14:paraId="3234BE15" w14:textId="77777777" w:rsidR="00FC2744" w:rsidRDefault="009A3E3E">
      <w:pPr>
        <w:pStyle w:val="Sansinterligne"/>
      </w:pPr>
      <w:r>
        <w:t>Les interfaces prévues au marché ;</w:t>
      </w:r>
    </w:p>
    <w:p w14:paraId="2C6D04A5" w14:textId="77777777" w:rsidR="00FC2744" w:rsidRDefault="009A3E3E">
      <w:pPr>
        <w:pStyle w:val="Sansinterligne"/>
      </w:pPr>
      <w:r>
        <w:t>Les opérations de vérification et de mise en production ;</w:t>
      </w:r>
    </w:p>
    <w:p w14:paraId="6D57FFB0" w14:textId="77777777" w:rsidR="00FC2744" w:rsidRDefault="009A3E3E">
      <w:pPr>
        <w:pStyle w:val="Sansinterligne"/>
      </w:pPr>
      <w:r>
        <w:t>La formation initiale et la documentation ;</w:t>
      </w:r>
    </w:p>
    <w:p w14:paraId="63F8E34B" w14:textId="77777777" w:rsidR="00FC2744" w:rsidRDefault="009A3E3E">
      <w:pPr>
        <w:pStyle w:val="Sansinterligne"/>
      </w:pPr>
      <w:r>
        <w:t>Les licences, abonnements et frais d’hébergement prévus dans la DPGF ;</w:t>
      </w:r>
    </w:p>
    <w:p w14:paraId="5E34A4DD" w14:textId="77777777" w:rsidR="00FC2744" w:rsidRDefault="009A3E3E">
      <w:pPr>
        <w:pStyle w:val="Sansinterligne"/>
      </w:pPr>
      <w:r>
        <w:t>La maintenance, l’assistance et le support ;</w:t>
      </w:r>
    </w:p>
    <w:p w14:paraId="24A58C5A" w14:textId="77777777" w:rsidR="00FC2744" w:rsidRDefault="009A3E3E">
      <w:pPr>
        <w:pStyle w:val="Sansinterligne"/>
      </w:pPr>
      <w:r>
        <w:t>Les prestations minimales de réversibilité ;</w:t>
      </w:r>
    </w:p>
    <w:p w14:paraId="7E0618E8" w14:textId="77777777" w:rsidR="00FC2744" w:rsidRDefault="009A3E3E">
      <w:pPr>
        <w:pStyle w:val="Sansinterligne"/>
      </w:pPr>
      <w:r>
        <w:t>Les frais de déplacement et frais généraux du titulaire.</w:t>
      </w:r>
    </w:p>
    <w:p w14:paraId="4AF66FAC" w14:textId="77777777" w:rsidR="00FC2744" w:rsidRDefault="00FC2744"/>
    <w:p w14:paraId="6B26E8D5" w14:textId="77777777" w:rsidR="00FC2744" w:rsidRDefault="009A3E3E">
      <w:r>
        <w:t>Pour le lot n° 1, les prix forfaitaires couvrent également la mise en œuvre et l’exploitation du dispositif transitoire ainsi que l’accompagnement prévu vers la paye à façon.</w:t>
      </w:r>
    </w:p>
    <w:p w14:paraId="4EBF1AEE" w14:textId="77777777" w:rsidR="00FC2744" w:rsidRDefault="009A3E3E">
      <w:r>
        <w:lastRenderedPageBreak/>
        <w:t>Le dispositif transitoire couvre, dans la limite de la durée du marché, l’ensemble des fonctions nécessaires à la réalisation complète de la paie jusqu’à l’entrée effective de l’OFDT dans le dispositif de paye à façon, dans les conditions prévues par le CCTP.</w:t>
      </w:r>
    </w:p>
    <w:p w14:paraId="1478F780" w14:textId="77777777" w:rsidR="00FC2744" w:rsidRDefault="009A3E3E">
      <w:pPr>
        <w:pStyle w:val="Titre2"/>
      </w:pPr>
      <w:r>
        <w:t>10.3 — Décomposition du prix global et forfaitaire</w:t>
      </w:r>
    </w:p>
    <w:p w14:paraId="7FBBB792" w14:textId="77777777" w:rsidR="00FC2744" w:rsidRDefault="009A3E3E">
      <w:r>
        <w:t>Pour chaque lot, la décomposition du prix global et forfaitaire présente une ventilation suffisamment détaillée des prestations comprises dans le forfait pour permettre :</w:t>
      </w:r>
    </w:p>
    <w:p w14:paraId="5F7E6694" w14:textId="77777777" w:rsidR="00FC2744" w:rsidRDefault="009A3E3E">
      <w:pPr>
        <w:pStyle w:val="Sansinterligne"/>
      </w:pPr>
      <w:r>
        <w:t>L’analyse et la comparaison des offres ;</w:t>
      </w:r>
    </w:p>
    <w:p w14:paraId="0F32366D" w14:textId="77777777" w:rsidR="00FC2744" w:rsidRDefault="009A3E3E">
      <w:pPr>
        <w:pStyle w:val="Sansinterligne"/>
      </w:pPr>
      <w:r>
        <w:t>L’identification des prestations comprises dans le prix ;</w:t>
      </w:r>
    </w:p>
    <w:p w14:paraId="145EB457" w14:textId="77777777" w:rsidR="00FC2744" w:rsidRDefault="009A3E3E">
      <w:pPr>
        <w:pStyle w:val="Sansinterligne"/>
      </w:pPr>
      <w:r>
        <w:t>La préparation et le suivi budgétaires du marché ;</w:t>
      </w:r>
    </w:p>
    <w:p w14:paraId="10391EB0" w14:textId="77777777" w:rsidR="00FC2744" w:rsidRDefault="009A3E3E">
      <w:pPr>
        <w:pStyle w:val="Sansinterligne"/>
      </w:pPr>
      <w:r>
        <w:t>L’identification des besoins de crédits par exercice ;</w:t>
      </w:r>
    </w:p>
    <w:p w14:paraId="7A5AF870" w14:textId="77777777" w:rsidR="00FC2744" w:rsidRDefault="009A3E3E">
      <w:pPr>
        <w:pStyle w:val="Sansinterligne"/>
      </w:pPr>
      <w:r>
        <w:t>L’identification des natures de dépenses nécessaires à la détermination de leur imputation comptable ;</w:t>
      </w:r>
    </w:p>
    <w:p w14:paraId="0EF9CADD" w14:textId="77777777" w:rsidR="00FC2744" w:rsidRDefault="009A3E3E">
      <w:pPr>
        <w:pStyle w:val="Sansinterligne"/>
      </w:pPr>
      <w:r>
        <w:t>Le rattachement des paiements aux prestations effectivement réalisées ;</w:t>
      </w:r>
    </w:p>
    <w:p w14:paraId="1FE84299" w14:textId="77777777" w:rsidR="00FC2744" w:rsidRDefault="009A3E3E">
      <w:pPr>
        <w:pStyle w:val="Sansinterligne"/>
      </w:pPr>
      <w:r>
        <w:t>La vérification et la constatation du service fait.</w:t>
      </w:r>
    </w:p>
    <w:p w14:paraId="2C4FB7E8" w14:textId="77777777" w:rsidR="00FC2744" w:rsidRDefault="00FC2744"/>
    <w:p w14:paraId="094F0E56" w14:textId="77777777" w:rsidR="00FC2744" w:rsidRDefault="009A3E3E">
      <w:r>
        <w:t>La DPGF distingue clairement :</w:t>
      </w:r>
    </w:p>
    <w:p w14:paraId="38E59E8F" w14:textId="77777777" w:rsidR="00FC2744" w:rsidRDefault="009A3E3E">
      <w:pPr>
        <w:pStyle w:val="Sansinterligne"/>
      </w:pPr>
      <w:r>
        <w:t>Les prestations ponctuelles de cadrage, de conception, de paramétrage et de mise en œuvre ;</w:t>
      </w:r>
    </w:p>
    <w:p w14:paraId="5C0098F5" w14:textId="77777777" w:rsidR="00FC2744" w:rsidRDefault="009A3E3E">
      <w:pPr>
        <w:pStyle w:val="Sansinterligne"/>
      </w:pPr>
      <w:r>
        <w:t>Les prestations de reprise et de fiabilisation des données ;</w:t>
      </w:r>
    </w:p>
    <w:p w14:paraId="1DF8D402" w14:textId="77777777" w:rsidR="00FC2744" w:rsidRDefault="009A3E3E">
      <w:pPr>
        <w:pStyle w:val="Sansinterligne"/>
      </w:pPr>
      <w:r>
        <w:t>Les prestations relatives aux interfaces et aux échanges de données ;</w:t>
      </w:r>
    </w:p>
    <w:p w14:paraId="6DEA24DE" w14:textId="77777777" w:rsidR="00FC2744" w:rsidRDefault="009A3E3E">
      <w:pPr>
        <w:pStyle w:val="Sansinterligne"/>
      </w:pPr>
      <w:r>
        <w:t>Les prestations de formation et de documentation ;</w:t>
      </w:r>
    </w:p>
    <w:p w14:paraId="4A95582D" w14:textId="77777777" w:rsidR="00FC2744" w:rsidRDefault="009A3E3E">
      <w:pPr>
        <w:pStyle w:val="Sansinterligne"/>
      </w:pPr>
      <w:r>
        <w:t>Les prestations récurrentes, notamment les abonnements ou droits d’usage, l’hébergement, la maintenance, l’assistance et le support ;</w:t>
      </w:r>
    </w:p>
    <w:p w14:paraId="5E64962E" w14:textId="77777777" w:rsidR="00FC2744" w:rsidRDefault="009A3E3E">
      <w:pPr>
        <w:pStyle w:val="Sansinterligne"/>
      </w:pPr>
      <w:r>
        <w:t>Les prestations de réversibilité comprises dans le forfait.</w:t>
      </w:r>
    </w:p>
    <w:p w14:paraId="53E248C3" w14:textId="77777777" w:rsidR="00FC2744" w:rsidRDefault="00FC2744"/>
    <w:p w14:paraId="2B0E49D1" w14:textId="77777777" w:rsidR="00FC2744" w:rsidRDefault="009A3E3E">
      <w:r>
        <w:t>Pour le lot n° 1, la DPGF comporte en outre une rubrique spécifique consacrée au dispositif transitoire de paie, distinguant au minimum :</w:t>
      </w:r>
    </w:p>
    <w:p w14:paraId="5E329CC2" w14:textId="77777777" w:rsidR="00FC2744" w:rsidRDefault="009A3E3E">
      <w:pPr>
        <w:pStyle w:val="Sansinterligne"/>
      </w:pPr>
      <w:r>
        <w:t>Sa mise en place et son paramétrage ;</w:t>
      </w:r>
    </w:p>
    <w:p w14:paraId="56B4A367" w14:textId="77777777" w:rsidR="00FC2744" w:rsidRDefault="009A3E3E">
      <w:pPr>
        <w:pStyle w:val="Sansinterligne"/>
      </w:pPr>
      <w:r>
        <w:t>Son exploitation pendant la période transitoire ;</w:t>
      </w:r>
    </w:p>
    <w:p w14:paraId="6AED99F5" w14:textId="77777777" w:rsidR="00FC2744" w:rsidRDefault="009A3E3E">
      <w:pPr>
        <w:pStyle w:val="Sansinterligne"/>
      </w:pPr>
      <w:r>
        <w:t>Sa maintenance, ses mises à jour réglementaires et son support ;</w:t>
      </w:r>
    </w:p>
    <w:p w14:paraId="3838294A" w14:textId="77777777" w:rsidR="00FC2744" w:rsidRDefault="009A3E3E">
      <w:pPr>
        <w:pStyle w:val="Sansinterligne"/>
      </w:pPr>
      <w:r>
        <w:t>Son éventuel maintien au-delà de la période initialement envisagée, en cas de report de l’entrée dans le dispositif de paye à façon ;</w:t>
      </w:r>
    </w:p>
    <w:p w14:paraId="5D94DB44" w14:textId="77777777" w:rsidR="00FC2744" w:rsidRDefault="009A3E3E">
      <w:pPr>
        <w:pStyle w:val="Sansinterligne"/>
      </w:pPr>
      <w:r>
        <w:t>Sa sortie et le transfert des données, documents et historiques produits pendant cette période.</w:t>
      </w:r>
    </w:p>
    <w:p w14:paraId="32ACA24F" w14:textId="77777777" w:rsidR="00FC2744" w:rsidRDefault="00FC2744"/>
    <w:p w14:paraId="23DB8C0A" w14:textId="77777777" w:rsidR="00FC2744" w:rsidRDefault="009A3E3E">
      <w:r>
        <w:t>Elle distingue également les prestations de préparation, de paramétrage et de tests liées à la paye à façon, l’accompagnement à l’entrée dans le dispositif ainsi que la stabilisation après la bascule.</w:t>
      </w:r>
    </w:p>
    <w:p w14:paraId="38981F38" w14:textId="77777777" w:rsidR="00FC2744" w:rsidRDefault="009A3E3E">
      <w:r>
        <w:t>Pour le lot n° 2, la DPGF distingue notamment les prestations relatives au dossier agent, à la gestion des congés, absences, RTT et comptes épargne-temps, au télétravail, à la formation, aux entretiens professionnels, aux déplacements professionnels et frais de mission, à la production documentaire, ainsi qu’aux interfaces avec le lot n° 1 et PEP.</w:t>
      </w:r>
    </w:p>
    <w:p w14:paraId="3EF27B0A" w14:textId="77777777" w:rsidR="00FC2744" w:rsidRDefault="009A3E3E">
      <w:r>
        <w:t xml:space="preserve">Pour chaque rubrique, la DPGF identifie, selon le cas, le caractère ponctuel ou récurrent de la prestation, sa période ou sa fréquence d’exécution et son montant. Les prestations récurrentes </w:t>
      </w:r>
      <w:r>
        <w:lastRenderedPageBreak/>
        <w:t>sont présentées par période contractuelle afin de permettre l’identification de leur coût sur la durée du marché.</w:t>
      </w:r>
    </w:p>
    <w:p w14:paraId="77670459" w14:textId="77777777" w:rsidR="00FC2744" w:rsidRDefault="009A3E3E">
      <w:r>
        <w:t>Une présentation limitée à un prix global unique de mise en œuvre ou à un abonnement global, ne permettant pas d’identifier les principales natures de prestations, n’est pas admise.</w:t>
      </w:r>
    </w:p>
    <w:p w14:paraId="461EC2BE" w14:textId="77777777" w:rsidR="00FC2744" w:rsidRDefault="009A3E3E">
      <w:r>
        <w:t>La DPGF permet le suivi financier et le paiement des prestations sans conférer à chacune de ses lignes le caractère d’une prestation autonome pouvant être supprimée ou commandée séparément.</w:t>
      </w:r>
    </w:p>
    <w:p w14:paraId="2521C8F8" w14:textId="77777777" w:rsidR="00FC2744" w:rsidRDefault="009A3E3E">
      <w:pPr>
        <w:pStyle w:val="Titre2"/>
      </w:pPr>
      <w:r>
        <w:t>10.4 — Prix unitaires</w:t>
      </w:r>
    </w:p>
    <w:p w14:paraId="1C2792AF" w14:textId="77777777" w:rsidR="00FC2744" w:rsidRDefault="009A3E3E">
      <w:r>
        <w:t>Le BPU peut notamment comporter des prix relatifs à des journées complémentaires d’expertise ou de paramétrage, à des formations supplémentaires, à des reprises de données hors du périmètre initial, à des développements ou interfaces complémentaires, à des licences ou utilisateurs supplémentaires lorsque le modèle tarifaire le justifie, ainsi qu’à des prestations complémentaires de réversibilité dépassant les obligations minimales comprises dans le forfait conformément à l’article 19.4.</w:t>
      </w:r>
    </w:p>
    <w:p w14:paraId="35330D14" w14:textId="77777777" w:rsidR="00FC2744" w:rsidRDefault="009A3E3E">
      <w:r>
        <w:t>Les prix unitaires ne sont appliqués qu’après émission d’un bon de commande.</w:t>
      </w:r>
    </w:p>
    <w:p w14:paraId="02899960" w14:textId="77777777" w:rsidR="00FC2744" w:rsidRDefault="009A3E3E">
      <w:pPr>
        <w:pStyle w:val="Titre1"/>
      </w:pPr>
      <w:r>
        <w:t>Article 11 — Variation des prix</w:t>
      </w:r>
    </w:p>
    <w:p w14:paraId="73CDBAEF" w14:textId="77777777" w:rsidR="00FC2744" w:rsidRDefault="009A3E3E">
      <w:pPr>
        <w:pStyle w:val="Titre2"/>
      </w:pPr>
      <w:r>
        <w:t>11.1 — Prestations initiales</w:t>
      </w:r>
    </w:p>
    <w:p w14:paraId="36895278" w14:textId="77777777" w:rsidR="00FC2744" w:rsidRDefault="009A3E3E">
      <w:r>
        <w:t>Les prix des prestations initiales de cadrage, de paramétrage, de reprise des données, de mise en œuvre, de formation, de tests et de mise en production sont fermes.</w:t>
      </w:r>
    </w:p>
    <w:p w14:paraId="4D2DA8E0" w14:textId="77777777" w:rsidR="00FC2744" w:rsidRDefault="009A3E3E">
      <w:r>
        <w:t>La date d’établissement des prix est la date de remise de l’offre par le titulaire. Lorsque la procédure donne lieu à la remise de plusieurs offres successives, la date prise en compte est celle de la remise de l’offre finale par le titulaire.</w:t>
      </w:r>
    </w:p>
    <w:p w14:paraId="6BB466B3" w14:textId="77777777" w:rsidR="00FC2744" w:rsidRDefault="009A3E3E">
      <w:r>
        <w:t>Lorsqu’un délai supérieur à trois mois s’écoule entre cette date et la date de début d’exécution des prestations concernées, les prix sont actualisés aux conditions économiques correspondant à une date antérieure de trois mois à la date de début d’exécution.</w:t>
      </w:r>
    </w:p>
    <w:p w14:paraId="02D4CC41" w14:textId="77777777" w:rsidR="00FC2744" w:rsidRDefault="00FC2744"/>
    <w:p w14:paraId="38AC8A64" w14:textId="77777777" w:rsidR="00FC2744" w:rsidRDefault="009A3E3E">
      <w:r>
        <w:t>L’actualisation est calculée selon la formule suivante :</w:t>
      </w:r>
    </w:p>
    <w:p w14:paraId="4E4601AF" w14:textId="77777777" w:rsidR="00FC2744" w:rsidRDefault="00FC2744"/>
    <w:p w14:paraId="6EBB81DE" w14:textId="77777777" w:rsidR="00FC2744" w:rsidRDefault="009A3E3E">
      <w:pPr>
        <w:rPr>
          <w:rStyle w:val="lev"/>
        </w:rPr>
      </w:pPr>
      <w:r>
        <w:rPr>
          <w:rStyle w:val="lev"/>
        </w:rPr>
        <w:t>Pa = P0 × (Sa / S0)</w:t>
      </w:r>
    </w:p>
    <w:p w14:paraId="2A72260C" w14:textId="77777777" w:rsidR="00FC2744" w:rsidRDefault="00FC2744"/>
    <w:p w14:paraId="782A72B2" w14:textId="77777777" w:rsidR="00FC2744" w:rsidRDefault="009A3E3E">
      <w:proofErr w:type="gramStart"/>
      <w:r>
        <w:t>dans</w:t>
      </w:r>
      <w:proofErr w:type="gramEnd"/>
      <w:r>
        <w:t xml:space="preserve"> laquelle :</w:t>
      </w:r>
    </w:p>
    <w:p w14:paraId="0F7F1CCA" w14:textId="77777777" w:rsidR="00FC2744" w:rsidRDefault="00FC2744"/>
    <w:p w14:paraId="1A802A42" w14:textId="77777777" w:rsidR="00FC2744" w:rsidRDefault="009A3E3E">
      <w:pPr>
        <w:pStyle w:val="Sansinterligne"/>
      </w:pPr>
      <w:r>
        <w:t>Pa est le prix actualisé ;</w:t>
      </w:r>
    </w:p>
    <w:p w14:paraId="41E1D448" w14:textId="77777777" w:rsidR="00FC2744" w:rsidRDefault="009A3E3E">
      <w:pPr>
        <w:pStyle w:val="Sansinterligne"/>
      </w:pPr>
      <w:r>
        <w:t>P0 est le prix initial figurant dans l’offre ;</w:t>
      </w:r>
    </w:p>
    <w:p w14:paraId="0F99B1BD" w14:textId="77777777" w:rsidR="00FC2744" w:rsidRDefault="009A3E3E">
      <w:pPr>
        <w:pStyle w:val="Sansinterligne"/>
      </w:pPr>
      <w:r>
        <w:t>S0 est la dernière valeur publiée de l’indice Syntec révisé à la date d’établissement du prix ;</w:t>
      </w:r>
    </w:p>
    <w:p w14:paraId="16446280" w14:textId="77777777" w:rsidR="00FC2744" w:rsidRDefault="009A3E3E">
      <w:pPr>
        <w:pStyle w:val="Sansinterligne"/>
      </w:pPr>
      <w:r>
        <w:t>Sa est la dernière valeur publiée du même indice correspondant à une date antérieure de trois mois à la date de début d’exécution des prestations.</w:t>
      </w:r>
    </w:p>
    <w:p w14:paraId="58837CE0" w14:textId="77777777" w:rsidR="00FC2744" w:rsidRDefault="00FC2744"/>
    <w:p w14:paraId="475A75F1" w14:textId="77777777" w:rsidR="00FC2744" w:rsidRDefault="009A3E3E">
      <w:r>
        <w:t>L’actualisation ne peut intervenir qu’une seule fois pour les prestations concernées. Le prix ainsi actualisé demeure ferme pendant leur exécution.</w:t>
      </w:r>
    </w:p>
    <w:p w14:paraId="746B6CD9" w14:textId="77777777" w:rsidR="00FC2744" w:rsidRDefault="009A3E3E">
      <w:pPr>
        <w:pStyle w:val="Titre2"/>
      </w:pPr>
      <w:r>
        <w:t>11.2 — Prestations récurrentes et prix unitaires</w:t>
      </w:r>
    </w:p>
    <w:p w14:paraId="583BB9EA" w14:textId="77777777" w:rsidR="00FC2744" w:rsidRDefault="009A3E3E">
      <w:r>
        <w:t>Les prix des prestations récurrentes ainsi que les prix figurant au BPU sont révisables annuellement à la date anniversaire de la notification du lot concerné.</w:t>
      </w:r>
    </w:p>
    <w:p w14:paraId="0658343B" w14:textId="77777777" w:rsidR="00FC2744" w:rsidRDefault="00FC2744"/>
    <w:p w14:paraId="00D87655" w14:textId="77777777" w:rsidR="00FC2744" w:rsidRDefault="009A3E3E">
      <w:r>
        <w:t>La révision est calculée selon la formule suivante :</w:t>
      </w:r>
    </w:p>
    <w:p w14:paraId="0B404584" w14:textId="77777777" w:rsidR="00FC2744" w:rsidRDefault="00FC2744"/>
    <w:p w14:paraId="3BB799FE" w14:textId="77777777" w:rsidR="00FC2744" w:rsidRDefault="009A3E3E">
      <w:pPr>
        <w:rPr>
          <w:rStyle w:val="lev"/>
        </w:rPr>
      </w:pPr>
      <w:proofErr w:type="spellStart"/>
      <w:r>
        <w:rPr>
          <w:rStyle w:val="lev"/>
        </w:rPr>
        <w:t>Pn</w:t>
      </w:r>
      <w:proofErr w:type="spellEnd"/>
      <w:r>
        <w:rPr>
          <w:rStyle w:val="lev"/>
        </w:rPr>
        <w:t xml:space="preserve"> = P0 × (Sn / S0)</w:t>
      </w:r>
    </w:p>
    <w:p w14:paraId="0D9B7DBB" w14:textId="77777777" w:rsidR="00FC2744" w:rsidRDefault="00FC2744"/>
    <w:p w14:paraId="21331FA4" w14:textId="77777777" w:rsidR="00FC2744" w:rsidRDefault="009A3E3E">
      <w:proofErr w:type="gramStart"/>
      <w:r>
        <w:t>dans</w:t>
      </w:r>
      <w:proofErr w:type="gramEnd"/>
      <w:r>
        <w:t xml:space="preserve"> laquelle :</w:t>
      </w:r>
    </w:p>
    <w:p w14:paraId="41518C9A" w14:textId="77777777" w:rsidR="00FC2744" w:rsidRDefault="00FC2744"/>
    <w:p w14:paraId="708BC85C" w14:textId="77777777" w:rsidR="00FC2744" w:rsidRDefault="009A3E3E">
      <w:pPr>
        <w:pStyle w:val="Sansinterligne"/>
      </w:pPr>
      <w:proofErr w:type="spellStart"/>
      <w:r>
        <w:t>Pn</w:t>
      </w:r>
      <w:proofErr w:type="spellEnd"/>
      <w:r>
        <w:t xml:space="preserve"> est le prix révisé applicable à compter de la date de révision ;</w:t>
      </w:r>
    </w:p>
    <w:p w14:paraId="3D925826" w14:textId="77777777" w:rsidR="00FC2744" w:rsidRDefault="009A3E3E">
      <w:pPr>
        <w:pStyle w:val="Sansinterligne"/>
      </w:pPr>
      <w:r>
        <w:t>P0 est le prix initial figurant dans la DPGF ou le BPU ;</w:t>
      </w:r>
    </w:p>
    <w:p w14:paraId="324C84D8" w14:textId="77777777" w:rsidR="00FC2744" w:rsidRDefault="009A3E3E">
      <w:pPr>
        <w:pStyle w:val="Sansinterligne"/>
      </w:pPr>
      <w:r>
        <w:t>S0 est la dernière valeur publiée de l’indice Syntec révisé à la date d’établissement du prix ;</w:t>
      </w:r>
    </w:p>
    <w:p w14:paraId="3C91208B" w14:textId="77777777" w:rsidR="00FC2744" w:rsidRDefault="009A3E3E">
      <w:pPr>
        <w:pStyle w:val="Sansinterligne"/>
      </w:pPr>
      <w:r>
        <w:t>Sn est la dernière valeur publiée du même indice à la date de révision.</w:t>
      </w:r>
    </w:p>
    <w:p w14:paraId="269A58AD" w14:textId="77777777" w:rsidR="00FC2744" w:rsidRDefault="00FC2744"/>
    <w:p w14:paraId="0A48B912" w14:textId="77777777" w:rsidR="00FC2744" w:rsidRDefault="009A3E3E">
      <w:r>
        <w:t>La révision s’applique à la hausse comme à la baisse. Les prix ainsi révisés s’appliquent aux prestations exécutées à compter de la date anniversaire concernée.</w:t>
      </w:r>
    </w:p>
    <w:p w14:paraId="22F0A150" w14:textId="77777777" w:rsidR="00FC2744" w:rsidRDefault="009A3E3E">
      <w:pPr>
        <w:rPr>
          <w:rStyle w:val="lev"/>
        </w:rPr>
      </w:pPr>
      <w:r>
        <w:rPr>
          <w:rStyle w:val="lev"/>
        </w:rPr>
        <w:t>L’indice de référence est l’indice Syntec révisé, publié par la Fédération Syntec.</w:t>
      </w:r>
    </w:p>
    <w:p w14:paraId="04692F44" w14:textId="77777777" w:rsidR="00FC2744" w:rsidRDefault="009A3E3E">
      <w:r>
        <w:t>En cas de changement de base, les valeurs sont raccordées au moyen du coefficient publié par l’organisme compétent. En cas de disparition de l’indice, l’indice qui lui est substitué par l’organisme qui le publie est appliqué. À défaut d’indice de remplacement, les parties retiennent un indice présentant un objet aussi proche que possible de la structure économique des prestations.</w:t>
      </w:r>
    </w:p>
    <w:p w14:paraId="5246F5D4" w14:textId="77777777" w:rsidR="00FC2744" w:rsidRDefault="009A3E3E">
      <w:pPr>
        <w:pStyle w:val="Titre1"/>
      </w:pPr>
      <w:r>
        <w:t>Article 12 — Avance, facturation et paiement</w:t>
      </w:r>
    </w:p>
    <w:p w14:paraId="0751B3B7" w14:textId="77777777" w:rsidR="00FC2744" w:rsidRDefault="009A3E3E">
      <w:pPr>
        <w:pStyle w:val="Titre2"/>
      </w:pPr>
      <w:r>
        <w:t>12.1 — Avance</w:t>
      </w:r>
    </w:p>
    <w:p w14:paraId="646823F5" w14:textId="77777777" w:rsidR="00FC2744" w:rsidRDefault="009A3E3E">
      <w:r>
        <w:t>Une avance est accordée dans les conditions prévues par le Code de la commande publique et le CCAG-TIC. Le titulaire peut renoncer au bénéfice de l’avance dans l’acte d’engagement.</w:t>
      </w:r>
    </w:p>
    <w:p w14:paraId="0A385BDA" w14:textId="77777777" w:rsidR="00FC2744" w:rsidRDefault="009A3E3E">
      <w:r>
        <w:t>Pour la partie forfaitaire de chaque lot, l’avance est déterminée au regard du montant et de la durée de cette partie. Pour la partie à bons de commande conclue sans minimum, l’avance est appréciée pour chaque bon de commande dans les conditions réglementaires applicables.</w:t>
      </w:r>
    </w:p>
    <w:p w14:paraId="2F28789D" w14:textId="77777777" w:rsidR="00FC2744" w:rsidRDefault="009A3E3E">
      <w:r>
        <w:t>Le taux, les modalités de versement et de remboursement de l’avance sont ceux prévus par la réglementation en vigueur, sauf stipulation plus favorable figurant dans l’acte d’engagement.</w:t>
      </w:r>
    </w:p>
    <w:p w14:paraId="3EA7DE46" w14:textId="77777777" w:rsidR="00FC2744" w:rsidRDefault="009A3E3E">
      <w:pPr>
        <w:pStyle w:val="Titre2"/>
      </w:pPr>
      <w:r>
        <w:lastRenderedPageBreak/>
        <w:t>12.2 — Prestations forfaitaires initiales</w:t>
      </w:r>
    </w:p>
    <w:p w14:paraId="490708F5" w14:textId="77777777" w:rsidR="00FC2744" w:rsidRDefault="009A3E3E">
      <w:r>
        <w:t>Les prestations forfaitaires initiales sont payées progressivement selon les jalons et l’échéancier financier figurant dans la DPGF du lot concerné.</w:t>
      </w:r>
    </w:p>
    <w:p w14:paraId="2DEF7D91" w14:textId="77777777" w:rsidR="00FC2744" w:rsidRDefault="009A3E3E">
      <w:r>
        <w:t xml:space="preserve">L’échéancier financier est établi en cohérence avec les phases, livrables et opérations de </w:t>
      </w:r>
      <w:proofErr w:type="gramStart"/>
      <w:r>
        <w:t>vérification prévus</w:t>
      </w:r>
      <w:proofErr w:type="gramEnd"/>
      <w:r>
        <w:t xml:space="preserve"> par le CCTP. Il précise, pour chaque échéance :</w:t>
      </w:r>
    </w:p>
    <w:p w14:paraId="57B0DFFE" w14:textId="77777777" w:rsidR="00FC2744" w:rsidRDefault="009A3E3E">
      <w:pPr>
        <w:pStyle w:val="Sansinterligne"/>
      </w:pPr>
      <w:proofErr w:type="gramStart"/>
      <w:r>
        <w:t>le</w:t>
      </w:r>
      <w:proofErr w:type="gramEnd"/>
      <w:r>
        <w:t xml:space="preserve"> jalon ou la phase concernée ;</w:t>
      </w:r>
    </w:p>
    <w:p w14:paraId="378DF595" w14:textId="77777777" w:rsidR="00FC2744" w:rsidRDefault="009A3E3E">
      <w:pPr>
        <w:pStyle w:val="Sansinterligne"/>
      </w:pPr>
      <w:proofErr w:type="gramStart"/>
      <w:r>
        <w:t>les</w:t>
      </w:r>
      <w:proofErr w:type="gramEnd"/>
      <w:r>
        <w:t xml:space="preserve"> prestations auxquelles se rapporte le paiement ;</w:t>
      </w:r>
    </w:p>
    <w:p w14:paraId="5C131497" w14:textId="77777777" w:rsidR="00FC2744" w:rsidRDefault="009A3E3E">
      <w:pPr>
        <w:pStyle w:val="Sansinterligne"/>
      </w:pPr>
      <w:proofErr w:type="gramStart"/>
      <w:r>
        <w:t>les</w:t>
      </w:r>
      <w:proofErr w:type="gramEnd"/>
      <w:r>
        <w:t xml:space="preserve"> livrables attendus ;</w:t>
      </w:r>
    </w:p>
    <w:p w14:paraId="6309DF49" w14:textId="77777777" w:rsidR="00FC2744" w:rsidRDefault="009A3E3E">
      <w:pPr>
        <w:pStyle w:val="Sansinterligne"/>
      </w:pPr>
      <w:proofErr w:type="gramStart"/>
      <w:r>
        <w:t>les</w:t>
      </w:r>
      <w:proofErr w:type="gramEnd"/>
      <w:r>
        <w:t xml:space="preserve"> critères et modalités de vérification ;</w:t>
      </w:r>
    </w:p>
    <w:p w14:paraId="0CC7EC15" w14:textId="77777777" w:rsidR="00FC2744" w:rsidRDefault="009A3E3E">
      <w:pPr>
        <w:pStyle w:val="Sansinterligne"/>
      </w:pPr>
      <w:proofErr w:type="gramStart"/>
      <w:r>
        <w:t>le</w:t>
      </w:r>
      <w:proofErr w:type="gramEnd"/>
      <w:r>
        <w:t xml:space="preserve"> document ou l’élément permettant de justifier la constatation du service fait ;</w:t>
      </w:r>
    </w:p>
    <w:p w14:paraId="6CB89F11" w14:textId="77777777" w:rsidR="00FC2744" w:rsidRDefault="009A3E3E">
      <w:pPr>
        <w:pStyle w:val="Sansinterligne"/>
      </w:pPr>
      <w:proofErr w:type="gramStart"/>
      <w:r>
        <w:t>le</w:t>
      </w:r>
      <w:proofErr w:type="gramEnd"/>
      <w:r>
        <w:t xml:space="preserve"> pourcentage et le montant hors taxes du prix payable.</w:t>
      </w:r>
    </w:p>
    <w:p w14:paraId="01BB4D49" w14:textId="77777777" w:rsidR="00FC2744" w:rsidRDefault="00FC2744"/>
    <w:p w14:paraId="0990919C" w14:textId="77777777" w:rsidR="00FC2744" w:rsidRDefault="009A3E3E">
      <w:r>
        <w:t>Le paiement de chaque échéance est subordonné à la réalisation effective des prestations concernées, à la remise des livrables correspondants, à leur vérification et, selon le cas, à leur validation ou à leur admission par l’OFDT, ainsi qu’à la réception d’une demande de paiement conforme.</w:t>
      </w:r>
    </w:p>
    <w:p w14:paraId="0A2EC7F9" w14:textId="77777777" w:rsidR="00FC2744" w:rsidRDefault="00FC2744"/>
    <w:p w14:paraId="3FBA4BB4" w14:textId="77777777" w:rsidR="00FC2744" w:rsidRDefault="009A3E3E">
      <w:r>
        <w:t>Aucune échéance de paiement ne peut être fondée exclusivement sur la notification du marché, l’écoulement d’un délai ou une date calendaire, indépendamment de la réalisation des prestations correspondantes.</w:t>
      </w:r>
    </w:p>
    <w:p w14:paraId="68F70212" w14:textId="77777777" w:rsidR="00FC2744" w:rsidRDefault="009A3E3E">
      <w:r>
        <w:t>La somme des échéances prévues par l’échéancier financier correspond au montant total des prestations forfaitaires initiales figurant dans la DPGF.</w:t>
      </w:r>
    </w:p>
    <w:p w14:paraId="67176300" w14:textId="77777777" w:rsidR="00FC2744" w:rsidRDefault="009A3E3E">
      <w:pPr>
        <w:pStyle w:val="Titre2"/>
      </w:pPr>
      <w:r>
        <w:t>12.3 — Prestations récurrentes</w:t>
      </w:r>
    </w:p>
    <w:p w14:paraId="073DD783" w14:textId="77777777" w:rsidR="00FC2744" w:rsidRDefault="009A3E3E">
      <w:r>
        <w:t>Les prestations récurrentes, notamment les abonnements ou droits d’usage, l’hébergement, l’exploitation du dispositif transitoire de paie, la maintenance, l’assistance et le support, sont facturées trimestriellement à terme échu, sauf modalité différente expressément prévue dans les pièces financières.</w:t>
      </w:r>
    </w:p>
    <w:p w14:paraId="6A816E44" w14:textId="77777777" w:rsidR="00FC2744" w:rsidRDefault="009A3E3E">
      <w:r>
        <w:t>Le titulaire accompagne sa facture d’un relevé synthétique permettant d’identifier la période concernée, les services fournis, les éventuels incidents significatifs et les prestations particulières réalisées.</w:t>
      </w:r>
    </w:p>
    <w:p w14:paraId="027010F5" w14:textId="77777777" w:rsidR="00FC2744" w:rsidRDefault="009A3E3E">
      <w:pPr>
        <w:pStyle w:val="Titre2"/>
      </w:pPr>
      <w:r>
        <w:t>12.4 — Bons de commande</w:t>
      </w:r>
    </w:p>
    <w:p w14:paraId="204729D9" w14:textId="77777777" w:rsidR="00FC2744" w:rsidRDefault="009A3E3E">
      <w:r>
        <w:t xml:space="preserve">Les prestations exécutées sur bons de commande sont facturées après leur réalisation et la constatation du service fait. Lorsque leur durée ou leur nature le justifie, le bon de commande peut prévoir plusieurs échéances rattachées à des livrables ou </w:t>
      </w:r>
      <w:proofErr w:type="gramStart"/>
      <w:r>
        <w:t>étapes identifiés</w:t>
      </w:r>
      <w:proofErr w:type="gramEnd"/>
      <w:r>
        <w:t>.</w:t>
      </w:r>
    </w:p>
    <w:p w14:paraId="651D2F11" w14:textId="77777777" w:rsidR="00FC2744" w:rsidRDefault="009A3E3E">
      <w:pPr>
        <w:pStyle w:val="Titre2"/>
      </w:pPr>
      <w:r>
        <w:t>12.5 — Présentation et délai de paiement</w:t>
      </w:r>
    </w:p>
    <w:p w14:paraId="2BA389BA" w14:textId="77777777" w:rsidR="00FC2744" w:rsidRDefault="009A3E3E">
      <w:r>
        <w:t>Les demandes de paiement sont déposées par voie électronique sur Chorus Pro.</w:t>
      </w:r>
    </w:p>
    <w:p w14:paraId="3BE76349" w14:textId="77777777" w:rsidR="00FC2744" w:rsidRDefault="009A3E3E">
      <w:r>
        <w:t>Une facture distincte est établie pour chaque lot.</w:t>
      </w:r>
    </w:p>
    <w:p w14:paraId="36D8C2A2" w14:textId="77777777" w:rsidR="00FC2744" w:rsidRDefault="009A3E3E">
      <w:r>
        <w:t>Outre les mentions réglementaires applicables, chaque facture permet d’identifier clairement :</w:t>
      </w:r>
    </w:p>
    <w:p w14:paraId="34AF95E5" w14:textId="77777777" w:rsidR="00FC2744" w:rsidRDefault="009A3E3E">
      <w:pPr>
        <w:pStyle w:val="Sansinterligne"/>
      </w:pPr>
      <w:r>
        <w:lastRenderedPageBreak/>
        <w:t>La référence du marché et le lot concerné ;</w:t>
      </w:r>
    </w:p>
    <w:p w14:paraId="4F165240" w14:textId="77777777" w:rsidR="00FC2744" w:rsidRDefault="009A3E3E">
      <w:pPr>
        <w:pStyle w:val="Sansinterligne"/>
      </w:pPr>
      <w:r>
        <w:t>Le numéro d’engagement juridique communiqué par l’OFDT ;</w:t>
      </w:r>
    </w:p>
    <w:p w14:paraId="265E35D9" w14:textId="77777777" w:rsidR="00FC2744" w:rsidRDefault="009A3E3E">
      <w:pPr>
        <w:pStyle w:val="Sansinterligne"/>
      </w:pPr>
      <w:r>
        <w:t>Le jalon, la période d’exécution ou le bon de commande auquel elle se rapporte ;</w:t>
      </w:r>
    </w:p>
    <w:p w14:paraId="07447C15" w14:textId="77777777" w:rsidR="00FC2744" w:rsidRDefault="009A3E3E">
      <w:pPr>
        <w:pStyle w:val="Sansinterligne"/>
      </w:pPr>
      <w:r>
        <w:t>La nature des prestations facturées et, lorsque cela est pertinent, les rubriques correspondantes de la DPGF ou du BPU ;</w:t>
      </w:r>
    </w:p>
    <w:p w14:paraId="6958F895" w14:textId="77777777" w:rsidR="00FC2744" w:rsidRDefault="009A3E3E">
      <w:pPr>
        <w:pStyle w:val="Sansinterligne"/>
      </w:pPr>
      <w:r>
        <w:t>Le montant hors taxes ;</w:t>
      </w:r>
    </w:p>
    <w:p w14:paraId="15456CDC" w14:textId="77777777" w:rsidR="00FC2744" w:rsidRDefault="009A3E3E">
      <w:pPr>
        <w:pStyle w:val="Sansinterligne"/>
      </w:pPr>
      <w:r>
        <w:t>Le taux et le montant de la TVA applicable ;</w:t>
      </w:r>
    </w:p>
    <w:p w14:paraId="236DE9A6" w14:textId="77777777" w:rsidR="00FC2744" w:rsidRDefault="009A3E3E">
      <w:pPr>
        <w:pStyle w:val="Sansinterligne"/>
      </w:pPr>
      <w:r>
        <w:t>Le montant toutes taxes comprises ;</w:t>
      </w:r>
    </w:p>
    <w:p w14:paraId="4AA941D9" w14:textId="77777777" w:rsidR="00FC2744" w:rsidRDefault="009A3E3E">
      <w:pPr>
        <w:pStyle w:val="Sansinterligne"/>
      </w:pPr>
      <w:r>
        <w:t>Le cas échéant, le numéro du bon de commande ;</w:t>
      </w:r>
    </w:p>
    <w:p w14:paraId="5A4FF2AE" w14:textId="77777777" w:rsidR="00FC2744" w:rsidRDefault="009A3E3E">
      <w:pPr>
        <w:pStyle w:val="Sansinterligne"/>
      </w:pPr>
      <w:r>
        <w:t>Le cas échéant, les éléments de calcul de l’actualisation ou de la révision des prix, notamment les indices et valeurs retenus ;</w:t>
      </w:r>
    </w:p>
    <w:p w14:paraId="481DD6AD" w14:textId="77777777" w:rsidR="00FC2744" w:rsidRDefault="009A3E3E">
      <w:pPr>
        <w:pStyle w:val="Sansinterligne"/>
      </w:pPr>
      <w:r>
        <w:t>Le cas échéant, les éléments relatifs au remboursement de l’avance.</w:t>
      </w:r>
    </w:p>
    <w:p w14:paraId="3BC1800B" w14:textId="77777777" w:rsidR="00FC2744" w:rsidRDefault="00FC2744"/>
    <w:p w14:paraId="0959EDA2" w14:textId="77777777" w:rsidR="00FC2744" w:rsidRDefault="009A3E3E">
      <w:r>
        <w:t>La demande de paiement est accompagnée des pièces prévues par l’échéancier financier ou nécessaires à la constatation du service fait. Selon la nature des prestations, il peut notamment s’agir de la décision de validation ou d’admission du jalon, des livrables remis, du relevé des prestations réalisées, des justificatifs de formation ou du bon de commande correspondant.</w:t>
      </w:r>
    </w:p>
    <w:p w14:paraId="59FE05D7" w14:textId="77777777" w:rsidR="00FC2744" w:rsidRDefault="00FC2744"/>
    <w:p w14:paraId="0132E678" w14:textId="77777777" w:rsidR="00FC2744" w:rsidRDefault="009A3E3E">
      <w:r>
        <w:t>Les informations de facturation sur Chorus Pro sont les suivantes :</w:t>
      </w:r>
    </w:p>
    <w:p w14:paraId="18C04983" w14:textId="77777777" w:rsidR="00FC2744" w:rsidRDefault="009A3E3E">
      <w:pPr>
        <w:pStyle w:val="Sansinterligne"/>
      </w:pPr>
      <w:r>
        <w:t>SIRET du destinataire : 180 036 105 00047 ;</w:t>
      </w:r>
    </w:p>
    <w:p w14:paraId="23D0D7BF" w14:textId="77777777" w:rsidR="00FC2744" w:rsidRDefault="009A3E3E">
      <w:pPr>
        <w:pStyle w:val="Sansinterligne"/>
      </w:pPr>
      <w:proofErr w:type="gramStart"/>
      <w:r>
        <w:t>code</w:t>
      </w:r>
      <w:proofErr w:type="gramEnd"/>
      <w:r>
        <w:t xml:space="preserve"> du service destinataire : communiqué au titulaire après la notification ;</w:t>
      </w:r>
    </w:p>
    <w:p w14:paraId="1DF17F5C" w14:textId="77777777" w:rsidR="00FC2744" w:rsidRDefault="009A3E3E">
      <w:pPr>
        <w:pStyle w:val="Sansinterligne"/>
      </w:pPr>
      <w:proofErr w:type="gramStart"/>
      <w:r>
        <w:t>numéro</w:t>
      </w:r>
      <w:proofErr w:type="gramEnd"/>
      <w:r>
        <w:t xml:space="preserve"> d’engagement juridique : communiqué au titulaire après notification ou lors de l’émission du bon de commande ;</w:t>
      </w:r>
    </w:p>
    <w:p w14:paraId="54AFBAC2" w14:textId="77777777" w:rsidR="00FC2744" w:rsidRDefault="009A3E3E">
      <w:pPr>
        <w:pStyle w:val="Sansinterligne"/>
      </w:pPr>
      <w:proofErr w:type="gramStart"/>
      <w:r>
        <w:t>autres</w:t>
      </w:r>
      <w:proofErr w:type="gramEnd"/>
      <w:r>
        <w:t xml:space="preserve"> références nécessaires : communiquées au titulaire, le cas échéant.</w:t>
      </w:r>
    </w:p>
    <w:p w14:paraId="749C8DDC" w14:textId="77777777" w:rsidR="00FC2744" w:rsidRDefault="00FC2744"/>
    <w:p w14:paraId="34FB304D" w14:textId="77777777" w:rsidR="00FC2744" w:rsidRDefault="009A3E3E">
      <w:r>
        <w:t>Le délai global de paiement est de trente jours, dans les conditions prévues par la réglementation. En cas de demande de paiement incomplète ou incohérente, l’OFDT indique au titulaire les éléments devant être corrigés ou complétés.</w:t>
      </w:r>
    </w:p>
    <w:p w14:paraId="2378CBB9" w14:textId="77777777" w:rsidR="00FC2744" w:rsidRDefault="009A3E3E">
      <w:pPr>
        <w:pStyle w:val="Titre1"/>
      </w:pPr>
      <w:r>
        <w:t>Article 13 — Vérifications, admission et service fait</w:t>
      </w:r>
    </w:p>
    <w:p w14:paraId="6C2C3233" w14:textId="77777777" w:rsidR="00FC2744" w:rsidRDefault="009A3E3E">
      <w:pPr>
        <w:pStyle w:val="Titre2"/>
      </w:pPr>
      <w:r>
        <w:t>13.1 — Principes</w:t>
      </w:r>
    </w:p>
    <w:p w14:paraId="768EBEFE" w14:textId="77777777" w:rsidR="00FC2744" w:rsidRDefault="009A3E3E">
      <w:r>
        <w:t>Les prestations font l’objet des opérations de vérification prévues par le CCAG-TIC. Les vérifications ont pour objet de s’assurer que les prestations et livrables sont conformes aux exigences du marché et permettent l’utilisation attendue par l’OFDT.</w:t>
      </w:r>
    </w:p>
    <w:p w14:paraId="5D4208D6" w14:textId="77777777" w:rsidR="00FC2744" w:rsidRDefault="009A3E3E">
      <w:r>
        <w:t>Elles peuvent porter notamment sur le fonctionnement des fonctionnalités attendues, la qualité et l’intégrité des données reprises, les interfaces, les habilitations et circuits de validation, la conformité des documents et restitutions produits, ainsi que la documentation nécessaire.</w:t>
      </w:r>
    </w:p>
    <w:p w14:paraId="4959EF9B" w14:textId="77777777" w:rsidR="00FC2744" w:rsidRDefault="009A3E3E">
      <w:pPr>
        <w:pStyle w:val="Titre2"/>
      </w:pPr>
      <w:r>
        <w:t>13.2 — Organisation</w:t>
      </w:r>
    </w:p>
    <w:p w14:paraId="1A49DC6F" w14:textId="77777777" w:rsidR="00FC2744" w:rsidRDefault="009A3E3E">
      <w:r>
        <w:t>Les modalités pratiques et les principales périodes de vérification sont précisées dans le calendrier contractuel. L’OFDT peut procéder lui-même aux vérifications ou demander au titulaire de présenter les résultats des tests réalisés, accompagnés des éléments nécessaires à leur contrôle.</w:t>
      </w:r>
    </w:p>
    <w:p w14:paraId="1E9A60F9" w14:textId="77777777" w:rsidR="00FC2744" w:rsidRDefault="009A3E3E">
      <w:r>
        <w:lastRenderedPageBreak/>
        <w:t>Les vérifications et admissions peuvent être prononcées par phase, fonctionnalité, interface ou ensemble cohérent de prestations afin de permettre une mise en œuvre progressive.</w:t>
      </w:r>
    </w:p>
    <w:p w14:paraId="2386F159" w14:textId="77777777" w:rsidR="00FC2744" w:rsidRDefault="009A3E3E">
      <w:pPr>
        <w:pStyle w:val="Titre2"/>
      </w:pPr>
      <w:r>
        <w:t>13.3 — Décisions après vérification</w:t>
      </w:r>
    </w:p>
    <w:p w14:paraId="0AE5A25A" w14:textId="77777777" w:rsidR="00FC2744" w:rsidRDefault="009A3E3E">
      <w:r>
        <w:t>À l’issue des vérifications, l’OFDT prend l’une des décisions prévues par le CCAG-TIC : admission, ajournement, réfaction ou rejet.</w:t>
      </w:r>
    </w:p>
    <w:p w14:paraId="269200F5" w14:textId="77777777" w:rsidR="00FC2744" w:rsidRDefault="009A3E3E">
      <w:r>
        <w:t>En cas d’anomalie ou de non-conformité, l’OFDT informe le titulaire des corrections attendues. Les corrections nécessaires pour rendre une prestation conforme au périmètre obligatoire sont réalisées sans rémunération supplémentaire.</w:t>
      </w:r>
    </w:p>
    <w:p w14:paraId="4A3B7B90" w14:textId="77777777" w:rsidR="00FC2744" w:rsidRDefault="009A3E3E">
      <w:r>
        <w:t>Les anomalies mineures ne faisant pas obstacle à l’utilisation de la solution peuvent être consignées et corrigées dans un délai convenu sans retarder l’admission des autres prestations.</w:t>
      </w:r>
    </w:p>
    <w:p w14:paraId="670024DE" w14:textId="77777777" w:rsidR="00FC2744" w:rsidRDefault="009A3E3E">
      <w:r>
        <w:t>Par dérogation à l’article 33.2.2 du CCAG-TIC, l’OFDT dispose d’un délai maximal de quinze jours ouvrés à l’issue de la vérification de service régulier pour notifier sa décision. À défaut de notification dans ce délai, les prestations concernées sont réputées admises.</w:t>
      </w:r>
    </w:p>
    <w:p w14:paraId="0B934586" w14:textId="77777777" w:rsidR="00FC2744" w:rsidRDefault="009A3E3E">
      <w:pPr>
        <w:pStyle w:val="Titre2"/>
      </w:pPr>
      <w:r>
        <w:t>13.4 — Service fait</w:t>
      </w:r>
    </w:p>
    <w:p w14:paraId="2BDED63C" w14:textId="77777777" w:rsidR="00FC2744" w:rsidRDefault="009A3E3E">
      <w:r>
        <w:t>La seule remise d’un livrable, la mise à disposition d’une solution ou l’émission d’une facture ne vaut pas constatation du service fait.</w:t>
      </w:r>
    </w:p>
    <w:p w14:paraId="1ECD8A40" w14:textId="77777777" w:rsidR="00FC2744" w:rsidRDefault="009A3E3E">
      <w:r>
        <w:t>Le service fait est constaté après vérification de la bonne exécution de la prestation correspondante et, lorsqu’elle est requise, après admission. Pour les prestations récurrentes, il est apprécié au regard de la fourniture effective des services pendant la période facturée.</w:t>
      </w:r>
    </w:p>
    <w:p w14:paraId="4E3D738B" w14:textId="77777777" w:rsidR="00FC2744" w:rsidRDefault="009A3E3E">
      <w:r>
        <w:t>Les pièces permettant de justifier le service fait sont adaptées à la nature des prestations exécutées. Elles comprennent notamment, selon le cas, les livrables remis et validés, les rapports de tests ou de vérification, les procès-verbaux ou décisions d’admission, les relevés de services relatifs aux prestations récurrentes, les justificatifs de réalisation des formations, les bilans ou comptes rendus d’intervention ainsi que tout document permettant d’établir la réalité et la conformité des prestations exécutées. Pour les prestations exécutées sur bon de commande, ces pièces permettent également d’identifier le bon de commande auquel elles se rapportent.</w:t>
      </w:r>
    </w:p>
    <w:p w14:paraId="2686817A" w14:textId="77777777" w:rsidR="00FC2744" w:rsidRDefault="009A3E3E">
      <w:pPr>
        <w:pStyle w:val="Titre1"/>
      </w:pPr>
      <w:r>
        <w:t>Article 14 — Maintenance et assistance</w:t>
      </w:r>
    </w:p>
    <w:p w14:paraId="1121E0F7" w14:textId="77777777" w:rsidR="00FC2744" w:rsidRDefault="009A3E3E">
      <w:pPr>
        <w:pStyle w:val="Titre2"/>
      </w:pPr>
      <w:r>
        <w:t>14.1 — Périmètre</w:t>
      </w:r>
    </w:p>
    <w:p w14:paraId="5BC02DAF" w14:textId="77777777" w:rsidR="00FC2744" w:rsidRDefault="009A3E3E">
      <w:r>
        <w:t>Pendant toute la durée du marché, le titulaire assure la maintenance et l’assistance nécessaires au fonctionnement régulier des solutions relevant de son lot.</w:t>
      </w:r>
    </w:p>
    <w:p w14:paraId="76A57720" w14:textId="77777777" w:rsidR="00FC2744" w:rsidRDefault="009A3E3E">
      <w:r>
        <w:t>Ces prestations comprennent notamment la maintenance corrective, adaptative, réglementaire et de sécurité, les mises à jour standard nécessaires au maintien en conformité, la maintenance des interfaces relevant du marché, l’assistance à l’utilisation et la mise à jour de la documentation lorsque les évolutions le nécessitent.</w:t>
      </w:r>
    </w:p>
    <w:p w14:paraId="44D7FDB0" w14:textId="77777777" w:rsidR="00FC2744" w:rsidRDefault="009A3E3E">
      <w:r>
        <w:t>Les corrections nécessaires au respect du périmètre contractuel sont comprises dans les prix du marché.</w:t>
      </w:r>
    </w:p>
    <w:p w14:paraId="2D2C148B" w14:textId="77777777" w:rsidR="00FC2744" w:rsidRDefault="009A3E3E">
      <w:pPr>
        <w:pStyle w:val="Titre2"/>
      </w:pPr>
      <w:r>
        <w:lastRenderedPageBreak/>
        <w:t>14.2 — Organisation de l’assistance</w:t>
      </w:r>
    </w:p>
    <w:p w14:paraId="0F1CD68A" w14:textId="77777777" w:rsidR="00FC2744" w:rsidRDefault="009A3E3E">
      <w:r>
        <w:t>Le titulaire met à disposition de l’OFDT un point de contact permettant de déclarer et de suivre les incidents et demandes d’assistance.</w:t>
      </w:r>
    </w:p>
    <w:p w14:paraId="605F2EE4" w14:textId="77777777" w:rsidR="00FC2744" w:rsidRDefault="009A3E3E">
      <w:r>
        <w:t>Il précise dans son offre ses modalités de contact, les plages de disponibilité du support, les modalités de suivi, ses engagements de prise en charge et de résolution, ainsi que l’organisation proposée pendant les périodes sensibles, notamment celles liées à la préparation et à la transmission de la paie.</w:t>
      </w:r>
    </w:p>
    <w:p w14:paraId="3E96DAF6" w14:textId="77777777" w:rsidR="00FC2744" w:rsidRDefault="009A3E3E">
      <w:r>
        <w:t>Les engagements présentés dans l’offre et acceptés par l’OFDT deviennent contractuels.</w:t>
      </w:r>
    </w:p>
    <w:p w14:paraId="3C5AEC0E" w14:textId="77777777" w:rsidR="00FC2744" w:rsidRDefault="009A3E3E">
      <w:r>
        <w:t>Le titulaire fournit, à la demande de l’OFDT, un état synthétique des incidents significatifs et des demandes en cours.</w:t>
      </w:r>
    </w:p>
    <w:p w14:paraId="071EA304" w14:textId="77777777" w:rsidR="00FC2744" w:rsidRDefault="009A3E3E">
      <w:pPr>
        <w:pStyle w:val="Titre2"/>
      </w:pPr>
      <w:r>
        <w:t>14.3 — Classification des incidents</w:t>
      </w:r>
    </w:p>
    <w:p w14:paraId="3D608055" w14:textId="77777777" w:rsidR="00FC2744" w:rsidRDefault="009A3E3E">
      <w:r>
        <w:t>Les incidents sont classés selon leur incidence sur l’activité :</w:t>
      </w:r>
    </w:p>
    <w:p w14:paraId="3A281957" w14:textId="77777777" w:rsidR="00FC2744" w:rsidRDefault="009A3E3E">
      <w:pPr>
        <w:pStyle w:val="Sansinterligne"/>
      </w:pPr>
      <w:r>
        <w:t>Incident bloquant : impossibilité d’utiliser une fonction indispensable, sans solution de contournement acceptable ;</w:t>
      </w:r>
    </w:p>
    <w:p w14:paraId="2F60FDFE" w14:textId="77777777" w:rsidR="00FC2744" w:rsidRDefault="009A3E3E">
      <w:pPr>
        <w:pStyle w:val="Sansinterligne"/>
      </w:pPr>
      <w:r>
        <w:t>Incident majeur : dégradation importante d’une fonction essentielle, avec une solution de contournement temporaire ;</w:t>
      </w:r>
    </w:p>
    <w:p w14:paraId="36FCB584" w14:textId="77777777" w:rsidR="00FC2744" w:rsidRDefault="009A3E3E">
      <w:pPr>
        <w:pStyle w:val="Sansinterligne"/>
      </w:pPr>
      <w:r>
        <w:t>Incident courant : anomalie ne faisant pas obstacle à la poursuite du processus principal.</w:t>
      </w:r>
    </w:p>
    <w:p w14:paraId="17CC644B" w14:textId="77777777" w:rsidR="00FC2744" w:rsidRDefault="00FC2744"/>
    <w:p w14:paraId="173054D6" w14:textId="77777777" w:rsidR="00FC2744" w:rsidRDefault="009A3E3E">
      <w:r>
        <w:t>Les incidents bloquants et ceux susceptibles de compromettre une échéance de paie ou une obligation réglementaire font l’objet d’une prise en charge prioritaire et d’une information régulière de l’OFDT jusqu’au rétablissement ou à la mise en place d’une solution de contournement acceptable.</w:t>
      </w:r>
    </w:p>
    <w:p w14:paraId="34334313" w14:textId="77777777" w:rsidR="00FC2744" w:rsidRDefault="009A3E3E">
      <w:r>
        <w:t>Par dérogation à l’article 14.2.3 du CCAG-TIC, les délais de rétablissement applicables sont ceux proposés par le titulaire dans son offre et acceptés par l’OFDT, compte tenu de la criticité de l’incident et des périodes sensibles définies au marché.</w:t>
      </w:r>
    </w:p>
    <w:p w14:paraId="2DA1059F" w14:textId="77777777" w:rsidR="00FC2744" w:rsidRDefault="009A3E3E">
      <w:pPr>
        <w:pStyle w:val="Titre2"/>
      </w:pPr>
      <w:r>
        <w:t>14.4 — Actions correctives</w:t>
      </w:r>
    </w:p>
    <w:p w14:paraId="156176D0" w14:textId="77777777" w:rsidR="00FC2744" w:rsidRDefault="009A3E3E">
      <w:r>
        <w:t>En cas de manquement significatif ou répété aux engagements de maintenance ou d’assistance, l’OFDT peut demander un plan d’actions correctives précisant les causes, les mesures proposées, leur responsable et leur calendrier. Son suivi est intégré aux réunions ordinaires du marché.</w:t>
      </w:r>
    </w:p>
    <w:p w14:paraId="5717B911" w14:textId="77777777" w:rsidR="00FC2744" w:rsidRDefault="009A3E3E">
      <w:pPr>
        <w:pStyle w:val="Titre1"/>
      </w:pPr>
      <w:r>
        <w:t>Article 15 — Pénalités</w:t>
      </w:r>
    </w:p>
    <w:p w14:paraId="4423A129" w14:textId="77777777" w:rsidR="00FC2744" w:rsidRDefault="009A3E3E">
      <w:r>
        <w:t>Par dérogation aux articles 14.1, 14.2.6 et 14.3 du CCAG-TIC, seules les pénalités prévues au présent article sont applicables, sans préjudice des autres droits de l’OFDT, notamment la résiliation ou l’exécution aux frais et risques du titulaire lorsque leurs conditions sont réunies.</w:t>
      </w:r>
    </w:p>
    <w:p w14:paraId="25EA6F86" w14:textId="77777777" w:rsidR="00FC2744" w:rsidRDefault="009A3E3E">
      <w:r>
        <w:t>Les pénalités sont réservées aux manquements ayant une incidence réelle sur l’exécution. Elles ne se substituent pas à l’obligation d’exécuter ou de corriger les prestations.</w:t>
      </w:r>
    </w:p>
    <w:p w14:paraId="2DC5220D" w14:textId="77777777" w:rsidR="00FC2744" w:rsidRDefault="009A3E3E">
      <w:pPr>
        <w:pStyle w:val="Titre2"/>
      </w:pPr>
      <w:r>
        <w:lastRenderedPageBreak/>
        <w:t>15.1 — Retard sur un jalon essentiel</w:t>
      </w:r>
    </w:p>
    <w:p w14:paraId="7EB8134D" w14:textId="77777777" w:rsidR="00FC2744" w:rsidRDefault="009A3E3E">
      <w:r>
        <w:t>En cas de retard imputable au titulaire dans l’exécution d’un jalon expressément identifié comme essentiel dans le calendrier contractuel, une pénalité de 100 euros par jour ouvré de retard peut être appliquée.</w:t>
      </w:r>
    </w:p>
    <w:p w14:paraId="76C97538" w14:textId="77777777" w:rsidR="00FC2744" w:rsidRDefault="009A3E3E">
      <w:r>
        <w:t>Peuvent notamment être qualifiés d’essentiels : la mise à disposition opérationnelle du dispositif transitoire de paie, une mise en production, une opération indispensable à l’entrée dans la paye à façon ou la restitution des données dans le cadre de la réversibilité.</w:t>
      </w:r>
    </w:p>
    <w:p w14:paraId="29A2D61D" w14:textId="77777777" w:rsidR="00FC2744" w:rsidRDefault="009A3E3E">
      <w:pPr>
        <w:pStyle w:val="Titre2"/>
      </w:pPr>
      <w:r>
        <w:t>15.2 — Retard dans une action corrective</w:t>
      </w:r>
    </w:p>
    <w:p w14:paraId="66FCD83F" w14:textId="77777777" w:rsidR="00FC2744" w:rsidRDefault="009A3E3E">
      <w:r>
        <w:t>Lorsqu’un plan d’actions correctives a été formellement demandé par l’OFDT et qu’un délai a été arrêté, une pénalité de 100 euros par jour ouvré de retard peut être appliquée en cas de non-respect imputable au titulaire.</w:t>
      </w:r>
    </w:p>
    <w:p w14:paraId="0D00CE31" w14:textId="77777777" w:rsidR="00FC2744" w:rsidRDefault="009A3E3E">
      <w:pPr>
        <w:pStyle w:val="Titre2"/>
      </w:pPr>
      <w:r>
        <w:t>15.3 — Confidentialité, sécurité et données personnelles</w:t>
      </w:r>
    </w:p>
    <w:p w14:paraId="72F2F774" w14:textId="77777777" w:rsidR="00FC2744" w:rsidRDefault="009A3E3E">
      <w:r>
        <w:t>En cas de manquement établi aux obligations de confidentialité, de sécurité ou de protection des données à caractère personnel, notamment en cas de défaut de notification d’une violation dans le délai contractuel, l’OFDT peut appliquer une pénalité forfaitaire de 1 000 euros par fait générateur.</w:t>
      </w:r>
    </w:p>
    <w:p w14:paraId="6E0C0C2F" w14:textId="77777777" w:rsidR="00FC2744" w:rsidRDefault="009A3E3E">
      <w:r>
        <w:t>Lorsque le manquement se poursuit après une demande formelle de régularisation, une pénalité complémentaire de 100 euros par jour calendaire de retard peut être appliquée, dans la limite de 5 000 euros pour un même fait générateur.</w:t>
      </w:r>
    </w:p>
    <w:p w14:paraId="5F3C4868" w14:textId="77777777" w:rsidR="00FC2744" w:rsidRDefault="009A3E3E">
      <w:pPr>
        <w:pStyle w:val="Titre2"/>
      </w:pPr>
      <w:r>
        <w:t>15.4 — Procédure et limites</w:t>
      </w:r>
    </w:p>
    <w:p w14:paraId="26B295D3" w14:textId="77777777" w:rsidR="00FC2744" w:rsidRDefault="009A3E3E">
      <w:r>
        <w:t>Avant l’application d’une pénalité, le titulaire est informé du manquement et mis en mesure de présenter ses observations dans les conditions prévues par le CCAG-TIC.</w:t>
      </w:r>
    </w:p>
    <w:p w14:paraId="2C2A838A" w14:textId="77777777" w:rsidR="00FC2744" w:rsidRDefault="009A3E3E">
      <w:r>
        <w:t>Les pénalités ne sont pas appliquées lorsque le retard ou le manquement résulte d’une cause imputable à l’OFDT, d’une décision ou d’un retard d’un tiers ne relevant pas de la responsabilité du titulaire, d’un événement de force majeure ou d’une dépendance préalablement identifiée et ne relevant pas du titulaire.</w:t>
      </w:r>
    </w:p>
    <w:p w14:paraId="76050E56" w14:textId="77777777" w:rsidR="00FC2744" w:rsidRDefault="009A3E3E">
      <w:r>
        <w:t>Le montant cumulé des pénalités prévues aux articles 15.1 et 15.2 ne peut excéder 10 % du montant hors taxes de la partie des prestations concernée. Ce plafond ne s’applique pas aux pénalités prévues à l’article 15.3.</w:t>
      </w:r>
    </w:p>
    <w:p w14:paraId="3B03E4D7" w14:textId="77777777" w:rsidR="00FC2744" w:rsidRDefault="009A3E3E">
      <w:pPr>
        <w:pStyle w:val="Titre1"/>
      </w:pPr>
      <w:r>
        <w:t>Article 16 — Confidentialité et sécurité des informations</w:t>
      </w:r>
    </w:p>
    <w:p w14:paraId="1F6EDFA7" w14:textId="77777777" w:rsidR="00FC2744" w:rsidRDefault="009A3E3E">
      <w:pPr>
        <w:pStyle w:val="Titre2"/>
      </w:pPr>
      <w:r>
        <w:t>16.1 — Confidentialité</w:t>
      </w:r>
    </w:p>
    <w:p w14:paraId="7B86D172" w14:textId="77777777" w:rsidR="00FC2744" w:rsidRDefault="009A3E3E">
      <w:r>
        <w:t>Le titulaire est tenu à une obligation de confidentialité concernant les informations, documents et données auxquels il accède. Il ne peut les communiquer ou les utiliser à d’autres fins que l’exécution du marché. Il veille à ce que son personnel, ses cotraitants et ses sous-traitants soient soumis à des obligations équivalentes. Cette obligation demeure applicable après l’expiration ou la résiliation du marché.</w:t>
      </w:r>
    </w:p>
    <w:p w14:paraId="7E1E0310" w14:textId="77777777" w:rsidR="00FC2744" w:rsidRDefault="009A3E3E">
      <w:pPr>
        <w:pStyle w:val="Titre2"/>
      </w:pPr>
      <w:r>
        <w:lastRenderedPageBreak/>
        <w:t>16.2 — Accès</w:t>
      </w:r>
    </w:p>
    <w:p w14:paraId="6068785E" w14:textId="77777777" w:rsidR="00FC2744" w:rsidRDefault="009A3E3E">
      <w:r>
        <w:t>Le titulaire limite l’accès aux données et systèmes de l’OFDT aux seules personnes dont l’intervention est nécessaire. Les accès sont nominatifs, adaptés aux fonctions exercées, retirés lorsqu’ils ne sont plus nécessaires et protégés selon des modalités appropriées à la sensibilité des données.</w:t>
      </w:r>
    </w:p>
    <w:p w14:paraId="22DE9C38" w14:textId="77777777" w:rsidR="00FC2744" w:rsidRDefault="009A3E3E">
      <w:r>
        <w:t>Le titulaire tient à disposition de l’OFDT la liste des personnes ou catégories de personnes autorisées à intervenir sur les environnements contenant les données de l’OFDT.</w:t>
      </w:r>
    </w:p>
    <w:p w14:paraId="511BE3AA" w14:textId="77777777" w:rsidR="00FC2744" w:rsidRDefault="009A3E3E">
      <w:pPr>
        <w:pStyle w:val="Titre2"/>
      </w:pPr>
      <w:r>
        <w:t>16.3 — Mesures de sécurité</w:t>
      </w:r>
    </w:p>
    <w:p w14:paraId="35F9CA00" w14:textId="77777777" w:rsidR="00FC2744" w:rsidRDefault="009A3E3E">
      <w:r>
        <w:t>Le titulaire met en œuvre des mesures techniques et organisationnelles adaptées aux risques. Elles portent notamment sur la protection des accès, la confidentialité et l’intégrité des données, les sauvegardes et la restauration, la journalisation des accès et opérations sensibles, la gestion des correctifs et vulnérabilités, la séparation des environnements, la continuité et la reprise des services et la suppression sécurisée des données.</w:t>
      </w:r>
    </w:p>
    <w:p w14:paraId="4AC7224A" w14:textId="77777777" w:rsidR="00FC2744" w:rsidRDefault="009A3E3E">
      <w:r>
        <w:t xml:space="preserve">Le détail des mesures est présenté dans l’offre ou le cadre de réponse consacré à la sécurité. </w:t>
      </w:r>
    </w:p>
    <w:p w14:paraId="547B44E0" w14:textId="77777777" w:rsidR="00FC2744" w:rsidRDefault="009A3E3E">
      <w:r>
        <w:t>L’OFDT contrôle ces engagements au moyen des documents, attestations, certifications, comptes rendus ou éléments de preuve fournis par le titulaire.</w:t>
      </w:r>
    </w:p>
    <w:p w14:paraId="180E36F8" w14:textId="77777777" w:rsidR="00FC2744" w:rsidRDefault="009A3E3E">
      <w:pPr>
        <w:pStyle w:val="Titre2"/>
      </w:pPr>
      <w:r>
        <w:t>16.4 — Incidents de sécurité</w:t>
      </w:r>
    </w:p>
    <w:p w14:paraId="745F89A7" w14:textId="77777777" w:rsidR="00FC2744" w:rsidRDefault="009A3E3E">
      <w:r>
        <w:t>Le titulaire informe l’OFDT sans délai injustifié de tout incident susceptible d’affecter la confidentialité, l’intégrité ou la disponibilité des données, de compromettre la continuité des opérations, d’entraîner un accès non autorisé ou d’avoir une incidence sur les obligations légales ou réglementaires de l’OFDT.</w:t>
      </w:r>
    </w:p>
    <w:p w14:paraId="1030C967" w14:textId="77777777" w:rsidR="00FC2744" w:rsidRDefault="009A3E3E">
      <w:r>
        <w:t>Il communique les informations disponibles sur la nature de l’incident, les systèmes et données concernés, ses conséquences connues ou probables, les mesures prises ou envisagées et le délai prévisionnel de rétablissement. Les informations peuvent être complétées progressivement lorsqu’elles ne sont pas toutes disponibles immédiatement.</w:t>
      </w:r>
    </w:p>
    <w:p w14:paraId="3AAB201A" w14:textId="77777777" w:rsidR="00FC2744" w:rsidRDefault="009A3E3E">
      <w:pPr>
        <w:pStyle w:val="Titre1"/>
      </w:pPr>
      <w:r>
        <w:t>Article 17 — Protection des données à caractère personnel</w:t>
      </w:r>
    </w:p>
    <w:p w14:paraId="51FB5B50" w14:textId="77777777" w:rsidR="00FC2744" w:rsidRDefault="009A3E3E">
      <w:pPr>
        <w:pStyle w:val="Titre2"/>
      </w:pPr>
      <w:r>
        <w:t>17.1 — Qualité des parties et instructions</w:t>
      </w:r>
    </w:p>
    <w:p w14:paraId="32EAEC0C" w14:textId="77777777" w:rsidR="00FC2744" w:rsidRDefault="009A3E3E">
      <w:r>
        <w:t>Pour les traitements réalisés pour le compte de l’OFDT, l’OFDT agit en qualité de responsable du traitement et le titulaire en qualité de sous-traitant au sens de la réglementation relative à la protection des données à caractère personnel.</w:t>
      </w:r>
    </w:p>
    <w:p w14:paraId="796E55FB" w14:textId="77777777" w:rsidR="00FC2744" w:rsidRDefault="009A3E3E">
      <w:r>
        <w:t>Le titulaire traite les données uniquement pour les finalités prévues par le marché, pendant la durée nécessaire, sur instruction documentée de l’OFDT et conformément à la réglementation applicable. Les caractéristiques détaillées des traitements figurent à l’annexe 1 du présent CCAP.</w:t>
      </w:r>
    </w:p>
    <w:p w14:paraId="18E58548" w14:textId="77777777" w:rsidR="00FC2744" w:rsidRDefault="009A3E3E">
      <w:pPr>
        <w:pStyle w:val="Titre2"/>
      </w:pPr>
      <w:r>
        <w:t>17.2 — Utilisation des données</w:t>
      </w:r>
    </w:p>
    <w:p w14:paraId="3836E1D0" w14:textId="77777777" w:rsidR="00FC2744" w:rsidRDefault="009A3E3E">
      <w:r>
        <w:t xml:space="preserve">Les données, documents, journaux et informations confiés au titulaire ou produits dans le cadre du marché ne peuvent être utilisés pour son compte propre ni pour une finalité étrangère </w:t>
      </w:r>
      <w:r>
        <w:lastRenderedPageBreak/>
        <w:t>au marché. Ils ne peuvent notamment être utilisés à des fins commerciales, pour établir des profils, enrichir des bases externes, entraîner ou améliorer un système d’intelligence artificielle ou améliorer un produit ou service du titulaire en dehors des seules nécessités techniques du marché.</w:t>
      </w:r>
    </w:p>
    <w:p w14:paraId="2C81CD6B" w14:textId="77777777" w:rsidR="00FC2744" w:rsidRDefault="009A3E3E">
      <w:r>
        <w:t>Le titulaire garantit que les conditions contractuelles, les politiques de confidentialité, les licences et les modalités d’utilisation applicables aux composants, services en ligne, solutions SaaS et prestations de tiers mobilisés pour l’exécution du marché sont compatibles avec les obligations du présent article. Aucun de ces composants ou services ne peut autoriser la réutilisation des données de l’OFDT, notamment à des fins d’entraînement, d’amélioration ou d’évaluation d’un système d’intelligence artificielle.</w:t>
      </w:r>
    </w:p>
    <w:p w14:paraId="0AB24815" w14:textId="77777777" w:rsidR="00FC2744" w:rsidRDefault="009A3E3E">
      <w:r>
        <w:t>En cas d’incompatibilité, le titulaire en informe l’OFDT avant toute utilisation du composant ou du service concerné et propose une solution conforme aux exigences du marché.</w:t>
      </w:r>
    </w:p>
    <w:p w14:paraId="748408AB" w14:textId="77777777" w:rsidR="00FC2744" w:rsidRDefault="009A3E3E">
      <w:pPr>
        <w:pStyle w:val="Titre2"/>
      </w:pPr>
      <w:r>
        <w:t>17.3 — Données relatives à la santé</w:t>
      </w:r>
    </w:p>
    <w:p w14:paraId="084D8D6C" w14:textId="77777777" w:rsidR="00FC2744" w:rsidRDefault="009A3E3E">
      <w:r>
        <w:t>Le titulaire ne traite que les données strictement nécessaires à la gestion administrative des absences, des droits et de leurs incidences sur la paie. La solution ne doit pas conduire à enregistrer des informations médicales détaillées qui ne sont pas nécessaires aux missions de l’employeur.</w:t>
      </w:r>
    </w:p>
    <w:p w14:paraId="2237211B" w14:textId="77777777" w:rsidR="00FC2744" w:rsidRDefault="009A3E3E">
      <w:pPr>
        <w:pStyle w:val="Titre2"/>
      </w:pPr>
      <w:r>
        <w:t>17.4 — Personnel autorisé</w:t>
      </w:r>
    </w:p>
    <w:p w14:paraId="37FDDD7A" w14:textId="77777777" w:rsidR="00FC2744" w:rsidRDefault="009A3E3E">
      <w:r>
        <w:t>Le titulaire veille à ce que les personnes autorisées à traiter les données soient tenues à la confidentialité, disposent d’une information ou formation adaptée, n’accèdent qu’aux données nécessaires et respectent les instructions de l’OFDT.</w:t>
      </w:r>
    </w:p>
    <w:p w14:paraId="212674E7" w14:textId="77777777" w:rsidR="00FC2744" w:rsidRDefault="009A3E3E">
      <w:pPr>
        <w:pStyle w:val="Titre2"/>
      </w:pPr>
      <w:r>
        <w:t>17.5 — Sous-traitants ultérieurs</w:t>
      </w:r>
    </w:p>
    <w:p w14:paraId="5B5F84C1" w14:textId="77777777" w:rsidR="00FC2744" w:rsidRDefault="009A3E3E">
      <w:r>
        <w:t>Le titulaire communique la liste des sous-traitants ultérieurs, la nature des opérations confiées et les lieux de traitement. Il informe préalablement l’OFDT de tout projet d’ajout ou de remplacement afin de lui permettre de formuler une objection motivée.</w:t>
      </w:r>
    </w:p>
    <w:p w14:paraId="7A74BAD9" w14:textId="77777777" w:rsidR="00FC2744" w:rsidRDefault="009A3E3E">
      <w:r>
        <w:t>Le titulaire impose à ses sous-traitants ultérieurs des obligations équivalentes et demeure responsable à l’égard de l’OFDT de leur bonne exécution.</w:t>
      </w:r>
    </w:p>
    <w:p w14:paraId="6B3115C2" w14:textId="77777777" w:rsidR="00FC2744" w:rsidRDefault="009A3E3E">
      <w:pPr>
        <w:pStyle w:val="Titre2"/>
      </w:pPr>
      <w:r>
        <w:t>17.6 — Localisation et transferts</w:t>
      </w:r>
    </w:p>
    <w:p w14:paraId="551CA84A" w14:textId="77777777" w:rsidR="00FC2744" w:rsidRDefault="009A3E3E">
      <w:r>
        <w:t>Le titulaire précise dans son offre les lieux d’hébergement et de traitement, les principaux prestataires techniques, les éventuels transferts hors de l’Espace économique européen et les garanties applicables. Il informe préalablement l’OFDT de toute modification substantielle.</w:t>
      </w:r>
    </w:p>
    <w:p w14:paraId="4770FF9D" w14:textId="77777777" w:rsidR="00FC2744" w:rsidRDefault="009A3E3E">
      <w:pPr>
        <w:pStyle w:val="Titre2"/>
      </w:pPr>
      <w:r>
        <w:t>17.7 — Violation de données</w:t>
      </w:r>
    </w:p>
    <w:p w14:paraId="550B16FB" w14:textId="77777777" w:rsidR="00FC2744" w:rsidRDefault="009A3E3E">
      <w:r>
        <w:t>Le titulaire informe l’OFDT de toute violation de données à caractère personnel sans délai injustifié et, sauf impossibilité dûment justifiée, dans un délai maximal de vingt-quatre heures après en avoir eu connaissance.</w:t>
      </w:r>
    </w:p>
    <w:p w14:paraId="257D7912" w14:textId="77777777" w:rsidR="00FC2744" w:rsidRDefault="009A3E3E">
      <w:r>
        <w:t xml:space="preserve">La première information est transmise même si elle est incomplète puis complétée progressivement. Elle précise, dans la mesure du possible, la nature de la violation, les </w:t>
      </w:r>
      <w:r>
        <w:lastRenderedPageBreak/>
        <w:t>catégories de personnes et de données concernées, les conséquences probables, les mesures prises ou proposées et les coordonnées de l’interlocuteur chargé du suivi.</w:t>
      </w:r>
    </w:p>
    <w:p w14:paraId="599A71DE" w14:textId="77777777" w:rsidR="00FC2744" w:rsidRDefault="009A3E3E">
      <w:pPr>
        <w:pStyle w:val="Titre2"/>
      </w:pPr>
      <w:r>
        <w:t>17.8 — Assistance</w:t>
      </w:r>
    </w:p>
    <w:p w14:paraId="150F32AF" w14:textId="77777777" w:rsidR="00FC2744" w:rsidRDefault="009A3E3E">
      <w:r>
        <w:t>Le titulaire apporte l’assistance raisonnablement nécessaire pour répondre aux demandes d’exercice des droits, documenter les traitements, réaliser une analyse d’impact lorsque nécessaire, gérer les violations, répondre à une autorité de contrôle et démontrer le respect des obligations contractuelles.</w:t>
      </w:r>
    </w:p>
    <w:p w14:paraId="03181FAC" w14:textId="77777777" w:rsidR="00FC2744" w:rsidRDefault="009A3E3E">
      <w:r>
        <w:t>Il informe rapidement l’OFDT de toute demande reçue directement d’une personne concernée et ne répond pas sur le fond, sauf instruction contraire de l’OFDT ou obligation légale.</w:t>
      </w:r>
    </w:p>
    <w:p w14:paraId="4F83B085" w14:textId="77777777" w:rsidR="00FC2744" w:rsidRDefault="009A3E3E">
      <w:pPr>
        <w:pStyle w:val="Titre2"/>
      </w:pPr>
      <w:r>
        <w:t>17.9 — Contrôles</w:t>
      </w:r>
    </w:p>
    <w:p w14:paraId="0A17D083" w14:textId="77777777" w:rsidR="00FC2744" w:rsidRDefault="009A3E3E">
      <w:r>
        <w:t>Le titulaire met à disposition les informations nécessaires pour démontrer le respect de ses obligations. L’OFDT peut demander les politiques ou procédures applicables, certifications ou rapports d’audit disponibles, résultats de contrôles pertinents, listes actualisées des sous-traitants et lieux de traitement, ou éléments relatifs à la gestion d’un incident.</w:t>
      </w:r>
    </w:p>
    <w:p w14:paraId="4EA6F52D" w14:textId="77777777" w:rsidR="00FC2744" w:rsidRDefault="009A3E3E">
      <w:r>
        <w:t>Un audit spécifique peut être organisé en cas d’incident significatif, de doute sérieux, de demande d’une autorité compétente ou de nécessité réglementaire.</w:t>
      </w:r>
    </w:p>
    <w:p w14:paraId="7618930A" w14:textId="77777777" w:rsidR="00FC2744" w:rsidRDefault="009A3E3E">
      <w:pPr>
        <w:pStyle w:val="Titre2"/>
      </w:pPr>
      <w:r>
        <w:t>17.10 — Fin des traitements</w:t>
      </w:r>
    </w:p>
    <w:p w14:paraId="27CDE2B7" w14:textId="77777777" w:rsidR="00FC2744" w:rsidRDefault="009A3E3E">
      <w:r>
        <w:t>À l’expiration ou à la résiliation du marché, le titulaire restitue les données conformément aux stipulations relatives à la réversibilité. Après validation de la restitution, il supprime les données restant dans ses systèmes et ceux de ses sous-traitants, sous réserve des obligations légales de conservation, et remet à l’OFDT, à sa demande, une attestation de suppression.</w:t>
      </w:r>
    </w:p>
    <w:p w14:paraId="207F5887" w14:textId="77777777" w:rsidR="00FC2744" w:rsidRDefault="009A3E3E">
      <w:pPr>
        <w:pStyle w:val="Titre1"/>
      </w:pPr>
      <w:r>
        <w:t>Article 18 — Droits d’utilisation et propriété intellectuelle</w:t>
      </w:r>
    </w:p>
    <w:p w14:paraId="507408E9" w14:textId="77777777" w:rsidR="00FC2744" w:rsidRDefault="009A3E3E">
      <w:pPr>
        <w:pStyle w:val="Titre2"/>
      </w:pPr>
      <w:r>
        <w:t>18.1 — Régime applicable</w:t>
      </w:r>
    </w:p>
    <w:p w14:paraId="0E86B2A2" w14:textId="77777777" w:rsidR="00FC2744" w:rsidRDefault="009A3E3E">
      <w:r>
        <w:t>Les articles 43 à 46 du CCAG-TIC relatifs à l’utilisation des résultats, aux connaissances antérieures et aux connaissances antérieures standards sont applicables, sous réserve des précisions du présent article.</w:t>
      </w:r>
    </w:p>
    <w:p w14:paraId="607F981D" w14:textId="77777777" w:rsidR="00FC2744" w:rsidRDefault="009A3E3E">
      <w:r>
        <w:t>Les droits accordés à l’OFDT doivent lui permettre d’utiliser les solutions, livrables et résultats pour les besoins découlant de l’objet du marché, d’en assurer ou d’en faire assurer la maintenance, l’adaptation, l’évolution, l’interopérabilité et la réversibilité.</w:t>
      </w:r>
    </w:p>
    <w:p w14:paraId="19FB7145" w14:textId="77777777" w:rsidR="00FC2744" w:rsidRDefault="009A3E3E">
      <w:pPr>
        <w:pStyle w:val="Titre2"/>
      </w:pPr>
      <w:r>
        <w:t>18.2 — Solutions et composants préexistants</w:t>
      </w:r>
    </w:p>
    <w:p w14:paraId="5E352AA6" w14:textId="77777777" w:rsidR="00FC2744" w:rsidRDefault="009A3E3E">
      <w:r>
        <w:t>Le titulaire conserve ses droits sur ses logiciels standards, méthodes, outils, savoir-faire, documentations et autres connaissances antérieures conçus indépendamment du marché.</w:t>
      </w:r>
    </w:p>
    <w:p w14:paraId="38B20031" w14:textId="77777777" w:rsidR="00FC2744" w:rsidRDefault="009A3E3E">
      <w:r>
        <w:t>Il fournit, dans son offre puis avant toute intégration d’un nouvel élément en cours d’exécution, la liste complète des logiciels et composants standards, composants tiers, licences libres ou propriétaires, conditions de maintenance et restrictions relatives au nombre d’utilisateurs, à la durée, à l’hébergement, à la maintenance ou à la réversibilité.</w:t>
      </w:r>
    </w:p>
    <w:p w14:paraId="1FBE2222" w14:textId="77777777" w:rsidR="00FC2744" w:rsidRDefault="009A3E3E">
      <w:r>
        <w:lastRenderedPageBreak/>
        <w:t>Tout ajout ultérieur d’un composant susceptible de limiter ou de rendre plus coûteuse l’utilisation, la maintenance ou la réversibilité est soumis à l’accord préalable de l’OFDT.</w:t>
      </w:r>
    </w:p>
    <w:p w14:paraId="5C302D05" w14:textId="77777777" w:rsidR="00FC2744" w:rsidRDefault="009A3E3E">
      <w:r>
        <w:t>Les conditions de licence ou d’utilisation non déclarées et non expressément acceptées ne sont pas opposables à l’OFDT.</w:t>
      </w:r>
    </w:p>
    <w:p w14:paraId="3F3BFB46" w14:textId="77777777" w:rsidR="00FC2744" w:rsidRDefault="009A3E3E">
      <w:pPr>
        <w:pStyle w:val="Titre2"/>
      </w:pPr>
      <w:r>
        <w:t>18.3 — Résultats spécifiques</w:t>
      </w:r>
    </w:p>
    <w:p w14:paraId="7B2379D4" w14:textId="77777777" w:rsidR="00FC2744" w:rsidRDefault="009A3E3E">
      <w:r>
        <w:t>Constituent notamment des résultats spécifiquement réalisés dans le cadre du marché, lorsqu’ils existent, les spécifications particulières, paramétrages propres à l’OFDT, modèles documentaires, scripts et outils de reprise, interfaces et développements spécifiques, ainsi que leurs documentations fonctionnelles et techniques.</w:t>
      </w:r>
    </w:p>
    <w:p w14:paraId="1B05AC35" w14:textId="77777777" w:rsidR="00FC2744" w:rsidRDefault="009A3E3E">
      <w:r>
        <w:t>L’OFDT bénéficie sur ces résultats des droits prévus par le CCAG-TIC, notamment pour les utiliser, reproduire, adapter, maintenir, faire évoluer et communiquer à tout prestataire intervenant pour son compte. Ces droits demeurent acquis après l’expiration ou la résiliation du marché, quelle qu’en soit la cause.</w:t>
      </w:r>
    </w:p>
    <w:p w14:paraId="43AC4033" w14:textId="77777777" w:rsidR="00FC2744" w:rsidRDefault="009A3E3E">
      <w:pPr>
        <w:pStyle w:val="Titre2"/>
      </w:pPr>
      <w:r>
        <w:t>18.4 — Codes sources des développements spécifiques</w:t>
      </w:r>
    </w:p>
    <w:p w14:paraId="4227C14A" w14:textId="77777777" w:rsidR="00FC2744" w:rsidRDefault="009A3E3E">
      <w:r>
        <w:t>L’OFDT ne demande pas la remise du code source des logiciels standards ou progiciels propriétaires constituant des connaissances antérieures standards du titulaire ou d’un tiers, sauf stipulation expresse contraire.</w:t>
      </w:r>
    </w:p>
    <w:p w14:paraId="0A2F08C8" w14:textId="77777777" w:rsidR="00FC2744" w:rsidRDefault="009A3E3E">
      <w:r>
        <w:t>Les codes sources des logiciels, scripts, interfaces et développements constituant des résultats spécifiquement réalisés dans le cadre du marché sont remis à l’OFDT, accompagnés de leur documentation technique et des éléments nécessaires à leur compréhension, à leur compilation, à leur maintenance et à leur évolution.</w:t>
      </w:r>
    </w:p>
    <w:p w14:paraId="49708C6A" w14:textId="77777777" w:rsidR="00FC2744" w:rsidRDefault="009A3E3E">
      <w:r>
        <w:t>Ces éléments sont remis au fur et à mesure de leur réalisation et actualisés lors de chaque évolution substantielle. Lorsqu’un résultat dépend d’un composant standard dont le code ne peut être remis, le titulaire identifie ce composant, ses conditions de licence et les restrictions applicables.</w:t>
      </w:r>
    </w:p>
    <w:p w14:paraId="7DC79B57" w14:textId="77777777" w:rsidR="00FC2744" w:rsidRDefault="009A3E3E">
      <w:pPr>
        <w:pStyle w:val="Titre2"/>
      </w:pPr>
      <w:r>
        <w:t>18.5 — Données et documents de l’OFDT</w:t>
      </w:r>
    </w:p>
    <w:p w14:paraId="6D9F5AD4" w14:textId="77777777" w:rsidR="00FC2744" w:rsidRDefault="009A3E3E">
      <w:r>
        <w:t>Les données intégrées, traitées ou générées dans le cadre du marché, ainsi que les documents, pièces justificatives, historiques, journaux et informations associés, sont confidentiels et appartiennent exclusivement à l’OFDT.</w:t>
      </w:r>
    </w:p>
    <w:p w14:paraId="156C6B88" w14:textId="77777777" w:rsidR="00FC2744" w:rsidRDefault="009A3E3E">
      <w:r>
        <w:t>Le titulaire ne peut exercer aucun droit de rétention ni subordonner leur accès ou leur restitution au renouvellement du marché, à l’acquisition d’une licence ou au règlement d’une prestation étrangère aux opérations de restitution concernées.</w:t>
      </w:r>
    </w:p>
    <w:p w14:paraId="7B660543" w14:textId="77777777" w:rsidR="00FC2744" w:rsidRDefault="009A3E3E">
      <w:pPr>
        <w:pStyle w:val="Titre2"/>
      </w:pPr>
      <w:r>
        <w:t>18.6 — Confidentialité et non-réutilisation</w:t>
      </w:r>
    </w:p>
    <w:p w14:paraId="13E4D8C6" w14:textId="77777777" w:rsidR="00FC2744" w:rsidRDefault="009A3E3E">
      <w:r>
        <w:t>Les résultats intégrant des données, informations confidentielles, règles de gestion, paramétrages, architectures de sécurité ou documents propres à l’OFDT ne peuvent être publiés, communiqués, commercialisés ou réutilisés pour le compte d’un tiers.</w:t>
      </w:r>
    </w:p>
    <w:p w14:paraId="4D5CDA1A" w14:textId="77777777" w:rsidR="00FC2744" w:rsidRDefault="009A3E3E">
      <w:r>
        <w:t>Cette interdiction ne fait pas obstacle à la réutilisation des méthodes, savoir-faire, composants standards et éléments génériques du titulaire ne contenant aucune donnée ou information permettant d’identifier l’OFDT, ses agents ou son organisation interne.</w:t>
      </w:r>
    </w:p>
    <w:p w14:paraId="7E27FDCB" w14:textId="77777777" w:rsidR="00FC2744" w:rsidRDefault="009A3E3E">
      <w:pPr>
        <w:pStyle w:val="Titre1"/>
      </w:pPr>
      <w:r>
        <w:lastRenderedPageBreak/>
        <w:t>Article 19 — Réversibilité et transfert des prestations</w:t>
      </w:r>
    </w:p>
    <w:p w14:paraId="5F405998" w14:textId="77777777" w:rsidR="00FC2744" w:rsidRDefault="009A3E3E">
      <w:pPr>
        <w:pStyle w:val="Titre2"/>
      </w:pPr>
      <w:r>
        <w:t>19.1 — Principe</w:t>
      </w:r>
    </w:p>
    <w:p w14:paraId="42B9F802" w14:textId="77777777" w:rsidR="00FC2744" w:rsidRDefault="009A3E3E">
      <w:r>
        <w:t>Le titulaire garantit la réversibilité des prestations afin de permettre leur reprise par l’OFDT, leur transfert à un nouveau titulaire, le changement de solution et la continuité des processus à l’expiration ou en cas de résiliation.</w:t>
      </w:r>
    </w:p>
    <w:p w14:paraId="736C2BC1" w14:textId="77777777" w:rsidR="00FC2744" w:rsidRDefault="009A3E3E">
      <w:pPr>
        <w:pStyle w:val="Titre2"/>
      </w:pPr>
      <w:r>
        <w:t>19.2 — Plan de réversibilité</w:t>
      </w:r>
    </w:p>
    <w:p w14:paraId="17D792D0" w14:textId="77777777" w:rsidR="00FC2744" w:rsidRDefault="009A3E3E">
      <w:r>
        <w:t>Le titulaire remet au cours de la phase de cadrage et au plus tard avant l’admission initiale un plan de réversibilité adapté à la solution proposée. Il indique les données et éléments restitués, les formats d’export, les documentations, les principaux intervenants, les opérations nécessaires, les délais estimatifs et les prérequis relevant de l’OFDT ou d’un nouveau prestataire.</w:t>
      </w:r>
    </w:p>
    <w:p w14:paraId="4427E73D" w14:textId="77777777" w:rsidR="00FC2744" w:rsidRDefault="009A3E3E">
      <w:r>
        <w:t>Le plan est actualisé en cas d’évolution substantielle de la solution et avant l’engagement effectif des opérations de réversibilité. Une actualisation annuelle n’est pas exigée en l’absence de changement.</w:t>
      </w:r>
    </w:p>
    <w:p w14:paraId="49DEF968" w14:textId="77777777" w:rsidR="00FC2744" w:rsidRDefault="009A3E3E">
      <w:pPr>
        <w:pStyle w:val="Titre2"/>
      </w:pPr>
      <w:r>
        <w:t>19.3 — Éléments restitués</w:t>
      </w:r>
    </w:p>
    <w:p w14:paraId="0A12FA5A" w14:textId="77777777" w:rsidR="00FC2744" w:rsidRDefault="009A3E3E">
      <w:r>
        <w:t>La restitution porte, selon le périmètre de chaque lot, sur :</w:t>
      </w:r>
    </w:p>
    <w:p w14:paraId="151B13EF" w14:textId="77777777" w:rsidR="00FC2744" w:rsidRDefault="00FC2744"/>
    <w:p w14:paraId="4AD86501" w14:textId="77777777" w:rsidR="00FC2744" w:rsidRDefault="009A3E3E">
      <w:pPr>
        <w:pStyle w:val="Sansinterligne"/>
      </w:pPr>
      <w:r>
        <w:t>Les données administratives, RH, financières et de paie ;</w:t>
      </w:r>
    </w:p>
    <w:p w14:paraId="6AA7C581" w14:textId="77777777" w:rsidR="00FC2744" w:rsidRDefault="009A3E3E">
      <w:pPr>
        <w:pStyle w:val="Sansinterligne"/>
      </w:pPr>
      <w:r>
        <w:t>Les dossiers agents, documents et pièces justificatives ;</w:t>
      </w:r>
    </w:p>
    <w:p w14:paraId="4150E684" w14:textId="77777777" w:rsidR="00FC2744" w:rsidRDefault="009A3E3E">
      <w:pPr>
        <w:pStyle w:val="Sansinterligne"/>
      </w:pPr>
      <w:r>
        <w:t>Les historiques nécessaires à la continuité de gestion ;</w:t>
      </w:r>
    </w:p>
    <w:p w14:paraId="57A82B12" w14:textId="77777777" w:rsidR="00FC2744" w:rsidRDefault="009A3E3E">
      <w:pPr>
        <w:pStyle w:val="Sansinterligne"/>
      </w:pPr>
      <w:r>
        <w:t>Les référentiels, paramétrages et modèles propres à l’OFDT ;</w:t>
      </w:r>
    </w:p>
    <w:p w14:paraId="69893890" w14:textId="77777777" w:rsidR="00FC2744" w:rsidRDefault="009A3E3E">
      <w:pPr>
        <w:pStyle w:val="Sansinterligne"/>
      </w:pPr>
      <w:r>
        <w:t>Les journaux utiles à la traçabilité ;</w:t>
      </w:r>
    </w:p>
    <w:p w14:paraId="504BE326" w14:textId="77777777" w:rsidR="00FC2744" w:rsidRDefault="009A3E3E">
      <w:pPr>
        <w:pStyle w:val="Sansinterligne"/>
      </w:pPr>
      <w:r>
        <w:t>Les descriptions et documentations des interfaces ;</w:t>
      </w:r>
    </w:p>
    <w:p w14:paraId="0A5605CB" w14:textId="77777777" w:rsidR="00FC2744" w:rsidRDefault="009A3E3E">
      <w:pPr>
        <w:pStyle w:val="Sansinterligne"/>
      </w:pPr>
      <w:r>
        <w:t>Les dictionnaires de données et informations nécessaires à la compréhension des exports ;</w:t>
      </w:r>
    </w:p>
    <w:p w14:paraId="2129002F" w14:textId="77777777" w:rsidR="00FC2744" w:rsidRDefault="009A3E3E">
      <w:pPr>
        <w:pStyle w:val="Sansinterligne"/>
      </w:pPr>
      <w:r>
        <w:t>Les développements spécifiques et leurs documentations, dans les conditions de l’article 18.</w:t>
      </w:r>
    </w:p>
    <w:p w14:paraId="3CF8D0D5" w14:textId="77777777" w:rsidR="00FC2744" w:rsidRDefault="00FC2744"/>
    <w:p w14:paraId="30705957" w14:textId="77777777" w:rsidR="00FC2744" w:rsidRDefault="009A3E3E">
      <w:r>
        <w:t>La restitution est effectuée dans des formats standards, documentés et exploitables sans dépendance injustifiée à l’égard de la solution du titulaire.</w:t>
      </w:r>
    </w:p>
    <w:p w14:paraId="61202FE7" w14:textId="77777777" w:rsidR="00FC2744" w:rsidRDefault="009A3E3E">
      <w:pPr>
        <w:pStyle w:val="Titre2"/>
      </w:pPr>
      <w:r>
        <w:t>19.4 — Prestations comprises dans le forfait</w:t>
      </w:r>
    </w:p>
    <w:p w14:paraId="2ADA8DD5" w14:textId="77777777" w:rsidR="00FC2744" w:rsidRDefault="009A3E3E">
      <w:r>
        <w:t>Les prestations minimales de réversibilité sont comprises dans les prix forfaitaires. Elles comprennent la préparation et l’exécution des exports, la remise des documentations, la présentation des fichiers et de leur organisation, les échanges raisonnablement nécessaires avec l’OFDT ou le nouveau titulaire, la correction d’un export incomplet ou non conforme et la suppression des données après validation de la restitution.</w:t>
      </w:r>
    </w:p>
    <w:p w14:paraId="1D7FE0D9" w14:textId="77777777" w:rsidR="00FC2744" w:rsidRDefault="009A3E3E">
      <w:r>
        <w:t xml:space="preserve">La restitution normale des données, documents, pièces justificatives, historiques, journaux, référentiels, paramétrages, modèles, documentations et autres éléments prévus à l’article 19.3, dans leur état le plus récent et dans des formats exploitables, ne constitue pas une </w:t>
      </w:r>
      <w:r>
        <w:lastRenderedPageBreak/>
        <w:t>prestation supplémentaire et ne peut donner lieu à l’émission d’un bon de commande ni à une facturation complémentaire.</w:t>
      </w:r>
    </w:p>
    <w:p w14:paraId="4DE1AEB6" w14:textId="77777777" w:rsidR="00FC2744" w:rsidRDefault="009A3E3E">
      <w:r>
        <w:t>Seules les prestations expressément demandées par l’OFDT et dépassant les obligations minimales de réversibilité prévues par le marché peuvent être commandées selon les prix du BPU. Elles peuvent notamment porter sur la réalisation d’un développement nouveau, la production d’un export spécifique non prévu par le marché ou une assistance renforcée excédant les opérations normalement nécessaires au transfert.</w:t>
      </w:r>
    </w:p>
    <w:p w14:paraId="65F859B3" w14:textId="77777777" w:rsidR="00FC2744" w:rsidRDefault="009A3E3E">
      <w:pPr>
        <w:pStyle w:val="Titre2"/>
      </w:pPr>
      <w:r>
        <w:t>19.5 — Transition, validation et suppression</w:t>
      </w:r>
    </w:p>
    <w:p w14:paraId="03962337" w14:textId="77777777" w:rsidR="00FC2744" w:rsidRDefault="009A3E3E">
      <w:r>
        <w:t>L’OFDT peut demander l’engagement des opérations de réversibilité avant l’échéance ou à la suite d’une décision de résiliation. Les parties arrêtent un calendrier préservant la continuité des services. Le titulaire sortant coopère avec l’OFDT et, le cas échéant, avec le nouveau titulaire jusqu’à la date de transfert convenue.</w:t>
      </w:r>
    </w:p>
    <w:p w14:paraId="31D199C5" w14:textId="77777777" w:rsidR="00FC2744" w:rsidRDefault="009A3E3E">
      <w:r>
        <w:t>L’OFDT vérifie que les éléments remis sont complets, lisibles et exploitables. Après validation, le titulaire supprime les données restant dans ses environnements et ceux de ses sous-traitants, sous réserve des obligations légales de conservation, et remet à la demande de l’OFDT une attestation de suppression précisant, le cas échéant, le calendrier d’effacement des sauvegardes.</w:t>
      </w:r>
    </w:p>
    <w:p w14:paraId="5104FB86" w14:textId="77777777" w:rsidR="00FC2744" w:rsidRDefault="009A3E3E">
      <w:r>
        <w:t>La restitution ne peut être subordonnée à la reconduction du marché, à l’acquisition d’une nouvelle licence, au maintien d’un abonnement ou à la conclusion d’un nouveau contrat avec le titulaire.</w:t>
      </w:r>
    </w:p>
    <w:p w14:paraId="47321F2B" w14:textId="77777777" w:rsidR="00FC2744" w:rsidRDefault="009A3E3E">
      <w:pPr>
        <w:pStyle w:val="Titre1"/>
      </w:pPr>
      <w:r>
        <w:t>Article 20 — Sous-traitance</w:t>
      </w:r>
    </w:p>
    <w:p w14:paraId="68E28624" w14:textId="77777777" w:rsidR="00FC2744" w:rsidRDefault="009A3E3E">
      <w:pPr>
        <w:pStyle w:val="Titre2"/>
      </w:pPr>
      <w:r>
        <w:t>20.1 — Recours à la sous-traitance</w:t>
      </w:r>
    </w:p>
    <w:p w14:paraId="554104E5" w14:textId="77777777" w:rsidR="00FC2744" w:rsidRDefault="009A3E3E">
      <w:r>
        <w:t>Le titulaire peut confier à un sous-traitant l’exécution d’une partie des prestations dans le respect des dispositions législatives et réglementaires applicables. Chaque sous-traitant est déclaré à l’OFDT ; son intervention est subordonnée à son acceptation et à l’agrément de ses conditions de paiement.</w:t>
      </w:r>
    </w:p>
    <w:p w14:paraId="3A659BA9" w14:textId="77777777" w:rsidR="00FC2744" w:rsidRDefault="009A3E3E">
      <w:r>
        <w:t>La déclaration précise notamment l’identité du sous-traitant, la nature et le montant des prestations confiées, ses conditions de paiement, ses capacités et, le cas échéant, les opérations portant sur des données à caractère personnel.</w:t>
      </w:r>
    </w:p>
    <w:p w14:paraId="67116D65" w14:textId="77777777" w:rsidR="00FC2744" w:rsidRDefault="009A3E3E">
      <w:pPr>
        <w:pStyle w:val="Titre2"/>
      </w:pPr>
      <w:r>
        <w:t>20.2 — Évolutions</w:t>
      </w:r>
    </w:p>
    <w:p w14:paraId="229EB514" w14:textId="77777777" w:rsidR="00FC2744" w:rsidRDefault="009A3E3E">
      <w:r>
        <w:t>Le sous-traitant ne commence pas l’exécution avant l’accomplissement des formalités requises. Le titulaire informe l’OFDT de toute évolution substantielle affectant l’identité d’un sous-traitant, le périmètre ou le montant de la sous-traitance, les lieux d’hébergement ou de traitement, ou les conditions de sécurité et de continuité.</w:t>
      </w:r>
    </w:p>
    <w:p w14:paraId="3D957DA2" w14:textId="77777777" w:rsidR="00FC2744" w:rsidRDefault="009A3E3E">
      <w:pPr>
        <w:pStyle w:val="Titre2"/>
      </w:pPr>
      <w:r>
        <w:t>20.3 — Responsabilité</w:t>
      </w:r>
    </w:p>
    <w:p w14:paraId="2B0180A0" w14:textId="77777777" w:rsidR="00FC2744" w:rsidRDefault="009A3E3E">
      <w:r>
        <w:t xml:space="preserve">Le titulaire demeure seul responsable à l’égard de l’OFDT de la bonne exécution de l’ensemble des prestations relevant de son lot, y compris lorsqu’elles sont exécutées par un sous-traitant. </w:t>
      </w:r>
      <w:r>
        <w:lastRenderedPageBreak/>
        <w:t>Il ne peut invoquer la défaillance ou le retard d’un sous-traitant pour s’exonérer de ses obligations.</w:t>
      </w:r>
    </w:p>
    <w:p w14:paraId="73B04C9E" w14:textId="77777777" w:rsidR="00FC2744" w:rsidRDefault="009A3E3E">
      <w:r>
        <w:t>Il veille à ce que ses sous-traitants respectent les obligations applicables en matière de confidentialité, sécurité, protection des données, continuité, propriété intellectuelle et réversibilité.</w:t>
      </w:r>
    </w:p>
    <w:p w14:paraId="4D784913" w14:textId="77777777" w:rsidR="00FC2744" w:rsidRDefault="009A3E3E">
      <w:pPr>
        <w:pStyle w:val="Titre2"/>
      </w:pPr>
      <w:r>
        <w:t>20.4 — Données personnelles</w:t>
      </w:r>
    </w:p>
    <w:p w14:paraId="1A984B86" w14:textId="77777777" w:rsidR="00FC2744" w:rsidRDefault="009A3E3E">
      <w:r>
        <w:t>Lorsque les prestations sous-traitées comportent des traitements de données à caractère personnel, les stipulations de l’article 17 et de l’annexe 1 sont également applicables. L’acceptation administrative au titre de la commande publique ne dispense pas du respect des obligations relatives aux sous-traitants ultérieurs au sens du RGPD.</w:t>
      </w:r>
    </w:p>
    <w:p w14:paraId="5F96238D" w14:textId="77777777" w:rsidR="00FC2744" w:rsidRDefault="009A3E3E">
      <w:pPr>
        <w:pStyle w:val="Titre1"/>
      </w:pPr>
      <w:r>
        <w:t>Article 21 — Assurances et responsabilité</w:t>
      </w:r>
    </w:p>
    <w:p w14:paraId="1DDECA31" w14:textId="77777777" w:rsidR="00FC2744" w:rsidRDefault="009A3E3E">
      <w:pPr>
        <w:pStyle w:val="Titre2"/>
      </w:pPr>
      <w:r>
        <w:t>21.1 — Assurances</w:t>
      </w:r>
    </w:p>
    <w:p w14:paraId="06FF77D8" w14:textId="77777777" w:rsidR="00FC2744" w:rsidRDefault="009A3E3E">
      <w:r>
        <w:t>Le titulaire souscrit et maintient pendant toute la durée du marché les assurances adaptées à la nature des prestations et aux risques susceptibles de résulter de leur exécution, notamment en matière de responsabilité civile professionnelle, de défaillance des prestations et d’atteinte à la confidentialité, à l’intégrité ou à la disponibilité des données.</w:t>
      </w:r>
    </w:p>
    <w:p w14:paraId="11A55C3C" w14:textId="77777777" w:rsidR="00FC2744" w:rsidRDefault="009A3E3E">
      <w:r>
        <w:t>Il justifie de ses assurances dans les conditions prévues par le CCAG-TIC. L’attestation précise la nature des garanties, leur période de validité et les principaux montants garantis et franchises.</w:t>
      </w:r>
    </w:p>
    <w:p w14:paraId="0FD01735" w14:textId="77777777" w:rsidR="00FC2744" w:rsidRDefault="009A3E3E">
      <w:pPr>
        <w:pStyle w:val="Titre2"/>
      </w:pPr>
      <w:r>
        <w:t>21.2 — Responsabilité</w:t>
      </w:r>
    </w:p>
    <w:p w14:paraId="3D170294" w14:textId="77777777" w:rsidR="00FC2744" w:rsidRDefault="009A3E3E">
      <w:r>
        <w:t>Le titulaire est responsable de la bonne exécution des prestations relevant de son lot. Il répond de ses actes et omissions, de ceux de son personnel, de ses cotraitants et sous-traitants, des composants et prestataires techniques mobilisés ainsi que du respect de son devoir de conseil, d’alerte et de mise en garde.</w:t>
      </w:r>
    </w:p>
    <w:p w14:paraId="36CAB5B1" w14:textId="77777777" w:rsidR="00FC2744" w:rsidRDefault="009A3E3E">
      <w:r>
        <w:t>Les opérations de suivi, de vérification ou d’admission réalisées par l’OFDT ne diminuent pas la responsabilité du titulaire.</w:t>
      </w:r>
    </w:p>
    <w:p w14:paraId="19A91D8C" w14:textId="77777777" w:rsidR="00FC2744" w:rsidRDefault="009A3E3E">
      <w:pPr>
        <w:pStyle w:val="Titre2"/>
      </w:pPr>
      <w:r>
        <w:t>21.3 — Limitations</w:t>
      </w:r>
    </w:p>
    <w:p w14:paraId="07DF39F6" w14:textId="77777777" w:rsidR="00FC2744" w:rsidRDefault="009A3E3E">
      <w:r>
        <w:t>Aucune limitation ou exclusion de responsabilité figurant dans des conditions générales, licences ou documents standards du titulaire n’est opposable à l’OFDT, sauf acceptation expresse dans une pièce contractuelle du marché.</w:t>
      </w:r>
    </w:p>
    <w:p w14:paraId="19BF4B64" w14:textId="77777777" w:rsidR="00FC2744" w:rsidRDefault="009A3E3E">
      <w:pPr>
        <w:pStyle w:val="Titre2"/>
      </w:pPr>
      <w:r>
        <w:t>21.4 — Mesures conservatoires</w:t>
      </w:r>
    </w:p>
    <w:p w14:paraId="5ABBF792" w14:textId="77777777" w:rsidR="00FC2744" w:rsidRDefault="009A3E3E">
      <w:r>
        <w:t>En cas d’incident ou de dommage, le titulaire prend sans délai les mesures raisonnablement nécessaires pour limiter les conséquences, préserver les données et éléments de preuve, rétablir ou sécuriser les prestations, informer l’OFDT et coopérer à l’analyse des causes et aux mesures correctives. Ces mesures ne donnent pas lieu à une facturation supplémentaire lorsqu’elles sont rendues nécessaires par un manquement imputable au titulaire.</w:t>
      </w:r>
    </w:p>
    <w:p w14:paraId="78157760" w14:textId="77777777" w:rsidR="00FC2744" w:rsidRDefault="009A3E3E">
      <w:pPr>
        <w:pStyle w:val="Titre1"/>
      </w:pPr>
      <w:r>
        <w:lastRenderedPageBreak/>
        <w:t>Article 22 — Évolution et modification du marché</w:t>
      </w:r>
    </w:p>
    <w:p w14:paraId="6A9187D2" w14:textId="77777777" w:rsidR="00FC2744" w:rsidRDefault="009A3E3E">
      <w:pPr>
        <w:pStyle w:val="Titre2"/>
      </w:pPr>
      <w:r>
        <w:t>22.1 — Principe</w:t>
      </w:r>
    </w:p>
    <w:p w14:paraId="6C147D7F" w14:textId="77777777" w:rsidR="00FC2744" w:rsidRDefault="009A3E3E">
      <w:r>
        <w:t>Toute modification des prestations, du calendrier, du périmètre ou des conditions financières fait l’objet d’un écrit préalable. Aucune instruction orale, réunion ou échange informel ne peut, à lui seul, modifier les obligations contractuelles, autoriser une prestation supplémentaire ou ouvrir droit à une rémunération complémentaire.</w:t>
      </w:r>
    </w:p>
    <w:p w14:paraId="691F54CA" w14:textId="77777777" w:rsidR="00FC2744" w:rsidRDefault="009A3E3E">
      <w:r>
        <w:t>Les prestations complémentaires prévues au BPU sont commandées par bons de commande. Les autres modifications sont formalisées, lorsque nécessaire, par un acte modificatif conclu conformément au Code de la commande publique.</w:t>
      </w:r>
    </w:p>
    <w:p w14:paraId="7204B9B3" w14:textId="77777777" w:rsidR="00FC2744" w:rsidRDefault="009A3E3E">
      <w:r>
        <w:t>Toute proposition de modification du titulaire précise de manière synthétique son objet et sa justification, ses incidences sur les prestations, le calendrier et le prix ainsi que ses conséquences sur les données, la sécurité, les interfaces et la réversibilité.</w:t>
      </w:r>
    </w:p>
    <w:p w14:paraId="3A54EC95" w14:textId="77777777" w:rsidR="00FC2744" w:rsidRDefault="009A3E3E">
      <w:pPr>
        <w:pStyle w:val="Titre2"/>
      </w:pPr>
      <w:r>
        <w:t>22.2 — Clause de réexamen relative à la paye à façon</w:t>
      </w:r>
    </w:p>
    <w:p w14:paraId="6704E0F9" w14:textId="77777777" w:rsidR="00FC2744" w:rsidRDefault="009A3E3E">
      <w:r>
        <w:t>Pour le lot n° 1, le calendrier, l’ordonnancement des prestations et les modalités techniques de préparation de la paye à façon peuvent être adaptés lorsque les décisions, exigences, spécifications d’interface, prérequis ou calendriers communiqués par la DGFiP évoluent après la notification.</w:t>
      </w:r>
    </w:p>
    <w:p w14:paraId="4137B049" w14:textId="77777777" w:rsidR="00FC2744" w:rsidRDefault="009A3E3E">
      <w:r>
        <w:t>Cette adaptation peut concerner la programmation des tests, le calendrier des échanges, l’ordre des livrables, les modalités techniques des interfaces et fichiers, ainsi que les actions de formation et d’accompagnement liées à la bascule.</w:t>
      </w:r>
    </w:p>
    <w:p w14:paraId="1072B5B7" w14:textId="77777777" w:rsidR="00FC2744" w:rsidRDefault="009A3E3E">
      <w:r>
        <w:t>En cas de report de l’entrée effective de l’OFDT dans le dispositif de paye à façon, le titulaire poursuit, sur décision écrite de l’OFDT, l’exploitation, la maintenance, les mises à jour réglementaires, le support et la sécurisation du dispositif transitoire, dans la limite de la durée maximale du lot.</w:t>
      </w:r>
    </w:p>
    <w:p w14:paraId="1BB1F51D" w14:textId="77777777" w:rsidR="00FC2744" w:rsidRDefault="009A3E3E">
      <w:r>
        <w:t>Le maintien du dispositif transitoire est rémunéré par application des prix forfaitaires périodiques prévus à cet effet dans la DPGF. Ces prix sont applicables sans nouvelle négociation pendant toute la durée du lot.</w:t>
      </w:r>
    </w:p>
    <w:p w14:paraId="151525E4" w14:textId="77777777" w:rsidR="00FC2744" w:rsidRDefault="009A3E3E">
      <w:r>
        <w:t>L’adaptation ne peut modifier la nature globale du marché ni conduire au dépassement de la durée maximale du lot. Les éventuelles prestations complémentaires qui ne seraient pas comprises dans le forfait sont exécutées par application des prix du BPU, dans la limite du montant maximum de la partie à bons de commande, ou font l’objet, lorsque cela est nécessaire, d’une modification du marché conformément à la réglementation applicable.</w:t>
      </w:r>
    </w:p>
    <w:p w14:paraId="675B52D3" w14:textId="77777777" w:rsidR="00FC2744" w:rsidRDefault="009A3E3E">
      <w:pPr>
        <w:rPr>
          <w:highlight w:val="yellow"/>
        </w:rPr>
      </w:pPr>
      <w:r>
        <w:t>Toute adaptation est formalisée par écrit préalablement à sa mise en œuvre.</w:t>
      </w:r>
    </w:p>
    <w:p w14:paraId="35854EEE" w14:textId="77777777" w:rsidR="00FC2744" w:rsidRDefault="009A3E3E">
      <w:pPr>
        <w:pStyle w:val="Titre2"/>
      </w:pPr>
      <w:r>
        <w:t>22.3 — Évolutions réglementaires</w:t>
      </w:r>
    </w:p>
    <w:p w14:paraId="5631D7FA" w14:textId="77777777" w:rsidR="00FC2744" w:rsidRDefault="009A3E3E">
      <w:r>
        <w:t>Le titulaire assure dans le cadre de la maintenance les évolutions normalement nécessaires au maintien de la conformité réglementaire de la solution. Lorsqu’une évolution entraîne une transformation exceptionnelle dépassant manifestement le périmètre normal de maintenance, les parties en examinent les conséquences avant toute exécution.</w:t>
      </w:r>
    </w:p>
    <w:p w14:paraId="513771A7" w14:textId="77777777" w:rsidR="00FC2744" w:rsidRDefault="009A3E3E">
      <w:pPr>
        <w:pStyle w:val="Titre1"/>
      </w:pPr>
      <w:r>
        <w:lastRenderedPageBreak/>
        <w:t>Article 23 — Résiliation</w:t>
      </w:r>
    </w:p>
    <w:p w14:paraId="570FF9B8" w14:textId="77777777" w:rsidR="00FC2744" w:rsidRDefault="009A3E3E">
      <w:pPr>
        <w:pStyle w:val="Titre2"/>
      </w:pPr>
      <w:r>
        <w:t>23.1 — Régime applicable</w:t>
      </w:r>
    </w:p>
    <w:p w14:paraId="1AEBF0D2" w14:textId="77777777" w:rsidR="00FC2744" w:rsidRDefault="009A3E3E">
      <w:r>
        <w:t>Les conditions de résiliation sont celles prévues par le CCAG-TIC. Le présent article les complète afin d’assurer la protection des données et la continuité des opérations.</w:t>
      </w:r>
    </w:p>
    <w:p w14:paraId="68826E1F" w14:textId="77777777" w:rsidR="00FC2744" w:rsidRDefault="009A3E3E">
      <w:pPr>
        <w:pStyle w:val="Titre2"/>
      </w:pPr>
      <w:r>
        <w:t>23.2 — Continuité et restitution</w:t>
      </w:r>
    </w:p>
    <w:p w14:paraId="6EC78030" w14:textId="77777777" w:rsidR="00FC2744" w:rsidRDefault="009A3E3E">
      <w:r>
        <w:t>En cas de résiliation, quelle qu’en soit la cause, le titulaire prend les mesures nécessaires pour préserver la sécurité et l’intégrité des données, éviter une interruption brutale des processus essentiels, remettre les données, documents et travaux en cours, permettre la reprise par l’OFDT ou un tiers et coopérer aux opérations de réversibilité.</w:t>
      </w:r>
    </w:p>
    <w:p w14:paraId="768DA4F9" w14:textId="77777777" w:rsidR="00FC2744" w:rsidRDefault="009A3E3E">
      <w:pPr>
        <w:pStyle w:val="Titre2"/>
      </w:pPr>
      <w:r>
        <w:t>23.3 — Résiliation pour faute</w:t>
      </w:r>
    </w:p>
    <w:p w14:paraId="32FEE842" w14:textId="77777777" w:rsidR="00FC2744" w:rsidRDefault="009A3E3E">
      <w:r>
        <w:t>En cas de résiliation pour faute, les opérations nécessaires à la sécurisation et à la restitution des données sont réalisées sans coût supplémentaire. Le titulaire remet les livrables et travaux dans leur dernier état disponible, fournit les informations nécessaires à leur compréhension et demeure tenu de coopérer pendant la période nécessaire au transfert.</w:t>
      </w:r>
    </w:p>
    <w:p w14:paraId="7820F2EE" w14:textId="77777777" w:rsidR="00FC2744" w:rsidRDefault="009A3E3E">
      <w:pPr>
        <w:pStyle w:val="Titre2"/>
      </w:pPr>
      <w:r>
        <w:t>23.4 — Manquements graves</w:t>
      </w:r>
    </w:p>
    <w:p w14:paraId="23149531" w14:textId="77777777" w:rsidR="00FC2744" w:rsidRDefault="009A3E3E">
      <w:r>
        <w:t>Sans préjudice des cas prévus par le CCAG-TIC, peuvent notamment justifier l’engagement d’une procédure de résiliation pour faute :</w:t>
      </w:r>
    </w:p>
    <w:p w14:paraId="67AC2EAC" w14:textId="77777777" w:rsidR="00FC2744" w:rsidRDefault="009A3E3E">
      <w:pPr>
        <w:pStyle w:val="Sansinterligne"/>
      </w:pPr>
      <w:r>
        <w:t>Une atteinte grave ou répétée à la confidentialité ou à la sécurité ;</w:t>
      </w:r>
    </w:p>
    <w:p w14:paraId="53876D53" w14:textId="77777777" w:rsidR="00FC2744" w:rsidRDefault="009A3E3E">
      <w:pPr>
        <w:pStyle w:val="Sansinterligne"/>
      </w:pPr>
      <w:r>
        <w:t>Un manquement grave aux obligations relatives aux données personnelles ;</w:t>
      </w:r>
    </w:p>
    <w:p w14:paraId="0D79F820" w14:textId="77777777" w:rsidR="00FC2744" w:rsidRDefault="009A3E3E">
      <w:pPr>
        <w:pStyle w:val="Sansinterligne"/>
      </w:pPr>
      <w:r>
        <w:t>Une utilisation des données pour une finalité étrangère au marché ;</w:t>
      </w:r>
    </w:p>
    <w:p w14:paraId="1B30977A" w14:textId="77777777" w:rsidR="00FC2744" w:rsidRDefault="009A3E3E">
      <w:pPr>
        <w:pStyle w:val="Sansinterligne"/>
      </w:pPr>
      <w:r>
        <w:t>Une absence persistante de correction d’un dysfonctionnement compromettant un processus essentiel ;</w:t>
      </w:r>
    </w:p>
    <w:p w14:paraId="322FF179" w14:textId="77777777" w:rsidR="00FC2744" w:rsidRDefault="009A3E3E">
      <w:pPr>
        <w:pStyle w:val="Sansinterligne"/>
      </w:pPr>
      <w:r>
        <w:t>Un refus de restituer les données ou de participer à la réversibilité ;</w:t>
      </w:r>
    </w:p>
    <w:p w14:paraId="744F73BD" w14:textId="77777777" w:rsidR="00FC2744" w:rsidRDefault="009A3E3E">
      <w:pPr>
        <w:pStyle w:val="Sansinterligne"/>
      </w:pPr>
      <w:r>
        <w:t>L’abandon manifeste des prestations.</w:t>
      </w:r>
    </w:p>
    <w:p w14:paraId="27181020" w14:textId="77777777" w:rsidR="00FC2744" w:rsidRDefault="00FC2744"/>
    <w:p w14:paraId="612F55D8" w14:textId="77777777" w:rsidR="00FC2744" w:rsidRDefault="009A3E3E">
      <w:r>
        <w:t>Sauf urgence ou cas permettant une résiliation sans mise en demeure, le titulaire est préalablement invité à remédier au manquement dans un délai adapté à sa nature.</w:t>
      </w:r>
    </w:p>
    <w:p w14:paraId="6FFD1E7A" w14:textId="77777777" w:rsidR="00FC2744" w:rsidRDefault="009A3E3E">
      <w:pPr>
        <w:pStyle w:val="Titre2"/>
      </w:pPr>
      <w:r>
        <w:t>23.5 — Motif d’intérêt général</w:t>
      </w:r>
    </w:p>
    <w:p w14:paraId="5C871472" w14:textId="77777777" w:rsidR="00FC2744" w:rsidRDefault="009A3E3E">
      <w:r>
        <w:t>En cas de résiliation pour motif d’intérêt général, les stipulations du CCAG-TIC relatives à l’indemnisation sont applicables. Il n’est pas prévu de dérogation particulière.</w:t>
      </w:r>
    </w:p>
    <w:p w14:paraId="4528496F" w14:textId="77777777" w:rsidR="00FC2744" w:rsidRDefault="009A3E3E">
      <w:pPr>
        <w:pStyle w:val="Titre1"/>
      </w:pPr>
      <w:r>
        <w:t>Article 24 — Règlement des différends</w:t>
      </w:r>
    </w:p>
    <w:p w14:paraId="3595F001" w14:textId="77777777" w:rsidR="00FC2744" w:rsidRDefault="009A3E3E">
      <w:r>
        <w:t>Les parties recherchent en priorité une solution amiable à tout différend relatif à l’interprétation ou à l’exécution du marché. Les échanges sont centralisés entre les interlocuteurs principaux désignés pour le lot concerné.</w:t>
      </w:r>
    </w:p>
    <w:p w14:paraId="5425378B" w14:textId="77777777" w:rsidR="00FC2744" w:rsidRDefault="009A3E3E">
      <w:r>
        <w:t xml:space="preserve">Lorsqu’un différend ne peut être résolu dans le cadre du suivi courant, les parties appliquent la procédure de réclamation prévue par le CCAG-TIC. Elles peuvent ensuite recourir au </w:t>
      </w:r>
      <w:r>
        <w:lastRenderedPageBreak/>
        <w:t>Médiateur des entreprises, au comité consultatif de règlement amiable compétent ou à une procédure de conciliation ou de médiation.</w:t>
      </w:r>
    </w:p>
    <w:p w14:paraId="32D0BFE4" w14:textId="77777777" w:rsidR="00FC2744" w:rsidRDefault="009A3E3E">
      <w:r>
        <w:t>Le droit français est applicable. À défaut de règlement amiable, le litige relève du tribunal administratif territorialement compétent pour connaître des contrats conclus par l’OFDT.</w:t>
      </w:r>
    </w:p>
    <w:p w14:paraId="0D5E52FE" w14:textId="77777777" w:rsidR="00FC2744" w:rsidRDefault="009A3E3E">
      <w:pPr>
        <w:pStyle w:val="Titre1"/>
      </w:pPr>
      <w:r>
        <w:t>Article 25 — Dérogations au CCAG-TIC</w:t>
      </w:r>
    </w:p>
    <w:p w14:paraId="76A2807C" w14:textId="77777777" w:rsidR="00FC2744" w:rsidRDefault="009A3E3E">
      <w:r>
        <w:t>Les dérogations apportées au Cahier des clauses administratives générales applicables aux marchés publics de techniques de l’information et de la communication sont les suivantes :</w:t>
      </w:r>
    </w:p>
    <w:p w14:paraId="53280750" w14:textId="77777777" w:rsidR="00FC2744" w:rsidRDefault="00FC2744"/>
    <w:tbl>
      <w:tblPr>
        <w:tblStyle w:val="Grilledutableau"/>
        <w:tblW w:w="0" w:type="auto"/>
        <w:jc w:val="center"/>
        <w:tblLook w:val="04A0" w:firstRow="1" w:lastRow="0" w:firstColumn="1" w:lastColumn="0" w:noHBand="0" w:noVBand="1"/>
      </w:tblPr>
      <w:tblGrid>
        <w:gridCol w:w="2987"/>
        <w:gridCol w:w="2992"/>
        <w:gridCol w:w="3083"/>
      </w:tblGrid>
      <w:tr w:rsidR="00FC2744" w14:paraId="1F0A3D85" w14:textId="77777777">
        <w:trPr>
          <w:tblHeader/>
          <w:jc w:val="center"/>
        </w:trPr>
        <w:tc>
          <w:tcPr>
            <w:tcW w:w="3324" w:type="dxa"/>
            <w:vAlign w:val="center"/>
          </w:tcPr>
          <w:p w14:paraId="41AD620D" w14:textId="77777777" w:rsidR="00FC2744" w:rsidRDefault="009A3E3E">
            <w:pPr>
              <w:jc w:val="center"/>
            </w:pPr>
            <w:r>
              <w:rPr>
                <w:b/>
              </w:rPr>
              <w:t>Article du CCAP</w:t>
            </w:r>
          </w:p>
        </w:tc>
        <w:tc>
          <w:tcPr>
            <w:tcW w:w="3324" w:type="dxa"/>
            <w:vAlign w:val="center"/>
          </w:tcPr>
          <w:p w14:paraId="33976C55" w14:textId="77777777" w:rsidR="00FC2744" w:rsidRDefault="009A3E3E">
            <w:pPr>
              <w:jc w:val="center"/>
            </w:pPr>
            <w:r>
              <w:rPr>
                <w:b/>
              </w:rPr>
              <w:t>Article du CCAG-TIC</w:t>
            </w:r>
          </w:p>
        </w:tc>
        <w:tc>
          <w:tcPr>
            <w:tcW w:w="3324" w:type="dxa"/>
            <w:vAlign w:val="center"/>
          </w:tcPr>
          <w:p w14:paraId="5323CA07" w14:textId="77777777" w:rsidR="00FC2744" w:rsidRDefault="009A3E3E">
            <w:pPr>
              <w:jc w:val="center"/>
            </w:pPr>
            <w:r>
              <w:rPr>
                <w:b/>
              </w:rPr>
              <w:t>Objet de la dérogation</w:t>
            </w:r>
          </w:p>
        </w:tc>
      </w:tr>
      <w:tr w:rsidR="00FC2744" w14:paraId="46FED833" w14:textId="77777777">
        <w:trPr>
          <w:cantSplit/>
          <w:jc w:val="center"/>
        </w:trPr>
        <w:tc>
          <w:tcPr>
            <w:tcW w:w="3324" w:type="dxa"/>
            <w:tcMar>
              <w:top w:w="80" w:type="dxa"/>
              <w:left w:w="80" w:type="dxa"/>
              <w:bottom w:w="80" w:type="dxa"/>
              <w:right w:w="80" w:type="dxa"/>
            </w:tcMar>
          </w:tcPr>
          <w:p w14:paraId="66E6DC06" w14:textId="77777777" w:rsidR="00FC2744" w:rsidRDefault="009A3E3E">
            <w:r>
              <w:t>Article 13.3 du présent CCAP</w:t>
            </w:r>
          </w:p>
        </w:tc>
        <w:tc>
          <w:tcPr>
            <w:tcW w:w="3324" w:type="dxa"/>
            <w:tcMar>
              <w:top w:w="80" w:type="dxa"/>
              <w:left w:w="80" w:type="dxa"/>
              <w:bottom w:w="80" w:type="dxa"/>
              <w:right w:w="80" w:type="dxa"/>
            </w:tcMar>
          </w:tcPr>
          <w:p w14:paraId="4193C1AC" w14:textId="77777777" w:rsidR="00FC2744" w:rsidRDefault="009A3E3E">
            <w:r>
              <w:t>Article 33.2.2 du CCAG-TIC</w:t>
            </w:r>
          </w:p>
        </w:tc>
        <w:tc>
          <w:tcPr>
            <w:tcW w:w="3324" w:type="dxa"/>
            <w:tcMar>
              <w:top w:w="80" w:type="dxa"/>
              <w:left w:w="80" w:type="dxa"/>
              <w:bottom w:w="80" w:type="dxa"/>
              <w:right w:w="80" w:type="dxa"/>
            </w:tcMar>
          </w:tcPr>
          <w:p w14:paraId="5C79C81D" w14:textId="77777777" w:rsidR="00FC2744" w:rsidRDefault="009A3E3E">
            <w:r>
              <w:t>Délai de notification de la décision après vérification de service régulier porté à quinze jours ouvrés.</w:t>
            </w:r>
          </w:p>
        </w:tc>
      </w:tr>
      <w:tr w:rsidR="00FC2744" w14:paraId="5C08D15F" w14:textId="77777777">
        <w:trPr>
          <w:cantSplit/>
          <w:jc w:val="center"/>
        </w:trPr>
        <w:tc>
          <w:tcPr>
            <w:tcW w:w="3324" w:type="dxa"/>
            <w:tcMar>
              <w:top w:w="80" w:type="dxa"/>
              <w:left w:w="80" w:type="dxa"/>
              <w:bottom w:w="80" w:type="dxa"/>
              <w:right w:w="80" w:type="dxa"/>
            </w:tcMar>
          </w:tcPr>
          <w:p w14:paraId="39B90A4C" w14:textId="77777777" w:rsidR="00FC2744" w:rsidRDefault="009A3E3E">
            <w:r>
              <w:t>Article 14.3 du présent CCAP</w:t>
            </w:r>
          </w:p>
        </w:tc>
        <w:tc>
          <w:tcPr>
            <w:tcW w:w="3324" w:type="dxa"/>
            <w:tcMar>
              <w:top w:w="80" w:type="dxa"/>
              <w:left w:w="80" w:type="dxa"/>
              <w:bottom w:w="80" w:type="dxa"/>
              <w:right w:w="80" w:type="dxa"/>
            </w:tcMar>
          </w:tcPr>
          <w:p w14:paraId="0ACCE36C" w14:textId="77777777" w:rsidR="00FC2744" w:rsidRDefault="009A3E3E">
            <w:r>
              <w:t>Article 14.2.3 du CCAG-TIC</w:t>
            </w:r>
          </w:p>
        </w:tc>
        <w:tc>
          <w:tcPr>
            <w:tcW w:w="3324" w:type="dxa"/>
            <w:tcMar>
              <w:top w:w="80" w:type="dxa"/>
              <w:left w:w="80" w:type="dxa"/>
              <w:bottom w:w="80" w:type="dxa"/>
              <w:right w:w="80" w:type="dxa"/>
            </w:tcMar>
          </w:tcPr>
          <w:p w14:paraId="713D6998" w14:textId="77777777" w:rsidR="00FC2744" w:rsidRDefault="009A3E3E">
            <w:r>
              <w:t>Délais de rétablissement définis par les engagements de service de l’offre acceptée, et non par un délai uniforme de vingt-quatre heures.</w:t>
            </w:r>
          </w:p>
        </w:tc>
      </w:tr>
      <w:tr w:rsidR="00FC2744" w14:paraId="6C05B311" w14:textId="77777777">
        <w:trPr>
          <w:cantSplit/>
          <w:jc w:val="center"/>
        </w:trPr>
        <w:tc>
          <w:tcPr>
            <w:tcW w:w="3324" w:type="dxa"/>
            <w:tcMar>
              <w:top w:w="80" w:type="dxa"/>
              <w:left w:w="80" w:type="dxa"/>
              <w:bottom w:w="80" w:type="dxa"/>
              <w:right w:w="80" w:type="dxa"/>
            </w:tcMar>
          </w:tcPr>
          <w:p w14:paraId="59550BBE" w14:textId="77777777" w:rsidR="00FC2744" w:rsidRDefault="009A3E3E">
            <w:r>
              <w:t>Article 15 du présent CCAP</w:t>
            </w:r>
          </w:p>
        </w:tc>
        <w:tc>
          <w:tcPr>
            <w:tcW w:w="3324" w:type="dxa"/>
            <w:tcMar>
              <w:top w:w="80" w:type="dxa"/>
              <w:left w:w="80" w:type="dxa"/>
              <w:bottom w:w="80" w:type="dxa"/>
              <w:right w:w="80" w:type="dxa"/>
            </w:tcMar>
          </w:tcPr>
          <w:p w14:paraId="2EB056E2" w14:textId="77777777" w:rsidR="00FC2744" w:rsidRDefault="009A3E3E">
            <w:r>
              <w:t>Articles 14.1, 14.2.6 et 14.3 du CCAG-TIC</w:t>
            </w:r>
          </w:p>
        </w:tc>
        <w:tc>
          <w:tcPr>
            <w:tcW w:w="3324" w:type="dxa"/>
            <w:tcMar>
              <w:top w:w="80" w:type="dxa"/>
              <w:left w:w="80" w:type="dxa"/>
              <w:bottom w:w="80" w:type="dxa"/>
              <w:right w:w="80" w:type="dxa"/>
            </w:tcMar>
          </w:tcPr>
          <w:p w14:paraId="3E01F44B" w14:textId="77777777" w:rsidR="00FC2744" w:rsidRDefault="009A3E3E">
            <w:r>
              <w:t>Régime de pénalités ciblé et simplifié applicable au marché.</w:t>
            </w:r>
          </w:p>
        </w:tc>
      </w:tr>
    </w:tbl>
    <w:p w14:paraId="31B37A81" w14:textId="77777777" w:rsidR="00FC2744" w:rsidRDefault="00FC2744"/>
    <w:p w14:paraId="4D6F6CEC" w14:textId="77777777" w:rsidR="00FC2744" w:rsidRDefault="009A3E3E">
      <w:r>
        <w:t>Les stipulations du présent CCAP qui précisent ou complètent le CCAG-TIC sans le contredire ne constituent pas des dérogations.</w:t>
      </w:r>
    </w:p>
    <w:p w14:paraId="46B26D34" w14:textId="77777777" w:rsidR="00FC2744" w:rsidRDefault="00FC2744"/>
    <w:p w14:paraId="46144B11" w14:textId="77777777" w:rsidR="00FC2744" w:rsidRDefault="009A3E3E">
      <w:pPr>
        <w:spacing w:after="160" w:line="278" w:lineRule="auto"/>
        <w:jc w:val="left"/>
      </w:pPr>
      <w:r>
        <w:br w:type="page"/>
      </w:r>
    </w:p>
    <w:p w14:paraId="1390A997" w14:textId="77777777" w:rsidR="00FC2744" w:rsidRDefault="00FC2744">
      <w:pPr>
        <w:spacing w:after="160" w:line="278" w:lineRule="auto"/>
        <w:jc w:val="left"/>
      </w:pPr>
    </w:p>
    <w:p w14:paraId="2FC6B43D" w14:textId="77777777" w:rsidR="00FC2744" w:rsidRDefault="009A3E3E">
      <w:pPr>
        <w:pStyle w:val="Titre1"/>
      </w:pPr>
      <w:r>
        <w:t>Annexe 1 — Protection des données à caractère personnel</w:t>
      </w:r>
    </w:p>
    <w:p w14:paraId="74FD4C58" w14:textId="77777777" w:rsidR="00FC2744" w:rsidRDefault="009A3E3E">
      <w:r>
        <w:t>La présente annexe constitue le cadre contractuel des traitements de données à caractère personnel réalisés par le titulaire pour le compte de l’OFDT. Elle s’applique à chacun des lots en fonction des traitements effectivement réalisés.</w:t>
      </w:r>
    </w:p>
    <w:p w14:paraId="3466B10C" w14:textId="77777777" w:rsidR="00FC2744" w:rsidRDefault="009A3E3E">
      <w:pPr>
        <w:pStyle w:val="Titre2"/>
      </w:pPr>
      <w:r>
        <w:t>A. Description des traitements</w:t>
      </w:r>
    </w:p>
    <w:tbl>
      <w:tblPr>
        <w:tblStyle w:val="Grilledutableau"/>
        <w:tblW w:w="0" w:type="auto"/>
        <w:jc w:val="center"/>
        <w:tblLook w:val="04A0" w:firstRow="1" w:lastRow="0" w:firstColumn="1" w:lastColumn="0" w:noHBand="0" w:noVBand="1"/>
      </w:tblPr>
      <w:tblGrid>
        <w:gridCol w:w="2977"/>
        <w:gridCol w:w="3063"/>
        <w:gridCol w:w="3022"/>
      </w:tblGrid>
      <w:tr w:rsidR="00FC2744" w14:paraId="23C27740" w14:textId="77777777">
        <w:trPr>
          <w:tblHeader/>
          <w:jc w:val="center"/>
        </w:trPr>
        <w:tc>
          <w:tcPr>
            <w:tcW w:w="3324" w:type="dxa"/>
            <w:vAlign w:val="center"/>
          </w:tcPr>
          <w:p w14:paraId="62A2F48C" w14:textId="77777777" w:rsidR="00FC2744" w:rsidRDefault="009A3E3E">
            <w:pPr>
              <w:jc w:val="center"/>
            </w:pPr>
            <w:r>
              <w:rPr>
                <w:b/>
              </w:rPr>
              <w:t>Rubrique</w:t>
            </w:r>
          </w:p>
        </w:tc>
        <w:tc>
          <w:tcPr>
            <w:tcW w:w="3324" w:type="dxa"/>
            <w:vAlign w:val="center"/>
          </w:tcPr>
          <w:p w14:paraId="208C7AE0" w14:textId="77777777" w:rsidR="00FC2744" w:rsidRDefault="009A3E3E">
            <w:pPr>
              <w:jc w:val="center"/>
            </w:pPr>
            <w:r>
              <w:rPr>
                <w:b/>
              </w:rPr>
              <w:t>Lot n° 1 — Paie</w:t>
            </w:r>
          </w:p>
        </w:tc>
        <w:tc>
          <w:tcPr>
            <w:tcW w:w="3324" w:type="dxa"/>
            <w:vAlign w:val="center"/>
          </w:tcPr>
          <w:p w14:paraId="485298F3" w14:textId="77777777" w:rsidR="00FC2744" w:rsidRDefault="009A3E3E">
            <w:pPr>
              <w:jc w:val="center"/>
            </w:pPr>
            <w:r>
              <w:rPr>
                <w:b/>
              </w:rPr>
              <w:t>Lot n° 2 — Gestion RH et déplacements</w:t>
            </w:r>
          </w:p>
        </w:tc>
      </w:tr>
      <w:tr w:rsidR="00FC2744" w14:paraId="45F50635" w14:textId="77777777">
        <w:trPr>
          <w:cantSplit/>
          <w:jc w:val="center"/>
        </w:trPr>
        <w:tc>
          <w:tcPr>
            <w:tcW w:w="3324" w:type="dxa"/>
            <w:tcMar>
              <w:top w:w="70" w:type="dxa"/>
              <w:left w:w="80" w:type="dxa"/>
              <w:bottom w:w="70" w:type="dxa"/>
              <w:right w:w="80" w:type="dxa"/>
            </w:tcMar>
          </w:tcPr>
          <w:p w14:paraId="766584F9" w14:textId="77777777" w:rsidR="00FC2744" w:rsidRDefault="009A3E3E">
            <w:r>
              <w:t>Objet et finalités</w:t>
            </w:r>
          </w:p>
        </w:tc>
        <w:tc>
          <w:tcPr>
            <w:tcW w:w="3324" w:type="dxa"/>
            <w:tcMar>
              <w:top w:w="70" w:type="dxa"/>
              <w:left w:w="80" w:type="dxa"/>
              <w:bottom w:w="70" w:type="dxa"/>
              <w:right w:w="80" w:type="dxa"/>
            </w:tcMar>
          </w:tcPr>
          <w:p w14:paraId="2FAB4389" w14:textId="77777777" w:rsidR="00FC2744" w:rsidRDefault="009A3E3E">
            <w:r>
              <w:t>Préparation, pré-liquidation, contrôle et transmission des mouvements de paie ; gestion des retours DGFiP ; continuité transitoire et accompagnement vers la paye à façon.</w:t>
            </w:r>
          </w:p>
        </w:tc>
        <w:tc>
          <w:tcPr>
            <w:tcW w:w="3324" w:type="dxa"/>
            <w:tcMar>
              <w:top w:w="70" w:type="dxa"/>
              <w:left w:w="80" w:type="dxa"/>
              <w:bottom w:w="70" w:type="dxa"/>
              <w:right w:w="80" w:type="dxa"/>
            </w:tcMar>
          </w:tcPr>
          <w:p w14:paraId="584ABB01" w14:textId="77777777" w:rsidR="00FC2744" w:rsidRDefault="009A3E3E">
            <w:r>
              <w:t>Gestion administrative et RH du parcours de l’agent ; absences, temps et télétravail ; campagnes et échéances RH ; formation et entretiens ; déplacements et frais de mission.</w:t>
            </w:r>
          </w:p>
        </w:tc>
      </w:tr>
      <w:tr w:rsidR="00FC2744" w14:paraId="1CEBCA6F" w14:textId="77777777">
        <w:trPr>
          <w:cantSplit/>
          <w:jc w:val="center"/>
        </w:trPr>
        <w:tc>
          <w:tcPr>
            <w:tcW w:w="3324" w:type="dxa"/>
            <w:tcMar>
              <w:top w:w="70" w:type="dxa"/>
              <w:left w:w="80" w:type="dxa"/>
              <w:bottom w:w="70" w:type="dxa"/>
              <w:right w:w="80" w:type="dxa"/>
            </w:tcMar>
          </w:tcPr>
          <w:p w14:paraId="63FBE7DC" w14:textId="77777777" w:rsidR="00FC2744" w:rsidRDefault="009A3E3E">
            <w:r>
              <w:t>Durée</w:t>
            </w:r>
          </w:p>
        </w:tc>
        <w:tc>
          <w:tcPr>
            <w:tcW w:w="3324" w:type="dxa"/>
            <w:tcMar>
              <w:top w:w="70" w:type="dxa"/>
              <w:left w:w="80" w:type="dxa"/>
              <w:bottom w:w="70" w:type="dxa"/>
              <w:right w:w="80" w:type="dxa"/>
            </w:tcMar>
          </w:tcPr>
          <w:p w14:paraId="51FABD23" w14:textId="77777777" w:rsidR="00FC2744" w:rsidRDefault="009A3E3E">
            <w:r>
              <w:t>Durée du lot, y compris période de réversibilité et délais techniques de suppression.</w:t>
            </w:r>
          </w:p>
        </w:tc>
        <w:tc>
          <w:tcPr>
            <w:tcW w:w="3324" w:type="dxa"/>
            <w:tcMar>
              <w:top w:w="70" w:type="dxa"/>
              <w:left w:w="80" w:type="dxa"/>
              <w:bottom w:w="70" w:type="dxa"/>
              <w:right w:w="80" w:type="dxa"/>
            </w:tcMar>
          </w:tcPr>
          <w:p w14:paraId="1B36B5DE" w14:textId="77777777" w:rsidR="00FC2744" w:rsidRDefault="009A3E3E">
            <w:r>
              <w:t>Durée du lot, y compris période de réversibilité et délais techniques de suppression.</w:t>
            </w:r>
          </w:p>
        </w:tc>
      </w:tr>
      <w:tr w:rsidR="00FC2744" w14:paraId="4364A810" w14:textId="77777777">
        <w:trPr>
          <w:cantSplit/>
          <w:jc w:val="center"/>
        </w:trPr>
        <w:tc>
          <w:tcPr>
            <w:tcW w:w="3324" w:type="dxa"/>
            <w:tcMar>
              <w:top w:w="70" w:type="dxa"/>
              <w:left w:w="80" w:type="dxa"/>
              <w:bottom w:w="70" w:type="dxa"/>
              <w:right w:w="80" w:type="dxa"/>
            </w:tcMar>
          </w:tcPr>
          <w:p w14:paraId="1CC1D46D" w14:textId="77777777" w:rsidR="00FC2744" w:rsidRDefault="009A3E3E">
            <w:r>
              <w:t>Personnes concernées</w:t>
            </w:r>
          </w:p>
        </w:tc>
        <w:tc>
          <w:tcPr>
            <w:tcW w:w="3324" w:type="dxa"/>
            <w:tcMar>
              <w:top w:w="70" w:type="dxa"/>
              <w:left w:w="80" w:type="dxa"/>
              <w:bottom w:w="70" w:type="dxa"/>
              <w:right w:w="80" w:type="dxa"/>
            </w:tcMar>
          </w:tcPr>
          <w:p w14:paraId="52FF13BE" w14:textId="77777777" w:rsidR="00FC2744" w:rsidRDefault="009A3E3E">
            <w:r>
              <w:t>Agents, anciens agents et, lorsque nécessaire, ayants droit ou bénéficiaires liés aux opérations de paie.</w:t>
            </w:r>
          </w:p>
        </w:tc>
        <w:tc>
          <w:tcPr>
            <w:tcW w:w="3324" w:type="dxa"/>
            <w:tcMar>
              <w:top w:w="70" w:type="dxa"/>
              <w:left w:w="80" w:type="dxa"/>
              <w:bottom w:w="70" w:type="dxa"/>
              <w:right w:w="80" w:type="dxa"/>
            </w:tcMar>
          </w:tcPr>
          <w:p w14:paraId="1EA53811" w14:textId="77777777" w:rsidR="00FC2744" w:rsidRDefault="009A3E3E">
            <w:r>
              <w:t>Agents, anciens agents, candidats ou autres personnes dont les données sont nécessaires aux processus prévus par le CCTP.</w:t>
            </w:r>
          </w:p>
        </w:tc>
      </w:tr>
      <w:tr w:rsidR="00FC2744" w14:paraId="3A708CD9" w14:textId="77777777">
        <w:trPr>
          <w:cantSplit/>
          <w:jc w:val="center"/>
        </w:trPr>
        <w:tc>
          <w:tcPr>
            <w:tcW w:w="3324" w:type="dxa"/>
            <w:tcMar>
              <w:top w:w="70" w:type="dxa"/>
              <w:left w:w="80" w:type="dxa"/>
              <w:bottom w:w="70" w:type="dxa"/>
              <w:right w:w="80" w:type="dxa"/>
            </w:tcMar>
          </w:tcPr>
          <w:p w14:paraId="07903705" w14:textId="77777777" w:rsidR="00FC2744" w:rsidRDefault="009A3E3E">
            <w:r>
              <w:t>Catégories de données</w:t>
            </w:r>
          </w:p>
        </w:tc>
        <w:tc>
          <w:tcPr>
            <w:tcW w:w="3324" w:type="dxa"/>
            <w:tcMar>
              <w:top w:w="70" w:type="dxa"/>
              <w:left w:w="80" w:type="dxa"/>
              <w:bottom w:w="70" w:type="dxa"/>
              <w:right w:w="80" w:type="dxa"/>
            </w:tcMar>
          </w:tcPr>
          <w:p w14:paraId="429B800D" w14:textId="77777777" w:rsidR="00FC2744" w:rsidRDefault="009A3E3E">
            <w:r>
              <w:t>Identité, état civil, coordonnées, situation administrative et contractuelle, rémunération, éléments fixes et variables, coordonnées bancaires, cotisations et contributions, prélèvement à la source, oppositions et retenues, historiques et journaux.</w:t>
            </w:r>
          </w:p>
        </w:tc>
        <w:tc>
          <w:tcPr>
            <w:tcW w:w="3324" w:type="dxa"/>
            <w:tcMar>
              <w:top w:w="70" w:type="dxa"/>
              <w:left w:w="80" w:type="dxa"/>
              <w:bottom w:w="70" w:type="dxa"/>
              <w:right w:w="80" w:type="dxa"/>
            </w:tcMar>
          </w:tcPr>
          <w:p w14:paraId="628C4644" w14:textId="77777777" w:rsidR="00FC2744" w:rsidRDefault="009A3E3E">
            <w:r>
              <w:t>Identité, coordonnées, dossier administratif, contrats et carrière, organisation, congés et absences, télétravail, formation, évaluations, prévention et données administratives strictement nécessaires relatives à la santé, missions et frais, pièces justificatives, historiques et journaux.</w:t>
            </w:r>
          </w:p>
        </w:tc>
      </w:tr>
      <w:tr w:rsidR="00FC2744" w14:paraId="79CAA22C" w14:textId="77777777">
        <w:trPr>
          <w:cantSplit/>
          <w:jc w:val="center"/>
        </w:trPr>
        <w:tc>
          <w:tcPr>
            <w:tcW w:w="3324" w:type="dxa"/>
            <w:tcMar>
              <w:top w:w="70" w:type="dxa"/>
              <w:left w:w="80" w:type="dxa"/>
              <w:bottom w:w="70" w:type="dxa"/>
              <w:right w:w="80" w:type="dxa"/>
            </w:tcMar>
          </w:tcPr>
          <w:p w14:paraId="0AD83B20" w14:textId="77777777" w:rsidR="00FC2744" w:rsidRDefault="009A3E3E">
            <w:r>
              <w:lastRenderedPageBreak/>
              <w:t>Opérations réalisées</w:t>
            </w:r>
          </w:p>
        </w:tc>
        <w:tc>
          <w:tcPr>
            <w:tcW w:w="3324" w:type="dxa"/>
            <w:tcMar>
              <w:top w:w="70" w:type="dxa"/>
              <w:left w:w="80" w:type="dxa"/>
              <w:bottom w:w="70" w:type="dxa"/>
              <w:right w:w="80" w:type="dxa"/>
            </w:tcMar>
          </w:tcPr>
          <w:p w14:paraId="2460E962" w14:textId="77777777" w:rsidR="00FC2744" w:rsidRDefault="009A3E3E">
            <w:r>
              <w:t>Collecte, enregistrement, consultation, rapprochement, calcul, simulation, contrôle, génération et transmission de flux, conservation, extraction, correction, restitution et suppression.</w:t>
            </w:r>
          </w:p>
        </w:tc>
        <w:tc>
          <w:tcPr>
            <w:tcW w:w="3324" w:type="dxa"/>
            <w:tcMar>
              <w:top w:w="70" w:type="dxa"/>
              <w:left w:w="80" w:type="dxa"/>
              <w:bottom w:w="70" w:type="dxa"/>
              <w:right w:w="80" w:type="dxa"/>
            </w:tcMar>
          </w:tcPr>
          <w:p w14:paraId="34E61544" w14:textId="77777777" w:rsidR="00FC2744" w:rsidRDefault="009A3E3E">
            <w:r>
              <w:t>Collecte, enregistrement, consultation, mise à jour, validation, production documentaire, gestion de workflow, extraction, transmission autorisée, conservation, restitution et suppression.</w:t>
            </w:r>
          </w:p>
        </w:tc>
      </w:tr>
      <w:tr w:rsidR="00FC2744" w14:paraId="0A6F68E5" w14:textId="77777777">
        <w:trPr>
          <w:cantSplit/>
          <w:jc w:val="center"/>
        </w:trPr>
        <w:tc>
          <w:tcPr>
            <w:tcW w:w="3324" w:type="dxa"/>
            <w:tcMar>
              <w:top w:w="70" w:type="dxa"/>
              <w:left w:w="80" w:type="dxa"/>
              <w:bottom w:w="70" w:type="dxa"/>
              <w:right w:w="80" w:type="dxa"/>
            </w:tcMar>
          </w:tcPr>
          <w:p w14:paraId="6DBC7555" w14:textId="77777777" w:rsidR="00FC2744" w:rsidRDefault="009A3E3E">
            <w:r>
              <w:t>Destinataires autorisés</w:t>
            </w:r>
          </w:p>
        </w:tc>
        <w:tc>
          <w:tcPr>
            <w:tcW w:w="3324" w:type="dxa"/>
            <w:tcMar>
              <w:top w:w="70" w:type="dxa"/>
              <w:left w:w="80" w:type="dxa"/>
              <w:bottom w:w="70" w:type="dxa"/>
              <w:right w:w="80" w:type="dxa"/>
            </w:tcMar>
          </w:tcPr>
          <w:p w14:paraId="71EE27C0" w14:textId="77777777" w:rsidR="00FC2744" w:rsidRDefault="009A3E3E">
            <w:r>
              <w:t>Personnes habilitées de l’OFDT, agent comptable selon son périmètre, DGFiP et autres organismes légalement destinataires.</w:t>
            </w:r>
          </w:p>
        </w:tc>
        <w:tc>
          <w:tcPr>
            <w:tcW w:w="3324" w:type="dxa"/>
            <w:tcMar>
              <w:top w:w="70" w:type="dxa"/>
              <w:left w:w="80" w:type="dxa"/>
              <w:bottom w:w="70" w:type="dxa"/>
              <w:right w:w="80" w:type="dxa"/>
            </w:tcMar>
          </w:tcPr>
          <w:p w14:paraId="5877E3EA" w14:textId="77777777" w:rsidR="00FC2744" w:rsidRDefault="009A3E3E">
            <w:r>
              <w:t>Personnes habilitées de l’OFDT, responsables hiérarchiques selon leurs droits, agent comptable pour les frais selon son périmètre et organismes légalement destinataires.</w:t>
            </w:r>
          </w:p>
        </w:tc>
      </w:tr>
      <w:tr w:rsidR="00FC2744" w14:paraId="6453747D" w14:textId="77777777">
        <w:trPr>
          <w:cantSplit/>
          <w:jc w:val="center"/>
        </w:trPr>
        <w:tc>
          <w:tcPr>
            <w:tcW w:w="3324" w:type="dxa"/>
            <w:tcMar>
              <w:top w:w="70" w:type="dxa"/>
              <w:left w:w="80" w:type="dxa"/>
              <w:bottom w:w="70" w:type="dxa"/>
              <w:right w:w="80" w:type="dxa"/>
            </w:tcMar>
          </w:tcPr>
          <w:p w14:paraId="6F17C758" w14:textId="77777777" w:rsidR="00FC2744" w:rsidRDefault="009A3E3E">
            <w:r>
              <w:t>Durées de conservation</w:t>
            </w:r>
          </w:p>
        </w:tc>
        <w:tc>
          <w:tcPr>
            <w:tcW w:w="3324" w:type="dxa"/>
            <w:tcMar>
              <w:top w:w="70" w:type="dxa"/>
              <w:left w:w="80" w:type="dxa"/>
              <w:bottom w:w="70" w:type="dxa"/>
              <w:right w:w="80" w:type="dxa"/>
            </w:tcMar>
          </w:tcPr>
          <w:p w14:paraId="7E4776F9" w14:textId="77777777" w:rsidR="00FC2744" w:rsidRDefault="009A3E3E">
            <w:r>
              <w:t>Selon les instructions de l’OFDT, les obligations légales et les règles d’archivage applicables. Les durées détaillées sont précisées lors du cadrage et intégrées au plan de conservation.</w:t>
            </w:r>
          </w:p>
        </w:tc>
        <w:tc>
          <w:tcPr>
            <w:tcW w:w="3324" w:type="dxa"/>
            <w:tcMar>
              <w:top w:w="70" w:type="dxa"/>
              <w:left w:w="80" w:type="dxa"/>
              <w:bottom w:w="70" w:type="dxa"/>
              <w:right w:w="80" w:type="dxa"/>
            </w:tcMar>
          </w:tcPr>
          <w:p w14:paraId="16AC1FFA" w14:textId="77777777" w:rsidR="00FC2744" w:rsidRDefault="009A3E3E">
            <w:r>
              <w:t>Selon les instructions de l’OFDT, les obligations légales et les règles d’archivage applicables. Les durées détaillées sont précisées lors du cadrage et intégrées au plan de conservation.</w:t>
            </w:r>
          </w:p>
        </w:tc>
      </w:tr>
    </w:tbl>
    <w:p w14:paraId="70A8C1DD" w14:textId="77777777" w:rsidR="00FC2744" w:rsidRDefault="00FC2744"/>
    <w:p w14:paraId="15222F0D" w14:textId="77777777" w:rsidR="00FC2744" w:rsidRDefault="009A3E3E">
      <w:pPr>
        <w:pStyle w:val="Titre2"/>
      </w:pPr>
      <w:r>
        <w:t>B. Instructions et obligations du titulaire</w:t>
      </w:r>
    </w:p>
    <w:p w14:paraId="5B73D1A0" w14:textId="77777777" w:rsidR="00FC2744" w:rsidRDefault="009A3E3E">
      <w:r>
        <w:t>Il est impératif que le titulaire :</w:t>
      </w:r>
    </w:p>
    <w:p w14:paraId="053DC10B" w14:textId="77777777" w:rsidR="00FC2744" w:rsidRDefault="009A3E3E">
      <w:pPr>
        <w:pStyle w:val="Sansinterligne"/>
      </w:pPr>
      <w:proofErr w:type="gramStart"/>
      <w:r>
        <w:t>ne</w:t>
      </w:r>
      <w:proofErr w:type="gramEnd"/>
      <w:r>
        <w:t xml:space="preserve"> traite les données que sur instruction documentée de l’OFDT, y compris en ce qui concerne les transferts de données vers un pays tiers ou une organisation internationale, sauf obligation légale qui lui est applicable. Dans ce cas, il en informe l’OFDT avant le traitement, sauf interdiction légale.</w:t>
      </w:r>
    </w:p>
    <w:p w14:paraId="2D237546" w14:textId="77777777" w:rsidR="00FC2744" w:rsidRDefault="009A3E3E">
      <w:pPr>
        <w:pStyle w:val="Sansinterligne"/>
      </w:pPr>
      <w:proofErr w:type="gramStart"/>
      <w:r>
        <w:t>informe</w:t>
      </w:r>
      <w:proofErr w:type="gramEnd"/>
      <w:r>
        <w:t xml:space="preserve"> immédiatement l’OFDT lorsqu’il estime qu’une instruction constitue une violation de la réglementation relative à la protection des données.</w:t>
      </w:r>
    </w:p>
    <w:p w14:paraId="4456D3B3" w14:textId="77777777" w:rsidR="00FC2744" w:rsidRDefault="009A3E3E">
      <w:pPr>
        <w:pStyle w:val="Sansinterligne"/>
      </w:pPr>
      <w:proofErr w:type="gramStart"/>
      <w:r>
        <w:t>garantisse</w:t>
      </w:r>
      <w:proofErr w:type="gramEnd"/>
      <w:r>
        <w:t xml:space="preserve"> la confidentialité des personnes autorisées à traiter les données et limite leurs accès au strict besoin d’en connaître.</w:t>
      </w:r>
    </w:p>
    <w:p w14:paraId="520448A0" w14:textId="77777777" w:rsidR="00FC2744" w:rsidRDefault="009A3E3E">
      <w:pPr>
        <w:pStyle w:val="Sansinterligne"/>
      </w:pPr>
      <w:proofErr w:type="gramStart"/>
      <w:r>
        <w:t>mette</w:t>
      </w:r>
      <w:proofErr w:type="gramEnd"/>
      <w:r>
        <w:t xml:space="preserve"> en œuvre les mesures de sécurité décrites dans son offre et tienne leur documentation à jour ;</w:t>
      </w:r>
    </w:p>
    <w:p w14:paraId="096310B9" w14:textId="77777777" w:rsidR="00FC2744" w:rsidRDefault="009A3E3E">
      <w:pPr>
        <w:pStyle w:val="Sansinterligne"/>
      </w:pPr>
      <w:proofErr w:type="gramStart"/>
      <w:r>
        <w:t>tienne</w:t>
      </w:r>
      <w:proofErr w:type="gramEnd"/>
      <w:r>
        <w:t xml:space="preserve"> à disposition de l’OFDT les informations nécessaires pour démontrer le respect de ses obligations et contribue aux audits ou contrôles dans les conditions de l’article 17 du CCAP.</w:t>
      </w:r>
    </w:p>
    <w:p w14:paraId="38854094" w14:textId="77777777" w:rsidR="00FC2744" w:rsidRDefault="009A3E3E">
      <w:pPr>
        <w:pStyle w:val="Sansinterligne"/>
      </w:pPr>
      <w:proofErr w:type="gramStart"/>
      <w:r>
        <w:t>n’effectue</w:t>
      </w:r>
      <w:proofErr w:type="gramEnd"/>
      <w:r>
        <w:t xml:space="preserve"> aucune réutilisation pour son propre compte et ne recourt pas aux données de l’OFDT pour l’entraînement ou l’amélioration de systèmes d’intelligence artificielle.</w:t>
      </w:r>
    </w:p>
    <w:p w14:paraId="6B0B5085" w14:textId="77777777" w:rsidR="00FC2744" w:rsidRDefault="009A3E3E">
      <w:pPr>
        <w:pStyle w:val="Titre2"/>
      </w:pPr>
      <w:r>
        <w:lastRenderedPageBreak/>
        <w:t>C. Sous-traitants ultérieurs</w:t>
      </w:r>
    </w:p>
    <w:p w14:paraId="2C1CE798" w14:textId="77777777" w:rsidR="00FC2744" w:rsidRDefault="009A3E3E">
      <w:r>
        <w:t>La liste initiale des sous-traitants ultérieurs, leur rôle, les lieux de traitement et les garanties applicables sont fournis dans l’offre puis actualisés pendant le marché.</w:t>
      </w:r>
    </w:p>
    <w:p w14:paraId="6BED6DA2" w14:textId="77777777" w:rsidR="00FC2744" w:rsidRDefault="009A3E3E">
      <w:r>
        <w:t>Le candidat complète le tableau ci-dessous dans son offre.</w:t>
      </w:r>
    </w:p>
    <w:tbl>
      <w:tblPr>
        <w:tblStyle w:val="Grilledutableau"/>
        <w:tblW w:w="0" w:type="auto"/>
        <w:jc w:val="center"/>
        <w:tblLook w:val="04A0" w:firstRow="1" w:lastRow="0" w:firstColumn="1" w:lastColumn="0" w:noHBand="0" w:noVBand="1"/>
      </w:tblPr>
      <w:tblGrid>
        <w:gridCol w:w="1796"/>
        <w:gridCol w:w="1848"/>
        <w:gridCol w:w="1817"/>
        <w:gridCol w:w="1795"/>
        <w:gridCol w:w="1806"/>
      </w:tblGrid>
      <w:tr w:rsidR="00FC2744" w14:paraId="3CB706DF" w14:textId="77777777">
        <w:trPr>
          <w:tblHeader/>
          <w:jc w:val="center"/>
        </w:trPr>
        <w:tc>
          <w:tcPr>
            <w:tcW w:w="1796" w:type="dxa"/>
            <w:tcMar>
              <w:top w:w="70" w:type="dxa"/>
              <w:left w:w="70" w:type="dxa"/>
              <w:bottom w:w="70" w:type="dxa"/>
              <w:right w:w="70" w:type="dxa"/>
            </w:tcMar>
          </w:tcPr>
          <w:p w14:paraId="0E93E1A1" w14:textId="77777777" w:rsidR="00FC2744" w:rsidRDefault="009A3E3E">
            <w:pPr>
              <w:jc w:val="center"/>
              <w:rPr>
                <w:lang w:val="en-US"/>
              </w:rPr>
            </w:pPr>
            <w:r>
              <w:rPr>
                <w:b/>
                <w:lang w:val="en-US"/>
              </w:rPr>
              <w:t>Sous-</w:t>
            </w:r>
            <w:proofErr w:type="spellStart"/>
            <w:r>
              <w:rPr>
                <w:b/>
                <w:lang w:val="en-US"/>
              </w:rPr>
              <w:t>traitant</w:t>
            </w:r>
            <w:proofErr w:type="spellEnd"/>
          </w:p>
        </w:tc>
        <w:tc>
          <w:tcPr>
            <w:tcW w:w="1848" w:type="dxa"/>
            <w:tcMar>
              <w:top w:w="70" w:type="dxa"/>
              <w:left w:w="70" w:type="dxa"/>
              <w:bottom w:w="70" w:type="dxa"/>
              <w:right w:w="70" w:type="dxa"/>
            </w:tcMar>
          </w:tcPr>
          <w:p w14:paraId="5A43A80A" w14:textId="77777777" w:rsidR="00FC2744" w:rsidRDefault="009A3E3E">
            <w:pPr>
              <w:jc w:val="center"/>
              <w:rPr>
                <w:lang w:val="en-US"/>
              </w:rPr>
            </w:pPr>
            <w:proofErr w:type="spellStart"/>
            <w:r>
              <w:rPr>
                <w:b/>
                <w:lang w:val="en-US"/>
              </w:rPr>
              <w:t>Prestations</w:t>
            </w:r>
            <w:proofErr w:type="spellEnd"/>
            <w:r>
              <w:rPr>
                <w:b/>
                <w:lang w:val="en-US"/>
              </w:rPr>
              <w:t xml:space="preserve"> / </w:t>
            </w:r>
            <w:proofErr w:type="spellStart"/>
            <w:r>
              <w:rPr>
                <w:b/>
                <w:lang w:val="en-US"/>
              </w:rPr>
              <w:t>traitement</w:t>
            </w:r>
            <w:proofErr w:type="spellEnd"/>
          </w:p>
        </w:tc>
        <w:tc>
          <w:tcPr>
            <w:tcW w:w="1817" w:type="dxa"/>
            <w:tcMar>
              <w:top w:w="70" w:type="dxa"/>
              <w:left w:w="70" w:type="dxa"/>
              <w:bottom w:w="70" w:type="dxa"/>
              <w:right w:w="70" w:type="dxa"/>
            </w:tcMar>
          </w:tcPr>
          <w:p w14:paraId="70927D91" w14:textId="77777777" w:rsidR="00FC2744" w:rsidRDefault="009A3E3E">
            <w:pPr>
              <w:jc w:val="center"/>
              <w:rPr>
                <w:lang w:val="en-US"/>
              </w:rPr>
            </w:pPr>
            <w:r>
              <w:rPr>
                <w:b/>
                <w:lang w:val="en-US"/>
              </w:rPr>
              <w:t xml:space="preserve">Lieu(x) de </w:t>
            </w:r>
            <w:proofErr w:type="spellStart"/>
            <w:r>
              <w:rPr>
                <w:b/>
                <w:lang w:val="en-US"/>
              </w:rPr>
              <w:t>traitement</w:t>
            </w:r>
            <w:proofErr w:type="spellEnd"/>
          </w:p>
        </w:tc>
        <w:tc>
          <w:tcPr>
            <w:tcW w:w="1795" w:type="dxa"/>
            <w:tcMar>
              <w:top w:w="70" w:type="dxa"/>
              <w:left w:w="70" w:type="dxa"/>
              <w:bottom w:w="70" w:type="dxa"/>
              <w:right w:w="70" w:type="dxa"/>
            </w:tcMar>
          </w:tcPr>
          <w:p w14:paraId="3EE82022" w14:textId="77777777" w:rsidR="00FC2744" w:rsidRDefault="009A3E3E">
            <w:pPr>
              <w:jc w:val="center"/>
              <w:rPr>
                <w:lang w:val="en-US"/>
              </w:rPr>
            </w:pPr>
            <w:proofErr w:type="spellStart"/>
            <w:r>
              <w:rPr>
                <w:b/>
                <w:lang w:val="en-US"/>
              </w:rPr>
              <w:t>Transfert</w:t>
            </w:r>
            <w:proofErr w:type="spellEnd"/>
            <w:r>
              <w:rPr>
                <w:b/>
                <w:lang w:val="en-US"/>
              </w:rPr>
              <w:t xml:space="preserve"> hors EEE</w:t>
            </w:r>
          </w:p>
        </w:tc>
        <w:tc>
          <w:tcPr>
            <w:tcW w:w="1806" w:type="dxa"/>
            <w:tcMar>
              <w:top w:w="70" w:type="dxa"/>
              <w:left w:w="70" w:type="dxa"/>
              <w:bottom w:w="70" w:type="dxa"/>
              <w:right w:w="70" w:type="dxa"/>
            </w:tcMar>
          </w:tcPr>
          <w:p w14:paraId="6A2586F3" w14:textId="77777777" w:rsidR="00FC2744" w:rsidRDefault="009A3E3E">
            <w:pPr>
              <w:jc w:val="center"/>
              <w:rPr>
                <w:lang w:val="en-US"/>
              </w:rPr>
            </w:pPr>
            <w:proofErr w:type="spellStart"/>
            <w:r>
              <w:rPr>
                <w:b/>
                <w:lang w:val="en-US"/>
              </w:rPr>
              <w:t>Garanties</w:t>
            </w:r>
            <w:proofErr w:type="spellEnd"/>
          </w:p>
        </w:tc>
      </w:tr>
      <w:tr w:rsidR="00FC2744" w14:paraId="1D72F7F6" w14:textId="77777777">
        <w:trPr>
          <w:cantSplit/>
          <w:jc w:val="center"/>
        </w:trPr>
        <w:tc>
          <w:tcPr>
            <w:tcW w:w="1796" w:type="dxa"/>
            <w:tcMar>
              <w:top w:w="70" w:type="dxa"/>
              <w:left w:w="70" w:type="dxa"/>
              <w:bottom w:w="70" w:type="dxa"/>
              <w:right w:w="70" w:type="dxa"/>
            </w:tcMar>
          </w:tcPr>
          <w:p w14:paraId="548F76BF" w14:textId="77777777" w:rsidR="00FC2744" w:rsidRDefault="00FC2744"/>
        </w:tc>
        <w:tc>
          <w:tcPr>
            <w:tcW w:w="1848" w:type="dxa"/>
            <w:tcMar>
              <w:top w:w="70" w:type="dxa"/>
              <w:left w:w="70" w:type="dxa"/>
              <w:bottom w:w="70" w:type="dxa"/>
              <w:right w:w="70" w:type="dxa"/>
            </w:tcMar>
          </w:tcPr>
          <w:p w14:paraId="1ECB6025" w14:textId="77777777" w:rsidR="00FC2744" w:rsidRDefault="00FC2744"/>
        </w:tc>
        <w:tc>
          <w:tcPr>
            <w:tcW w:w="1817" w:type="dxa"/>
            <w:tcMar>
              <w:top w:w="70" w:type="dxa"/>
              <w:left w:w="70" w:type="dxa"/>
              <w:bottom w:w="70" w:type="dxa"/>
              <w:right w:w="70" w:type="dxa"/>
            </w:tcMar>
          </w:tcPr>
          <w:p w14:paraId="7B342E59" w14:textId="77777777" w:rsidR="00FC2744" w:rsidRDefault="00FC2744"/>
        </w:tc>
        <w:tc>
          <w:tcPr>
            <w:tcW w:w="1795" w:type="dxa"/>
            <w:tcMar>
              <w:top w:w="70" w:type="dxa"/>
              <w:left w:w="70" w:type="dxa"/>
              <w:bottom w:w="70" w:type="dxa"/>
              <w:right w:w="70" w:type="dxa"/>
            </w:tcMar>
          </w:tcPr>
          <w:p w14:paraId="1BE31468" w14:textId="77777777" w:rsidR="00FC2744" w:rsidRDefault="00FC2744"/>
        </w:tc>
        <w:tc>
          <w:tcPr>
            <w:tcW w:w="1806" w:type="dxa"/>
            <w:tcMar>
              <w:top w:w="70" w:type="dxa"/>
              <w:left w:w="70" w:type="dxa"/>
              <w:bottom w:w="70" w:type="dxa"/>
              <w:right w:w="70" w:type="dxa"/>
            </w:tcMar>
          </w:tcPr>
          <w:p w14:paraId="719287DC" w14:textId="77777777" w:rsidR="00FC2744" w:rsidRDefault="00FC2744"/>
        </w:tc>
      </w:tr>
    </w:tbl>
    <w:p w14:paraId="5E9F67B7" w14:textId="77777777" w:rsidR="00FC2744" w:rsidRDefault="00FC2744"/>
    <w:p w14:paraId="245ABF09" w14:textId="77777777" w:rsidR="00FC2744" w:rsidRDefault="009A3E3E">
      <w:pPr>
        <w:pStyle w:val="Titre2"/>
      </w:pPr>
      <w:r>
        <w:t>D. Mesures minimales de sécurité</w:t>
      </w:r>
    </w:p>
    <w:p w14:paraId="485F70CB" w14:textId="77777777" w:rsidR="00FC2744" w:rsidRDefault="009A3E3E">
      <w:r>
        <w:t>Sans préjudice des mesures plus détaillées proposées par le titulaire, celui-ci met en œuvre des mesures adaptées au risque, notamment :</w:t>
      </w:r>
    </w:p>
    <w:p w14:paraId="10770240" w14:textId="77777777" w:rsidR="00FC2744" w:rsidRDefault="009A3E3E">
      <w:pPr>
        <w:pStyle w:val="Sansinterligne"/>
      </w:pPr>
      <w:r>
        <w:t>Gestion nominative des comptes, moindre privilège et revue des habilitations ;</w:t>
      </w:r>
    </w:p>
    <w:p w14:paraId="409E174F" w14:textId="77777777" w:rsidR="00FC2744" w:rsidRDefault="009A3E3E">
      <w:pPr>
        <w:pStyle w:val="Sansinterligne"/>
      </w:pPr>
      <w:r>
        <w:t>Authentification renforcée pour les accès d’administration et les accès sensibles lorsque cela est approprié ;</w:t>
      </w:r>
    </w:p>
    <w:p w14:paraId="0BF1052C" w14:textId="77777777" w:rsidR="00FC2744" w:rsidRDefault="009A3E3E">
      <w:pPr>
        <w:pStyle w:val="Sansinterligne"/>
      </w:pPr>
      <w:r>
        <w:t>Chiffrement des échanges et protection appropriée des données stockées ;</w:t>
      </w:r>
    </w:p>
    <w:p w14:paraId="386029CC" w14:textId="77777777" w:rsidR="00FC2744" w:rsidRDefault="009A3E3E">
      <w:pPr>
        <w:pStyle w:val="Sansinterligne"/>
      </w:pPr>
      <w:r>
        <w:t>Journalisation des accès et opérations sensibles ;</w:t>
      </w:r>
    </w:p>
    <w:p w14:paraId="5C305585" w14:textId="77777777" w:rsidR="00FC2744" w:rsidRDefault="009A3E3E">
      <w:pPr>
        <w:pStyle w:val="Sansinterligne"/>
      </w:pPr>
      <w:r>
        <w:t>Sauvegardes, tests de restauration et dispositifs de continuité et de reprise ;</w:t>
      </w:r>
    </w:p>
    <w:p w14:paraId="454DA40F" w14:textId="77777777" w:rsidR="00FC2744" w:rsidRDefault="009A3E3E">
      <w:pPr>
        <w:pStyle w:val="Sansinterligne"/>
      </w:pPr>
      <w:r>
        <w:t>Séparation appropriée des environnements de développement, de test et de production ;</w:t>
      </w:r>
    </w:p>
    <w:p w14:paraId="4E9BBDFF" w14:textId="77777777" w:rsidR="00FC2744" w:rsidRDefault="009A3E3E">
      <w:pPr>
        <w:pStyle w:val="Sansinterligne"/>
      </w:pPr>
      <w:r>
        <w:t>Gestion des correctifs, vulnérabilités et incidents ;</w:t>
      </w:r>
    </w:p>
    <w:p w14:paraId="47D4C4B7" w14:textId="77777777" w:rsidR="00FC2744" w:rsidRDefault="009A3E3E">
      <w:pPr>
        <w:pStyle w:val="Sansinterligne"/>
      </w:pPr>
      <w:r>
        <w:t>Suppression sécurisée et maîtrise des supports et copies ;</w:t>
      </w:r>
    </w:p>
    <w:p w14:paraId="488B7B98" w14:textId="77777777" w:rsidR="00FC2744" w:rsidRDefault="009A3E3E">
      <w:pPr>
        <w:pStyle w:val="Sansinterligne"/>
      </w:pPr>
      <w:r>
        <w:t>Procédures d’arrivée, de mobilité et de départ des personnels autorisés.</w:t>
      </w:r>
    </w:p>
    <w:p w14:paraId="2A114B44" w14:textId="77777777" w:rsidR="00FC2744" w:rsidRDefault="009A3E3E">
      <w:pPr>
        <w:pStyle w:val="Titre2"/>
      </w:pPr>
      <w:r>
        <w:t>E. Exercice des droits</w:t>
      </w:r>
    </w:p>
    <w:p w14:paraId="74812965" w14:textId="77777777" w:rsidR="00FC2744" w:rsidRDefault="009A3E3E">
      <w:r>
        <w:t>Le titulaire aide l’OFDT, dans la mesure du possible et compte tenu de la nature du traitement, à donner suite aux demandes d’exercice des droits. Toute demande reçue directement est transmise à l’OFDT sans délai ; le titulaire ne répond pas sur le fond sauf instruction écrite ou obligation légale.</w:t>
      </w:r>
    </w:p>
    <w:p w14:paraId="1A1E02A7" w14:textId="77777777" w:rsidR="00FC2744" w:rsidRDefault="009A3E3E">
      <w:pPr>
        <w:pStyle w:val="Titre2"/>
      </w:pPr>
      <w:r>
        <w:t>F. Violations de données</w:t>
      </w:r>
    </w:p>
    <w:p w14:paraId="0C5876FF" w14:textId="77777777" w:rsidR="00FC2744" w:rsidRDefault="009A3E3E">
      <w:r>
        <w:t>Le titulaire notifie toute violation dans le délai prévu à l’article 17.7 du CCAP. La notification comporte, dans la mesure du possible :</w:t>
      </w:r>
    </w:p>
    <w:p w14:paraId="38D9BC33" w14:textId="77777777" w:rsidR="00FC2744" w:rsidRDefault="009A3E3E">
      <w:pPr>
        <w:pStyle w:val="Sansinterligne"/>
      </w:pPr>
      <w:r>
        <w:t>La date et l’heure de détection et, si elle est connue, de survenance ;</w:t>
      </w:r>
    </w:p>
    <w:p w14:paraId="1415C6C6" w14:textId="77777777" w:rsidR="00FC2744" w:rsidRDefault="009A3E3E">
      <w:pPr>
        <w:pStyle w:val="Sansinterligne"/>
      </w:pPr>
      <w:r>
        <w:t>La nature de la violation et les systèmes concernés ;</w:t>
      </w:r>
    </w:p>
    <w:p w14:paraId="22775008" w14:textId="77777777" w:rsidR="00FC2744" w:rsidRDefault="009A3E3E">
      <w:pPr>
        <w:pStyle w:val="Sansinterligne"/>
      </w:pPr>
      <w:r>
        <w:t>Les catégories et le volume approximatif des personnes et données concernées ;</w:t>
      </w:r>
    </w:p>
    <w:p w14:paraId="5645FBED" w14:textId="77777777" w:rsidR="00FC2744" w:rsidRDefault="009A3E3E">
      <w:pPr>
        <w:pStyle w:val="Sansinterligne"/>
      </w:pPr>
      <w:r>
        <w:t>Les conséquences probables ;</w:t>
      </w:r>
    </w:p>
    <w:p w14:paraId="55DE95B4" w14:textId="77777777" w:rsidR="00FC2744" w:rsidRDefault="009A3E3E">
      <w:pPr>
        <w:pStyle w:val="Sansinterligne"/>
      </w:pPr>
      <w:r>
        <w:t>Les mesures de confinement, de remédiation et de prévention ;</w:t>
      </w:r>
    </w:p>
    <w:p w14:paraId="5721F5BA" w14:textId="77777777" w:rsidR="00FC2744" w:rsidRDefault="009A3E3E">
      <w:pPr>
        <w:pStyle w:val="Sansinterligne"/>
      </w:pPr>
      <w:r>
        <w:t>Les coordonnées du contact chargé du suivi ;</w:t>
      </w:r>
    </w:p>
    <w:p w14:paraId="4CDCCA85" w14:textId="77777777" w:rsidR="00FC2744" w:rsidRDefault="009A3E3E">
      <w:pPr>
        <w:pStyle w:val="Sansinterligne"/>
      </w:pPr>
      <w:r>
        <w:t>Les éléments nécessaires à l’OFDT pour apprécier l’obligation de notifier la CNIL ou d’informer les personnes concernées.</w:t>
      </w:r>
    </w:p>
    <w:p w14:paraId="4D522403" w14:textId="77777777" w:rsidR="00FC2744" w:rsidRDefault="009A3E3E">
      <w:pPr>
        <w:pStyle w:val="Titre2"/>
      </w:pPr>
      <w:r>
        <w:lastRenderedPageBreak/>
        <w:t>G. Assistance, analyses d’impact et autorités</w:t>
      </w:r>
    </w:p>
    <w:p w14:paraId="633C5CCE" w14:textId="77777777" w:rsidR="00FC2744" w:rsidRDefault="009A3E3E">
      <w:r>
        <w:t>Le titulaire apporte l’assistance raisonnablement nécessaire aux analyses d’impact, consultations préalables, demandes de la CNIL ou d’autres autorités compétentes et à la documentation de la conformité. Il communique à l’OFDT toute demande d’accès ou de communication émanant d’une autorité ou d’un tiers, sauf interdiction légale.</w:t>
      </w:r>
    </w:p>
    <w:p w14:paraId="1DC14340" w14:textId="77777777" w:rsidR="00FC2744" w:rsidRDefault="009A3E3E">
      <w:pPr>
        <w:pStyle w:val="Titre2"/>
      </w:pPr>
      <w:r>
        <w:t>H. Restitution et suppression</w:t>
      </w:r>
    </w:p>
    <w:p w14:paraId="1A3D9DC2" w14:textId="77777777" w:rsidR="00FC2744" w:rsidRDefault="009A3E3E">
      <w:r>
        <w:t>À l’issue des prestations, le titulaire restitue les données, documents, historiques, journaux, paramétrages et informations nécessaires à leur exploitation dans les conditions de l’article 19. Après validation, il procède à leur suppression, y compris dans les environnements secondaires et, selon un calendrier documenté, dans les sauvegardes, sauf obligation légale de conservation.</w:t>
      </w:r>
    </w:p>
    <w:p w14:paraId="48D9D519" w14:textId="77777777" w:rsidR="00FC2744" w:rsidRDefault="009A3E3E">
      <w:r>
        <w:t>L’attestation de suppression indique les catégories de données supprimées, la date ou le calendrier d’effacement, les environnements concernés et les éventuelles données conservées en vertu d’une obligation légale.</w:t>
      </w:r>
    </w:p>
    <w:p w14:paraId="67D0EDB5" w14:textId="77777777" w:rsidR="00FC2744" w:rsidRDefault="009A3E3E">
      <w:pPr>
        <w:pStyle w:val="Titre2"/>
        <w:numPr>
          <w:ilvl w:val="0"/>
          <w:numId w:val="11"/>
        </w:numPr>
      </w:pPr>
      <w:r>
        <w:t>Contacts</w:t>
      </w:r>
    </w:p>
    <w:p w14:paraId="553C197C" w14:textId="77777777" w:rsidR="00FC2744" w:rsidRDefault="00FC2744"/>
    <w:tbl>
      <w:tblPr>
        <w:tblStyle w:val="Grilledutableau"/>
        <w:tblW w:w="0" w:type="auto"/>
        <w:tblLook w:val="04A0" w:firstRow="1" w:lastRow="0" w:firstColumn="1" w:lastColumn="0" w:noHBand="0" w:noVBand="1"/>
      </w:tblPr>
      <w:tblGrid>
        <w:gridCol w:w="4531"/>
        <w:gridCol w:w="4531"/>
      </w:tblGrid>
      <w:tr w:rsidR="00FC2744" w14:paraId="11952B4D" w14:textId="77777777">
        <w:tc>
          <w:tcPr>
            <w:tcW w:w="4531" w:type="dxa"/>
          </w:tcPr>
          <w:p w14:paraId="7DAA96FD" w14:textId="77777777" w:rsidR="00FC2744" w:rsidRDefault="009A3E3E">
            <w:r>
              <w:t>Responsable du traitement — OFDT</w:t>
            </w:r>
          </w:p>
        </w:tc>
        <w:tc>
          <w:tcPr>
            <w:tcW w:w="4531" w:type="dxa"/>
          </w:tcPr>
          <w:p w14:paraId="146F6C29" w14:textId="77777777" w:rsidR="00FC2744" w:rsidRDefault="009A3E3E">
            <w:r>
              <w:t>GIP OFDT – 69 rue de Varenne, 75007 Paris – ofdt@ofdt.fr</w:t>
            </w:r>
          </w:p>
        </w:tc>
      </w:tr>
      <w:tr w:rsidR="00FC2744" w14:paraId="5585B780" w14:textId="77777777">
        <w:tc>
          <w:tcPr>
            <w:tcW w:w="4531" w:type="dxa"/>
          </w:tcPr>
          <w:p w14:paraId="22AAEA9D" w14:textId="77777777" w:rsidR="00FC2744" w:rsidRDefault="009A3E3E">
            <w:r>
              <w:t>Délégué à la protection des données de l’OFDT</w:t>
            </w:r>
          </w:p>
        </w:tc>
        <w:tc>
          <w:tcPr>
            <w:tcW w:w="4531" w:type="dxa"/>
          </w:tcPr>
          <w:p w14:paraId="11F74102" w14:textId="77777777" w:rsidR="00FC2744" w:rsidRDefault="009A3E3E">
            <w:r>
              <w:t>Coordonnées communiquées au titulaire lors de la notification et actualisées, le cas échéant, pendant l’exécution du marché.</w:t>
            </w:r>
          </w:p>
        </w:tc>
      </w:tr>
      <w:tr w:rsidR="00FC2744" w14:paraId="6C17E4C9" w14:textId="77777777">
        <w:tc>
          <w:tcPr>
            <w:tcW w:w="4531" w:type="dxa"/>
          </w:tcPr>
          <w:p w14:paraId="05DD982C" w14:textId="77777777" w:rsidR="00FC2744" w:rsidRDefault="009A3E3E">
            <w:r>
              <w:t>Contact protection des données du titulaire</w:t>
            </w:r>
          </w:p>
        </w:tc>
        <w:tc>
          <w:tcPr>
            <w:tcW w:w="4531" w:type="dxa"/>
          </w:tcPr>
          <w:p w14:paraId="21238E54" w14:textId="77777777" w:rsidR="00FC2744" w:rsidRDefault="009A3E3E">
            <w:r>
              <w:t>À compléter par le candidat dans son offre.</w:t>
            </w:r>
          </w:p>
        </w:tc>
      </w:tr>
    </w:tbl>
    <w:p w14:paraId="6BB0DCAB" w14:textId="77777777" w:rsidR="00FC2744" w:rsidRDefault="00FC2744"/>
    <w:sectPr w:rsidR="00FC2744">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DD667" w14:textId="77777777" w:rsidR="00FC2744" w:rsidRDefault="009A3E3E">
      <w:pPr>
        <w:spacing w:after="0" w:line="240" w:lineRule="auto"/>
      </w:pPr>
      <w:r>
        <w:separator/>
      </w:r>
    </w:p>
  </w:endnote>
  <w:endnote w:type="continuationSeparator" w:id="0">
    <w:p w14:paraId="36C76D32" w14:textId="77777777" w:rsidR="00FC2744" w:rsidRDefault="009A3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4647859"/>
      <w:docPartObj>
        <w:docPartGallery w:val="Page Numbers (Bottom of Page)"/>
        <w:docPartUnique/>
      </w:docPartObj>
    </w:sdtPr>
    <w:sdtEndPr/>
    <w:sdtContent>
      <w:p w14:paraId="042A6C18" w14:textId="77777777" w:rsidR="00FC2744" w:rsidRDefault="009A3E3E">
        <w:pPr>
          <w:pStyle w:val="Pieddepage"/>
          <w:jc w:val="center"/>
        </w:pPr>
        <w:r>
          <w:fldChar w:fldCharType="begin"/>
        </w:r>
        <w:r>
          <w:instrText>PAGE   \* MERGEFORMAT</w:instrText>
        </w:r>
        <w:r>
          <w:fldChar w:fldCharType="separate"/>
        </w:r>
        <w:r>
          <w:t>2</w:t>
        </w:r>
        <w:r>
          <w:fldChar w:fldCharType="end"/>
        </w:r>
      </w:p>
    </w:sdtContent>
  </w:sdt>
  <w:p w14:paraId="6A8198AD" w14:textId="77777777" w:rsidR="00FC2744" w:rsidRDefault="00FC274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B7F68" w14:textId="77777777" w:rsidR="00FC2744" w:rsidRDefault="009A3E3E">
      <w:pPr>
        <w:spacing w:after="0" w:line="240" w:lineRule="auto"/>
      </w:pPr>
      <w:r>
        <w:separator/>
      </w:r>
    </w:p>
  </w:footnote>
  <w:footnote w:type="continuationSeparator" w:id="0">
    <w:p w14:paraId="0FF04199" w14:textId="77777777" w:rsidR="00FC2744" w:rsidRDefault="009A3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29A"/>
    <w:multiLevelType w:val="hybridMultilevel"/>
    <w:tmpl w:val="FEEA038E"/>
    <w:lvl w:ilvl="0" w:tplc="1CA8D80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231801"/>
    <w:multiLevelType w:val="hybridMultilevel"/>
    <w:tmpl w:val="243206FC"/>
    <w:lvl w:ilvl="0" w:tplc="EB944BA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3B3F37"/>
    <w:multiLevelType w:val="hybridMultilevel"/>
    <w:tmpl w:val="F9ACF3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62400D"/>
    <w:multiLevelType w:val="hybridMultilevel"/>
    <w:tmpl w:val="D23006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7E0964"/>
    <w:multiLevelType w:val="hybridMultilevel"/>
    <w:tmpl w:val="C750C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DE5E95"/>
    <w:multiLevelType w:val="hybridMultilevel"/>
    <w:tmpl w:val="709C90FE"/>
    <w:lvl w:ilvl="0" w:tplc="CA18A296">
      <w:numFmt w:val="bullet"/>
      <w:lvlText w:val="•"/>
      <w:lvlJc w:val="left"/>
      <w:pPr>
        <w:ind w:left="1428" w:hanging="708"/>
      </w:pPr>
      <w:rPr>
        <w:rFonts w:ascii="Aptos" w:eastAsia="Aptos" w:hAnsi="Aptos"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6" w15:restartNumberingAfterBreak="0">
    <w:nsid w:val="40E67A61"/>
    <w:multiLevelType w:val="hybridMultilevel"/>
    <w:tmpl w:val="EA8ED0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131BF2"/>
    <w:multiLevelType w:val="hybridMultilevel"/>
    <w:tmpl w:val="A7B65C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53511D"/>
    <w:multiLevelType w:val="hybridMultilevel"/>
    <w:tmpl w:val="3984F594"/>
    <w:lvl w:ilvl="0" w:tplc="F2DA156C">
      <w:start w:val="1"/>
      <w:numFmt w:val="bullet"/>
      <w:pStyle w:val="Sansinterlign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77476C"/>
    <w:multiLevelType w:val="hybridMultilevel"/>
    <w:tmpl w:val="BE1A94EC"/>
    <w:lvl w:ilvl="0" w:tplc="896A36E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5144AFA"/>
    <w:multiLevelType w:val="hybridMultilevel"/>
    <w:tmpl w:val="2E1C77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9898404">
    <w:abstractNumId w:val="1"/>
  </w:num>
  <w:num w:numId="2" w16cid:durableId="457066946">
    <w:abstractNumId w:val="8"/>
  </w:num>
  <w:num w:numId="3" w16cid:durableId="1022628804">
    <w:abstractNumId w:val="10"/>
  </w:num>
  <w:num w:numId="4" w16cid:durableId="792137565">
    <w:abstractNumId w:val="2"/>
  </w:num>
  <w:num w:numId="5" w16cid:durableId="259800326">
    <w:abstractNumId w:val="6"/>
  </w:num>
  <w:num w:numId="6" w16cid:durableId="2074741647">
    <w:abstractNumId w:val="4"/>
  </w:num>
  <w:num w:numId="7" w16cid:durableId="205603919">
    <w:abstractNumId w:val="7"/>
  </w:num>
  <w:num w:numId="8" w16cid:durableId="1767731594">
    <w:abstractNumId w:val="3"/>
  </w:num>
  <w:num w:numId="9" w16cid:durableId="1150361509">
    <w:abstractNumId w:val="8"/>
  </w:num>
  <w:num w:numId="10" w16cid:durableId="1834368165">
    <w:abstractNumId w:val="9"/>
  </w:num>
  <w:num w:numId="11" w16cid:durableId="1087194997">
    <w:abstractNumId w:val="0"/>
  </w:num>
  <w:num w:numId="12" w16cid:durableId="19297251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A1A"/>
    <w:rsid w:val="00001AFD"/>
    <w:rsid w:val="00003DC6"/>
    <w:rsid w:val="00004320"/>
    <w:rsid w:val="00033F91"/>
    <w:rsid w:val="00034DF8"/>
    <w:rsid w:val="00036B82"/>
    <w:rsid w:val="00042598"/>
    <w:rsid w:val="000579E9"/>
    <w:rsid w:val="00065A61"/>
    <w:rsid w:val="00076D9A"/>
    <w:rsid w:val="00080D9C"/>
    <w:rsid w:val="00091182"/>
    <w:rsid w:val="000A2397"/>
    <w:rsid w:val="000B2B2B"/>
    <w:rsid w:val="000D1505"/>
    <w:rsid w:val="000D35DB"/>
    <w:rsid w:val="000D5B86"/>
    <w:rsid w:val="000E7BD9"/>
    <w:rsid w:val="00103D92"/>
    <w:rsid w:val="00116000"/>
    <w:rsid w:val="00120617"/>
    <w:rsid w:val="0012348D"/>
    <w:rsid w:val="00167C82"/>
    <w:rsid w:val="00183124"/>
    <w:rsid w:val="001B2978"/>
    <w:rsid w:val="001C14FF"/>
    <w:rsid w:val="00203E6F"/>
    <w:rsid w:val="002341D2"/>
    <w:rsid w:val="00242240"/>
    <w:rsid w:val="00246334"/>
    <w:rsid w:val="00256AC7"/>
    <w:rsid w:val="0026302C"/>
    <w:rsid w:val="002811BC"/>
    <w:rsid w:val="00296715"/>
    <w:rsid w:val="002A07AC"/>
    <w:rsid w:val="002B13B2"/>
    <w:rsid w:val="002C77FE"/>
    <w:rsid w:val="00332AC1"/>
    <w:rsid w:val="00337964"/>
    <w:rsid w:val="00344572"/>
    <w:rsid w:val="0035062C"/>
    <w:rsid w:val="00356441"/>
    <w:rsid w:val="0039260A"/>
    <w:rsid w:val="00396DB5"/>
    <w:rsid w:val="003C4B09"/>
    <w:rsid w:val="003E2D6E"/>
    <w:rsid w:val="00412883"/>
    <w:rsid w:val="00414C2A"/>
    <w:rsid w:val="00430EDE"/>
    <w:rsid w:val="00431C0F"/>
    <w:rsid w:val="00435C28"/>
    <w:rsid w:val="0046656F"/>
    <w:rsid w:val="00495207"/>
    <w:rsid w:val="004A50D2"/>
    <w:rsid w:val="004F7E74"/>
    <w:rsid w:val="00501F4D"/>
    <w:rsid w:val="005039E4"/>
    <w:rsid w:val="00507632"/>
    <w:rsid w:val="00522644"/>
    <w:rsid w:val="005350B5"/>
    <w:rsid w:val="005804E0"/>
    <w:rsid w:val="00591DBB"/>
    <w:rsid w:val="005E50C4"/>
    <w:rsid w:val="00622207"/>
    <w:rsid w:val="00632013"/>
    <w:rsid w:val="0065089D"/>
    <w:rsid w:val="00656E68"/>
    <w:rsid w:val="006A3F61"/>
    <w:rsid w:val="006B46EC"/>
    <w:rsid w:val="006D50FB"/>
    <w:rsid w:val="006F6D13"/>
    <w:rsid w:val="00715785"/>
    <w:rsid w:val="00734662"/>
    <w:rsid w:val="0075230E"/>
    <w:rsid w:val="00757D1B"/>
    <w:rsid w:val="00771D70"/>
    <w:rsid w:val="00777408"/>
    <w:rsid w:val="00787F7A"/>
    <w:rsid w:val="00797EB7"/>
    <w:rsid w:val="007B48DA"/>
    <w:rsid w:val="008008A9"/>
    <w:rsid w:val="008145EB"/>
    <w:rsid w:val="008254A5"/>
    <w:rsid w:val="00830C25"/>
    <w:rsid w:val="0083437F"/>
    <w:rsid w:val="008408AF"/>
    <w:rsid w:val="00873C65"/>
    <w:rsid w:val="00877BF6"/>
    <w:rsid w:val="00880C7B"/>
    <w:rsid w:val="008824EB"/>
    <w:rsid w:val="0089079F"/>
    <w:rsid w:val="008928F7"/>
    <w:rsid w:val="008A3C98"/>
    <w:rsid w:val="008A7C13"/>
    <w:rsid w:val="008E1C2B"/>
    <w:rsid w:val="008F3A5E"/>
    <w:rsid w:val="009268F9"/>
    <w:rsid w:val="00972DE8"/>
    <w:rsid w:val="0097614F"/>
    <w:rsid w:val="0097615B"/>
    <w:rsid w:val="00986E2E"/>
    <w:rsid w:val="00991C54"/>
    <w:rsid w:val="00991F45"/>
    <w:rsid w:val="009A0C67"/>
    <w:rsid w:val="009A3E3E"/>
    <w:rsid w:val="009C2D81"/>
    <w:rsid w:val="009C377E"/>
    <w:rsid w:val="009C4469"/>
    <w:rsid w:val="009D191B"/>
    <w:rsid w:val="009F5302"/>
    <w:rsid w:val="00A1258B"/>
    <w:rsid w:val="00A477A4"/>
    <w:rsid w:val="00A506AB"/>
    <w:rsid w:val="00A61926"/>
    <w:rsid w:val="00AD145F"/>
    <w:rsid w:val="00AD263A"/>
    <w:rsid w:val="00AE3666"/>
    <w:rsid w:val="00AE711C"/>
    <w:rsid w:val="00B04735"/>
    <w:rsid w:val="00B43D0A"/>
    <w:rsid w:val="00B645DB"/>
    <w:rsid w:val="00B71629"/>
    <w:rsid w:val="00B9333F"/>
    <w:rsid w:val="00BB0560"/>
    <w:rsid w:val="00BC3B4A"/>
    <w:rsid w:val="00BC4CAE"/>
    <w:rsid w:val="00BC7492"/>
    <w:rsid w:val="00C15967"/>
    <w:rsid w:val="00C477EC"/>
    <w:rsid w:val="00C52D82"/>
    <w:rsid w:val="00C551A6"/>
    <w:rsid w:val="00CA79BA"/>
    <w:rsid w:val="00CC3288"/>
    <w:rsid w:val="00D220F8"/>
    <w:rsid w:val="00D2257C"/>
    <w:rsid w:val="00D348C9"/>
    <w:rsid w:val="00D4260D"/>
    <w:rsid w:val="00D72EBE"/>
    <w:rsid w:val="00D813A8"/>
    <w:rsid w:val="00DD555E"/>
    <w:rsid w:val="00DF1CDD"/>
    <w:rsid w:val="00E0041F"/>
    <w:rsid w:val="00E038D0"/>
    <w:rsid w:val="00E34564"/>
    <w:rsid w:val="00E62F8A"/>
    <w:rsid w:val="00E81F23"/>
    <w:rsid w:val="00E97A1A"/>
    <w:rsid w:val="00F04A5F"/>
    <w:rsid w:val="00F22664"/>
    <w:rsid w:val="00F522B9"/>
    <w:rsid w:val="00F7224D"/>
    <w:rsid w:val="00F930CE"/>
    <w:rsid w:val="00F965CE"/>
    <w:rsid w:val="00F97C37"/>
    <w:rsid w:val="00FB1240"/>
    <w:rsid w:val="00FB2ACF"/>
    <w:rsid w:val="00FB42B8"/>
    <w:rsid w:val="00FB78F8"/>
    <w:rsid w:val="00FC2744"/>
    <w:rsid w:val="00FE6437"/>
    <w:rsid w:val="00FF13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9B2B3"/>
  <w15:chartTrackingRefBased/>
  <w15:docId w15:val="{928769E4-C938-4833-8714-7A391640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8A9"/>
    <w:pPr>
      <w:spacing w:after="120" w:line="276" w:lineRule="auto"/>
      <w:jc w:val="both"/>
    </w:pPr>
    <w:rPr>
      <w:rFonts w:ascii="Arial" w:hAnsi="Arial"/>
      <w:sz w:val="22"/>
    </w:rPr>
  </w:style>
  <w:style w:type="paragraph" w:styleId="Titre1">
    <w:name w:val="heading 1"/>
    <w:basedOn w:val="Normal"/>
    <w:next w:val="Normal"/>
    <w:link w:val="Titre1Car"/>
    <w:uiPriority w:val="9"/>
    <w:qFormat/>
    <w:rsid w:val="00F7224D"/>
    <w:pPr>
      <w:keepNext/>
      <w:keepLines/>
      <w:spacing w:before="360" w:after="240"/>
      <w:outlineLvl w:val="0"/>
    </w:pPr>
    <w:rPr>
      <w:rFonts w:eastAsiaTheme="majorEastAsia" w:cstheme="majorBidi"/>
      <w:b/>
      <w:sz w:val="32"/>
      <w:szCs w:val="40"/>
    </w:rPr>
  </w:style>
  <w:style w:type="paragraph" w:styleId="Titre2">
    <w:name w:val="heading 2"/>
    <w:basedOn w:val="Normal"/>
    <w:next w:val="Normal"/>
    <w:link w:val="Titre2Car"/>
    <w:uiPriority w:val="9"/>
    <w:unhideWhenUsed/>
    <w:qFormat/>
    <w:rsid w:val="00F7224D"/>
    <w:pPr>
      <w:keepNext/>
      <w:keepLines/>
      <w:spacing w:before="280" w:after="160"/>
      <w:outlineLvl w:val="1"/>
    </w:pPr>
    <w:rPr>
      <w:rFonts w:eastAsiaTheme="majorEastAsia" w:cstheme="majorBidi"/>
      <w:b/>
      <w:sz w:val="26"/>
      <w:szCs w:val="32"/>
    </w:rPr>
  </w:style>
  <w:style w:type="paragraph" w:styleId="Titre3">
    <w:name w:val="heading 3"/>
    <w:basedOn w:val="Normal"/>
    <w:next w:val="Normal"/>
    <w:link w:val="Titre3Car"/>
    <w:uiPriority w:val="9"/>
    <w:unhideWhenUsed/>
    <w:qFormat/>
    <w:rsid w:val="00412883"/>
    <w:pPr>
      <w:keepNext/>
      <w:keepLines/>
      <w:spacing w:before="160" w:after="80"/>
      <w:outlineLvl w:val="2"/>
    </w:pPr>
    <w:rPr>
      <w:rFonts w:eastAsiaTheme="majorEastAsia" w:cstheme="majorBidi"/>
      <w:sz w:val="28"/>
      <w:szCs w:val="28"/>
    </w:rPr>
  </w:style>
  <w:style w:type="paragraph" w:styleId="Titre4">
    <w:name w:val="heading 4"/>
    <w:basedOn w:val="Normal"/>
    <w:next w:val="Normal"/>
    <w:link w:val="Titre4Car"/>
    <w:uiPriority w:val="9"/>
    <w:unhideWhenUsed/>
    <w:qFormat/>
    <w:rsid w:val="0035644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5644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5644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5644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5644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5644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extenote">
    <w:name w:val="Normal_texte_note"/>
    <w:basedOn w:val="Normal"/>
    <w:autoRedefine/>
    <w:qFormat/>
    <w:rsid w:val="00004320"/>
    <w:pPr>
      <w:keepLines/>
      <w:overflowPunct w:val="0"/>
      <w:autoSpaceDE w:val="0"/>
      <w:autoSpaceDN w:val="0"/>
      <w:adjustRightInd w:val="0"/>
      <w:spacing w:line="240" w:lineRule="auto"/>
      <w:textAlignment w:val="baseline"/>
    </w:pPr>
    <w:rPr>
      <w:rFonts w:eastAsia="Times New Roman" w:cs="Arial"/>
      <w:kern w:val="0"/>
      <w:szCs w:val="20"/>
      <w:lang w:eastAsia="fr-FR"/>
      <w14:ligatures w14:val="none"/>
    </w:rPr>
  </w:style>
  <w:style w:type="character" w:customStyle="1" w:styleId="Titre1Car">
    <w:name w:val="Titre 1 Car"/>
    <w:basedOn w:val="Policepardfaut"/>
    <w:link w:val="Titre1"/>
    <w:uiPriority w:val="9"/>
    <w:rsid w:val="00F7224D"/>
    <w:rPr>
      <w:rFonts w:ascii="Arial" w:eastAsiaTheme="majorEastAsia" w:hAnsi="Arial" w:cstheme="majorBidi"/>
      <w:b/>
      <w:sz w:val="32"/>
      <w:szCs w:val="40"/>
    </w:rPr>
  </w:style>
  <w:style w:type="character" w:customStyle="1" w:styleId="Titre2Car">
    <w:name w:val="Titre 2 Car"/>
    <w:basedOn w:val="Policepardfaut"/>
    <w:link w:val="Titre2"/>
    <w:uiPriority w:val="9"/>
    <w:rsid w:val="00F7224D"/>
    <w:rPr>
      <w:rFonts w:ascii="Arial" w:eastAsiaTheme="majorEastAsia" w:hAnsi="Arial" w:cstheme="majorBidi"/>
      <w:b/>
      <w:sz w:val="26"/>
      <w:szCs w:val="32"/>
    </w:rPr>
  </w:style>
  <w:style w:type="character" w:customStyle="1" w:styleId="Titre3Car">
    <w:name w:val="Titre 3 Car"/>
    <w:basedOn w:val="Policepardfaut"/>
    <w:link w:val="Titre3"/>
    <w:uiPriority w:val="9"/>
    <w:rsid w:val="00412883"/>
    <w:rPr>
      <w:rFonts w:ascii="Arial" w:eastAsiaTheme="majorEastAsia" w:hAnsi="Arial" w:cstheme="majorBidi"/>
      <w:sz w:val="28"/>
      <w:szCs w:val="28"/>
    </w:rPr>
  </w:style>
  <w:style w:type="character" w:customStyle="1" w:styleId="Titre4Car">
    <w:name w:val="Titre 4 Car"/>
    <w:basedOn w:val="Policepardfaut"/>
    <w:link w:val="Titre4"/>
    <w:uiPriority w:val="9"/>
    <w:rsid w:val="0035644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5644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5644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5644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5644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56441"/>
    <w:rPr>
      <w:rFonts w:eastAsiaTheme="majorEastAsia" w:cstheme="majorBidi"/>
      <w:color w:val="272727" w:themeColor="text1" w:themeTint="D8"/>
    </w:rPr>
  </w:style>
  <w:style w:type="paragraph" w:styleId="Titre">
    <w:name w:val="Title"/>
    <w:basedOn w:val="Normal"/>
    <w:next w:val="Normal"/>
    <w:link w:val="TitreCar"/>
    <w:uiPriority w:val="10"/>
    <w:qFormat/>
    <w:rsid w:val="00A506AB"/>
    <w:pPr>
      <w:spacing w:after="80" w:line="240" w:lineRule="auto"/>
      <w:contextualSpacing/>
      <w:jc w:val="center"/>
    </w:pPr>
    <w:rPr>
      <w:rFonts w:eastAsiaTheme="majorEastAsia" w:cstheme="majorBidi"/>
      <w:b/>
      <w:caps/>
      <w:spacing w:val="-10"/>
      <w:kern w:val="28"/>
      <w:sz w:val="32"/>
      <w:szCs w:val="56"/>
    </w:rPr>
  </w:style>
  <w:style w:type="character" w:customStyle="1" w:styleId="TitreCar">
    <w:name w:val="Titre Car"/>
    <w:basedOn w:val="Policepardfaut"/>
    <w:link w:val="Titre"/>
    <w:uiPriority w:val="10"/>
    <w:rsid w:val="00A506AB"/>
    <w:rPr>
      <w:rFonts w:ascii="Arial" w:eastAsiaTheme="majorEastAsia" w:hAnsi="Arial" w:cstheme="majorBidi"/>
      <w:b/>
      <w:caps/>
      <w:spacing w:val="-10"/>
      <w:kern w:val="28"/>
      <w:sz w:val="32"/>
      <w:szCs w:val="56"/>
    </w:rPr>
  </w:style>
  <w:style w:type="paragraph" w:styleId="Sous-titre">
    <w:name w:val="Subtitle"/>
    <w:basedOn w:val="Normal"/>
    <w:next w:val="Normal"/>
    <w:link w:val="Sous-titreCar"/>
    <w:uiPriority w:val="11"/>
    <w:qFormat/>
    <w:rsid w:val="006A3F61"/>
    <w:pPr>
      <w:numPr>
        <w:ilvl w:val="1"/>
      </w:numPr>
      <w:jc w:val="center"/>
    </w:pPr>
    <w:rPr>
      <w:rFonts w:eastAsiaTheme="majorEastAsia" w:cstheme="majorBidi"/>
      <w:color w:val="595959" w:themeColor="text1" w:themeTint="A6"/>
      <w:spacing w:val="15"/>
      <w:sz w:val="24"/>
      <w:szCs w:val="28"/>
    </w:rPr>
  </w:style>
  <w:style w:type="character" w:customStyle="1" w:styleId="Sous-titreCar">
    <w:name w:val="Sous-titre Car"/>
    <w:basedOn w:val="Policepardfaut"/>
    <w:link w:val="Sous-titre"/>
    <w:uiPriority w:val="11"/>
    <w:rsid w:val="006A3F61"/>
    <w:rPr>
      <w:rFonts w:ascii="Arial" w:eastAsiaTheme="majorEastAsia" w:hAnsi="Arial" w:cstheme="majorBidi"/>
      <w:color w:val="595959" w:themeColor="text1" w:themeTint="A6"/>
      <w:spacing w:val="15"/>
      <w:szCs w:val="28"/>
    </w:rPr>
  </w:style>
  <w:style w:type="paragraph" w:styleId="Citation">
    <w:name w:val="Quote"/>
    <w:basedOn w:val="Normal"/>
    <w:next w:val="Normal"/>
    <w:link w:val="CitationCar"/>
    <w:uiPriority w:val="29"/>
    <w:qFormat/>
    <w:rsid w:val="00356441"/>
    <w:pPr>
      <w:spacing w:before="160"/>
      <w:jc w:val="center"/>
    </w:pPr>
    <w:rPr>
      <w:i/>
      <w:iCs/>
      <w:color w:val="404040" w:themeColor="text1" w:themeTint="BF"/>
    </w:rPr>
  </w:style>
  <w:style w:type="character" w:customStyle="1" w:styleId="CitationCar">
    <w:name w:val="Citation Car"/>
    <w:basedOn w:val="Policepardfaut"/>
    <w:link w:val="Citation"/>
    <w:uiPriority w:val="29"/>
    <w:rsid w:val="00356441"/>
    <w:rPr>
      <w:i/>
      <w:iCs/>
      <w:color w:val="404040" w:themeColor="text1" w:themeTint="BF"/>
    </w:rPr>
  </w:style>
  <w:style w:type="paragraph" w:styleId="Paragraphedeliste">
    <w:name w:val="List Paragraph"/>
    <w:basedOn w:val="Normal"/>
    <w:uiPriority w:val="34"/>
    <w:qFormat/>
    <w:rsid w:val="00356441"/>
    <w:pPr>
      <w:ind w:left="720"/>
      <w:contextualSpacing/>
    </w:pPr>
  </w:style>
  <w:style w:type="character" w:styleId="Accentuationintense">
    <w:name w:val="Intense Emphasis"/>
    <w:basedOn w:val="Policepardfaut"/>
    <w:uiPriority w:val="21"/>
    <w:qFormat/>
    <w:rsid w:val="00356441"/>
    <w:rPr>
      <w:i/>
      <w:iCs/>
      <w:color w:val="0F4761" w:themeColor="accent1" w:themeShade="BF"/>
    </w:rPr>
  </w:style>
  <w:style w:type="paragraph" w:styleId="Citationintense">
    <w:name w:val="Intense Quote"/>
    <w:basedOn w:val="Normal"/>
    <w:next w:val="Normal"/>
    <w:link w:val="CitationintenseCar"/>
    <w:uiPriority w:val="30"/>
    <w:qFormat/>
    <w:rsid w:val="003564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56441"/>
    <w:rPr>
      <w:i/>
      <w:iCs/>
      <w:color w:val="0F4761" w:themeColor="accent1" w:themeShade="BF"/>
    </w:rPr>
  </w:style>
  <w:style w:type="character" w:styleId="Rfrenceintense">
    <w:name w:val="Intense Reference"/>
    <w:basedOn w:val="Policepardfaut"/>
    <w:uiPriority w:val="32"/>
    <w:qFormat/>
    <w:rsid w:val="00356441"/>
    <w:rPr>
      <w:b/>
      <w:bCs/>
      <w:smallCaps/>
      <w:color w:val="0F4761" w:themeColor="accent1" w:themeShade="BF"/>
      <w:spacing w:val="5"/>
    </w:rPr>
  </w:style>
  <w:style w:type="paragraph" w:styleId="En-tte">
    <w:name w:val="header"/>
    <w:basedOn w:val="Normal"/>
    <w:link w:val="En-tteCar"/>
    <w:uiPriority w:val="99"/>
    <w:unhideWhenUsed/>
    <w:rsid w:val="00A506AB"/>
    <w:pPr>
      <w:tabs>
        <w:tab w:val="center" w:pos="4536"/>
        <w:tab w:val="right" w:pos="9072"/>
      </w:tabs>
      <w:spacing w:after="0" w:line="240" w:lineRule="auto"/>
    </w:pPr>
  </w:style>
  <w:style w:type="character" w:customStyle="1" w:styleId="En-tteCar">
    <w:name w:val="En-tête Car"/>
    <w:basedOn w:val="Policepardfaut"/>
    <w:link w:val="En-tte"/>
    <w:uiPriority w:val="99"/>
    <w:rsid w:val="00A506AB"/>
    <w:rPr>
      <w:rFonts w:ascii="Arial" w:hAnsi="Arial"/>
      <w:sz w:val="22"/>
    </w:rPr>
  </w:style>
  <w:style w:type="paragraph" w:styleId="Pieddepage">
    <w:name w:val="footer"/>
    <w:basedOn w:val="Normal"/>
    <w:link w:val="PieddepageCar"/>
    <w:uiPriority w:val="99"/>
    <w:unhideWhenUsed/>
    <w:rsid w:val="00A506A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06AB"/>
    <w:rPr>
      <w:rFonts w:ascii="Arial" w:hAnsi="Arial"/>
      <w:sz w:val="22"/>
    </w:rPr>
  </w:style>
  <w:style w:type="paragraph" w:styleId="Sansinterligne">
    <w:name w:val="No Spacing"/>
    <w:uiPriority w:val="1"/>
    <w:qFormat/>
    <w:rsid w:val="00F522B9"/>
    <w:pPr>
      <w:numPr>
        <w:numId w:val="2"/>
      </w:numPr>
      <w:spacing w:after="0" w:line="240" w:lineRule="auto"/>
      <w:jc w:val="both"/>
    </w:pPr>
    <w:rPr>
      <w:rFonts w:ascii="Arial" w:hAnsi="Arial"/>
      <w:sz w:val="22"/>
    </w:rPr>
  </w:style>
  <w:style w:type="character" w:styleId="lev">
    <w:name w:val="Strong"/>
    <w:basedOn w:val="Policepardfaut"/>
    <w:uiPriority w:val="22"/>
    <w:qFormat/>
    <w:rsid w:val="00501F4D"/>
    <w:rPr>
      <w:b/>
      <w:bCs/>
    </w:rPr>
  </w:style>
  <w:style w:type="character" w:styleId="Titredulivre">
    <w:name w:val="Book Title"/>
    <w:basedOn w:val="Policepardfaut"/>
    <w:uiPriority w:val="33"/>
    <w:qFormat/>
    <w:rsid w:val="00501F4D"/>
    <w:rPr>
      <w:b/>
      <w:bCs/>
      <w:i/>
      <w:iCs/>
      <w:spacing w:val="5"/>
    </w:rPr>
  </w:style>
  <w:style w:type="character" w:styleId="Rfrencelgre">
    <w:name w:val="Subtle Reference"/>
    <w:basedOn w:val="Policepardfaut"/>
    <w:uiPriority w:val="31"/>
    <w:qFormat/>
    <w:rsid w:val="00501F4D"/>
    <w:rPr>
      <w:smallCaps/>
      <w:color w:val="5A5A5A" w:themeColor="text1" w:themeTint="A5"/>
    </w:rPr>
  </w:style>
  <w:style w:type="table" w:styleId="Grilledutableau">
    <w:name w:val="Table Grid"/>
    <w:basedOn w:val="TableauNormal"/>
    <w:uiPriority w:val="59"/>
    <w:rsid w:val="005E50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OFDT72_disque_D\MODELES\Mod&#232;le_Note%20r&#233;f.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ADF6EAD211543AC90AC7CE2E1E8F0" ma:contentTypeVersion="5" ma:contentTypeDescription="Create a new document." ma:contentTypeScope="" ma:versionID="d315f7cf49f89a298110c23693dc0ec1">
  <xsd:schema xmlns:xsd="http://www.w3.org/2001/XMLSchema" xmlns:xs="http://www.w3.org/2001/XMLSchema" xmlns:p="http://schemas.microsoft.com/office/2006/metadata/properties" xmlns:ns3="2e192a69-342e-4b31-8b36-6766de4277d9" targetNamespace="http://schemas.microsoft.com/office/2006/metadata/properties" ma:root="true" ma:fieldsID="9aca2f4ea002250f2a87432951e0bdd0" ns3:_="">
    <xsd:import namespace="2e192a69-342e-4b31-8b36-6766de4277d9"/>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92a69-342e-4b31-8b36-6766de4277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e192a69-342e-4b31-8b36-6766de4277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FD931-37E8-49E2-B6FE-ECB4BBDC5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92a69-342e-4b31-8b36-6766de4277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01E323-71B4-4A0A-A791-1147E1BEB45F}">
  <ds:schemaRefs>
    <ds:schemaRef ds:uri="http://schemas.microsoft.com/office/2006/metadata/properties"/>
    <ds:schemaRef ds:uri="http://schemas.microsoft.com/office/infopath/2007/PartnerControls"/>
    <ds:schemaRef ds:uri="2e192a69-342e-4b31-8b36-6766de4277d9"/>
  </ds:schemaRefs>
</ds:datastoreItem>
</file>

<file path=customXml/itemProps3.xml><?xml version="1.0" encoding="utf-8"?>
<ds:datastoreItem xmlns:ds="http://schemas.openxmlformats.org/officeDocument/2006/customXml" ds:itemID="{BC285D82-A746-4B80-A780-F488E690E3AA}">
  <ds:schemaRefs>
    <ds:schemaRef ds:uri="http://schemas.microsoft.com/sharepoint/v3/contenttype/forms"/>
  </ds:schemaRefs>
</ds:datastoreItem>
</file>

<file path=customXml/itemProps4.xml><?xml version="1.0" encoding="utf-8"?>
<ds:datastoreItem xmlns:ds="http://schemas.openxmlformats.org/officeDocument/2006/customXml" ds:itemID="{BD88E6CF-49A9-4B72-9582-2F8EA385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Modèle_Note réf.dotx</Template>
  <TotalTime>11</TotalTime>
  <Pages>31</Pages>
  <Words>10820</Words>
  <Characters>59513</Characters>
  <Application>Microsoft Office Word</Application>
  <DocSecurity>0</DocSecurity>
  <Lines>495</Lines>
  <Paragraphs>140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 – Consultation S2604 – PAF-SIRH</dc:title>
  <dc:subject>Cahier des clauses administratives particulières</dc:subject>
  <dc:creator>Cristina Diaz-Gomez</dc:creator>
  <cp:keywords>OFDT, S2604, CCAP, PAF, SIRH, paie, ressources humaines</cp:keywords>
  <dc:description/>
  <cp:lastModifiedBy>Cristina Diaz-Gomez</cp:lastModifiedBy>
  <cp:revision>6</cp:revision>
  <cp:lastPrinted>2026-07-28T17:14:00Z</cp:lastPrinted>
  <dcterms:created xsi:type="dcterms:W3CDTF">2026-08-01T17:22:00Z</dcterms:created>
  <dcterms:modified xsi:type="dcterms:W3CDTF">2026-08-03T10:09:00Z</dcterms:modified>
</cp:coreProperties>
</file>