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2"/>
        <w:tblW w:w="10200" w:type="dxa"/>
        <w:tblLayout w:type="fixed"/>
        <w:tblLook w:val="0000" w:firstRow="0" w:lastRow="0" w:firstColumn="0" w:lastColumn="0" w:noHBand="0" w:noVBand="0"/>
      </w:tblPr>
      <w:tblGrid>
        <w:gridCol w:w="10200"/>
      </w:tblGrid>
      <w:tr w:rsidR="001B30FD" w:rsidRPr="009837D7">
        <w:tc>
          <w:tcPr>
            <w:tcW w:w="10200" w:type="dxa"/>
            <w:tcBorders>
              <w:top w:val="single" w:sz="4" w:space="0" w:color="000000"/>
              <w:left w:val="single" w:sz="4" w:space="0" w:color="000000"/>
              <w:bottom w:val="single" w:sz="4" w:space="0" w:color="000000"/>
              <w:right w:val="single" w:sz="4" w:space="0" w:color="000000"/>
            </w:tcBorders>
            <w:shd w:val="clear" w:color="auto" w:fill="305F91"/>
          </w:tcPr>
          <w:p w:rsidR="001B30FD" w:rsidRDefault="008B589B">
            <w:pPr>
              <w:spacing w:before="360"/>
              <w:jc w:val="center"/>
              <w:rPr>
                <w:rFonts w:cs="Marianne"/>
                <w:b/>
                <w:color w:val="FFFFFF"/>
                <w:sz w:val="36"/>
                <w:lang w:val="fr-FR"/>
              </w:rPr>
            </w:pPr>
            <w:r>
              <w:rPr>
                <w:rFonts w:cs="Marianne"/>
                <w:b/>
                <w:color w:val="FFFFFF"/>
                <w:sz w:val="36"/>
                <w:lang w:val="fr-FR"/>
              </w:rPr>
              <w:t>MARCHE PUBLIC</w:t>
            </w:r>
          </w:p>
          <w:p w:rsidR="001B30FD" w:rsidRDefault="008B589B">
            <w:pPr>
              <w:pStyle w:val="PFRATitreMarche"/>
              <w:spacing w:after="0" w:line="600" w:lineRule="auto"/>
              <w:rPr>
                <w:rFonts w:ascii="Marianne" w:eastAsia="MS Mincho;Yu Gothic UI" w:hAnsi="Marianne" w:cs="Marianne"/>
                <w:b w:val="0"/>
                <w:color w:val="000000"/>
                <w:sz w:val="20"/>
                <w:lang w:val="fr-FR"/>
              </w:rPr>
            </w:pPr>
            <w:r>
              <w:rPr>
                <w:rFonts w:ascii="Marianne" w:hAnsi="Marianne" w:cs="Marianne"/>
                <w:b w:val="0"/>
                <w:lang w:val="fr-FR"/>
              </w:rPr>
              <w:t>PRESTATION DE SERVICES</w:t>
            </w:r>
          </w:p>
          <w:p w:rsidR="001B30FD" w:rsidRDefault="008B589B">
            <w:pPr>
              <w:pStyle w:val="PFRACoverMarketTitle"/>
              <w:spacing w:after="240" w:line="240" w:lineRule="auto"/>
              <w:rPr>
                <w:rFonts w:ascii="Marianne" w:hAnsi="Marianne" w:cs="Marianne"/>
                <w:b w:val="0"/>
                <w:lang w:val="fr-FR"/>
              </w:rPr>
            </w:pPr>
            <w:r>
              <w:rPr>
                <w:rFonts w:ascii="Marianne" w:hAnsi="Marianne" w:cs="Marianne"/>
                <w:b w:val="0"/>
                <w:sz w:val="32"/>
                <w:lang w:val="fr-FR"/>
              </w:rPr>
              <w:t>GESTION DE NUITÉES HÔTELIÈRES D’HÉBERGEMENT D’URGENCE_LOT2</w:t>
            </w:r>
          </w:p>
        </w:tc>
      </w:tr>
    </w:tbl>
    <w:p w:rsidR="001B30FD" w:rsidRDefault="001B30FD">
      <w:pPr>
        <w:rPr>
          <w:lang w:val="fr-FR"/>
        </w:rPr>
      </w:pPr>
    </w:p>
    <w:p w:rsidR="001B30FD" w:rsidRDefault="001B30FD">
      <w:pPr>
        <w:rPr>
          <w:lang w:val="fr-FR"/>
        </w:rPr>
      </w:pPr>
    </w:p>
    <w:tbl>
      <w:tblPr>
        <w:tblW w:w="10173" w:type="dxa"/>
        <w:jc w:val="center"/>
        <w:tblLayout w:type="fixed"/>
        <w:tblLook w:val="0000" w:firstRow="0" w:lastRow="0" w:firstColumn="0" w:lastColumn="0" w:noHBand="0" w:noVBand="0"/>
      </w:tblPr>
      <w:tblGrid>
        <w:gridCol w:w="10173"/>
      </w:tblGrid>
      <w:tr w:rsidR="001B30FD">
        <w:trPr>
          <w:trHeight w:val="1792"/>
          <w:jc w:val="center"/>
        </w:trPr>
        <w:tc>
          <w:tcPr>
            <w:tcW w:w="10173" w:type="dxa"/>
            <w:tcBorders>
              <w:top w:val="single" w:sz="4" w:space="0" w:color="000000"/>
              <w:left w:val="single" w:sz="4" w:space="0" w:color="000000"/>
              <w:bottom w:val="single" w:sz="4" w:space="0" w:color="000000"/>
              <w:right w:val="single" w:sz="4" w:space="0" w:color="000000"/>
            </w:tcBorders>
            <w:shd w:val="clear" w:color="auto" w:fill="305F91"/>
          </w:tcPr>
          <w:p w:rsidR="001B30FD" w:rsidRDefault="008B589B">
            <w:pPr>
              <w:spacing w:before="360"/>
              <w:jc w:val="center"/>
              <w:rPr>
                <w:rFonts w:cs="Marianne"/>
                <w:b/>
                <w:color w:val="FFFFFF"/>
                <w:sz w:val="36"/>
                <w:lang w:val="fr-FR"/>
              </w:rPr>
            </w:pPr>
            <w:r>
              <w:rPr>
                <w:rFonts w:cs="Marianne"/>
                <w:b/>
                <w:color w:val="FFFFFF"/>
                <w:sz w:val="32"/>
                <w:lang w:val="fr-FR"/>
              </w:rPr>
              <w:t>REFERENCE</w:t>
            </w:r>
          </w:p>
          <w:p w:rsidR="001B30FD" w:rsidRDefault="008B589B">
            <w:pPr>
              <w:pStyle w:val="PFRACoverMarketReference"/>
              <w:spacing w:after="40" w:line="480" w:lineRule="auto"/>
              <w:rPr>
                <w:rFonts w:ascii="Marianne" w:hAnsi="Marianne" w:cs="Marianne"/>
                <w:b w:val="0"/>
                <w:lang w:val="fr-FR"/>
              </w:rPr>
            </w:pPr>
            <w:r>
              <w:rPr>
                <w:rFonts w:ascii="Marianne" w:hAnsi="Marianne" w:cs="Marianne"/>
                <w:b w:val="0"/>
                <w:sz w:val="32"/>
                <w:lang w:val="fr-FR"/>
              </w:rPr>
              <w:t>2026PFRAOCC005_LOT2</w:t>
            </w:r>
          </w:p>
        </w:tc>
      </w:tr>
    </w:tbl>
    <w:p w:rsidR="001B30FD" w:rsidRDefault="001B30FD">
      <w:pPr>
        <w:rPr>
          <w:vanish/>
          <w:lang w:val="fr-FR"/>
        </w:rPr>
      </w:pPr>
    </w:p>
    <w:tbl>
      <w:tblPr>
        <w:tblpPr w:leftFromText="180" w:rightFromText="180" w:vertAnchor="page" w:horzAnchor="page" w:tblpX="1025" w:tblpY="9888"/>
        <w:tblW w:w="10200" w:type="dxa"/>
        <w:tblLayout w:type="fixed"/>
        <w:tblLook w:val="0000" w:firstRow="0" w:lastRow="0" w:firstColumn="0" w:lastColumn="0" w:noHBand="0" w:noVBand="0"/>
      </w:tblPr>
      <w:tblGrid>
        <w:gridCol w:w="10200"/>
      </w:tblGrid>
      <w:tr w:rsidR="001B30FD" w:rsidRPr="009837D7">
        <w:tc>
          <w:tcPr>
            <w:tcW w:w="10200" w:type="dxa"/>
            <w:tcBorders>
              <w:top w:val="single" w:sz="4" w:space="0" w:color="000000"/>
              <w:left w:val="single" w:sz="4" w:space="0" w:color="000000"/>
              <w:bottom w:val="single" w:sz="4" w:space="0" w:color="000000"/>
              <w:right w:val="single" w:sz="4" w:space="0" w:color="000000"/>
            </w:tcBorders>
            <w:shd w:val="clear" w:color="auto" w:fill="305F91"/>
          </w:tcPr>
          <w:p w:rsidR="001B30FD" w:rsidRDefault="008B589B">
            <w:pPr>
              <w:spacing w:before="360"/>
              <w:jc w:val="center"/>
              <w:rPr>
                <w:rFonts w:cs="Marianne"/>
                <w:b/>
                <w:color w:val="FFFFFF"/>
                <w:sz w:val="36"/>
                <w:lang w:val="fr-FR"/>
              </w:rPr>
            </w:pPr>
            <w:r>
              <w:rPr>
                <w:rFonts w:cs="Marianne"/>
                <w:b/>
                <w:color w:val="FFFFFF"/>
                <w:sz w:val="36"/>
                <w:lang w:val="fr-FR"/>
              </w:rPr>
              <w:t xml:space="preserve">CAHIER DES CLAUSES ADMINISTRATIVES PARTICULIERES </w:t>
            </w:r>
          </w:p>
          <w:p w:rsidR="001B30FD" w:rsidRDefault="008B589B">
            <w:pPr>
              <w:spacing w:line="480" w:lineRule="auto"/>
              <w:jc w:val="center"/>
              <w:rPr>
                <w:rFonts w:cs="Marianne"/>
                <w:b/>
                <w:color w:val="FFFFFF"/>
                <w:sz w:val="36"/>
                <w:lang w:val="fr-FR"/>
              </w:rPr>
            </w:pPr>
            <w:r>
              <w:rPr>
                <w:rFonts w:cs="Marianne"/>
                <w:b/>
                <w:color w:val="FFFFFF"/>
                <w:sz w:val="36"/>
                <w:lang w:val="fr-FR"/>
              </w:rPr>
              <w:t>(CCAP)</w:t>
            </w:r>
          </w:p>
        </w:tc>
      </w:tr>
    </w:tbl>
    <w:p w:rsidR="001B30FD" w:rsidRDefault="008B589B">
      <w:pPr>
        <w:rPr>
          <w:rFonts w:cs="Marianne"/>
          <w:b/>
          <w:color w:val="203864"/>
          <w:sz w:val="22"/>
          <w:lang w:val="fr-FR"/>
        </w:rPr>
      </w:pPr>
      <w:r>
        <w:rPr>
          <w:noProof/>
          <w:lang w:val="en-GB" w:eastAsia="en-GB"/>
        </w:rPr>
        <mc:AlternateContent>
          <mc:Choice Requires="wpg">
            <w:drawing>
              <wp:anchor distT="0" distB="0" distL="114935" distR="114935" simplePos="0" relativeHeight="251657728" behindDoc="0" locked="0" layoutInCell="1" allowOverlap="1">
                <wp:simplePos x="0" y="0"/>
                <wp:positionH relativeFrom="column">
                  <wp:posOffset>5975010</wp:posOffset>
                </wp:positionH>
                <wp:positionV relativeFrom="paragraph">
                  <wp:posOffset>2346122</wp:posOffset>
                </wp:positionV>
                <wp:extent cx="501990" cy="501990"/>
                <wp:effectExtent l="0" t="0" r="0" b="0"/>
                <wp:wrapNone/>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569836" name="Image 8"/>
                        <pic:cNvPicPr>
                          <a:picLocks noChangeAspect="1"/>
                        </pic:cNvPicPr>
                      </pic:nvPicPr>
                      <pic:blipFill rotWithShape="1">
                        <a:blip r:embed="rId8"/>
                        <a:srcRect l="-35" t="-35" r="-34" b="-34"/>
                        <a:stretch/>
                      </pic:blipFill>
                      <pic:spPr bwMode="auto">
                        <a:xfrm>
                          <a:off x="0" y="0"/>
                          <a:ext cx="501989" cy="501989"/>
                        </a:xfrm>
                        <a:prstGeom prst="rect">
                          <a:avLst/>
                        </a:prstGeom>
                        <a:noFill/>
                      </pic:spPr>
                    </pic:pic>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57728;o:allowoverlap:true;o:allowincell:true;mso-position-horizontal-relative:text;margin-left:470.47pt;mso-position-horizontal:absolute;mso-position-vertical-relative:text;margin-top:184.73pt;mso-position-vertical:absolute;width:39.53pt;height:39.53pt;mso-wrap-distance-left:9.05pt;mso-wrap-distance-top:0.00pt;mso-wrap-distance-right:9.05pt;mso-wrap-distance-bottom:0.00pt;z-index:1;" stroked="false">
                <v:imagedata r:id="rId14" o:title="" croptop="-22f" cropleft="-22f" cropbottom="-21f" cropright="-21f"/>
                <o:lock v:ext="edit" rotation="t"/>
              </v:shape>
            </w:pict>
          </mc:Fallback>
        </mc:AlternateContent>
      </w:r>
      <w:r>
        <w:rPr>
          <w:lang w:val="fr-FR"/>
        </w:rPr>
        <w:br w:type="page" w:clear="all"/>
      </w:r>
    </w:p>
    <w:p w:rsidR="001B30FD" w:rsidRDefault="001B30FD">
      <w:pPr>
        <w:rPr>
          <w:rFonts w:cs="Marianne"/>
          <w:lang w:val="fr-FR"/>
        </w:rPr>
      </w:pPr>
    </w:p>
    <w:p w:rsidR="001B30FD" w:rsidRDefault="008B589B">
      <w:pPr>
        <w:pStyle w:val="PFRATOCTitle"/>
        <w:jc w:val="both"/>
        <w:rPr>
          <w:rFonts w:cs="Marianne"/>
          <w:lang w:val="fr-FR"/>
        </w:rPr>
      </w:pPr>
      <w:r>
        <w:rPr>
          <w:lang w:val="fr-FR"/>
        </w:rPr>
        <w:t>Table des matières</w:t>
      </w:r>
    </w:p>
    <w:p w:rsidR="001B30FD" w:rsidRDefault="008B589B">
      <w:pPr>
        <w:pStyle w:val="TM1"/>
        <w:tabs>
          <w:tab w:val="right" w:leader="dot" w:pos="10190"/>
        </w:tabs>
      </w:pPr>
      <w:r>
        <w:rPr>
          <w:lang w:val="fr-FR"/>
        </w:rPr>
        <w:fldChar w:fldCharType="begin"/>
      </w:r>
      <w:r>
        <w:rPr>
          <w:lang w:val="fr-FR"/>
        </w:rPr>
        <w:instrText>TOC \o "1-3" \h \z \u</w:instrText>
      </w:r>
      <w:r>
        <w:rPr>
          <w:lang w:val="fr-FR"/>
        </w:rPr>
        <w:fldChar w:fldCharType="separate"/>
      </w:r>
      <w:hyperlink w:anchor="_Toc1" w:tooltip="#_Toc1" w:history="1">
        <w:r>
          <w:rPr>
            <w:rFonts w:eastAsia="Times New Roman"/>
          </w:rPr>
          <w:t>ARTICLE 1.</w:t>
        </w:r>
        <w:r>
          <w:t xml:space="preserve"> </w:t>
        </w:r>
        <w:r>
          <w:rPr>
            <w:rStyle w:val="Lienhypertexte"/>
            <w:lang w:val="fr-FR"/>
          </w:rPr>
          <w:t xml:space="preserve">ORGANISATION </w:t>
        </w:r>
        <w:r>
          <w:tab/>
        </w:r>
        <w:r>
          <w:fldChar w:fldCharType="begin"/>
        </w:r>
        <w:r>
          <w:instrText>PAGEREF _Toc1 \h</w:instrText>
        </w:r>
        <w:r>
          <w:fldChar w:fldCharType="separate"/>
        </w:r>
        <w:r>
          <w:t>5</w:t>
        </w:r>
        <w:r>
          <w:fldChar w:fldCharType="end"/>
        </w:r>
      </w:hyperlink>
    </w:p>
    <w:p w:rsidR="001B30FD" w:rsidRDefault="008B589B">
      <w:pPr>
        <w:pStyle w:val="TM2"/>
        <w:tabs>
          <w:tab w:val="left" w:pos="850"/>
          <w:tab w:val="right" w:leader="dot" w:pos="10190"/>
        </w:tabs>
        <w:rPr>
          <w:rFonts w:ascii="Marianne ExtraBold" w:hAnsi="Marianne ExtraBold"/>
        </w:rPr>
      </w:pPr>
      <w:hyperlink w:anchor="_Toc2" w:tooltip="#_Toc2" w:history="1">
        <w:r>
          <w:rPr>
            <w:rFonts w:ascii="Marianne ExtraBold" w:eastAsia="Times New Roman" w:hAnsi="Marianne ExtraBold" w:cs="Times New Roman"/>
          </w:rPr>
          <w:t>1.1</w:t>
        </w:r>
        <w:r>
          <w:tab/>
        </w:r>
        <w:r>
          <w:rPr>
            <w:rStyle w:val="Lienhypertexte"/>
            <w:rFonts w:ascii="Marianne ExtraBold" w:hAnsi="Marianne ExtraBold"/>
            <w:lang w:val="fr-FR"/>
          </w:rPr>
          <w:t xml:space="preserve">CONTEXTE </w:t>
        </w:r>
        <w:r>
          <w:tab/>
        </w:r>
        <w:r>
          <w:fldChar w:fldCharType="begin"/>
        </w:r>
        <w:r>
          <w:instrText>PAGEREF _Toc2 \h</w:instrText>
        </w:r>
        <w:r>
          <w:fldChar w:fldCharType="separate"/>
        </w:r>
        <w:r>
          <w:t>5</w:t>
        </w:r>
        <w:r>
          <w:fldChar w:fldCharType="end"/>
        </w:r>
      </w:hyperlink>
    </w:p>
    <w:p w:rsidR="001B30FD" w:rsidRDefault="008B589B">
      <w:pPr>
        <w:pStyle w:val="TM2"/>
        <w:tabs>
          <w:tab w:val="left" w:pos="850"/>
          <w:tab w:val="right" w:leader="dot" w:pos="10190"/>
        </w:tabs>
        <w:rPr>
          <w:rFonts w:ascii="Marianne ExtraBold" w:hAnsi="Marianne ExtraBold"/>
        </w:rPr>
      </w:pPr>
      <w:hyperlink w:anchor="_Toc3" w:tooltip="#_Toc3" w:history="1">
        <w:r>
          <w:rPr>
            <w:rFonts w:ascii="Marianne ExtraBold" w:eastAsia="Times New Roman" w:hAnsi="Marianne ExtraBold" w:cs="Times New Roman"/>
          </w:rPr>
          <w:t>1.2</w:t>
        </w:r>
        <w:r>
          <w:tab/>
        </w:r>
        <w:r>
          <w:rPr>
            <w:rStyle w:val="Lienhypertexte"/>
            <w:rFonts w:ascii="Marianne ExtraBold" w:hAnsi="Marianne ExtraBold"/>
            <w:lang w:val="fr-FR"/>
          </w:rPr>
          <w:t>PARTIES</w:t>
        </w:r>
        <w:r>
          <w:tab/>
        </w:r>
        <w:r>
          <w:fldChar w:fldCharType="begin"/>
        </w:r>
        <w:r>
          <w:instrText>PAGEREF _Toc3 \h</w:instrText>
        </w:r>
        <w:r>
          <w:fldChar w:fldCharType="separate"/>
        </w:r>
        <w:r>
          <w:t>5</w:t>
        </w:r>
        <w:r>
          <w:fldChar w:fldCharType="end"/>
        </w:r>
      </w:hyperlink>
    </w:p>
    <w:p w:rsidR="001B30FD" w:rsidRDefault="008B589B">
      <w:pPr>
        <w:pStyle w:val="TM2"/>
        <w:tabs>
          <w:tab w:val="left" w:pos="850"/>
          <w:tab w:val="right" w:leader="dot" w:pos="10190"/>
        </w:tabs>
        <w:rPr>
          <w:rFonts w:ascii="Marianne ExtraBold" w:hAnsi="Marianne ExtraBold"/>
        </w:rPr>
      </w:pPr>
      <w:hyperlink w:anchor="_Toc4" w:tooltip="#_Toc4" w:history="1">
        <w:r>
          <w:rPr>
            <w:rFonts w:ascii="Marianne ExtraBold" w:eastAsia="Times New Roman" w:hAnsi="Marianne ExtraBold" w:cs="Times New Roman"/>
          </w:rPr>
          <w:t>1.3</w:t>
        </w:r>
        <w:r>
          <w:tab/>
        </w:r>
        <w:r>
          <w:rPr>
            <w:rStyle w:val="Lienhypertexte"/>
            <w:rFonts w:ascii="Marianne ExtraBold" w:hAnsi="Marianne ExtraBold"/>
            <w:lang w:val="fr-FR"/>
          </w:rPr>
          <w:t>GROUPEMENT DE COMMANDE</w:t>
        </w:r>
        <w:r>
          <w:tab/>
        </w:r>
        <w:r>
          <w:fldChar w:fldCharType="begin"/>
        </w:r>
        <w:r>
          <w:instrText>PAGEREF _Toc4 \h</w:instrText>
        </w:r>
        <w:r>
          <w:fldChar w:fldCharType="separate"/>
        </w:r>
        <w:r>
          <w:t>6</w:t>
        </w:r>
        <w:r>
          <w:fldChar w:fldCharType="end"/>
        </w:r>
      </w:hyperlink>
    </w:p>
    <w:p w:rsidR="001B30FD" w:rsidRDefault="008B589B">
      <w:pPr>
        <w:pStyle w:val="TM1"/>
        <w:tabs>
          <w:tab w:val="right" w:leader="dot" w:pos="10190"/>
        </w:tabs>
      </w:pPr>
      <w:hyperlink w:anchor="_Toc5" w:tooltip="#_Toc5" w:history="1">
        <w:r>
          <w:rPr>
            <w:rFonts w:eastAsia="Times New Roman"/>
          </w:rPr>
          <w:t>ARTICLE 2.</w:t>
        </w:r>
        <w:r>
          <w:t xml:space="preserve"> </w:t>
        </w:r>
        <w:r>
          <w:rPr>
            <w:rStyle w:val="Lienhypertexte"/>
            <w:lang w:val="fr-FR"/>
          </w:rPr>
          <w:t>DISPOSITION</w:t>
        </w:r>
        <w:r>
          <w:rPr>
            <w:rStyle w:val="Lienhypertexte"/>
            <w:lang w:val="fr-FR"/>
          </w:rPr>
          <w:t>S GÉNÉRALES DU CONTRAT</w:t>
        </w:r>
        <w:r>
          <w:tab/>
        </w:r>
        <w:r>
          <w:fldChar w:fldCharType="begin"/>
        </w:r>
        <w:r>
          <w:instrText>PAGEREF _Toc5 \h</w:instrText>
        </w:r>
        <w:r>
          <w:fldChar w:fldCharType="separate"/>
        </w:r>
        <w:r>
          <w:t>6</w:t>
        </w:r>
        <w:r>
          <w:fldChar w:fldCharType="end"/>
        </w:r>
      </w:hyperlink>
    </w:p>
    <w:p w:rsidR="001B30FD" w:rsidRDefault="008B589B">
      <w:pPr>
        <w:pStyle w:val="TM2"/>
        <w:tabs>
          <w:tab w:val="left" w:pos="850"/>
          <w:tab w:val="right" w:leader="dot" w:pos="10190"/>
        </w:tabs>
        <w:rPr>
          <w:rFonts w:ascii="Marianne ExtraBold" w:hAnsi="Marianne ExtraBold"/>
        </w:rPr>
      </w:pPr>
      <w:hyperlink w:anchor="_Toc6" w:tooltip="#_Toc6" w:history="1">
        <w:r>
          <w:rPr>
            <w:rFonts w:ascii="Marianne ExtraBold" w:eastAsia="Times New Roman" w:hAnsi="Marianne ExtraBold" w:cs="Times New Roman"/>
          </w:rPr>
          <w:t>2.1</w:t>
        </w:r>
        <w:r>
          <w:tab/>
        </w:r>
        <w:r>
          <w:rPr>
            <w:rStyle w:val="Lienhypertexte"/>
            <w:rFonts w:ascii="Marianne ExtraBold" w:hAnsi="Marianne ExtraBold"/>
            <w:lang w:val="fr-FR"/>
          </w:rPr>
          <w:t>OBJET DU MARCH</w:t>
        </w:r>
        <w:r>
          <w:rPr>
            <w:rStyle w:val="Lienhypertexte"/>
            <w:rFonts w:ascii="Marianne ExtraBold" w:hAnsi="Marianne ExtraBold" w:hint="eastAsia"/>
            <w:lang w:val="fr-FR"/>
          </w:rPr>
          <w:t>É</w:t>
        </w:r>
        <w:r>
          <w:tab/>
        </w:r>
        <w:r>
          <w:fldChar w:fldCharType="begin"/>
        </w:r>
        <w:r>
          <w:instrText>PAGEREF _Toc6 \h</w:instrText>
        </w:r>
        <w:r>
          <w:fldChar w:fldCharType="separate"/>
        </w:r>
        <w:r>
          <w:t>6</w:t>
        </w:r>
        <w:r>
          <w:fldChar w:fldCharType="end"/>
        </w:r>
      </w:hyperlink>
    </w:p>
    <w:p w:rsidR="001B30FD" w:rsidRDefault="008B589B">
      <w:pPr>
        <w:pStyle w:val="TM2"/>
        <w:tabs>
          <w:tab w:val="left" w:pos="850"/>
          <w:tab w:val="right" w:leader="dot" w:pos="10190"/>
        </w:tabs>
        <w:rPr>
          <w:rFonts w:ascii="Marianne ExtraBold" w:hAnsi="Marianne ExtraBold"/>
        </w:rPr>
      </w:pPr>
      <w:hyperlink w:anchor="_Toc7" w:tooltip="#_Toc7" w:history="1">
        <w:r>
          <w:rPr>
            <w:rFonts w:ascii="Marianne ExtraBold" w:eastAsia="Times New Roman" w:hAnsi="Marianne ExtraBold" w:cs="Times New Roman"/>
          </w:rPr>
          <w:t>2.2</w:t>
        </w:r>
        <w:r>
          <w:tab/>
        </w:r>
        <w:r>
          <w:rPr>
            <w:rStyle w:val="Lienhypertexte"/>
            <w:rFonts w:ascii="Marianne ExtraBold" w:hAnsi="Marianne ExtraBold"/>
            <w:lang w:val="fr-FR"/>
          </w:rPr>
          <w:t>PROC</w:t>
        </w:r>
        <w:r>
          <w:rPr>
            <w:rStyle w:val="Lienhypertexte"/>
            <w:rFonts w:ascii="Marianne ExtraBold" w:hAnsi="Marianne ExtraBold" w:hint="eastAsia"/>
            <w:lang w:val="fr-FR"/>
          </w:rPr>
          <w:t>É</w:t>
        </w:r>
        <w:r>
          <w:rPr>
            <w:rStyle w:val="Lienhypertexte"/>
            <w:rFonts w:ascii="Marianne ExtraBold" w:hAnsi="Marianne ExtraBold"/>
            <w:lang w:val="fr-FR"/>
          </w:rPr>
          <w:t>DURE DE PASSATION</w:t>
        </w:r>
        <w:r>
          <w:tab/>
        </w:r>
        <w:r>
          <w:fldChar w:fldCharType="begin"/>
        </w:r>
        <w:r>
          <w:instrText>PAGEREF _Toc7 \h</w:instrText>
        </w:r>
        <w:r>
          <w:fldChar w:fldCharType="separate"/>
        </w:r>
        <w:r>
          <w:t>6</w:t>
        </w:r>
        <w:r>
          <w:fldChar w:fldCharType="end"/>
        </w:r>
      </w:hyperlink>
    </w:p>
    <w:p w:rsidR="001B30FD" w:rsidRDefault="008B589B">
      <w:pPr>
        <w:pStyle w:val="TM2"/>
        <w:tabs>
          <w:tab w:val="left" w:pos="850"/>
          <w:tab w:val="right" w:leader="dot" w:pos="10190"/>
        </w:tabs>
        <w:rPr>
          <w:rFonts w:ascii="Marianne ExtraBold" w:hAnsi="Marianne ExtraBold"/>
        </w:rPr>
      </w:pPr>
      <w:hyperlink w:anchor="_Toc8" w:tooltip="#_Toc8" w:history="1">
        <w:r>
          <w:rPr>
            <w:rFonts w:ascii="Marianne ExtraBold" w:eastAsia="Times New Roman" w:hAnsi="Marianne ExtraBold" w:cs="Times New Roman"/>
          </w:rPr>
          <w:t>2.3</w:t>
        </w:r>
        <w:r>
          <w:tab/>
        </w:r>
        <w:r>
          <w:rPr>
            <w:rStyle w:val="Lienhypertexte"/>
            <w:rFonts w:ascii="Marianne ExtraBold" w:hAnsi="Marianne ExtraBold"/>
            <w:lang w:val="fr-FR"/>
          </w:rPr>
          <w:t>FORME DU MARCH</w:t>
        </w:r>
        <w:r>
          <w:rPr>
            <w:rStyle w:val="Lienhypertexte"/>
            <w:rFonts w:ascii="Marianne ExtraBold" w:hAnsi="Marianne ExtraBold" w:hint="eastAsia"/>
            <w:lang w:val="fr-FR"/>
          </w:rPr>
          <w:t>É</w:t>
        </w:r>
        <w:r>
          <w:tab/>
        </w:r>
        <w:r>
          <w:fldChar w:fldCharType="begin"/>
        </w:r>
        <w:r>
          <w:instrText>PAGEREF _Toc8 \h</w:instrText>
        </w:r>
        <w:r>
          <w:fldChar w:fldCharType="separate"/>
        </w:r>
        <w:r>
          <w:t>6</w:t>
        </w:r>
        <w:r>
          <w:fldChar w:fldCharType="end"/>
        </w:r>
      </w:hyperlink>
    </w:p>
    <w:p w:rsidR="001B30FD" w:rsidRDefault="008B589B">
      <w:pPr>
        <w:pStyle w:val="TM2"/>
        <w:tabs>
          <w:tab w:val="left" w:pos="850"/>
          <w:tab w:val="right" w:leader="dot" w:pos="10190"/>
        </w:tabs>
        <w:rPr>
          <w:rFonts w:ascii="Marianne ExtraBold" w:hAnsi="Marianne ExtraBold"/>
        </w:rPr>
      </w:pPr>
      <w:hyperlink w:anchor="_Toc9" w:tooltip="#_Toc9" w:history="1">
        <w:r>
          <w:rPr>
            <w:rFonts w:ascii="Marianne ExtraBold" w:eastAsia="Times New Roman" w:hAnsi="Marianne ExtraBold" w:cs="Times New Roman"/>
          </w:rPr>
          <w:t>2.4</w:t>
        </w:r>
        <w:r>
          <w:tab/>
        </w:r>
        <w:r>
          <w:rPr>
            <w:rStyle w:val="Lienhypertexte"/>
            <w:rFonts w:ascii="Marianne ExtraBold" w:hAnsi="Marianne ExtraBold"/>
            <w:lang w:val="fr-FR"/>
          </w:rPr>
          <w:t>DECOMPOSITION DU MARCHE</w:t>
        </w:r>
        <w:r>
          <w:tab/>
        </w:r>
        <w:r>
          <w:fldChar w:fldCharType="begin"/>
        </w:r>
        <w:r>
          <w:instrText>PAGEREF _Toc9 \h</w:instrText>
        </w:r>
        <w:r>
          <w:fldChar w:fldCharType="separate"/>
        </w:r>
        <w:r>
          <w:t>7</w:t>
        </w:r>
        <w:r>
          <w:fldChar w:fldCharType="end"/>
        </w:r>
      </w:hyperlink>
    </w:p>
    <w:p w:rsidR="001B30FD" w:rsidRDefault="008B589B">
      <w:pPr>
        <w:pStyle w:val="TM2"/>
        <w:tabs>
          <w:tab w:val="left" w:pos="850"/>
          <w:tab w:val="right" w:leader="dot" w:pos="10190"/>
        </w:tabs>
        <w:rPr>
          <w:rFonts w:ascii="Marianne ExtraBold" w:hAnsi="Marianne ExtraBold"/>
        </w:rPr>
      </w:pPr>
      <w:hyperlink w:anchor="_Toc10" w:tooltip="#_Toc10" w:history="1">
        <w:r>
          <w:rPr>
            <w:rFonts w:ascii="Marianne ExtraBold" w:eastAsia="Times New Roman" w:hAnsi="Marianne ExtraBold" w:cs="Times New Roman"/>
          </w:rPr>
          <w:t>2.5</w:t>
        </w:r>
        <w:r>
          <w:tab/>
        </w:r>
        <w:r>
          <w:rPr>
            <w:rStyle w:val="Lienhypertexte"/>
            <w:rFonts w:ascii="Marianne ExtraBold" w:hAnsi="Marianne ExtraBold"/>
            <w:lang w:val="fr-FR"/>
          </w:rPr>
          <w:t>PI</w:t>
        </w:r>
        <w:r>
          <w:rPr>
            <w:rStyle w:val="Lienhypertexte"/>
            <w:rFonts w:ascii="Marianne ExtraBold" w:hAnsi="Marianne ExtraBold" w:hint="eastAsia"/>
            <w:lang w:val="fr-FR"/>
          </w:rPr>
          <w:t>È</w:t>
        </w:r>
        <w:r>
          <w:rPr>
            <w:rStyle w:val="Lienhypertexte"/>
            <w:rFonts w:ascii="Marianne ExtraBold" w:hAnsi="Marianne ExtraBold"/>
            <w:lang w:val="fr-FR"/>
          </w:rPr>
          <w:t>CES CONSTITUTIVES DU MARCHE</w:t>
        </w:r>
        <w:r>
          <w:tab/>
        </w:r>
        <w:r>
          <w:fldChar w:fldCharType="begin"/>
        </w:r>
        <w:r>
          <w:instrText>PAGEREF _Toc10 \h</w:instrText>
        </w:r>
        <w:r>
          <w:fldChar w:fldCharType="separate"/>
        </w:r>
        <w:r>
          <w:t>7</w:t>
        </w:r>
        <w:r>
          <w:fldChar w:fldCharType="end"/>
        </w:r>
      </w:hyperlink>
    </w:p>
    <w:p w:rsidR="001B30FD" w:rsidRDefault="008B589B">
      <w:pPr>
        <w:pStyle w:val="TM2"/>
        <w:tabs>
          <w:tab w:val="left" w:pos="850"/>
          <w:tab w:val="right" w:leader="dot" w:pos="10190"/>
        </w:tabs>
        <w:rPr>
          <w:rFonts w:ascii="Marianne ExtraBold" w:hAnsi="Marianne ExtraBold"/>
        </w:rPr>
      </w:pPr>
      <w:hyperlink w:anchor="_Toc11" w:tooltip="#_Toc11" w:history="1">
        <w:r>
          <w:rPr>
            <w:rFonts w:ascii="Marianne ExtraBold" w:eastAsia="Times New Roman" w:hAnsi="Marianne ExtraBold" w:cs="Times New Roman"/>
          </w:rPr>
          <w:t>2.6</w:t>
        </w:r>
        <w:r>
          <w:tab/>
        </w:r>
        <w:r>
          <w:rPr>
            <w:rStyle w:val="Lienhypertexte"/>
            <w:rFonts w:ascii="Marianne ExtraBold" w:hAnsi="Marianne ExtraBold"/>
            <w:lang w:val="fr-FR"/>
          </w:rPr>
          <w:t>MISE A DISPOSITION DU MARCHE</w:t>
        </w:r>
        <w:r>
          <w:tab/>
        </w:r>
        <w:r>
          <w:fldChar w:fldCharType="begin"/>
        </w:r>
        <w:r>
          <w:instrText>PAGEREF _Toc11 \h</w:instrText>
        </w:r>
        <w:r>
          <w:fldChar w:fldCharType="separate"/>
        </w:r>
        <w:r>
          <w:t>7</w:t>
        </w:r>
        <w:r>
          <w:fldChar w:fldCharType="end"/>
        </w:r>
      </w:hyperlink>
    </w:p>
    <w:p w:rsidR="001B30FD" w:rsidRDefault="008B589B">
      <w:pPr>
        <w:pStyle w:val="TM2"/>
        <w:tabs>
          <w:tab w:val="left" w:pos="850"/>
          <w:tab w:val="right" w:leader="dot" w:pos="10190"/>
        </w:tabs>
        <w:rPr>
          <w:rFonts w:ascii="Marianne ExtraBold" w:hAnsi="Marianne ExtraBold"/>
        </w:rPr>
      </w:pPr>
      <w:hyperlink w:anchor="_Toc12" w:tooltip="#_Toc12" w:history="1">
        <w:r>
          <w:rPr>
            <w:rFonts w:ascii="Marianne ExtraBold" w:eastAsia="Times New Roman" w:hAnsi="Marianne ExtraBold" w:cs="Times New Roman"/>
          </w:rPr>
          <w:t>2.7</w:t>
        </w:r>
        <w:r>
          <w:tab/>
        </w:r>
        <w:r>
          <w:rPr>
            <w:rStyle w:val="Lienhypertexte"/>
            <w:rFonts w:ascii="Marianne ExtraBold" w:hAnsi="Marianne ExtraBold"/>
            <w:lang w:val="fr-FR"/>
          </w:rPr>
          <w:t>MARCH</w:t>
        </w:r>
        <w:r>
          <w:rPr>
            <w:rStyle w:val="Lienhypertexte"/>
            <w:rFonts w:ascii="Marianne ExtraBold" w:hAnsi="Marianne ExtraBold"/>
            <w:lang w:val="fr-FR"/>
          </w:rPr>
          <w:t>E DE PRESTATION SIMILAIRES</w:t>
        </w:r>
        <w:r>
          <w:tab/>
        </w:r>
        <w:r>
          <w:fldChar w:fldCharType="begin"/>
        </w:r>
        <w:r>
          <w:instrText>PAGEREF _Toc12 \h</w:instrText>
        </w:r>
        <w:r>
          <w:fldChar w:fldCharType="separate"/>
        </w:r>
        <w:r>
          <w:t>8</w:t>
        </w:r>
        <w:r>
          <w:fldChar w:fldCharType="end"/>
        </w:r>
      </w:hyperlink>
    </w:p>
    <w:p w:rsidR="001B30FD" w:rsidRDefault="008B589B">
      <w:pPr>
        <w:pStyle w:val="TM1"/>
        <w:tabs>
          <w:tab w:val="right" w:leader="dot" w:pos="10190"/>
        </w:tabs>
      </w:pPr>
      <w:hyperlink w:anchor="_Toc13" w:tooltip="#_Toc13" w:history="1">
        <w:r>
          <w:rPr>
            <w:rFonts w:eastAsia="Times New Roman"/>
          </w:rPr>
          <w:t>ARTICLE 3.</w:t>
        </w:r>
        <w:r>
          <w:t xml:space="preserve"> </w:t>
        </w:r>
        <w:r>
          <w:rPr>
            <w:rStyle w:val="Lienhypertexte"/>
            <w:lang w:val="fr-FR"/>
          </w:rPr>
          <w:t>DURÉE DU MARCHÉ</w:t>
        </w:r>
        <w:r>
          <w:tab/>
        </w:r>
        <w:r>
          <w:fldChar w:fldCharType="begin"/>
        </w:r>
        <w:r>
          <w:instrText>PAGEREF _Toc13 \h</w:instrText>
        </w:r>
        <w:r>
          <w:fldChar w:fldCharType="separate"/>
        </w:r>
        <w:r>
          <w:t>8</w:t>
        </w:r>
        <w:r>
          <w:fldChar w:fldCharType="end"/>
        </w:r>
      </w:hyperlink>
    </w:p>
    <w:p w:rsidR="001B30FD" w:rsidRDefault="008B589B">
      <w:pPr>
        <w:pStyle w:val="TM1"/>
        <w:tabs>
          <w:tab w:val="right" w:leader="dot" w:pos="10190"/>
        </w:tabs>
      </w:pPr>
      <w:hyperlink w:anchor="_Toc14" w:tooltip="#_Toc14" w:history="1">
        <w:r>
          <w:rPr>
            <w:rFonts w:eastAsia="Times New Roman"/>
          </w:rPr>
          <w:t>ARTICLE 4.</w:t>
        </w:r>
        <w:r>
          <w:t xml:space="preserve"> </w:t>
        </w:r>
        <w:r>
          <w:rPr>
            <w:rStyle w:val="Lienhypertexte"/>
            <w:lang w:val="fr-FR"/>
          </w:rPr>
          <w:t>PRIX DES PRESTATIONS</w:t>
        </w:r>
        <w:r>
          <w:tab/>
        </w:r>
        <w:r>
          <w:fldChar w:fldCharType="begin"/>
        </w:r>
        <w:r>
          <w:instrText>PAGEREF _Toc14 \h</w:instrText>
        </w:r>
        <w:r>
          <w:fldChar w:fldCharType="separate"/>
        </w:r>
        <w:r>
          <w:t>8</w:t>
        </w:r>
        <w:r>
          <w:fldChar w:fldCharType="end"/>
        </w:r>
      </w:hyperlink>
    </w:p>
    <w:p w:rsidR="001B30FD" w:rsidRDefault="008B589B">
      <w:pPr>
        <w:pStyle w:val="TM2"/>
        <w:tabs>
          <w:tab w:val="left" w:pos="850"/>
          <w:tab w:val="right" w:leader="dot" w:pos="10190"/>
        </w:tabs>
        <w:rPr>
          <w:rFonts w:ascii="Marianne ExtraBold" w:hAnsi="Marianne ExtraBold"/>
        </w:rPr>
      </w:pPr>
      <w:hyperlink w:anchor="_Toc15" w:tooltip="#_Toc15" w:history="1">
        <w:r>
          <w:rPr>
            <w:rFonts w:ascii="Marianne ExtraBold" w:eastAsia="Times New Roman" w:hAnsi="Marianne ExtraBold" w:cs="Times New Roman"/>
          </w:rPr>
          <w:t>4.1</w:t>
        </w:r>
        <w:r>
          <w:tab/>
        </w:r>
        <w:r>
          <w:rPr>
            <w:rStyle w:val="Lienhypertexte"/>
            <w:rFonts w:ascii="Marianne ExtraBold" w:hAnsi="Marianne ExtraBold"/>
            <w:lang w:val="fr-FR"/>
          </w:rPr>
          <w:t>DEFINITION DES PRIX</w:t>
        </w:r>
        <w:r>
          <w:tab/>
        </w:r>
        <w:r>
          <w:fldChar w:fldCharType="begin"/>
        </w:r>
        <w:r>
          <w:instrText>PAGEREF _Toc15 \h</w:instrText>
        </w:r>
        <w:r>
          <w:fldChar w:fldCharType="separate"/>
        </w:r>
        <w:r>
          <w:t>8</w:t>
        </w:r>
        <w:r>
          <w:fldChar w:fldCharType="end"/>
        </w:r>
      </w:hyperlink>
    </w:p>
    <w:p w:rsidR="001B30FD" w:rsidRDefault="008B589B">
      <w:pPr>
        <w:pStyle w:val="TM2"/>
        <w:tabs>
          <w:tab w:val="left" w:pos="850"/>
          <w:tab w:val="right" w:leader="dot" w:pos="10190"/>
        </w:tabs>
        <w:rPr>
          <w:rFonts w:ascii="Marianne ExtraBold" w:hAnsi="Marianne ExtraBold"/>
        </w:rPr>
      </w:pPr>
      <w:hyperlink w:anchor="_Toc16" w:tooltip="#_Toc16" w:history="1">
        <w:r>
          <w:rPr>
            <w:rFonts w:ascii="Marianne ExtraBold" w:eastAsia="Times New Roman" w:hAnsi="Marianne ExtraBold" w:cs="Times New Roman"/>
          </w:rPr>
          <w:t>4.2</w:t>
        </w:r>
        <w:r>
          <w:tab/>
        </w:r>
        <w:r>
          <w:rPr>
            <w:rStyle w:val="Lienhypertexte"/>
            <w:rFonts w:ascii="Marianne ExtraBold" w:hAnsi="Marianne ExtraBold"/>
            <w:lang w:val="fr-FR"/>
          </w:rPr>
          <w:t>FORME DES PRIX</w:t>
        </w:r>
        <w:r>
          <w:tab/>
        </w:r>
        <w:r>
          <w:fldChar w:fldCharType="begin"/>
        </w:r>
        <w:r>
          <w:instrText>PAGEREF _Toc16 \h</w:instrText>
        </w:r>
        <w:r>
          <w:fldChar w:fldCharType="separate"/>
        </w:r>
        <w:r>
          <w:t>8</w:t>
        </w:r>
        <w:r>
          <w:fldChar w:fldCharType="end"/>
        </w:r>
      </w:hyperlink>
    </w:p>
    <w:p w:rsidR="001B30FD" w:rsidRDefault="008B589B">
      <w:pPr>
        <w:pStyle w:val="TM2"/>
        <w:tabs>
          <w:tab w:val="left" w:pos="850"/>
          <w:tab w:val="right" w:leader="dot" w:pos="10190"/>
        </w:tabs>
        <w:rPr>
          <w:rFonts w:ascii="Marianne ExtraBold" w:hAnsi="Marianne ExtraBold"/>
        </w:rPr>
      </w:pPr>
      <w:hyperlink w:anchor="_Toc17" w:tooltip="#_Toc17" w:history="1">
        <w:r>
          <w:rPr>
            <w:rFonts w:ascii="Marianne ExtraBold" w:eastAsia="Times New Roman" w:hAnsi="Marianne ExtraBold" w:cs="Times New Roman"/>
          </w:rPr>
          <w:t>4.3</w:t>
        </w:r>
        <w:r>
          <w:tab/>
        </w:r>
        <w:r>
          <w:rPr>
            <w:rStyle w:val="Lienhypertexte"/>
            <w:rFonts w:ascii="Marianne ExtraBold" w:hAnsi="Marianne ExtraBold"/>
            <w:lang w:val="fr-FR"/>
          </w:rPr>
          <w:t>CONTENU DES PRIX</w:t>
        </w:r>
        <w:r>
          <w:tab/>
        </w:r>
        <w:r>
          <w:fldChar w:fldCharType="begin"/>
        </w:r>
        <w:r>
          <w:instrText>PAGEREF _Toc17 \h</w:instrText>
        </w:r>
        <w:r>
          <w:fldChar w:fldCharType="separate"/>
        </w:r>
        <w:r>
          <w:t>9</w:t>
        </w:r>
        <w:r>
          <w:fldChar w:fldCharType="end"/>
        </w:r>
      </w:hyperlink>
    </w:p>
    <w:p w:rsidR="001B30FD" w:rsidRDefault="008B589B">
      <w:pPr>
        <w:pStyle w:val="TM2"/>
        <w:tabs>
          <w:tab w:val="left" w:pos="850"/>
          <w:tab w:val="right" w:leader="dot" w:pos="10190"/>
        </w:tabs>
        <w:rPr>
          <w:rFonts w:ascii="Marianne ExtraBold" w:hAnsi="Marianne ExtraBold"/>
        </w:rPr>
      </w:pPr>
      <w:hyperlink w:anchor="_Toc18" w:tooltip="#_Toc18" w:history="1">
        <w:r>
          <w:rPr>
            <w:rFonts w:ascii="Marianne ExtraBold" w:eastAsia="Times New Roman" w:hAnsi="Marianne ExtraBold" w:cs="Times New Roman"/>
          </w:rPr>
          <w:t>4.4</w:t>
        </w:r>
        <w:r>
          <w:tab/>
        </w:r>
        <w:r>
          <w:rPr>
            <w:rStyle w:val="Lienhypertexte"/>
            <w:rFonts w:ascii="Marianne ExtraBold" w:hAnsi="Marianne ExtraBold"/>
            <w:lang w:val="fr-FR"/>
          </w:rPr>
          <w:t>MODALITE DE REVISION DU PRIX DES PRESTATIONS</w:t>
        </w:r>
        <w:r>
          <w:tab/>
        </w:r>
        <w:r>
          <w:fldChar w:fldCharType="begin"/>
        </w:r>
        <w:r>
          <w:instrText>PAGEREF _Toc18 \h</w:instrText>
        </w:r>
        <w:r>
          <w:fldChar w:fldCharType="separate"/>
        </w:r>
        <w:r>
          <w:t>9</w:t>
        </w:r>
        <w:r>
          <w:fldChar w:fldCharType="end"/>
        </w:r>
      </w:hyperlink>
    </w:p>
    <w:p w:rsidR="001B30FD" w:rsidRDefault="008B589B">
      <w:pPr>
        <w:pStyle w:val="TM2"/>
        <w:tabs>
          <w:tab w:val="left" w:pos="850"/>
          <w:tab w:val="right" w:leader="dot" w:pos="10190"/>
        </w:tabs>
        <w:rPr>
          <w:rFonts w:ascii="Marianne ExtraBold" w:hAnsi="Marianne ExtraBold"/>
        </w:rPr>
      </w:pPr>
      <w:hyperlink w:anchor="_Toc19" w:tooltip="#_Toc19" w:history="1">
        <w:r>
          <w:rPr>
            <w:rFonts w:ascii="Marianne ExtraBold" w:eastAsia="Times New Roman" w:hAnsi="Marianne ExtraBold" w:cs="Times New Roman"/>
          </w:rPr>
          <w:t>4.5</w:t>
        </w:r>
        <w:r>
          <w:tab/>
        </w:r>
        <w:r>
          <w:rPr>
            <w:rStyle w:val="Lienhypertexte"/>
            <w:rFonts w:ascii="Marianne ExtraBold" w:hAnsi="Marianne ExtraBold"/>
            <w:lang w:val="fr-FR"/>
          </w:rPr>
          <w:t>CLAUSE DE SAUVEGARDE</w:t>
        </w:r>
        <w:r>
          <w:tab/>
        </w:r>
        <w:r>
          <w:fldChar w:fldCharType="begin"/>
        </w:r>
        <w:r>
          <w:instrText>PAGEREF _Toc19 \h</w:instrText>
        </w:r>
        <w:r>
          <w:fldChar w:fldCharType="separate"/>
        </w:r>
        <w:r>
          <w:t>10</w:t>
        </w:r>
        <w:r>
          <w:fldChar w:fldCharType="end"/>
        </w:r>
      </w:hyperlink>
    </w:p>
    <w:p w:rsidR="001B30FD" w:rsidRDefault="008B589B">
      <w:pPr>
        <w:pStyle w:val="TM1"/>
        <w:tabs>
          <w:tab w:val="right" w:leader="dot" w:pos="10190"/>
        </w:tabs>
      </w:pPr>
      <w:hyperlink w:anchor="_Toc20" w:tooltip="#_Toc20" w:history="1">
        <w:r>
          <w:rPr>
            <w:rFonts w:eastAsia="Times New Roman"/>
          </w:rPr>
          <w:t>ARTICLE 5.</w:t>
        </w:r>
        <w:r>
          <w:t xml:space="preserve"> </w:t>
        </w:r>
        <w:r>
          <w:rPr>
            <w:rStyle w:val="Lienhypertexte"/>
            <w:lang w:val="fr-FR"/>
          </w:rPr>
          <w:t>ACHATS RESPONSABLES</w:t>
        </w:r>
        <w:r>
          <w:tab/>
        </w:r>
        <w:r>
          <w:fldChar w:fldCharType="begin"/>
        </w:r>
        <w:r>
          <w:instrText>PAGEREF _Toc20 \h</w:instrText>
        </w:r>
        <w:r>
          <w:fldChar w:fldCharType="separate"/>
        </w:r>
        <w:r>
          <w:t>10</w:t>
        </w:r>
        <w:r>
          <w:fldChar w:fldCharType="end"/>
        </w:r>
      </w:hyperlink>
    </w:p>
    <w:p w:rsidR="001B30FD" w:rsidRDefault="008B589B">
      <w:pPr>
        <w:pStyle w:val="TM2"/>
        <w:tabs>
          <w:tab w:val="left" w:pos="850"/>
          <w:tab w:val="right" w:leader="dot" w:pos="10190"/>
        </w:tabs>
        <w:rPr>
          <w:rFonts w:ascii="Marianne ExtraBold" w:hAnsi="Marianne ExtraBold"/>
        </w:rPr>
      </w:pPr>
      <w:hyperlink w:anchor="_Toc21" w:tooltip="#_Toc21" w:history="1">
        <w:r>
          <w:rPr>
            <w:rFonts w:ascii="Marianne ExtraBold" w:eastAsia="Times New Roman" w:hAnsi="Marianne ExtraBold" w:cs="Times New Roman"/>
          </w:rPr>
          <w:t>5.1</w:t>
        </w:r>
        <w:r>
          <w:tab/>
        </w:r>
        <w:r>
          <w:rPr>
            <w:rStyle w:val="Lienhypertexte"/>
            <w:rFonts w:ascii="Marianne ExtraBold" w:hAnsi="Marianne ExtraBold"/>
            <w:lang w:val="fr-FR"/>
          </w:rPr>
          <w:t>PROMO</w:t>
        </w:r>
        <w:r>
          <w:rPr>
            <w:rStyle w:val="Lienhypertexte"/>
            <w:rFonts w:ascii="Marianne ExtraBold" w:hAnsi="Marianne ExtraBold"/>
            <w:lang w:val="fr-FR"/>
          </w:rPr>
          <w:t>TION DE LA D</w:t>
        </w:r>
        <w:r>
          <w:rPr>
            <w:rStyle w:val="Lienhypertexte"/>
            <w:rFonts w:ascii="Marianne ExtraBold" w:hAnsi="Marianne ExtraBold" w:hint="eastAsia"/>
            <w:lang w:val="fr-FR"/>
          </w:rPr>
          <w:t>É</w:t>
        </w:r>
        <w:r>
          <w:rPr>
            <w:rStyle w:val="Lienhypertexte"/>
            <w:rFonts w:ascii="Marianne ExtraBold" w:hAnsi="Marianne ExtraBold"/>
            <w:lang w:val="fr-FR"/>
          </w:rPr>
          <w:t xml:space="preserve">MARCHE DE LABELLISATION RFAR : </w:t>
        </w:r>
        <w:r>
          <w:rPr>
            <w:rStyle w:val="Lienhypertexte"/>
            <w:rFonts w:ascii="Marianne ExtraBold" w:hAnsi="Marianne ExtraBold" w:hint="eastAsia"/>
            <w:lang w:val="fr-FR"/>
          </w:rPr>
          <w:t>«</w:t>
        </w:r>
        <w:r>
          <w:rPr>
            <w:rStyle w:val="Lienhypertexte"/>
            <w:rFonts w:ascii="Marianne ExtraBold" w:hAnsi="Marianne ExtraBold"/>
            <w:lang w:val="fr-FR"/>
          </w:rPr>
          <w:t xml:space="preserve"> RELATIONS FOURNISSEURS ET ACHATS RESPONSABLES </w:t>
        </w:r>
        <w:r>
          <w:rPr>
            <w:rStyle w:val="Lienhypertexte"/>
            <w:rFonts w:ascii="Marianne ExtraBold" w:hAnsi="Marianne ExtraBold" w:hint="eastAsia"/>
            <w:lang w:val="fr-FR"/>
          </w:rPr>
          <w:t>»</w:t>
        </w:r>
        <w:r>
          <w:tab/>
        </w:r>
        <w:r>
          <w:fldChar w:fldCharType="begin"/>
        </w:r>
        <w:r>
          <w:instrText>PAGEREF _Toc21 \h</w:instrText>
        </w:r>
        <w:r>
          <w:fldChar w:fldCharType="separate"/>
        </w:r>
        <w:r>
          <w:t>10</w:t>
        </w:r>
        <w:r>
          <w:fldChar w:fldCharType="end"/>
        </w:r>
      </w:hyperlink>
    </w:p>
    <w:p w:rsidR="001B30FD" w:rsidRDefault="008B589B">
      <w:pPr>
        <w:pStyle w:val="TM2"/>
        <w:tabs>
          <w:tab w:val="left" w:pos="850"/>
          <w:tab w:val="right" w:leader="dot" w:pos="10190"/>
        </w:tabs>
        <w:rPr>
          <w:rFonts w:ascii="Marianne ExtraBold" w:hAnsi="Marianne ExtraBold"/>
        </w:rPr>
      </w:pPr>
      <w:hyperlink w:anchor="_Toc22" w:tooltip="#_Toc22" w:history="1">
        <w:r>
          <w:rPr>
            <w:rFonts w:ascii="Marianne ExtraBold" w:eastAsia="Times New Roman" w:hAnsi="Marianne ExtraBold" w:cs="Times New Roman"/>
          </w:rPr>
          <w:t>5.2</w:t>
        </w:r>
        <w:r>
          <w:tab/>
        </w:r>
        <w:r>
          <w:rPr>
            <w:rStyle w:val="Lienhypertexte"/>
            <w:rFonts w:ascii="Marianne ExtraBold" w:hAnsi="Marianne ExtraBold"/>
            <w:lang w:val="fr-FR"/>
          </w:rPr>
          <w:t>CLAUSE ENVIRONNEMENTALE</w:t>
        </w:r>
        <w:r>
          <w:tab/>
        </w:r>
        <w:r>
          <w:fldChar w:fldCharType="begin"/>
        </w:r>
        <w:r>
          <w:instrText xml:space="preserve">PAGEREF _Toc22 </w:instrText>
        </w:r>
        <w:r>
          <w:instrText>\h</w:instrText>
        </w:r>
        <w:r>
          <w:fldChar w:fldCharType="separate"/>
        </w:r>
        <w:r>
          <w:t>11</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23" w:tooltip="#_Toc23" w:history="1">
        <w:r>
          <w:rPr>
            <w:rFonts w:ascii="Marianne ExtraBold" w:eastAsiaTheme="majorEastAsia" w:hAnsi="Marianne ExtraBold" w:cstheme="majorBidi"/>
          </w:rPr>
          <w:t>5.2.1</w:t>
        </w:r>
        <w:r>
          <w:tab/>
        </w:r>
        <w:r>
          <w:rPr>
            <w:rStyle w:val="Lienhypertexte"/>
            <w:rFonts w:ascii="Marianne ExtraBold" w:eastAsiaTheme="majorEastAsia" w:hAnsi="Marianne ExtraBold" w:cstheme="majorBidi"/>
            <w:caps/>
            <w:lang w:val="fr-FR" w:eastAsia="en-US"/>
          </w:rPr>
          <w:t>BEGES et plan de transition associ</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 xml:space="preserve"> du titulaire</w:t>
        </w:r>
        <w:r>
          <w:tab/>
        </w:r>
        <w:r>
          <w:fldChar w:fldCharType="begin"/>
        </w:r>
        <w:r>
          <w:instrText>PAGEREF _Toc23 \h</w:instrText>
        </w:r>
        <w:r>
          <w:fldChar w:fldCharType="separate"/>
        </w:r>
        <w:r>
          <w:t>11</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24" w:tooltip="#_Toc24" w:history="1">
        <w:r>
          <w:rPr>
            <w:rFonts w:ascii="Marianne ExtraBold" w:eastAsiaTheme="majorEastAsia" w:hAnsi="Marianne ExtraBold" w:cstheme="majorBidi"/>
          </w:rPr>
          <w:t>5.2.2</w:t>
        </w:r>
        <w:r>
          <w:tab/>
        </w:r>
        <w:r>
          <w:rPr>
            <w:rStyle w:val="Lienhypertexte"/>
            <w:rFonts w:ascii="Marianne ExtraBold" w:eastAsiaTheme="majorEastAsia" w:hAnsi="Marianne ExtraBold" w:cstheme="majorBidi"/>
            <w:caps/>
            <w:lang w:val="fr-FR" w:eastAsia="en-US"/>
          </w:rPr>
          <w:t>Qualit</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 xml:space="preserve"> environnementale des v</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hicules routiers utilis</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s pour l</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caps/>
            <w:lang w:val="fr-FR" w:eastAsia="en-US"/>
          </w:rPr>
          <w:t>ex</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cution du march</w:t>
        </w:r>
        <w:r>
          <w:rPr>
            <w:rStyle w:val="Lienhypertexte"/>
            <w:rFonts w:ascii="Marianne ExtraBold" w:eastAsiaTheme="majorEastAsia" w:hAnsi="Marianne ExtraBold" w:cstheme="majorBidi" w:hint="eastAsia"/>
            <w:caps/>
            <w:lang w:val="fr-FR" w:eastAsia="en-US"/>
          </w:rPr>
          <w:t>é</w:t>
        </w:r>
        <w:r>
          <w:tab/>
        </w:r>
        <w:r>
          <w:fldChar w:fldCharType="begin"/>
        </w:r>
        <w:r>
          <w:instrText>PAGEREF _Toc24 \h</w:instrText>
        </w:r>
        <w:r>
          <w:fldChar w:fldCharType="separate"/>
        </w:r>
        <w:r>
          <w:t>12</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25" w:tooltip="#_Toc25" w:history="1">
        <w:r>
          <w:rPr>
            <w:rFonts w:ascii="Marianne ExtraBold" w:eastAsiaTheme="majorEastAsia" w:hAnsi="Marianne ExtraBold" w:cstheme="majorBidi"/>
          </w:rPr>
          <w:t>5.2.3</w:t>
        </w:r>
        <w:r>
          <w:tab/>
        </w:r>
        <w:r>
          <w:rPr>
            <w:rStyle w:val="Lienhypertexte"/>
            <w:rFonts w:ascii="Marianne ExtraBold" w:eastAsiaTheme="majorEastAsia" w:hAnsi="Marianne ExtraBold" w:cstheme="majorBidi"/>
            <w:caps/>
            <w:lang w:val="fr-FR" w:eastAsia="en-US"/>
          </w:rPr>
          <w:t xml:space="preserve">Formation des conducteurs </w:t>
        </w:r>
        <w:r>
          <w:rPr>
            <w:rStyle w:val="Lienhypertexte"/>
            <w:rFonts w:ascii="Marianne ExtraBold" w:eastAsiaTheme="majorEastAsia" w:hAnsi="Marianne ExtraBold" w:cstheme="majorBidi" w:hint="eastAsia"/>
            <w:caps/>
            <w:lang w:val="fr-FR" w:eastAsia="en-US"/>
          </w:rPr>
          <w:t>à</w:t>
        </w:r>
        <w:r>
          <w:rPr>
            <w:rStyle w:val="Lienhypertexte"/>
            <w:rFonts w:ascii="Marianne ExtraBold" w:eastAsiaTheme="majorEastAsia" w:hAnsi="Marianne ExtraBold" w:cstheme="majorBidi"/>
            <w:caps/>
            <w:lang w:val="fr-FR" w:eastAsia="en-US"/>
          </w:rPr>
          <w:t xml:space="preserve"> l</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coconduite</w:t>
        </w:r>
        <w:r>
          <w:tab/>
        </w:r>
        <w:r>
          <w:fldChar w:fldCharType="begin"/>
        </w:r>
        <w:r>
          <w:instrText>PAGEREF _Toc25 \h</w:instrText>
        </w:r>
        <w:r>
          <w:fldChar w:fldCharType="separate"/>
        </w:r>
        <w:r>
          <w:t>12</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26" w:tooltip="#_Toc26" w:history="1">
        <w:r>
          <w:rPr>
            <w:rFonts w:ascii="Marianne ExtraBold" w:eastAsiaTheme="majorEastAsia" w:hAnsi="Marianne ExtraBold" w:cstheme="majorBidi"/>
          </w:rPr>
          <w:t>5.2.4</w:t>
        </w:r>
        <w:r>
          <w:tab/>
        </w:r>
        <w:r>
          <w:rPr>
            <w:rStyle w:val="Lienhypertexte"/>
            <w:rFonts w:ascii="Marianne ExtraBold" w:eastAsiaTheme="majorEastAsia" w:hAnsi="Marianne ExtraBold" w:cstheme="majorBidi"/>
            <w:caps/>
            <w:lang w:val="fr-FR" w:eastAsia="en-US"/>
          </w:rPr>
          <w:t>Gestion des d</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chets</w:t>
        </w:r>
        <w:r>
          <w:tab/>
        </w:r>
        <w:r>
          <w:fldChar w:fldCharType="begin"/>
        </w:r>
        <w:r>
          <w:instrText>PAGEREF _To</w:instrText>
        </w:r>
        <w:r>
          <w:instrText>c26 \h</w:instrText>
        </w:r>
        <w:r>
          <w:fldChar w:fldCharType="separate"/>
        </w:r>
        <w:r>
          <w:t>12</w:t>
        </w:r>
        <w:r>
          <w:fldChar w:fldCharType="end"/>
        </w:r>
      </w:hyperlink>
    </w:p>
    <w:p w:rsidR="001B30FD" w:rsidRDefault="008B589B">
      <w:pPr>
        <w:pStyle w:val="TM1"/>
        <w:tabs>
          <w:tab w:val="right" w:leader="dot" w:pos="10190"/>
        </w:tabs>
      </w:pPr>
      <w:hyperlink w:anchor="_Toc27" w:tooltip="#_Toc27" w:history="1">
        <w:r>
          <w:rPr>
            <w:rFonts w:eastAsia="Times New Roman"/>
          </w:rPr>
          <w:t>ARTICLE 6.</w:t>
        </w:r>
        <w:r>
          <w:t xml:space="preserve"> </w:t>
        </w:r>
        <w:r>
          <w:rPr>
            <w:rStyle w:val="Lienhypertexte"/>
            <w:lang w:val="fr-FR"/>
          </w:rPr>
          <w:t>OBLIGATIONS ET ENGAGEMENTS DES PARTIES</w:t>
        </w:r>
        <w:r>
          <w:tab/>
        </w:r>
        <w:r>
          <w:fldChar w:fldCharType="begin"/>
        </w:r>
        <w:r>
          <w:instrText>PAGEREF _Toc27 \h</w:instrText>
        </w:r>
        <w:r>
          <w:fldChar w:fldCharType="separate"/>
        </w:r>
        <w:r>
          <w:t>13</w:t>
        </w:r>
        <w:r>
          <w:fldChar w:fldCharType="end"/>
        </w:r>
      </w:hyperlink>
    </w:p>
    <w:p w:rsidR="001B30FD" w:rsidRDefault="008B589B">
      <w:pPr>
        <w:pStyle w:val="TM2"/>
        <w:tabs>
          <w:tab w:val="left" w:pos="850"/>
          <w:tab w:val="right" w:leader="dot" w:pos="10190"/>
        </w:tabs>
        <w:rPr>
          <w:rFonts w:ascii="Marianne ExtraBold" w:hAnsi="Marianne ExtraBold"/>
        </w:rPr>
      </w:pPr>
      <w:hyperlink w:anchor="_Toc28" w:tooltip="#_Toc28" w:history="1">
        <w:r>
          <w:rPr>
            <w:rFonts w:ascii="Marianne ExtraBold" w:eastAsia="Times New Roman" w:hAnsi="Marianne ExtraBold" w:cs="Times New Roman"/>
          </w:rPr>
          <w:t>6.1</w:t>
        </w:r>
        <w:r>
          <w:tab/>
        </w:r>
        <w:r>
          <w:rPr>
            <w:rStyle w:val="Lienhypertexte"/>
            <w:rFonts w:ascii="Marianne ExtraBold" w:hAnsi="Marianne ExtraBold"/>
            <w:lang w:val="fr-FR"/>
          </w:rPr>
          <w:t>ENGAGEMENTS ET OBLIGATIONS DU TITULAIRE</w:t>
        </w:r>
        <w:r>
          <w:tab/>
        </w:r>
        <w:r>
          <w:fldChar w:fldCharType="begin"/>
        </w:r>
        <w:r>
          <w:instrText>PAGEREF _Toc28 \h</w:instrText>
        </w:r>
        <w:r>
          <w:fldChar w:fldCharType="separate"/>
        </w:r>
        <w:r>
          <w:t>13</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29" w:tooltip="#_Toc29" w:history="1">
        <w:r>
          <w:rPr>
            <w:rFonts w:ascii="Marianne ExtraBold" w:eastAsiaTheme="majorEastAsia" w:hAnsi="Marianne ExtraBold" w:cstheme="majorBidi"/>
          </w:rPr>
          <w:t>6.1.1</w:t>
        </w:r>
        <w:r>
          <w:tab/>
        </w:r>
        <w:r>
          <w:rPr>
            <w:rStyle w:val="Lienhypertexte"/>
            <w:rFonts w:ascii="Marianne ExtraBold" w:eastAsiaTheme="majorEastAsia" w:hAnsi="Marianne ExtraBold" w:cstheme="majorBidi"/>
            <w:caps/>
            <w:lang w:val="fr-FR" w:eastAsia="en-US"/>
          </w:rPr>
          <w:t>Engagements</w:t>
        </w:r>
        <w:r>
          <w:tab/>
        </w:r>
        <w:r>
          <w:fldChar w:fldCharType="begin"/>
        </w:r>
        <w:r>
          <w:instrText>PAGEREF _Toc29 \h</w:instrText>
        </w:r>
        <w:r>
          <w:fldChar w:fldCharType="separate"/>
        </w:r>
        <w:r>
          <w:t>13</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30" w:tooltip="#_Toc30" w:history="1">
        <w:r>
          <w:rPr>
            <w:rFonts w:ascii="Marianne ExtraBold" w:eastAsiaTheme="majorEastAsia" w:hAnsi="Marianne ExtraBold" w:cstheme="majorBidi"/>
          </w:rPr>
          <w:t>6.1.2</w:t>
        </w:r>
        <w:r>
          <w:tab/>
        </w:r>
        <w:r>
          <w:rPr>
            <w:rStyle w:val="Lienhypertexte"/>
            <w:rFonts w:ascii="Marianne ExtraBold" w:eastAsiaTheme="majorEastAsia" w:hAnsi="Marianne ExtraBold" w:cstheme="majorBidi"/>
            <w:caps/>
            <w:lang w:val="fr-FR" w:eastAsia="en-US"/>
          </w:rPr>
          <w:t>Obligations de confidentialit</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 xml:space="preserve"> des donnÉes</w:t>
        </w:r>
        <w:r>
          <w:tab/>
        </w:r>
        <w:r>
          <w:fldChar w:fldCharType="begin"/>
        </w:r>
        <w:r>
          <w:instrText>PAGEREF _Toc30 \h</w:instrText>
        </w:r>
        <w:r>
          <w:fldChar w:fldCharType="separate"/>
        </w:r>
        <w:r>
          <w:t>14</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31" w:tooltip="#_Toc31" w:history="1">
        <w:r>
          <w:rPr>
            <w:rFonts w:ascii="Marianne ExtraBold" w:eastAsiaTheme="majorEastAsia" w:hAnsi="Marianne ExtraBold" w:cstheme="majorBidi"/>
          </w:rPr>
          <w:t>6.1.3</w:t>
        </w:r>
        <w:r>
          <w:tab/>
        </w:r>
        <w:r>
          <w:rPr>
            <w:rStyle w:val="Lienhypertexte"/>
            <w:rFonts w:ascii="Marianne ExtraBold" w:eastAsiaTheme="majorEastAsia" w:hAnsi="Marianne ExtraBold" w:cstheme="majorBidi"/>
            <w:caps/>
            <w:lang w:val="fr-FR" w:eastAsia="en-US"/>
          </w:rPr>
          <w:t>Obligations d</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caps/>
            <w:lang w:val="fr-FR" w:eastAsia="en-US"/>
          </w:rPr>
          <w:t>information</w:t>
        </w:r>
        <w:r>
          <w:tab/>
        </w:r>
        <w:r>
          <w:fldChar w:fldCharType="begin"/>
        </w:r>
        <w:r>
          <w:instrText>PAGEREF _Toc31 \h</w:instrText>
        </w:r>
        <w:r>
          <w:fldChar w:fldCharType="separate"/>
        </w:r>
        <w:r>
          <w:t>14</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32" w:tooltip="#_Toc32" w:history="1">
        <w:r>
          <w:rPr>
            <w:rFonts w:ascii="Marianne ExtraBold" w:eastAsiaTheme="majorEastAsia" w:hAnsi="Marianne ExtraBold" w:cstheme="majorBidi"/>
          </w:rPr>
          <w:t>6.1.4</w:t>
        </w:r>
        <w:r>
          <w:tab/>
        </w:r>
        <w:r>
          <w:rPr>
            <w:rStyle w:val="Lienhypertexte"/>
            <w:rFonts w:ascii="Marianne ExtraBold" w:eastAsiaTheme="majorEastAsia" w:hAnsi="Marianne ExtraBold" w:cstheme="majorBidi"/>
            <w:caps/>
            <w:lang w:val="fr-FR" w:eastAsia="en-US"/>
          </w:rPr>
          <w:t>Obligation de conseil</w:t>
        </w:r>
        <w:r>
          <w:tab/>
        </w:r>
        <w:r>
          <w:fldChar w:fldCharType="begin"/>
        </w:r>
        <w:r>
          <w:instrText>PAGEREF _Toc32 \h</w:instrText>
        </w:r>
        <w:r>
          <w:fldChar w:fldCharType="separate"/>
        </w:r>
        <w:r>
          <w:t>15</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33" w:tooltip="#_Toc33" w:history="1">
        <w:r>
          <w:rPr>
            <w:rFonts w:ascii="Marianne ExtraBold" w:eastAsiaTheme="majorEastAsia" w:hAnsi="Marianne ExtraBold" w:cstheme="majorBidi"/>
          </w:rPr>
          <w:t>6.1.5</w:t>
        </w:r>
        <w:r>
          <w:tab/>
        </w:r>
        <w:r>
          <w:rPr>
            <w:rStyle w:val="Lienhypertexte"/>
            <w:rFonts w:ascii="Marianne ExtraBold" w:eastAsiaTheme="majorEastAsia" w:hAnsi="Marianne ExtraBold" w:cstheme="majorBidi"/>
            <w:caps/>
            <w:lang w:val="fr-FR" w:eastAsia="en-US"/>
          </w:rPr>
          <w:t>Obligation de discr</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tion et de comportement</w:t>
        </w:r>
        <w:r>
          <w:tab/>
        </w:r>
        <w:r>
          <w:fldChar w:fldCharType="begin"/>
        </w:r>
        <w:r>
          <w:instrText>PAGEREF _Toc33 \h</w:instrText>
        </w:r>
        <w:r>
          <w:fldChar w:fldCharType="separate"/>
        </w:r>
        <w:r>
          <w:t>15</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34" w:tooltip="#_Toc34" w:history="1">
        <w:r>
          <w:rPr>
            <w:rFonts w:ascii="Marianne ExtraBold" w:eastAsiaTheme="majorEastAsia" w:hAnsi="Marianne ExtraBold" w:cstheme="majorBidi"/>
          </w:rPr>
          <w:t>6.1.6</w:t>
        </w:r>
        <w:r>
          <w:tab/>
        </w:r>
        <w:r>
          <w:rPr>
            <w:rStyle w:val="Lienhypertexte"/>
            <w:rFonts w:ascii="Marianne ExtraBold" w:eastAsiaTheme="majorEastAsia" w:hAnsi="Marianne ExtraBold" w:cstheme="majorBidi"/>
            <w:caps/>
            <w:lang w:val="fr-FR"/>
          </w:rPr>
          <w:t xml:space="preserve">ASSURANCES RESPONSABILITES </w:t>
        </w:r>
        <w:r>
          <w:tab/>
        </w:r>
        <w:r>
          <w:fldChar w:fldCharType="begin"/>
        </w:r>
        <w:r>
          <w:instrText>PAGEREF _Toc34 \h</w:instrText>
        </w:r>
        <w:r>
          <w:fldChar w:fldCharType="separate"/>
        </w:r>
        <w:r>
          <w:t>15</w:t>
        </w:r>
        <w:r>
          <w:fldChar w:fldCharType="end"/>
        </w:r>
      </w:hyperlink>
    </w:p>
    <w:p w:rsidR="001B30FD" w:rsidRDefault="008B589B">
      <w:pPr>
        <w:pStyle w:val="TM2"/>
        <w:tabs>
          <w:tab w:val="left" w:pos="850"/>
          <w:tab w:val="right" w:leader="dot" w:pos="10190"/>
        </w:tabs>
        <w:rPr>
          <w:rFonts w:ascii="Marianne ExtraBold" w:hAnsi="Marianne ExtraBold"/>
        </w:rPr>
      </w:pPr>
      <w:hyperlink w:anchor="_Toc35" w:tooltip="#_Toc35" w:history="1">
        <w:r>
          <w:rPr>
            <w:rFonts w:ascii="Marianne ExtraBold" w:eastAsia="Times New Roman" w:hAnsi="Marianne ExtraBold" w:cs="Times New Roman"/>
          </w:rPr>
          <w:t>6.2</w:t>
        </w:r>
        <w:r>
          <w:tab/>
        </w:r>
        <w:r>
          <w:rPr>
            <w:rStyle w:val="Lienhypertexte"/>
            <w:rFonts w:ascii="Marianne ExtraBold" w:hAnsi="Marianne ExtraBold"/>
            <w:lang w:val="fr-FR"/>
          </w:rPr>
          <w:t>ENGAGEMENTS DE L</w:t>
        </w:r>
        <w:r>
          <w:rPr>
            <w:rStyle w:val="Lienhypertexte"/>
            <w:rFonts w:ascii="Marianne ExtraBold" w:hAnsi="Marianne ExtraBold" w:hint="eastAsia"/>
            <w:lang w:val="fr-FR"/>
          </w:rPr>
          <w:t>’</w:t>
        </w:r>
        <w:r>
          <w:rPr>
            <w:rStyle w:val="Lienhypertexte"/>
            <w:rFonts w:ascii="Marianne ExtraBold" w:hAnsi="Marianne ExtraBold"/>
            <w:lang w:val="fr-FR"/>
          </w:rPr>
          <w:t>ACHETEUR</w:t>
        </w:r>
        <w:r>
          <w:tab/>
        </w:r>
        <w:r>
          <w:fldChar w:fldCharType="begin"/>
        </w:r>
        <w:r>
          <w:instrText>PAGEREF _Toc35 \h</w:instrText>
        </w:r>
        <w:r>
          <w:fldChar w:fldCharType="separate"/>
        </w:r>
        <w:r>
          <w:t>15</w:t>
        </w:r>
        <w:r>
          <w:fldChar w:fldCharType="end"/>
        </w:r>
      </w:hyperlink>
    </w:p>
    <w:p w:rsidR="001B30FD" w:rsidRDefault="008B589B">
      <w:pPr>
        <w:pStyle w:val="TM1"/>
        <w:tabs>
          <w:tab w:val="right" w:leader="dot" w:pos="10190"/>
        </w:tabs>
      </w:pPr>
      <w:hyperlink w:anchor="_Toc36" w:tooltip="#_Toc36" w:history="1">
        <w:r>
          <w:rPr>
            <w:rFonts w:eastAsia="Times New Roman"/>
          </w:rPr>
          <w:t>ARTICLE 7.</w:t>
        </w:r>
        <w:r>
          <w:t xml:space="preserve"> </w:t>
        </w:r>
        <w:r>
          <w:rPr>
            <w:rStyle w:val="Lienhypertexte"/>
            <w:lang w:val="fr-FR"/>
          </w:rPr>
          <w:t xml:space="preserve">DISPOSITIONS RELATIVES AUX MODALITÉS D’EXÉCUTION </w:t>
        </w:r>
        <w:r>
          <w:tab/>
        </w:r>
        <w:r>
          <w:fldChar w:fldCharType="begin"/>
        </w:r>
        <w:r>
          <w:instrText>PAGEREF _Toc36 \h</w:instrText>
        </w:r>
        <w:r>
          <w:fldChar w:fldCharType="separate"/>
        </w:r>
        <w:r>
          <w:t>16</w:t>
        </w:r>
        <w:r>
          <w:fldChar w:fldCharType="end"/>
        </w:r>
      </w:hyperlink>
    </w:p>
    <w:p w:rsidR="001B30FD" w:rsidRDefault="008B589B">
      <w:pPr>
        <w:pStyle w:val="TM2"/>
        <w:tabs>
          <w:tab w:val="left" w:pos="850"/>
          <w:tab w:val="right" w:leader="dot" w:pos="10190"/>
        </w:tabs>
        <w:rPr>
          <w:rFonts w:ascii="Marianne ExtraBold" w:hAnsi="Marianne ExtraBold"/>
        </w:rPr>
      </w:pPr>
      <w:hyperlink w:anchor="_Toc37" w:tooltip="#_Toc37" w:history="1">
        <w:r>
          <w:rPr>
            <w:rFonts w:ascii="Marianne ExtraBold" w:eastAsia="Times New Roman" w:hAnsi="Marianne ExtraBold" w:cs="Times New Roman"/>
          </w:rPr>
          <w:t>7.1</w:t>
        </w:r>
        <w:r>
          <w:tab/>
        </w:r>
        <w:r>
          <w:rPr>
            <w:rStyle w:val="Lienhypertexte"/>
            <w:rFonts w:ascii="Marianne ExtraBold" w:hAnsi="Marianne ExtraBold"/>
            <w:lang w:val="fr-FR"/>
          </w:rPr>
          <w:t>MODALITES D</w:t>
        </w:r>
        <w:r>
          <w:rPr>
            <w:rStyle w:val="Lienhypertexte"/>
            <w:rFonts w:ascii="Marianne ExtraBold" w:hAnsi="Marianne ExtraBold" w:hint="eastAsia"/>
            <w:lang w:val="fr-FR"/>
          </w:rPr>
          <w:t>’</w:t>
        </w:r>
        <w:r>
          <w:rPr>
            <w:rStyle w:val="Lienhypertexte"/>
            <w:rFonts w:ascii="Marianne ExtraBold" w:hAnsi="Marianne ExtraBold"/>
            <w:lang w:val="fr-FR"/>
          </w:rPr>
          <w:t>ATTRIBUTION DES BONS DE COMMANDES</w:t>
        </w:r>
        <w:r>
          <w:tab/>
        </w:r>
        <w:r>
          <w:fldChar w:fldCharType="begin"/>
        </w:r>
        <w:r>
          <w:instrText>PAGEREF _Toc37 \h</w:instrText>
        </w:r>
        <w:r>
          <w:fldChar w:fldCharType="separate"/>
        </w:r>
        <w:r>
          <w:t>16</w:t>
        </w:r>
        <w:r>
          <w:fldChar w:fldCharType="end"/>
        </w:r>
      </w:hyperlink>
    </w:p>
    <w:p w:rsidR="001B30FD" w:rsidRDefault="008B589B">
      <w:pPr>
        <w:pStyle w:val="TM2"/>
        <w:tabs>
          <w:tab w:val="left" w:pos="850"/>
          <w:tab w:val="right" w:leader="dot" w:pos="10190"/>
        </w:tabs>
        <w:rPr>
          <w:rFonts w:ascii="Marianne ExtraBold" w:hAnsi="Marianne ExtraBold"/>
        </w:rPr>
      </w:pPr>
      <w:hyperlink w:anchor="_Toc38" w:tooltip="#_Toc38" w:history="1">
        <w:r>
          <w:rPr>
            <w:rFonts w:ascii="Marianne ExtraBold" w:eastAsia="Times New Roman" w:hAnsi="Marianne ExtraBold" w:cs="Times New Roman"/>
          </w:rPr>
          <w:t>7.2</w:t>
        </w:r>
        <w:r>
          <w:tab/>
        </w:r>
        <w:r>
          <w:rPr>
            <w:rStyle w:val="Lienhypertexte"/>
            <w:rFonts w:ascii="Marianne ExtraBold" w:hAnsi="Marianne ExtraBold"/>
            <w:lang w:val="fr-FR"/>
          </w:rPr>
          <w:t>MODALITES DE COMMANDE DES PRESTATIONS</w:t>
        </w:r>
        <w:r>
          <w:tab/>
        </w:r>
        <w:r>
          <w:fldChar w:fldCharType="begin"/>
        </w:r>
        <w:r>
          <w:instrText>PAGEREF _Toc38 \h</w:instrText>
        </w:r>
        <w:r>
          <w:fldChar w:fldCharType="separate"/>
        </w:r>
        <w:r>
          <w:t>16</w:t>
        </w:r>
        <w:r>
          <w:fldChar w:fldCharType="end"/>
        </w:r>
      </w:hyperlink>
    </w:p>
    <w:p w:rsidR="001B30FD" w:rsidRDefault="008B589B">
      <w:pPr>
        <w:pStyle w:val="TM2"/>
        <w:tabs>
          <w:tab w:val="left" w:pos="850"/>
          <w:tab w:val="right" w:leader="dot" w:pos="10190"/>
        </w:tabs>
        <w:rPr>
          <w:rFonts w:ascii="Marianne ExtraBold" w:hAnsi="Marianne ExtraBold"/>
        </w:rPr>
      </w:pPr>
      <w:hyperlink w:anchor="_Toc39" w:tooltip="#_Toc39" w:history="1">
        <w:r>
          <w:rPr>
            <w:rFonts w:ascii="Marianne ExtraBold" w:eastAsia="Times New Roman" w:hAnsi="Marianne ExtraBold" w:cs="Times New Roman"/>
          </w:rPr>
          <w:t>7.3</w:t>
        </w:r>
        <w:r>
          <w:tab/>
        </w:r>
        <w:r>
          <w:rPr>
            <w:rStyle w:val="Lienhypertexte"/>
            <w:rFonts w:ascii="Marianne ExtraBold" w:hAnsi="Marianne ExtraBold"/>
            <w:lang w:val="fr-FR"/>
          </w:rPr>
          <w:t>DELAIS D</w:t>
        </w:r>
        <w:r>
          <w:rPr>
            <w:rStyle w:val="Lienhypertexte"/>
            <w:rFonts w:ascii="Marianne ExtraBold" w:hAnsi="Marianne ExtraBold" w:hint="eastAsia"/>
            <w:lang w:val="fr-FR"/>
          </w:rPr>
          <w:t>’</w:t>
        </w:r>
        <w:r>
          <w:rPr>
            <w:rStyle w:val="Lienhypertexte"/>
            <w:rFonts w:ascii="Marianne ExtraBold" w:hAnsi="Marianne ExtraBold"/>
            <w:lang w:val="fr-FR"/>
          </w:rPr>
          <w:t>EXECUTION DES BONS DE COMMANDE ET DUREE DE VALIDITE   DES BONS DE COMM</w:t>
        </w:r>
        <w:r>
          <w:rPr>
            <w:rStyle w:val="Lienhypertexte"/>
            <w:rFonts w:ascii="Marianne ExtraBold" w:hAnsi="Marianne ExtraBold"/>
            <w:lang w:val="fr-FR"/>
          </w:rPr>
          <w:t>ANDE</w:t>
        </w:r>
        <w:r>
          <w:tab/>
        </w:r>
        <w:r>
          <w:fldChar w:fldCharType="begin"/>
        </w:r>
        <w:r>
          <w:instrText>PAGEREF _Toc39 \h</w:instrText>
        </w:r>
        <w:r>
          <w:fldChar w:fldCharType="separate"/>
        </w:r>
        <w:r>
          <w:t>17</w:t>
        </w:r>
        <w:r>
          <w:fldChar w:fldCharType="end"/>
        </w:r>
      </w:hyperlink>
    </w:p>
    <w:p w:rsidR="001B30FD" w:rsidRDefault="008B589B">
      <w:pPr>
        <w:pStyle w:val="TM2"/>
        <w:tabs>
          <w:tab w:val="left" w:pos="850"/>
          <w:tab w:val="right" w:leader="dot" w:pos="10190"/>
        </w:tabs>
        <w:rPr>
          <w:rFonts w:ascii="Marianne ExtraBold" w:hAnsi="Marianne ExtraBold"/>
        </w:rPr>
      </w:pPr>
      <w:hyperlink w:anchor="_Toc40" w:tooltip="#_Toc40" w:history="1">
        <w:r>
          <w:rPr>
            <w:rFonts w:ascii="Marianne ExtraBold" w:eastAsia="Times New Roman" w:hAnsi="Marianne ExtraBold" w:cs="Times New Roman"/>
          </w:rPr>
          <w:t>7.4</w:t>
        </w:r>
        <w:r>
          <w:tab/>
        </w:r>
        <w:r>
          <w:rPr>
            <w:rStyle w:val="Lienhypertexte"/>
            <w:rFonts w:ascii="Marianne ExtraBold" w:hAnsi="Marianne ExtraBold"/>
            <w:lang w:val="fr-FR"/>
          </w:rPr>
          <w:t>MODALITE DE MODIFICATION OU D</w:t>
        </w:r>
        <w:r>
          <w:rPr>
            <w:rStyle w:val="Lienhypertexte"/>
            <w:rFonts w:ascii="Marianne ExtraBold" w:hAnsi="Marianne ExtraBold" w:hint="eastAsia"/>
            <w:lang w:val="fr-FR"/>
          </w:rPr>
          <w:t>’</w:t>
        </w:r>
        <w:r>
          <w:rPr>
            <w:rStyle w:val="Lienhypertexte"/>
            <w:rFonts w:ascii="Marianne ExtraBold" w:hAnsi="Marianne ExtraBold"/>
            <w:lang w:val="fr-FR"/>
          </w:rPr>
          <w:t>ANNULATION DES BONS DE COMMANDE EN COURS D</w:t>
        </w:r>
        <w:r>
          <w:rPr>
            <w:rStyle w:val="Lienhypertexte"/>
            <w:rFonts w:ascii="Marianne ExtraBold" w:hAnsi="Marianne ExtraBold" w:hint="eastAsia"/>
            <w:lang w:val="fr-FR"/>
          </w:rPr>
          <w:t>’</w:t>
        </w:r>
        <w:r>
          <w:rPr>
            <w:rStyle w:val="Lienhypertexte"/>
            <w:rFonts w:ascii="Marianne ExtraBold" w:hAnsi="Marianne ExtraBold"/>
            <w:lang w:val="fr-FR"/>
          </w:rPr>
          <w:t>EXECUTION</w:t>
        </w:r>
        <w:r>
          <w:tab/>
        </w:r>
        <w:r>
          <w:fldChar w:fldCharType="begin"/>
        </w:r>
        <w:r>
          <w:instrText>PAGEREF _Toc40 \h</w:instrText>
        </w:r>
        <w:r>
          <w:fldChar w:fldCharType="separate"/>
        </w:r>
        <w:r>
          <w:t>17</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41" w:tooltip="#_Toc41" w:history="1">
        <w:r>
          <w:rPr>
            <w:rFonts w:ascii="Marianne ExtraBold" w:eastAsiaTheme="majorEastAsia" w:hAnsi="Marianne ExtraBold" w:cstheme="majorBidi"/>
          </w:rPr>
          <w:t>7.4.1</w:t>
        </w:r>
        <w:r>
          <w:tab/>
        </w:r>
        <w:r>
          <w:rPr>
            <w:rStyle w:val="Lienhypertexte"/>
            <w:rFonts w:ascii="Marianne ExtraBold" w:eastAsiaTheme="majorEastAsia" w:hAnsi="Marianne ExtraBold" w:cstheme="majorBidi"/>
            <w:caps/>
            <w:lang w:val="fr-FR" w:eastAsia="en-US"/>
          </w:rPr>
          <w:t>Modification des prestations en cours d</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caps/>
            <w:lang w:val="fr-FR" w:eastAsia="en-US"/>
          </w:rPr>
          <w:t>ex</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cution</w:t>
        </w:r>
        <w:r>
          <w:tab/>
        </w:r>
        <w:r>
          <w:fldChar w:fldCharType="begin"/>
        </w:r>
        <w:r>
          <w:instrText>PAGEREF _Toc41 \h</w:instrText>
        </w:r>
        <w:r>
          <w:fldChar w:fldCharType="separate"/>
        </w:r>
        <w:r>
          <w:t>17</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42" w:tooltip="#_Toc42" w:history="1">
        <w:r>
          <w:rPr>
            <w:rFonts w:ascii="Marianne ExtraBold" w:eastAsiaTheme="majorEastAsia" w:hAnsi="Marianne ExtraBold" w:cstheme="majorBidi"/>
          </w:rPr>
          <w:t>7.4.2</w:t>
        </w:r>
        <w:r>
          <w:tab/>
        </w:r>
        <w:r>
          <w:rPr>
            <w:rStyle w:val="Lienhypertexte"/>
            <w:rFonts w:ascii="Marianne ExtraBold" w:eastAsiaTheme="majorEastAsia" w:hAnsi="Marianne ExtraBold" w:cstheme="majorBidi"/>
            <w:caps/>
            <w:lang w:val="fr-FR" w:eastAsia="en-US"/>
          </w:rPr>
          <w:t>Annulation d</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caps/>
            <w:lang w:val="fr-FR" w:eastAsia="en-US"/>
          </w:rPr>
          <w:t>ex</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cution d</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caps/>
            <w:lang w:val="fr-FR" w:eastAsia="en-US"/>
          </w:rPr>
          <w:t>une prestation</w:t>
        </w:r>
        <w:r>
          <w:tab/>
        </w:r>
        <w:r>
          <w:fldChar w:fldCharType="begin"/>
        </w:r>
        <w:r>
          <w:instrText>PAGEREF _Toc42 \h</w:instrText>
        </w:r>
        <w:r>
          <w:fldChar w:fldCharType="separate"/>
        </w:r>
        <w:r>
          <w:t>18</w:t>
        </w:r>
        <w:r>
          <w:fldChar w:fldCharType="end"/>
        </w:r>
      </w:hyperlink>
    </w:p>
    <w:p w:rsidR="001B30FD" w:rsidRDefault="008B589B">
      <w:pPr>
        <w:pStyle w:val="TM1"/>
        <w:tabs>
          <w:tab w:val="right" w:leader="dot" w:pos="10190"/>
        </w:tabs>
      </w:pPr>
      <w:hyperlink w:anchor="_Toc43" w:tooltip="#_Toc43" w:history="1">
        <w:r>
          <w:rPr>
            <w:rFonts w:eastAsia="Times New Roman"/>
          </w:rPr>
          <w:t>ARTICLE 8.</w:t>
        </w:r>
        <w:r>
          <w:t xml:space="preserve"> </w:t>
        </w:r>
        <w:r>
          <w:rPr>
            <w:rStyle w:val="Lienhypertexte"/>
            <w:lang w:val="fr-FR"/>
          </w:rPr>
          <w:t>CONDITION D’EXECUTION DES PRESTATIONS</w:t>
        </w:r>
        <w:r>
          <w:tab/>
        </w:r>
        <w:r>
          <w:fldChar w:fldCharType="begin"/>
        </w:r>
        <w:r>
          <w:instrText>PAGEREF _Toc43 \h</w:instrText>
        </w:r>
        <w:r>
          <w:fldChar w:fldCharType="separate"/>
        </w:r>
        <w:r>
          <w:t>18</w:t>
        </w:r>
        <w:r>
          <w:fldChar w:fldCharType="end"/>
        </w:r>
      </w:hyperlink>
    </w:p>
    <w:p w:rsidR="001B30FD" w:rsidRDefault="008B589B">
      <w:pPr>
        <w:pStyle w:val="TM2"/>
        <w:tabs>
          <w:tab w:val="left" w:pos="850"/>
          <w:tab w:val="right" w:leader="dot" w:pos="10190"/>
        </w:tabs>
        <w:rPr>
          <w:rFonts w:ascii="Marianne ExtraBold" w:hAnsi="Marianne ExtraBold"/>
        </w:rPr>
      </w:pPr>
      <w:hyperlink w:anchor="_Toc44" w:tooltip="#_Toc44" w:history="1">
        <w:r>
          <w:rPr>
            <w:rFonts w:ascii="Marianne ExtraBold" w:eastAsia="Times New Roman" w:hAnsi="Marianne ExtraBold" w:cs="Times New Roman"/>
          </w:rPr>
          <w:t>8.1</w:t>
        </w:r>
        <w:r>
          <w:tab/>
        </w:r>
        <w:r>
          <w:rPr>
            <w:rStyle w:val="Lienhypertexte"/>
            <w:rFonts w:ascii="Marianne ExtraBold" w:hAnsi="Marianne ExtraBold"/>
            <w:lang w:val="fr-FR"/>
          </w:rPr>
          <w:t>MODALITE D</w:t>
        </w:r>
        <w:r>
          <w:rPr>
            <w:rStyle w:val="Lienhypertexte"/>
            <w:rFonts w:ascii="Marianne ExtraBold" w:hAnsi="Marianne ExtraBold" w:hint="eastAsia"/>
            <w:lang w:val="fr-FR"/>
          </w:rPr>
          <w:t>’</w:t>
        </w:r>
        <w:r>
          <w:rPr>
            <w:rStyle w:val="Lienhypertexte"/>
            <w:rFonts w:ascii="Marianne ExtraBold" w:hAnsi="Marianne ExtraBold"/>
            <w:lang w:val="fr-FR"/>
          </w:rPr>
          <w:t>EXECUTION</w:t>
        </w:r>
        <w:r>
          <w:tab/>
        </w:r>
        <w:r>
          <w:fldChar w:fldCharType="begin"/>
        </w:r>
        <w:r>
          <w:instrText>PAGEREF _Toc44 \h</w:instrText>
        </w:r>
        <w:r>
          <w:fldChar w:fldCharType="separate"/>
        </w:r>
        <w:r>
          <w:t>18</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45" w:tooltip="#_Toc45" w:history="1">
        <w:r>
          <w:rPr>
            <w:rFonts w:ascii="Marianne ExtraBold" w:eastAsiaTheme="majorEastAsia" w:hAnsi="Marianne ExtraBold" w:cstheme="majorBidi"/>
          </w:rPr>
          <w:t>8.1.1</w:t>
        </w:r>
        <w:r>
          <w:tab/>
        </w:r>
        <w:r>
          <w:rPr>
            <w:rStyle w:val="Lienhypertexte"/>
            <w:rFonts w:ascii="Marianne ExtraBold" w:eastAsiaTheme="majorEastAsia" w:hAnsi="Marianne ExtraBold" w:cstheme="majorBidi"/>
            <w:caps/>
            <w:lang w:val="fr-FR" w:eastAsia="en-US"/>
          </w:rPr>
          <w:t>Communication entre les parties</w:t>
        </w:r>
        <w:r>
          <w:tab/>
        </w:r>
        <w:r>
          <w:fldChar w:fldCharType="begin"/>
        </w:r>
        <w:r>
          <w:instrText>PAGEREF _Toc45 \h</w:instrText>
        </w:r>
        <w:r>
          <w:fldChar w:fldCharType="separate"/>
        </w:r>
        <w:r>
          <w:t>18</w:t>
        </w:r>
        <w:r>
          <w:fldChar w:fldCharType="end"/>
        </w:r>
      </w:hyperlink>
    </w:p>
    <w:p w:rsidR="001B30FD" w:rsidRDefault="008B589B">
      <w:pPr>
        <w:pStyle w:val="TM3"/>
        <w:tabs>
          <w:tab w:val="left" w:pos="1134"/>
          <w:tab w:val="right" w:leader="dot" w:pos="10190"/>
        </w:tabs>
        <w:rPr>
          <w:rFonts w:ascii="Marianne ExtraBold" w:eastAsiaTheme="majorEastAsia" w:hAnsi="Marianne ExtraBold" w:cstheme="majorBidi"/>
          <w:caps/>
        </w:rPr>
      </w:pPr>
      <w:hyperlink w:anchor="_Toc46" w:tooltip="#_Toc46" w:history="1">
        <w:r>
          <w:rPr>
            <w:rFonts w:ascii="Marianne ExtraBold" w:eastAsiaTheme="majorEastAsia" w:hAnsi="Marianne ExtraBold" w:cstheme="majorBidi"/>
          </w:rPr>
          <w:t>8</w:t>
        </w:r>
        <w:r>
          <w:rPr>
            <w:rFonts w:ascii="Marianne ExtraBold" w:eastAsiaTheme="majorEastAsia" w:hAnsi="Marianne ExtraBold" w:cstheme="majorBidi"/>
          </w:rPr>
          <w:t>.1.2</w:t>
        </w:r>
        <w:r>
          <w:tab/>
        </w:r>
        <w:r>
          <w:rPr>
            <w:rStyle w:val="Lienhypertexte"/>
            <w:rFonts w:ascii="Marianne ExtraBold" w:eastAsiaTheme="majorEastAsia" w:hAnsi="Marianne ExtraBold" w:cstheme="majorBidi"/>
            <w:caps/>
            <w:lang w:val="fr-FR" w:eastAsia="en-US"/>
          </w:rPr>
          <w:t>Sous-traitance</w:t>
        </w:r>
        <w:r>
          <w:tab/>
        </w:r>
        <w:r>
          <w:fldChar w:fldCharType="begin"/>
        </w:r>
        <w:r>
          <w:instrText>PAGEREF _Toc46 \h</w:instrText>
        </w:r>
        <w:r>
          <w:fldChar w:fldCharType="separate"/>
        </w:r>
        <w:r>
          <w:t>18</w:t>
        </w:r>
        <w:r>
          <w:fldChar w:fldCharType="end"/>
        </w:r>
      </w:hyperlink>
    </w:p>
    <w:p w:rsidR="001B30FD" w:rsidRDefault="008B589B">
      <w:pPr>
        <w:pStyle w:val="TM2"/>
        <w:tabs>
          <w:tab w:val="left" w:pos="850"/>
          <w:tab w:val="right" w:leader="dot" w:pos="10190"/>
        </w:tabs>
        <w:rPr>
          <w:rFonts w:ascii="Marianne ExtraBold" w:hAnsi="Marianne ExtraBold" w:cs="Marianne ExtraBold"/>
        </w:rPr>
      </w:pPr>
      <w:hyperlink w:anchor="_Toc47" w:tooltip="#_Toc47" w:history="1">
        <w:r>
          <w:rPr>
            <w:rFonts w:ascii="Marianne ExtraBold" w:eastAsia="Times New Roman" w:hAnsi="Marianne ExtraBold" w:cs="Marianne ExtraBold"/>
          </w:rPr>
          <w:t>8.2</w:t>
        </w:r>
        <w:r>
          <w:tab/>
        </w:r>
        <w:r>
          <w:rPr>
            <w:rStyle w:val="Lienhypertexte"/>
            <w:rFonts w:ascii="Marianne ExtraBold" w:eastAsia="Marianne ExtraBold" w:hAnsi="Marianne ExtraBold" w:cs="Marianne ExtraBold"/>
            <w:lang w:val="fr-FR"/>
          </w:rPr>
          <w:t>COTRAITANCE</w:t>
        </w:r>
        <w:r>
          <w:tab/>
        </w:r>
        <w:r>
          <w:fldChar w:fldCharType="begin"/>
        </w:r>
        <w:r>
          <w:instrText>PAGEREF _Toc47 \h</w:instrText>
        </w:r>
        <w:r>
          <w:fldChar w:fldCharType="separate"/>
        </w:r>
        <w:r>
          <w:t>19</w:t>
        </w:r>
        <w:r>
          <w:fldChar w:fldCharType="end"/>
        </w:r>
      </w:hyperlink>
    </w:p>
    <w:p w:rsidR="001B30FD" w:rsidRDefault="008B589B">
      <w:pPr>
        <w:pStyle w:val="TM2"/>
        <w:tabs>
          <w:tab w:val="left" w:pos="850"/>
          <w:tab w:val="right" w:leader="dot" w:pos="10190"/>
        </w:tabs>
        <w:rPr>
          <w:rFonts w:ascii="Marianne ExtraBold" w:hAnsi="Marianne ExtraBold"/>
        </w:rPr>
      </w:pPr>
      <w:hyperlink w:anchor="_Toc48" w:tooltip="#_Toc48" w:history="1">
        <w:r>
          <w:rPr>
            <w:rFonts w:ascii="Marianne ExtraBold" w:eastAsia="Times New Roman" w:hAnsi="Marianne ExtraBold" w:cs="Times New Roman"/>
          </w:rPr>
          <w:t>8.3</w:t>
        </w:r>
        <w:r>
          <w:tab/>
        </w:r>
        <w:r>
          <w:rPr>
            <w:rStyle w:val="Lienhypertexte"/>
            <w:rFonts w:ascii="Marianne ExtraBold" w:hAnsi="Marianne ExtraBold"/>
            <w:lang w:val="fr-FR"/>
          </w:rPr>
          <w:t>DELAIS D</w:t>
        </w:r>
        <w:r>
          <w:rPr>
            <w:rStyle w:val="Lienhypertexte"/>
            <w:rFonts w:ascii="Marianne ExtraBold" w:hAnsi="Marianne ExtraBold" w:hint="eastAsia"/>
            <w:lang w:val="fr-FR"/>
          </w:rPr>
          <w:t>’</w:t>
        </w:r>
        <w:r>
          <w:rPr>
            <w:rStyle w:val="Lienhypertexte"/>
            <w:rFonts w:ascii="Marianne ExtraBold" w:hAnsi="Marianne ExtraBold"/>
            <w:lang w:val="fr-FR"/>
          </w:rPr>
          <w:t>EXECUTION</w:t>
        </w:r>
        <w:r>
          <w:tab/>
        </w:r>
        <w:r>
          <w:fldChar w:fldCharType="begin"/>
        </w:r>
        <w:r>
          <w:instrText>PAGEREF _Toc48 \h</w:instrText>
        </w:r>
        <w:r>
          <w:fldChar w:fldCharType="separate"/>
        </w:r>
        <w:r>
          <w:t>19</w:t>
        </w:r>
        <w:r>
          <w:fldChar w:fldCharType="end"/>
        </w:r>
      </w:hyperlink>
    </w:p>
    <w:p w:rsidR="001B30FD" w:rsidRDefault="008B589B">
      <w:pPr>
        <w:pStyle w:val="TM2"/>
        <w:tabs>
          <w:tab w:val="left" w:pos="850"/>
          <w:tab w:val="right" w:leader="dot" w:pos="10190"/>
        </w:tabs>
        <w:rPr>
          <w:rFonts w:ascii="Marianne ExtraBold" w:hAnsi="Marianne ExtraBold"/>
        </w:rPr>
      </w:pPr>
      <w:hyperlink w:anchor="_Toc49" w:tooltip="#_Toc49" w:history="1">
        <w:r>
          <w:rPr>
            <w:rFonts w:ascii="Marianne ExtraBold" w:eastAsia="Times New Roman" w:hAnsi="Marianne ExtraBold" w:cs="Times New Roman"/>
          </w:rPr>
          <w:t>8.4</w:t>
        </w:r>
        <w:r>
          <w:tab/>
        </w:r>
        <w:r>
          <w:rPr>
            <w:rStyle w:val="Lienhypertexte"/>
            <w:rFonts w:ascii="Marianne ExtraBold" w:hAnsi="Marianne ExtraBold"/>
            <w:lang w:val="fr-FR"/>
          </w:rPr>
          <w:t>SUSPENSION EN CAS DE CIRCONSTANCES IMPRÉVISIBLES</w:t>
        </w:r>
        <w:r>
          <w:tab/>
        </w:r>
        <w:r>
          <w:fldChar w:fldCharType="begin"/>
        </w:r>
        <w:r>
          <w:instrText>PAGEREF _Toc49 \h</w:instrText>
        </w:r>
        <w:r>
          <w:fldChar w:fldCharType="separate"/>
        </w:r>
        <w:r>
          <w:t>19</w:t>
        </w:r>
        <w:r>
          <w:fldChar w:fldCharType="end"/>
        </w:r>
      </w:hyperlink>
    </w:p>
    <w:p w:rsidR="001B30FD" w:rsidRDefault="008B589B">
      <w:pPr>
        <w:pStyle w:val="TM1"/>
        <w:tabs>
          <w:tab w:val="right" w:leader="dot" w:pos="10190"/>
        </w:tabs>
      </w:pPr>
      <w:hyperlink w:anchor="_Toc50" w:tooltip="#_Toc50" w:history="1">
        <w:r>
          <w:rPr>
            <w:rFonts w:eastAsia="Times New Roman"/>
          </w:rPr>
          <w:t>ARTICLE 9.</w:t>
        </w:r>
        <w:r>
          <w:t xml:space="preserve"> </w:t>
        </w:r>
        <w:r>
          <w:rPr>
            <w:rStyle w:val="Lienhypertexte"/>
            <w:lang w:val="fr-FR"/>
          </w:rPr>
          <w:t>MODALITÉS DE CONTRÔLE ET DE VALIDATION DES PRESTATIONS PRINCIPES GÉNÉRAUX</w:t>
        </w:r>
        <w:r>
          <w:tab/>
        </w:r>
        <w:r>
          <w:fldChar w:fldCharType="begin"/>
        </w:r>
        <w:r>
          <w:instrText>PAGEREF _Toc50 \h</w:instrText>
        </w:r>
        <w:r>
          <w:fldChar w:fldCharType="separate"/>
        </w:r>
        <w:r>
          <w:t>19</w:t>
        </w:r>
        <w:r>
          <w:fldChar w:fldCharType="end"/>
        </w:r>
      </w:hyperlink>
    </w:p>
    <w:p w:rsidR="001B30FD" w:rsidRDefault="008B589B">
      <w:pPr>
        <w:pStyle w:val="TM2"/>
        <w:tabs>
          <w:tab w:val="left" w:pos="850"/>
          <w:tab w:val="right" w:leader="dot" w:pos="10190"/>
        </w:tabs>
        <w:rPr>
          <w:rFonts w:ascii="Marianne ExtraBold" w:hAnsi="Marianne ExtraBold"/>
        </w:rPr>
      </w:pPr>
      <w:hyperlink w:anchor="_Toc51" w:tooltip="#_Toc51" w:history="1">
        <w:r>
          <w:rPr>
            <w:rFonts w:ascii="Marianne ExtraBold" w:eastAsia="Times New Roman" w:hAnsi="Marianne ExtraBold" w:cs="Times New Roman"/>
          </w:rPr>
          <w:t>9.1</w:t>
        </w:r>
        <w:r>
          <w:tab/>
        </w:r>
        <w:r>
          <w:rPr>
            <w:rStyle w:val="Lienhypertexte"/>
            <w:rFonts w:ascii="Marianne ExtraBold" w:hAnsi="Marianne ExtraBold"/>
            <w:lang w:val="fr-FR"/>
          </w:rPr>
          <w:t>V</w:t>
        </w:r>
        <w:r>
          <w:rPr>
            <w:rStyle w:val="Lienhypertexte"/>
            <w:rFonts w:ascii="Marianne ExtraBold" w:hAnsi="Marianne ExtraBold" w:hint="eastAsia"/>
            <w:lang w:val="fr-FR"/>
          </w:rPr>
          <w:t>É</w:t>
        </w:r>
        <w:r>
          <w:rPr>
            <w:rStyle w:val="Lienhypertexte"/>
            <w:rFonts w:ascii="Marianne ExtraBold" w:hAnsi="Marianne ExtraBold"/>
            <w:lang w:val="fr-FR"/>
          </w:rPr>
          <w:t xml:space="preserve">RIFICATION DES PRESTATIONS </w:t>
        </w:r>
        <w:r>
          <w:tab/>
        </w:r>
        <w:r>
          <w:fldChar w:fldCharType="begin"/>
        </w:r>
        <w:r>
          <w:instrText>PAGER</w:instrText>
        </w:r>
        <w:r>
          <w:instrText>EF _Toc51 \h</w:instrText>
        </w:r>
        <w:r>
          <w:fldChar w:fldCharType="separate"/>
        </w:r>
        <w:r>
          <w:t>19</w:t>
        </w:r>
        <w:r>
          <w:fldChar w:fldCharType="end"/>
        </w:r>
      </w:hyperlink>
    </w:p>
    <w:p w:rsidR="001B30FD" w:rsidRDefault="008B589B">
      <w:pPr>
        <w:pStyle w:val="TM2"/>
        <w:tabs>
          <w:tab w:val="left" w:pos="850"/>
          <w:tab w:val="right" w:leader="dot" w:pos="10190"/>
        </w:tabs>
        <w:rPr>
          <w:rFonts w:ascii="Marianne ExtraBold" w:hAnsi="Marianne ExtraBold"/>
        </w:rPr>
      </w:pPr>
      <w:hyperlink w:anchor="_Toc52" w:tooltip="#_Toc52" w:history="1">
        <w:r>
          <w:rPr>
            <w:rFonts w:ascii="Marianne ExtraBold" w:eastAsia="Times New Roman" w:hAnsi="Marianne ExtraBold" w:cs="Times New Roman"/>
          </w:rPr>
          <w:t>9.2</w:t>
        </w:r>
        <w:r>
          <w:tab/>
        </w:r>
        <w:r>
          <w:rPr>
            <w:rStyle w:val="Lienhypertexte"/>
            <w:rFonts w:ascii="Marianne ExtraBold" w:hAnsi="Marianne ExtraBold"/>
            <w:lang w:val="fr-FR"/>
          </w:rPr>
          <w:t>D</w:t>
        </w:r>
        <w:r>
          <w:rPr>
            <w:rStyle w:val="Lienhypertexte"/>
            <w:rFonts w:ascii="Marianne ExtraBold" w:hAnsi="Marianne ExtraBold" w:hint="eastAsia"/>
            <w:lang w:val="fr-FR"/>
          </w:rPr>
          <w:t>É</w:t>
        </w:r>
        <w:r>
          <w:rPr>
            <w:rStyle w:val="Lienhypertexte"/>
            <w:rFonts w:ascii="Marianne ExtraBold" w:hAnsi="Marianne ExtraBold"/>
            <w:lang w:val="fr-FR"/>
          </w:rPr>
          <w:t>CISION APR</w:t>
        </w:r>
        <w:r>
          <w:rPr>
            <w:rStyle w:val="Lienhypertexte"/>
            <w:rFonts w:ascii="Marianne ExtraBold" w:hAnsi="Marianne ExtraBold" w:hint="eastAsia"/>
            <w:lang w:val="fr-FR"/>
          </w:rPr>
          <w:t>È</w:t>
        </w:r>
        <w:r>
          <w:rPr>
            <w:rStyle w:val="Lienhypertexte"/>
            <w:rFonts w:ascii="Marianne ExtraBold" w:hAnsi="Marianne ExtraBold"/>
            <w:lang w:val="fr-FR"/>
          </w:rPr>
          <w:t>S V</w:t>
        </w:r>
        <w:r>
          <w:rPr>
            <w:rStyle w:val="Lienhypertexte"/>
            <w:rFonts w:ascii="Marianne ExtraBold" w:hAnsi="Marianne ExtraBold" w:hint="eastAsia"/>
            <w:lang w:val="fr-FR"/>
          </w:rPr>
          <w:t>É</w:t>
        </w:r>
        <w:r>
          <w:rPr>
            <w:rStyle w:val="Lienhypertexte"/>
            <w:rFonts w:ascii="Marianne ExtraBold" w:hAnsi="Marianne ExtraBold"/>
            <w:lang w:val="fr-FR"/>
          </w:rPr>
          <w:t>RIFICATION ET CONDITIONS D</w:t>
        </w:r>
        <w:r>
          <w:rPr>
            <w:rStyle w:val="Lienhypertexte"/>
            <w:rFonts w:ascii="Marianne ExtraBold" w:hAnsi="Marianne ExtraBold" w:hint="eastAsia"/>
            <w:lang w:val="fr-FR"/>
          </w:rPr>
          <w:t>’</w:t>
        </w:r>
        <w:r>
          <w:rPr>
            <w:rStyle w:val="Lienhypertexte"/>
            <w:rFonts w:ascii="Marianne ExtraBold" w:hAnsi="Marianne ExtraBold"/>
            <w:lang w:val="fr-FR"/>
          </w:rPr>
          <w:t>ADMISSION</w:t>
        </w:r>
        <w:r>
          <w:tab/>
        </w:r>
        <w:r>
          <w:fldChar w:fldCharType="begin"/>
        </w:r>
        <w:r>
          <w:instrText>PAGEREF _Toc52 \h</w:instrText>
        </w:r>
        <w:r>
          <w:fldChar w:fldCharType="separate"/>
        </w:r>
        <w:r>
          <w:t>20</w:t>
        </w:r>
        <w:r>
          <w:fldChar w:fldCharType="end"/>
        </w:r>
      </w:hyperlink>
    </w:p>
    <w:p w:rsidR="001B30FD" w:rsidRDefault="008B589B">
      <w:pPr>
        <w:pStyle w:val="TM1"/>
        <w:tabs>
          <w:tab w:val="right" w:leader="dot" w:pos="10190"/>
        </w:tabs>
      </w:pPr>
      <w:hyperlink w:anchor="_Toc53" w:tooltip="#_Toc53" w:history="1">
        <w:r>
          <w:rPr>
            <w:rFonts w:eastAsia="Times New Roman"/>
          </w:rPr>
          <w:t>ARTICLE 10.</w:t>
        </w:r>
        <w:r>
          <w:t xml:space="preserve"> </w:t>
        </w:r>
        <w:r>
          <w:rPr>
            <w:rStyle w:val="Lienhypertexte"/>
            <w:lang w:val="fr-FR"/>
          </w:rPr>
          <w:t>OBJECTIF DE PERFORMANCE</w:t>
        </w:r>
        <w:r>
          <w:tab/>
        </w:r>
        <w:r>
          <w:fldChar w:fldCharType="begin"/>
        </w:r>
        <w:r>
          <w:instrText>PAGEREF _Toc53 \h</w:instrText>
        </w:r>
        <w:r>
          <w:fldChar w:fldCharType="separate"/>
        </w:r>
        <w:r>
          <w:t>20</w:t>
        </w:r>
        <w:r>
          <w:fldChar w:fldCharType="end"/>
        </w:r>
      </w:hyperlink>
    </w:p>
    <w:p w:rsidR="001B30FD" w:rsidRDefault="008B589B">
      <w:pPr>
        <w:pStyle w:val="TM1"/>
        <w:tabs>
          <w:tab w:val="right" w:leader="dot" w:pos="10190"/>
        </w:tabs>
      </w:pPr>
      <w:hyperlink w:anchor="_Toc54" w:tooltip="#_Toc54" w:history="1">
        <w:r>
          <w:rPr>
            <w:rFonts w:eastAsia="Times New Roman"/>
          </w:rPr>
          <w:t>ARTICLE 11.</w:t>
        </w:r>
        <w:r>
          <w:t xml:space="preserve"> </w:t>
        </w:r>
        <w:r>
          <w:rPr>
            <w:rStyle w:val="Lienhypertexte"/>
            <w:lang w:val="fr-FR"/>
          </w:rPr>
          <w:t>MODALITÉS DE RÈGLEMENT DES PRESTATIONS</w:t>
        </w:r>
        <w:r>
          <w:tab/>
        </w:r>
        <w:r>
          <w:fldChar w:fldCharType="begin"/>
        </w:r>
        <w:r>
          <w:instrText>PAGEREF _Toc54 \h</w:instrText>
        </w:r>
        <w:r>
          <w:fldChar w:fldCharType="separate"/>
        </w:r>
        <w:r>
          <w:t>21</w:t>
        </w:r>
        <w:r>
          <w:fldChar w:fldCharType="end"/>
        </w:r>
      </w:hyperlink>
    </w:p>
    <w:p w:rsidR="001B30FD" w:rsidRDefault="008B589B">
      <w:pPr>
        <w:pStyle w:val="TM2"/>
        <w:tabs>
          <w:tab w:val="left" w:pos="850"/>
          <w:tab w:val="right" w:leader="dot" w:pos="10190"/>
        </w:tabs>
        <w:rPr>
          <w:rFonts w:ascii="Marianne ExtraBold" w:hAnsi="Marianne ExtraBold"/>
        </w:rPr>
      </w:pPr>
      <w:hyperlink w:anchor="_Toc55" w:tooltip="#_Toc55" w:history="1">
        <w:r>
          <w:rPr>
            <w:rFonts w:ascii="Marianne ExtraBold" w:eastAsia="Times New Roman" w:hAnsi="Marianne ExtraBold" w:cs="Times New Roman"/>
          </w:rPr>
          <w:t>11.1</w:t>
        </w:r>
        <w:r>
          <w:tab/>
        </w:r>
        <w:r>
          <w:rPr>
            <w:rStyle w:val="Lienhypertexte"/>
            <w:rFonts w:ascii="Marianne ExtraBold" w:hAnsi="Marianne ExtraBold"/>
            <w:lang w:val="fr-FR"/>
          </w:rPr>
          <w:t>AVANCES</w:t>
        </w:r>
        <w:r>
          <w:tab/>
        </w:r>
        <w:r>
          <w:fldChar w:fldCharType="begin"/>
        </w:r>
        <w:r>
          <w:instrText>PAGEREF _Toc55 \h</w:instrText>
        </w:r>
        <w:r>
          <w:fldChar w:fldCharType="separate"/>
        </w:r>
        <w:r>
          <w:t>22</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56" w:tooltip="#_Toc56" w:history="1">
        <w:r>
          <w:rPr>
            <w:rFonts w:ascii="Marianne ExtraBold" w:eastAsiaTheme="majorEastAsia" w:hAnsi="Marianne ExtraBold" w:cstheme="majorBidi"/>
          </w:rPr>
          <w:t>11.1.</w:t>
        </w:r>
        <w:r>
          <w:rPr>
            <w:rFonts w:ascii="Marianne ExtraBold" w:eastAsiaTheme="majorEastAsia" w:hAnsi="Marianne ExtraBold" w:cstheme="majorBidi"/>
          </w:rPr>
          <w:t>1</w:t>
        </w:r>
        <w:r>
          <w:tab/>
        </w:r>
        <w:r>
          <w:rPr>
            <w:rStyle w:val="Lienhypertexte"/>
            <w:rFonts w:ascii="Marianne ExtraBold" w:eastAsiaTheme="majorEastAsia" w:hAnsi="Marianne ExtraBold" w:cstheme="majorBidi"/>
            <w:caps/>
            <w:lang w:val="fr-FR" w:eastAsia="en-US"/>
          </w:rPr>
          <w:t>Versement de l</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caps/>
            <w:lang w:val="fr-FR" w:eastAsia="en-US"/>
          </w:rPr>
          <w:t>avance</w:t>
        </w:r>
        <w:r>
          <w:tab/>
        </w:r>
        <w:r>
          <w:fldChar w:fldCharType="begin"/>
        </w:r>
        <w:r>
          <w:instrText>PAGEREF _Toc56 \h</w:instrText>
        </w:r>
        <w:r>
          <w:fldChar w:fldCharType="separate"/>
        </w:r>
        <w:r>
          <w:t>22</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57" w:tooltip="#_Toc57" w:history="1">
        <w:r>
          <w:rPr>
            <w:rFonts w:ascii="Marianne ExtraBold" w:eastAsiaTheme="majorEastAsia" w:hAnsi="Marianne ExtraBold" w:cstheme="majorBidi"/>
          </w:rPr>
          <w:t>11.1.2</w:t>
        </w:r>
        <w:r>
          <w:tab/>
        </w:r>
        <w:r>
          <w:rPr>
            <w:rStyle w:val="Lienhypertexte"/>
            <w:rFonts w:ascii="Marianne ExtraBold" w:eastAsiaTheme="majorEastAsia" w:hAnsi="Marianne ExtraBold" w:cstheme="majorBidi"/>
            <w:caps/>
            <w:lang w:val="fr-FR" w:eastAsia="en-US"/>
          </w:rPr>
          <w:t>Remboursement de l</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caps/>
            <w:lang w:val="fr-FR" w:eastAsia="en-US"/>
          </w:rPr>
          <w:t>avance</w:t>
        </w:r>
        <w:r>
          <w:tab/>
        </w:r>
        <w:r>
          <w:fldChar w:fldCharType="begin"/>
        </w:r>
        <w:r>
          <w:instrText>PAGEREF _Toc57 \h</w:instrText>
        </w:r>
        <w:r>
          <w:fldChar w:fldCharType="separate"/>
        </w:r>
        <w:r>
          <w:t>22</w:t>
        </w:r>
        <w:r>
          <w:fldChar w:fldCharType="end"/>
        </w:r>
      </w:hyperlink>
    </w:p>
    <w:p w:rsidR="001B30FD" w:rsidRDefault="008B589B">
      <w:pPr>
        <w:pStyle w:val="TM2"/>
        <w:tabs>
          <w:tab w:val="left" w:pos="850"/>
          <w:tab w:val="right" w:leader="dot" w:pos="10190"/>
        </w:tabs>
        <w:rPr>
          <w:rFonts w:ascii="Marianne ExtraBold" w:hAnsi="Marianne ExtraBold"/>
        </w:rPr>
      </w:pPr>
      <w:hyperlink w:anchor="_Toc58" w:tooltip="#_Toc58" w:history="1">
        <w:r>
          <w:rPr>
            <w:rFonts w:ascii="Marianne ExtraBold" w:eastAsia="Times New Roman" w:hAnsi="Marianne ExtraBold" w:cs="Times New Roman"/>
          </w:rPr>
          <w:t>11.2</w:t>
        </w:r>
        <w:r>
          <w:tab/>
        </w:r>
        <w:r>
          <w:rPr>
            <w:rStyle w:val="Lienhypertexte"/>
            <w:rFonts w:ascii="Marianne ExtraBold" w:hAnsi="Marianne ExtraBold"/>
            <w:lang w:val="fr-FR"/>
          </w:rPr>
          <w:t>ACOMPTES</w:t>
        </w:r>
        <w:r>
          <w:tab/>
        </w:r>
        <w:r>
          <w:fldChar w:fldCharType="begin"/>
        </w:r>
        <w:r>
          <w:instrText>PAGEREF _Toc58 \h</w:instrText>
        </w:r>
        <w:r>
          <w:fldChar w:fldCharType="separate"/>
        </w:r>
        <w:r>
          <w:t>22</w:t>
        </w:r>
        <w:r>
          <w:fldChar w:fldCharType="end"/>
        </w:r>
      </w:hyperlink>
    </w:p>
    <w:p w:rsidR="001B30FD" w:rsidRDefault="008B589B">
      <w:pPr>
        <w:pStyle w:val="TM2"/>
        <w:tabs>
          <w:tab w:val="left" w:pos="850"/>
          <w:tab w:val="right" w:leader="dot" w:pos="10190"/>
        </w:tabs>
        <w:rPr>
          <w:rFonts w:ascii="Marianne ExtraBold" w:hAnsi="Marianne ExtraBold"/>
        </w:rPr>
      </w:pPr>
      <w:hyperlink w:anchor="_Toc59" w:tooltip="#_Toc59" w:history="1">
        <w:r>
          <w:rPr>
            <w:rFonts w:ascii="Marianne ExtraBold" w:eastAsia="Times New Roman" w:hAnsi="Marianne ExtraBold" w:cs="Times New Roman"/>
          </w:rPr>
          <w:t>11.3</w:t>
        </w:r>
        <w:r>
          <w:tab/>
        </w:r>
        <w:r>
          <w:rPr>
            <w:rStyle w:val="Lienhypertexte"/>
            <w:rFonts w:ascii="Marianne ExtraBold" w:hAnsi="Marianne ExtraBold"/>
            <w:lang w:val="fr-FR"/>
          </w:rPr>
          <w:t>DÉLAIS DE PAIEMENT</w:t>
        </w:r>
        <w:r>
          <w:tab/>
        </w:r>
        <w:r>
          <w:fldChar w:fldCharType="begin"/>
        </w:r>
        <w:r>
          <w:instrText>PAGEREF _Toc59 \h</w:instrText>
        </w:r>
        <w:r>
          <w:fldChar w:fldCharType="separate"/>
        </w:r>
        <w:r>
          <w:t>23</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60" w:tooltip="#_Toc60" w:history="1">
        <w:r>
          <w:rPr>
            <w:rFonts w:ascii="Marianne ExtraBold" w:eastAsiaTheme="majorEastAsia" w:hAnsi="Marianne ExtraBold" w:cstheme="majorBidi"/>
          </w:rPr>
          <w:t>11.3.1</w:t>
        </w:r>
        <w:r>
          <w:tab/>
        </w:r>
        <w:r>
          <w:rPr>
            <w:rStyle w:val="Lienhypertexte"/>
            <w:rFonts w:ascii="Marianne ExtraBold" w:eastAsiaTheme="majorEastAsia" w:hAnsi="Marianne ExtraBold" w:cstheme="majorBidi"/>
            <w:caps/>
            <w:lang w:val="fr-FR" w:eastAsia="en-US"/>
          </w:rPr>
          <w:t>GÉnÉralitÉs</w:t>
        </w:r>
        <w:r>
          <w:tab/>
        </w:r>
        <w:r>
          <w:fldChar w:fldCharType="begin"/>
        </w:r>
        <w:r>
          <w:instrText>PAGEREF _Toc60 \h</w:instrText>
        </w:r>
        <w:r>
          <w:fldChar w:fldCharType="separate"/>
        </w:r>
        <w:r>
          <w:t>23</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61" w:tooltip="#_Toc61" w:history="1">
        <w:r>
          <w:rPr>
            <w:rFonts w:ascii="Marianne ExtraBold" w:eastAsiaTheme="majorEastAsia" w:hAnsi="Marianne ExtraBold" w:cstheme="majorBidi"/>
          </w:rPr>
          <w:t>11.3.2</w:t>
        </w:r>
        <w:r>
          <w:tab/>
        </w:r>
        <w:r>
          <w:rPr>
            <w:rStyle w:val="Lienhypertexte"/>
            <w:rFonts w:ascii="Marianne ExtraBold" w:eastAsiaTheme="majorEastAsia" w:hAnsi="Marianne ExtraBold" w:cstheme="majorBidi"/>
            <w:caps/>
            <w:lang w:val="fr-FR" w:eastAsia="en-US"/>
          </w:rPr>
          <w:t>RYTHME DE PAIEMENT</w:t>
        </w:r>
        <w:r>
          <w:tab/>
        </w:r>
        <w:r>
          <w:fldChar w:fldCharType="begin"/>
        </w:r>
        <w:r>
          <w:instrText>PAGEREF _Toc61 \h</w:instrText>
        </w:r>
        <w:r>
          <w:fldChar w:fldCharType="separate"/>
        </w:r>
        <w:r>
          <w:t>23</w:t>
        </w:r>
        <w:r>
          <w:fldChar w:fldCharType="end"/>
        </w:r>
      </w:hyperlink>
    </w:p>
    <w:p w:rsidR="001B30FD" w:rsidRDefault="008B589B">
      <w:pPr>
        <w:pStyle w:val="TM2"/>
        <w:tabs>
          <w:tab w:val="left" w:pos="850"/>
          <w:tab w:val="right" w:leader="dot" w:pos="10190"/>
        </w:tabs>
        <w:rPr>
          <w:rFonts w:ascii="Marianne ExtraBold" w:hAnsi="Marianne ExtraBold"/>
        </w:rPr>
      </w:pPr>
      <w:hyperlink w:anchor="_Toc62" w:tooltip="#_Toc62" w:history="1">
        <w:r>
          <w:rPr>
            <w:rFonts w:ascii="Marianne ExtraBold" w:eastAsia="Times New Roman" w:hAnsi="Marianne ExtraBold" w:cs="Times New Roman"/>
          </w:rPr>
          <w:t>11.4</w:t>
        </w:r>
        <w:r>
          <w:tab/>
        </w:r>
        <w:r>
          <w:rPr>
            <w:rStyle w:val="Lienhypertexte"/>
            <w:rFonts w:ascii="Marianne ExtraBold" w:hAnsi="Marianne ExtraBold"/>
            <w:lang w:val="fr-FR"/>
          </w:rPr>
          <w:t>FACTURATION</w:t>
        </w:r>
        <w:r>
          <w:tab/>
        </w:r>
        <w:r>
          <w:fldChar w:fldCharType="begin"/>
        </w:r>
        <w:r>
          <w:instrText>PAGEREF _Toc62 \h</w:instrText>
        </w:r>
        <w:r>
          <w:fldChar w:fldCharType="separate"/>
        </w:r>
        <w:r>
          <w:t>23</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63" w:tooltip="#_Toc63" w:history="1">
        <w:r>
          <w:rPr>
            <w:rFonts w:ascii="Marianne ExtraBold" w:eastAsiaTheme="majorEastAsia" w:hAnsi="Marianne ExtraBold" w:cstheme="majorBidi"/>
          </w:rPr>
          <w:t>11.4.1</w:t>
        </w:r>
        <w:r>
          <w:tab/>
        </w:r>
        <w:r>
          <w:rPr>
            <w:rStyle w:val="Lienhypertexte"/>
            <w:rFonts w:ascii="Marianne ExtraBold" w:eastAsiaTheme="majorEastAsia" w:hAnsi="Marianne ExtraBold" w:cstheme="majorBidi"/>
            <w:caps/>
            <w:lang w:val="fr-FR" w:eastAsia="en-US"/>
          </w:rPr>
          <w:t>Contenu de la facture</w:t>
        </w:r>
        <w:r>
          <w:tab/>
        </w:r>
        <w:r>
          <w:fldChar w:fldCharType="begin"/>
        </w:r>
        <w:r>
          <w:instrText>PAGEREF _Toc63 \h</w:instrText>
        </w:r>
        <w:r>
          <w:fldChar w:fldCharType="separate"/>
        </w:r>
        <w:r>
          <w:t>23</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64" w:tooltip="#_Toc64" w:history="1">
        <w:r>
          <w:rPr>
            <w:rFonts w:ascii="Marianne ExtraBold" w:eastAsiaTheme="majorEastAsia" w:hAnsi="Marianne ExtraBold" w:cstheme="majorBidi"/>
          </w:rPr>
          <w:t>11.4.2</w:t>
        </w:r>
        <w:r>
          <w:tab/>
        </w:r>
        <w:r>
          <w:rPr>
            <w:rStyle w:val="Lienhypertexte"/>
            <w:rFonts w:ascii="Marianne ExtraBold" w:eastAsiaTheme="majorEastAsia" w:hAnsi="Marianne ExtraBold" w:cstheme="majorBidi"/>
            <w:caps/>
            <w:lang w:val="fr-FR" w:bidi="fr-FR"/>
          </w:rPr>
          <w:t>MODALITES DE PAIEMENT</w:t>
        </w:r>
        <w:r>
          <w:tab/>
        </w:r>
        <w:r>
          <w:fldChar w:fldCharType="begin"/>
        </w:r>
        <w:r>
          <w:instrText>PAGEREF _Toc64 \h</w:instrText>
        </w:r>
        <w:r>
          <w:fldChar w:fldCharType="separate"/>
        </w:r>
        <w:r>
          <w:t>24</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65" w:tooltip="#_Toc65" w:history="1">
        <w:r>
          <w:rPr>
            <w:rFonts w:ascii="Marianne ExtraBold" w:eastAsiaTheme="majorEastAsia" w:hAnsi="Marianne ExtraBold" w:cstheme="majorBidi"/>
          </w:rPr>
          <w:t>11.4.3</w:t>
        </w:r>
        <w:r>
          <w:tab/>
        </w:r>
        <w:r>
          <w:rPr>
            <w:rStyle w:val="Lienhypertexte"/>
            <w:rFonts w:ascii="Marianne ExtraBold" w:eastAsiaTheme="majorEastAsia" w:hAnsi="Marianne ExtraBold" w:cstheme="majorBidi"/>
            <w:caps/>
            <w:lang w:val="fr-FR"/>
          </w:rPr>
          <w:t>MODALITES DE FACTURATION</w:t>
        </w:r>
        <w:r>
          <w:tab/>
        </w:r>
        <w:r>
          <w:fldChar w:fldCharType="begin"/>
        </w:r>
        <w:r>
          <w:instrText>PAGEREF _Toc65 \h</w:instrText>
        </w:r>
        <w:r>
          <w:fldChar w:fldCharType="separate"/>
        </w:r>
        <w:r>
          <w:t>25</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66" w:tooltip="#_Toc66" w:history="1">
        <w:r>
          <w:rPr>
            <w:rFonts w:ascii="Marianne ExtraBold" w:eastAsiaTheme="majorEastAsia" w:hAnsi="Marianne ExtraBold" w:cstheme="majorBidi"/>
          </w:rPr>
          <w:t>11.4.4</w:t>
        </w:r>
        <w:r>
          <w:tab/>
        </w:r>
        <w:r>
          <w:rPr>
            <w:rStyle w:val="Lienhypertexte"/>
            <w:rFonts w:ascii="Marianne ExtraBold" w:eastAsiaTheme="majorEastAsia" w:hAnsi="Marianne ExtraBold" w:cstheme="majorBidi"/>
            <w:caps/>
            <w:lang w:val="fr-FR" w:eastAsia="en-US"/>
          </w:rPr>
          <w:t>Modalit</w:t>
        </w:r>
        <w:r>
          <w:rPr>
            <w:rStyle w:val="Lienhypertexte"/>
            <w:rFonts w:ascii="Marianne ExtraBold" w:eastAsiaTheme="majorEastAsia" w:hAnsi="Marianne ExtraBold" w:cstheme="majorBidi" w:hint="eastAsia"/>
            <w:caps/>
            <w:lang w:val="fr-FR" w:eastAsia="en-US"/>
          </w:rPr>
          <w:t>é</w:t>
        </w:r>
        <w:r>
          <w:rPr>
            <w:rStyle w:val="Lienhypertexte"/>
            <w:rFonts w:ascii="Marianne ExtraBold" w:eastAsiaTheme="majorEastAsia" w:hAnsi="Marianne ExtraBold" w:cstheme="majorBidi"/>
            <w:caps/>
            <w:lang w:val="fr-FR" w:eastAsia="en-US"/>
          </w:rPr>
          <w:t>s d</w:t>
        </w:r>
        <w:r>
          <w:rPr>
            <w:rStyle w:val="Lienhypertexte"/>
            <w:rFonts w:ascii="Marianne ExtraBold" w:eastAsiaTheme="majorEastAsia" w:hAnsi="Marianne ExtraBold" w:cstheme="majorBidi" w:hint="eastAsia"/>
            <w:caps/>
            <w:lang w:val="fr-FR" w:eastAsia="en-US"/>
          </w:rPr>
          <w:t>’</w:t>
        </w:r>
        <w:r>
          <w:rPr>
            <w:rStyle w:val="Lienhypertexte"/>
            <w:rFonts w:ascii="Marianne ExtraBold" w:eastAsiaTheme="majorEastAsia" w:hAnsi="Marianne ExtraBold" w:cstheme="majorBidi"/>
            <w:caps/>
            <w:lang w:val="fr-FR" w:eastAsia="en-US"/>
          </w:rPr>
          <w:t>envoi</w:t>
        </w:r>
        <w:r>
          <w:tab/>
        </w:r>
        <w:r>
          <w:fldChar w:fldCharType="begin"/>
        </w:r>
        <w:r>
          <w:instrText>PAGEREF _Toc66 \h</w:instrText>
        </w:r>
        <w:r>
          <w:fldChar w:fldCharType="separate"/>
        </w:r>
        <w:r>
          <w:t>25</w:t>
        </w:r>
        <w:r>
          <w:fldChar w:fldCharType="end"/>
        </w:r>
      </w:hyperlink>
    </w:p>
    <w:p w:rsidR="001B30FD" w:rsidRDefault="008B589B">
      <w:pPr>
        <w:pStyle w:val="TM2"/>
        <w:tabs>
          <w:tab w:val="left" w:pos="850"/>
          <w:tab w:val="right" w:leader="dot" w:pos="10190"/>
        </w:tabs>
        <w:rPr>
          <w:rFonts w:ascii="Marianne ExtraBold" w:hAnsi="Marianne ExtraBold"/>
        </w:rPr>
      </w:pPr>
      <w:hyperlink w:anchor="_Toc67" w:tooltip="#_Toc67" w:history="1">
        <w:r>
          <w:rPr>
            <w:rFonts w:ascii="Marianne ExtraBold" w:eastAsia="Times New Roman" w:hAnsi="Marianne ExtraBold" w:cs="Times New Roman"/>
          </w:rPr>
          <w:t>11.5</w:t>
        </w:r>
        <w:r>
          <w:tab/>
        </w:r>
        <w:r>
          <w:rPr>
            <w:rStyle w:val="Lienhypertexte"/>
            <w:rFonts w:ascii="Marianne ExtraBold" w:hAnsi="Marianne ExtraBold"/>
            <w:lang w:val="fr-FR"/>
          </w:rPr>
          <w:t>PAIEMENT DES COTRAITANTS</w:t>
        </w:r>
        <w:r>
          <w:tab/>
        </w:r>
        <w:r>
          <w:fldChar w:fldCharType="begin"/>
        </w:r>
        <w:r>
          <w:instrText>PAGEREF _Toc67 \h</w:instrText>
        </w:r>
        <w:r>
          <w:fldChar w:fldCharType="separate"/>
        </w:r>
        <w:r>
          <w:t>26</w:t>
        </w:r>
        <w:r>
          <w:fldChar w:fldCharType="end"/>
        </w:r>
      </w:hyperlink>
    </w:p>
    <w:p w:rsidR="001B30FD" w:rsidRDefault="008B589B">
      <w:pPr>
        <w:pStyle w:val="TM2"/>
        <w:tabs>
          <w:tab w:val="left" w:pos="850"/>
          <w:tab w:val="right" w:leader="dot" w:pos="10190"/>
        </w:tabs>
        <w:rPr>
          <w:rFonts w:ascii="Marianne ExtraBold" w:hAnsi="Marianne ExtraBold"/>
        </w:rPr>
      </w:pPr>
      <w:hyperlink w:anchor="_Toc68" w:tooltip="#_Toc68" w:history="1">
        <w:r>
          <w:rPr>
            <w:rFonts w:ascii="Marianne ExtraBold" w:eastAsia="Times New Roman" w:hAnsi="Marianne ExtraBold" w:cs="Times New Roman"/>
          </w:rPr>
          <w:t>11.6</w:t>
        </w:r>
        <w:r>
          <w:tab/>
        </w:r>
        <w:r>
          <w:rPr>
            <w:rStyle w:val="Lienhypertexte"/>
            <w:rFonts w:ascii="Marianne ExtraBold" w:hAnsi="Marianne ExtraBold"/>
            <w:lang w:val="fr-FR"/>
          </w:rPr>
          <w:t>INT</w:t>
        </w:r>
        <w:r>
          <w:rPr>
            <w:rStyle w:val="Lienhypertexte"/>
            <w:rFonts w:ascii="Marianne ExtraBold" w:hAnsi="Marianne ExtraBold" w:hint="eastAsia"/>
            <w:lang w:val="fr-FR"/>
          </w:rPr>
          <w:t>É</w:t>
        </w:r>
        <w:r>
          <w:rPr>
            <w:rStyle w:val="Lienhypertexte"/>
            <w:rFonts w:ascii="Marianne ExtraBold" w:hAnsi="Marianne ExtraBold"/>
            <w:lang w:val="fr-FR"/>
          </w:rPr>
          <w:t>R</w:t>
        </w:r>
        <w:r>
          <w:rPr>
            <w:rStyle w:val="Lienhypertexte"/>
            <w:rFonts w:ascii="Marianne ExtraBold" w:hAnsi="Marianne ExtraBold" w:hint="eastAsia"/>
            <w:lang w:val="fr-FR"/>
          </w:rPr>
          <w:t>Ê</w:t>
        </w:r>
        <w:r>
          <w:rPr>
            <w:rStyle w:val="Lienhypertexte"/>
            <w:rFonts w:ascii="Marianne ExtraBold" w:hAnsi="Marianne ExtraBold"/>
            <w:lang w:val="fr-FR"/>
          </w:rPr>
          <w:t>TS MORATOIRES, INDEMNIT</w:t>
        </w:r>
        <w:r>
          <w:rPr>
            <w:rStyle w:val="Lienhypertexte"/>
            <w:rFonts w:ascii="Marianne ExtraBold" w:hAnsi="Marianne ExtraBold" w:hint="eastAsia"/>
            <w:lang w:val="fr-FR"/>
          </w:rPr>
          <w:t>É</w:t>
        </w:r>
        <w:r>
          <w:rPr>
            <w:rStyle w:val="Lienhypertexte"/>
            <w:rFonts w:ascii="Marianne ExtraBold" w:hAnsi="Marianne ExtraBold"/>
            <w:lang w:val="fr-FR"/>
          </w:rPr>
          <w:t>S FORFAITAIRES ET COMPL</w:t>
        </w:r>
        <w:r>
          <w:rPr>
            <w:rStyle w:val="Lienhypertexte"/>
            <w:rFonts w:ascii="Marianne ExtraBold" w:hAnsi="Marianne ExtraBold" w:hint="eastAsia"/>
            <w:lang w:val="fr-FR"/>
          </w:rPr>
          <w:t>É</w:t>
        </w:r>
        <w:r>
          <w:rPr>
            <w:rStyle w:val="Lienhypertexte"/>
            <w:rFonts w:ascii="Marianne ExtraBold" w:hAnsi="Marianne ExtraBold"/>
            <w:lang w:val="fr-FR"/>
          </w:rPr>
          <w:t>MENT POUR FRAIS DE RECOUVREMENT</w:t>
        </w:r>
        <w:r>
          <w:tab/>
        </w:r>
        <w:r>
          <w:fldChar w:fldCharType="begin"/>
        </w:r>
        <w:r>
          <w:instrText>PAGEREF _Toc68 \h</w:instrText>
        </w:r>
        <w:r>
          <w:fldChar w:fldCharType="separate"/>
        </w:r>
        <w:r>
          <w:t>27</w:t>
        </w:r>
        <w:r>
          <w:fldChar w:fldCharType="end"/>
        </w:r>
      </w:hyperlink>
    </w:p>
    <w:p w:rsidR="001B30FD" w:rsidRDefault="008B589B">
      <w:pPr>
        <w:pStyle w:val="TM2"/>
        <w:tabs>
          <w:tab w:val="left" w:pos="850"/>
          <w:tab w:val="right" w:leader="dot" w:pos="10190"/>
        </w:tabs>
        <w:rPr>
          <w:rFonts w:ascii="Marianne ExtraBold" w:hAnsi="Marianne ExtraBold"/>
        </w:rPr>
      </w:pPr>
      <w:hyperlink w:anchor="_Toc69" w:tooltip="#_Toc69" w:history="1">
        <w:r>
          <w:rPr>
            <w:rFonts w:ascii="Marianne ExtraBold" w:eastAsia="Times New Roman" w:hAnsi="Marianne ExtraBold" w:cs="Times New Roman"/>
          </w:rPr>
          <w:t>11.7</w:t>
        </w:r>
        <w:r>
          <w:tab/>
        </w:r>
        <w:r>
          <w:rPr>
            <w:rStyle w:val="Lienhypertexte"/>
            <w:rFonts w:ascii="Marianne ExtraBold" w:hAnsi="Marianne ExtraBold"/>
          </w:rPr>
          <w:t>CESSION OU NANTISSEMENT DES CR</w:t>
        </w:r>
        <w:r>
          <w:rPr>
            <w:rStyle w:val="Lienhypertexte"/>
            <w:rFonts w:ascii="Marianne ExtraBold" w:hAnsi="Marianne ExtraBold" w:hint="eastAsia"/>
          </w:rPr>
          <w:t>É</w:t>
        </w:r>
        <w:r>
          <w:rPr>
            <w:rStyle w:val="Lienhypertexte"/>
            <w:rFonts w:ascii="Marianne ExtraBold" w:hAnsi="Marianne ExtraBold"/>
          </w:rPr>
          <w:t>ANCES</w:t>
        </w:r>
        <w:r>
          <w:tab/>
        </w:r>
        <w:r>
          <w:fldChar w:fldCharType="begin"/>
        </w:r>
        <w:r>
          <w:instrText>PAGEREF _Toc69 \h</w:instrText>
        </w:r>
        <w:r>
          <w:fldChar w:fldCharType="separate"/>
        </w:r>
        <w:r>
          <w:t>27</w:t>
        </w:r>
        <w:r>
          <w:fldChar w:fldCharType="end"/>
        </w:r>
      </w:hyperlink>
    </w:p>
    <w:p w:rsidR="001B30FD" w:rsidRDefault="008B589B">
      <w:pPr>
        <w:pStyle w:val="TM2"/>
        <w:tabs>
          <w:tab w:val="left" w:pos="850"/>
          <w:tab w:val="right" w:leader="dot" w:pos="10190"/>
        </w:tabs>
        <w:rPr>
          <w:rFonts w:ascii="Marianne ExtraBold" w:hAnsi="Marianne ExtraBold"/>
        </w:rPr>
      </w:pPr>
      <w:hyperlink w:anchor="_Toc70" w:tooltip="#_Toc70" w:history="1">
        <w:r>
          <w:rPr>
            <w:rFonts w:ascii="Marianne ExtraBold" w:eastAsia="Times New Roman" w:hAnsi="Marianne ExtraBold" w:cs="Times New Roman"/>
          </w:rPr>
          <w:t>11.8</w:t>
        </w:r>
        <w:r>
          <w:tab/>
        </w:r>
        <w:r>
          <w:rPr>
            <w:rStyle w:val="Lienhypertexte"/>
            <w:rFonts w:ascii="Marianne ExtraBold" w:hAnsi="Marianne ExtraBold"/>
          </w:rPr>
          <w:t>MONNAIE</w:t>
        </w:r>
        <w:r>
          <w:tab/>
        </w:r>
        <w:r>
          <w:fldChar w:fldCharType="begin"/>
        </w:r>
        <w:r>
          <w:instrText>PAGEREF _Toc70 \h</w:instrText>
        </w:r>
        <w:r>
          <w:fldChar w:fldCharType="separate"/>
        </w:r>
        <w:r>
          <w:t>27</w:t>
        </w:r>
        <w:r>
          <w:fldChar w:fldCharType="end"/>
        </w:r>
      </w:hyperlink>
    </w:p>
    <w:p w:rsidR="001B30FD" w:rsidRDefault="008B589B">
      <w:pPr>
        <w:pStyle w:val="TM1"/>
        <w:tabs>
          <w:tab w:val="right" w:leader="dot" w:pos="10190"/>
        </w:tabs>
      </w:pPr>
      <w:hyperlink w:anchor="_Toc71" w:tooltip="#_Toc71" w:history="1">
        <w:r>
          <w:rPr>
            <w:rFonts w:eastAsia="Times New Roman"/>
          </w:rPr>
          <w:t>ARTICLE 12.</w:t>
        </w:r>
        <w:r>
          <w:t xml:space="preserve"> </w:t>
        </w:r>
        <w:r>
          <w:rPr>
            <w:rStyle w:val="Lienhypertexte"/>
            <w:lang w:val="fr-FR"/>
          </w:rPr>
          <w:t>PÉNALITÉS</w:t>
        </w:r>
        <w:r>
          <w:tab/>
        </w:r>
        <w:r>
          <w:fldChar w:fldCharType="begin"/>
        </w:r>
        <w:r>
          <w:instrText>PAGEREF _Toc71 \h</w:instrText>
        </w:r>
        <w:r>
          <w:fldChar w:fldCharType="separate"/>
        </w:r>
        <w:r>
          <w:t>28</w:t>
        </w:r>
        <w:r>
          <w:fldChar w:fldCharType="end"/>
        </w:r>
      </w:hyperlink>
    </w:p>
    <w:p w:rsidR="001B30FD" w:rsidRDefault="008B589B">
      <w:pPr>
        <w:pStyle w:val="TM2"/>
        <w:tabs>
          <w:tab w:val="left" w:pos="850"/>
          <w:tab w:val="right" w:leader="dot" w:pos="10190"/>
        </w:tabs>
        <w:rPr>
          <w:rFonts w:ascii="Marianne ExtraBold" w:hAnsi="Marianne ExtraBold"/>
        </w:rPr>
      </w:pPr>
      <w:hyperlink w:anchor="_Toc72" w:tooltip="#_Toc72" w:history="1">
        <w:r>
          <w:rPr>
            <w:rFonts w:ascii="Marianne ExtraBold" w:eastAsia="Times New Roman" w:hAnsi="Marianne ExtraBold" w:cs="Times New Roman"/>
          </w:rPr>
          <w:t>12.1</w:t>
        </w:r>
        <w:r>
          <w:tab/>
        </w:r>
        <w:r>
          <w:rPr>
            <w:rStyle w:val="Lienhypertexte"/>
            <w:rFonts w:ascii="Marianne ExtraBold" w:hAnsi="Marianne ExtraBold"/>
            <w:lang w:val="fr-FR"/>
          </w:rPr>
          <w:t>P</w:t>
        </w:r>
        <w:r>
          <w:rPr>
            <w:rStyle w:val="Lienhypertexte"/>
            <w:rFonts w:ascii="Marianne ExtraBold" w:hAnsi="Marianne ExtraBold" w:hint="cs"/>
            <w:lang w:val="fr-FR"/>
          </w:rPr>
          <w:t>É</w:t>
        </w:r>
        <w:r>
          <w:rPr>
            <w:rStyle w:val="Lienhypertexte"/>
            <w:rFonts w:ascii="Marianne ExtraBold" w:hAnsi="Marianne ExtraBold"/>
            <w:lang w:val="fr-FR"/>
          </w:rPr>
          <w:t>NALIT</w:t>
        </w:r>
        <w:r>
          <w:rPr>
            <w:rStyle w:val="Lienhypertexte"/>
            <w:rFonts w:ascii="Marianne ExtraBold" w:hAnsi="Marianne ExtraBold" w:hint="cs"/>
            <w:lang w:val="fr-FR"/>
          </w:rPr>
          <w:t>É</w:t>
        </w:r>
        <w:r>
          <w:rPr>
            <w:rStyle w:val="Lienhypertexte"/>
            <w:rFonts w:ascii="Marianne ExtraBold" w:hAnsi="Marianne ExtraBold"/>
            <w:lang w:val="fr-FR"/>
          </w:rPr>
          <w:t>S POUR NON-RESPECT DES ENGAGEMENTS</w:t>
        </w:r>
        <w:r>
          <w:tab/>
        </w:r>
        <w:r>
          <w:fldChar w:fldCharType="begin"/>
        </w:r>
        <w:r>
          <w:instrText>PAGEREF _Toc72 \h</w:instrText>
        </w:r>
        <w:r>
          <w:fldChar w:fldCharType="separate"/>
        </w:r>
        <w:r>
          <w:t>28</w:t>
        </w:r>
        <w:r>
          <w:fldChar w:fldCharType="end"/>
        </w:r>
      </w:hyperlink>
    </w:p>
    <w:p w:rsidR="001B30FD" w:rsidRDefault="008B589B">
      <w:pPr>
        <w:pStyle w:val="TM2"/>
        <w:tabs>
          <w:tab w:val="left" w:pos="850"/>
          <w:tab w:val="right" w:leader="dot" w:pos="10190"/>
        </w:tabs>
        <w:rPr>
          <w:rStyle w:val="Titre2Car"/>
          <w:rFonts w:ascii="Marianne ExtraBold" w:eastAsia="Arial" w:hAnsi="Marianne ExtraBold" w:cs="Marianne ExtraBold"/>
        </w:rPr>
      </w:pPr>
      <w:hyperlink w:anchor="_Toc73" w:tooltip="#_Toc73" w:history="1">
        <w:r>
          <w:rPr>
            <w:rFonts w:ascii="Marianne ExtraBold" w:eastAsia="Times New Roman" w:hAnsi="Marianne ExtraBold" w:cs="Marianne ExtraBold"/>
          </w:rPr>
          <w:t>12.2</w:t>
        </w:r>
        <w:r>
          <w:tab/>
        </w:r>
        <w:r>
          <w:rPr>
            <w:rStyle w:val="Lienhypertexte"/>
            <w:rFonts w:ascii="Marianne ExtraBold" w:eastAsia="Marianne ExtraBold" w:hAnsi="Marianne ExtraBold" w:cs="Marianne ExtraBold"/>
            <w:lang w:val="fr-FR"/>
          </w:rPr>
          <w:t>PENALITES RELATIVES AUX OBLIGATIONS DE VIGILANCE ET A LA PREVENTION DU TRAVAIL DISSIMULE</w:t>
        </w:r>
        <w:r>
          <w:tab/>
        </w:r>
        <w:r>
          <w:fldChar w:fldCharType="begin"/>
        </w:r>
        <w:r>
          <w:instrText>PAGEREF</w:instrText>
        </w:r>
        <w:r>
          <w:instrText xml:space="preserve"> _Toc73 \h</w:instrText>
        </w:r>
        <w:r>
          <w:fldChar w:fldCharType="separate"/>
        </w:r>
        <w:r>
          <w:t>30</w:t>
        </w:r>
        <w:r>
          <w:fldChar w:fldCharType="end"/>
        </w:r>
      </w:hyperlink>
    </w:p>
    <w:p w:rsidR="001B30FD" w:rsidRDefault="008B589B">
      <w:pPr>
        <w:pStyle w:val="TM2"/>
        <w:tabs>
          <w:tab w:val="left" w:pos="850"/>
          <w:tab w:val="right" w:leader="dot" w:pos="10190"/>
        </w:tabs>
        <w:rPr>
          <w:rFonts w:ascii="Marianne ExtraBold" w:hAnsi="Marianne ExtraBold"/>
        </w:rPr>
      </w:pPr>
      <w:hyperlink w:anchor="_Toc74" w:tooltip="#_Toc74" w:history="1">
        <w:r>
          <w:rPr>
            <w:rFonts w:ascii="Marianne ExtraBold" w:eastAsia="Times New Roman" w:hAnsi="Marianne ExtraBold" w:cs="Times New Roman"/>
          </w:rPr>
          <w:t>12.3</w:t>
        </w:r>
        <w:r>
          <w:tab/>
        </w:r>
        <w:r>
          <w:rPr>
            <w:rStyle w:val="Lienhypertexte"/>
            <w:rFonts w:ascii="Marianne ExtraBold" w:hAnsi="Marianne ExtraBold"/>
          </w:rPr>
          <w:t>MODALIT</w:t>
        </w:r>
        <w:r>
          <w:rPr>
            <w:rStyle w:val="Lienhypertexte"/>
            <w:rFonts w:ascii="Marianne ExtraBold" w:hAnsi="Marianne ExtraBold" w:hint="eastAsia"/>
          </w:rPr>
          <w:t>É</w:t>
        </w:r>
        <w:r>
          <w:rPr>
            <w:rStyle w:val="Lienhypertexte"/>
            <w:rFonts w:ascii="Marianne ExtraBold" w:hAnsi="Marianne ExtraBold"/>
          </w:rPr>
          <w:t>S D</w:t>
        </w:r>
        <w:r>
          <w:rPr>
            <w:rStyle w:val="Lienhypertexte"/>
            <w:rFonts w:ascii="Marianne ExtraBold" w:hAnsi="Marianne ExtraBold" w:hint="eastAsia"/>
          </w:rPr>
          <w:t>’</w:t>
        </w:r>
        <w:r>
          <w:rPr>
            <w:rStyle w:val="Lienhypertexte"/>
            <w:rFonts w:ascii="Marianne ExtraBold" w:hAnsi="Marianne ExtraBold"/>
          </w:rPr>
          <w:t>APPLICATION DES P</w:t>
        </w:r>
        <w:r>
          <w:rPr>
            <w:rStyle w:val="Lienhypertexte"/>
            <w:rFonts w:ascii="Marianne ExtraBold" w:hAnsi="Marianne ExtraBold" w:hint="eastAsia"/>
          </w:rPr>
          <w:t>É</w:t>
        </w:r>
        <w:r>
          <w:rPr>
            <w:rStyle w:val="Lienhypertexte"/>
            <w:rFonts w:ascii="Marianne ExtraBold" w:hAnsi="Marianne ExtraBold"/>
          </w:rPr>
          <w:t>NALIT</w:t>
        </w:r>
        <w:r>
          <w:rPr>
            <w:rStyle w:val="Lienhypertexte"/>
            <w:rFonts w:ascii="Marianne ExtraBold" w:hAnsi="Marianne ExtraBold" w:hint="eastAsia"/>
          </w:rPr>
          <w:t>É</w:t>
        </w:r>
        <w:r>
          <w:rPr>
            <w:rStyle w:val="Lienhypertexte"/>
            <w:rFonts w:ascii="Marianne ExtraBold" w:hAnsi="Marianne ExtraBold"/>
          </w:rPr>
          <w:t>S</w:t>
        </w:r>
        <w:r>
          <w:tab/>
        </w:r>
        <w:r>
          <w:fldChar w:fldCharType="begin"/>
        </w:r>
        <w:r>
          <w:instrText>PAGEREF _Toc74 \h</w:instrText>
        </w:r>
        <w:r>
          <w:fldChar w:fldCharType="separate"/>
        </w:r>
        <w:r>
          <w:t>30</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75" w:tooltip="#_Toc75" w:history="1">
        <w:r>
          <w:rPr>
            <w:rFonts w:ascii="Marianne ExtraBold" w:eastAsiaTheme="majorEastAsia" w:hAnsi="Marianne ExtraBold" w:cstheme="majorBidi"/>
          </w:rPr>
          <w:t>12.3.1</w:t>
        </w:r>
        <w:r>
          <w:tab/>
        </w:r>
        <w:r>
          <w:rPr>
            <w:rStyle w:val="Lienhypertexte"/>
            <w:rFonts w:ascii="Marianne ExtraBold" w:eastAsiaTheme="majorEastAsia" w:hAnsi="Marianne ExtraBold" w:cstheme="majorBidi"/>
            <w:caps/>
            <w:lang w:val="fr-FR" w:eastAsia="en-US"/>
          </w:rPr>
          <w:t>Montant plancher</w:t>
        </w:r>
        <w:r>
          <w:tab/>
        </w:r>
        <w:r>
          <w:fldChar w:fldCharType="begin"/>
        </w:r>
        <w:r>
          <w:instrText>PAGEREF _Toc75 \h</w:instrText>
        </w:r>
        <w:r>
          <w:fldChar w:fldCharType="separate"/>
        </w:r>
        <w:r>
          <w:t>30</w:t>
        </w:r>
        <w:r>
          <w:fldChar w:fldCharType="end"/>
        </w:r>
      </w:hyperlink>
    </w:p>
    <w:p w:rsidR="001B30FD" w:rsidRDefault="008B589B">
      <w:pPr>
        <w:pStyle w:val="TM3"/>
        <w:tabs>
          <w:tab w:val="left" w:pos="1417"/>
          <w:tab w:val="right" w:leader="dot" w:pos="10190"/>
        </w:tabs>
        <w:rPr>
          <w:rFonts w:ascii="Marianne ExtraBold" w:eastAsiaTheme="majorEastAsia" w:hAnsi="Marianne ExtraBold" w:cstheme="majorBidi"/>
          <w:caps/>
        </w:rPr>
      </w:pPr>
      <w:hyperlink w:anchor="_Toc76" w:tooltip="#_Toc76" w:history="1">
        <w:r>
          <w:rPr>
            <w:rFonts w:ascii="Marianne ExtraBold" w:eastAsiaTheme="majorEastAsia" w:hAnsi="Marianne ExtraBold" w:cstheme="majorBidi"/>
          </w:rPr>
          <w:t>12.3.2</w:t>
        </w:r>
        <w:r>
          <w:tab/>
        </w:r>
        <w:r>
          <w:rPr>
            <w:rStyle w:val="Lienhypertexte"/>
            <w:rFonts w:ascii="Marianne ExtraBold" w:eastAsiaTheme="majorEastAsia" w:hAnsi="Marianne ExtraBold" w:cstheme="majorBidi"/>
            <w:caps/>
            <w:lang w:val="fr-FR" w:eastAsia="en-US"/>
          </w:rPr>
          <w:t>Montant plafond</w:t>
        </w:r>
        <w:r>
          <w:tab/>
        </w:r>
        <w:r>
          <w:fldChar w:fldCharType="begin"/>
        </w:r>
        <w:r>
          <w:instrText>PAGEREF _Toc76 \h</w:instrText>
        </w:r>
        <w:r>
          <w:fldChar w:fldCharType="separate"/>
        </w:r>
        <w:r>
          <w:t>31</w:t>
        </w:r>
        <w:r>
          <w:fldChar w:fldCharType="end"/>
        </w:r>
      </w:hyperlink>
    </w:p>
    <w:p w:rsidR="001B30FD" w:rsidRDefault="008B589B">
      <w:pPr>
        <w:pStyle w:val="TM1"/>
        <w:tabs>
          <w:tab w:val="right" w:leader="dot" w:pos="10190"/>
        </w:tabs>
      </w:pPr>
      <w:hyperlink w:anchor="_Toc77" w:tooltip="#_Toc77" w:history="1">
        <w:r>
          <w:rPr>
            <w:rFonts w:eastAsia="Times New Roman"/>
          </w:rPr>
          <w:t>ARTICLE 13.</w:t>
        </w:r>
        <w:r>
          <w:t xml:space="preserve"> </w:t>
        </w:r>
        <w:r>
          <w:rPr>
            <w:rStyle w:val="Lienhypertexte"/>
            <w:lang w:val="fr-FR"/>
          </w:rPr>
          <w:t>TRAIT</w:t>
        </w:r>
        <w:r>
          <w:rPr>
            <w:rStyle w:val="Lienhypertexte"/>
            <w:lang w:val="fr-FR"/>
          </w:rPr>
          <w:t>EMENT DES DONNÉES À CARACTÈRE PERSONNEL</w:t>
        </w:r>
        <w:r>
          <w:tab/>
        </w:r>
        <w:r>
          <w:fldChar w:fldCharType="begin"/>
        </w:r>
        <w:r>
          <w:instrText>PAGEREF _Toc77 \h</w:instrText>
        </w:r>
        <w:r>
          <w:fldChar w:fldCharType="separate"/>
        </w:r>
        <w:r>
          <w:t>31</w:t>
        </w:r>
        <w:r>
          <w:fldChar w:fldCharType="end"/>
        </w:r>
      </w:hyperlink>
    </w:p>
    <w:p w:rsidR="001B30FD" w:rsidRDefault="008B589B">
      <w:pPr>
        <w:pStyle w:val="TM1"/>
        <w:tabs>
          <w:tab w:val="right" w:leader="dot" w:pos="10190"/>
        </w:tabs>
      </w:pPr>
      <w:hyperlink w:anchor="_Toc78" w:tooltip="#_Toc78" w:history="1">
        <w:r>
          <w:rPr>
            <w:rFonts w:eastAsia="Times New Roman"/>
          </w:rPr>
          <w:t>ARTICLE 14.</w:t>
        </w:r>
        <w:r>
          <w:t xml:space="preserve"> </w:t>
        </w:r>
        <w:r>
          <w:rPr>
            <w:rStyle w:val="Lienhypertexte"/>
            <w:lang w:val="fr-FR"/>
          </w:rPr>
          <w:t>RÉSILIATION</w:t>
        </w:r>
        <w:r>
          <w:tab/>
        </w:r>
        <w:r>
          <w:fldChar w:fldCharType="begin"/>
        </w:r>
        <w:r>
          <w:instrText>PAGEREF _Toc78 \h</w:instrText>
        </w:r>
        <w:r>
          <w:fldChar w:fldCharType="separate"/>
        </w:r>
        <w:r>
          <w:t>32</w:t>
        </w:r>
        <w:r>
          <w:fldChar w:fldCharType="end"/>
        </w:r>
      </w:hyperlink>
    </w:p>
    <w:p w:rsidR="001B30FD" w:rsidRDefault="008B589B">
      <w:pPr>
        <w:pStyle w:val="TM2"/>
        <w:tabs>
          <w:tab w:val="left" w:pos="850"/>
          <w:tab w:val="right" w:leader="dot" w:pos="10190"/>
        </w:tabs>
        <w:rPr>
          <w:rFonts w:ascii="Marianne ExtraBold" w:hAnsi="Marianne ExtraBold"/>
        </w:rPr>
      </w:pPr>
      <w:hyperlink w:anchor="_Toc79" w:tooltip="#_Toc79" w:history="1">
        <w:r>
          <w:rPr>
            <w:rFonts w:ascii="Marianne ExtraBold" w:eastAsia="Times New Roman" w:hAnsi="Marianne ExtraBold" w:cs="Times New Roman"/>
          </w:rPr>
          <w:t>14.1</w:t>
        </w:r>
        <w:r>
          <w:tab/>
        </w:r>
        <w:r>
          <w:rPr>
            <w:rStyle w:val="Lienhypertexte"/>
            <w:rFonts w:ascii="Marianne ExtraBold" w:hAnsi="Marianne ExtraBold"/>
          </w:rPr>
          <w:t>CONDITIONS DE R</w:t>
        </w:r>
        <w:r>
          <w:rPr>
            <w:rStyle w:val="Lienhypertexte"/>
            <w:rFonts w:ascii="Marianne ExtraBold" w:hAnsi="Marianne ExtraBold" w:hint="eastAsia"/>
          </w:rPr>
          <w:t>É</w:t>
        </w:r>
        <w:r>
          <w:rPr>
            <w:rStyle w:val="Lienhypertexte"/>
            <w:rFonts w:ascii="Marianne ExtraBold" w:hAnsi="Marianne ExtraBold"/>
          </w:rPr>
          <w:t>SILIATION DU MARCHE</w:t>
        </w:r>
        <w:r>
          <w:tab/>
        </w:r>
        <w:r>
          <w:fldChar w:fldCharType="begin"/>
        </w:r>
        <w:r>
          <w:instrText>PAGEREF _Toc79 \h</w:instrText>
        </w:r>
        <w:r>
          <w:fldChar w:fldCharType="separate"/>
        </w:r>
        <w:r>
          <w:t>32</w:t>
        </w:r>
        <w:r>
          <w:fldChar w:fldCharType="end"/>
        </w:r>
      </w:hyperlink>
    </w:p>
    <w:p w:rsidR="001B30FD" w:rsidRDefault="008B589B">
      <w:pPr>
        <w:pStyle w:val="TM2"/>
        <w:tabs>
          <w:tab w:val="left" w:pos="850"/>
          <w:tab w:val="right" w:leader="dot" w:pos="10190"/>
        </w:tabs>
        <w:rPr>
          <w:rFonts w:ascii="Marianne ExtraBold" w:hAnsi="Marianne ExtraBold"/>
        </w:rPr>
      </w:pPr>
      <w:hyperlink w:anchor="_Toc80" w:tooltip="#_Toc80" w:history="1">
        <w:r>
          <w:rPr>
            <w:rFonts w:ascii="Marianne ExtraBold" w:eastAsia="Times New Roman" w:hAnsi="Marianne ExtraBold" w:cs="Times New Roman"/>
          </w:rPr>
          <w:t>14.2</w:t>
        </w:r>
        <w:r>
          <w:tab/>
        </w:r>
        <w:r>
          <w:rPr>
            <w:rStyle w:val="Lienhypertexte"/>
            <w:rFonts w:ascii="Marianne ExtraBold" w:hAnsi="Marianne ExtraBold"/>
          </w:rPr>
          <w:t>EX</w:t>
        </w:r>
        <w:r>
          <w:rPr>
            <w:rStyle w:val="Lienhypertexte"/>
            <w:rFonts w:ascii="Marianne ExtraBold" w:hAnsi="Marianne ExtraBold" w:hint="eastAsia"/>
          </w:rPr>
          <w:t>É</w:t>
        </w:r>
        <w:r>
          <w:rPr>
            <w:rStyle w:val="Lienhypertexte"/>
            <w:rFonts w:ascii="Marianne ExtraBold" w:hAnsi="Marianne ExtraBold"/>
          </w:rPr>
          <w:t>CUTION AUX FRAIS ET RISQUES</w:t>
        </w:r>
        <w:r>
          <w:tab/>
        </w:r>
        <w:r>
          <w:fldChar w:fldCharType="begin"/>
        </w:r>
        <w:r>
          <w:instrText>PAGEREF _Toc80 \h</w:instrText>
        </w:r>
        <w:r>
          <w:fldChar w:fldCharType="separate"/>
        </w:r>
        <w:r>
          <w:t>32</w:t>
        </w:r>
        <w:r>
          <w:fldChar w:fldCharType="end"/>
        </w:r>
      </w:hyperlink>
    </w:p>
    <w:p w:rsidR="001B30FD" w:rsidRDefault="008B589B">
      <w:pPr>
        <w:pStyle w:val="TM2"/>
        <w:tabs>
          <w:tab w:val="left" w:pos="850"/>
          <w:tab w:val="right" w:leader="dot" w:pos="10190"/>
        </w:tabs>
        <w:rPr>
          <w:rFonts w:ascii="Marianne ExtraBold" w:hAnsi="Marianne ExtraBold"/>
        </w:rPr>
      </w:pPr>
      <w:hyperlink w:anchor="_Toc81" w:tooltip="#_Toc81" w:history="1">
        <w:r>
          <w:rPr>
            <w:rFonts w:ascii="Marianne ExtraBold" w:eastAsia="Times New Roman" w:hAnsi="Marianne ExtraBold" w:cs="Times New Roman"/>
          </w:rPr>
          <w:t>14.3</w:t>
        </w:r>
        <w:r>
          <w:tab/>
        </w:r>
        <w:r>
          <w:rPr>
            <w:rStyle w:val="Lienhypertexte"/>
            <w:rFonts w:ascii="Marianne ExtraBold" w:hAnsi="Marianne ExtraBold"/>
          </w:rPr>
          <w:t>MODIFICATIONS RELATIVES AU TITULAIRE</w:t>
        </w:r>
        <w:r>
          <w:tab/>
        </w:r>
        <w:r>
          <w:fldChar w:fldCharType="begin"/>
        </w:r>
        <w:r>
          <w:instrText>PAGEREF _Toc81 \h</w:instrText>
        </w:r>
        <w:r>
          <w:fldChar w:fldCharType="separate"/>
        </w:r>
        <w:r>
          <w:t>33</w:t>
        </w:r>
        <w:r>
          <w:fldChar w:fldCharType="end"/>
        </w:r>
      </w:hyperlink>
    </w:p>
    <w:p w:rsidR="001B30FD" w:rsidRDefault="008B589B">
      <w:pPr>
        <w:pStyle w:val="TM2"/>
        <w:tabs>
          <w:tab w:val="left" w:pos="850"/>
          <w:tab w:val="right" w:leader="dot" w:pos="10190"/>
        </w:tabs>
        <w:rPr>
          <w:rFonts w:ascii="Marianne ExtraBold" w:hAnsi="Marianne ExtraBold"/>
        </w:rPr>
      </w:pPr>
      <w:hyperlink w:anchor="_Toc82" w:tooltip="#_Toc82" w:history="1">
        <w:r>
          <w:rPr>
            <w:rFonts w:ascii="Marianne ExtraBold" w:eastAsia="Times New Roman" w:hAnsi="Marianne ExtraBold" w:cs="Times New Roman"/>
          </w:rPr>
          <w:t>14.4</w:t>
        </w:r>
        <w:r>
          <w:tab/>
        </w:r>
        <w:r>
          <w:rPr>
            <w:rStyle w:val="Lienhypertexte"/>
            <w:rFonts w:ascii="Marianne ExtraBold" w:hAnsi="Marianne ExtraBold"/>
          </w:rPr>
          <w:t>REDRESSEMENT OU LIQUIDATION JUDICIAIRE</w:t>
        </w:r>
        <w:r>
          <w:tab/>
        </w:r>
        <w:r>
          <w:fldChar w:fldCharType="begin"/>
        </w:r>
        <w:r>
          <w:instrText>PAGEREF _Toc82 \h</w:instrText>
        </w:r>
        <w:r>
          <w:fldChar w:fldCharType="separate"/>
        </w:r>
        <w:r>
          <w:t>33</w:t>
        </w:r>
        <w:r>
          <w:fldChar w:fldCharType="end"/>
        </w:r>
      </w:hyperlink>
    </w:p>
    <w:p w:rsidR="001B30FD" w:rsidRDefault="008B589B">
      <w:pPr>
        <w:pStyle w:val="TM1"/>
        <w:tabs>
          <w:tab w:val="right" w:leader="dot" w:pos="10190"/>
        </w:tabs>
      </w:pPr>
      <w:hyperlink w:anchor="_Toc83" w:tooltip="#_Toc83" w:history="1">
        <w:r>
          <w:rPr>
            <w:rFonts w:eastAsia="Times New Roman"/>
          </w:rPr>
          <w:t>ARTICLE 15.</w:t>
        </w:r>
        <w:r>
          <w:t xml:space="preserve"> </w:t>
        </w:r>
        <w:r>
          <w:rPr>
            <w:rStyle w:val="Lienhypertexte"/>
            <w:lang w:val="fr-FR"/>
          </w:rPr>
          <w:t>DIFFÉRENDS ET LITIGES</w:t>
        </w:r>
        <w:r>
          <w:tab/>
        </w:r>
        <w:r>
          <w:fldChar w:fldCharType="begin"/>
        </w:r>
        <w:r>
          <w:instrText>PAGEREF _Toc83 \h</w:instrText>
        </w:r>
        <w:r>
          <w:fldChar w:fldCharType="separate"/>
        </w:r>
        <w:r>
          <w:t>33</w:t>
        </w:r>
        <w:r>
          <w:fldChar w:fldCharType="end"/>
        </w:r>
      </w:hyperlink>
    </w:p>
    <w:p w:rsidR="001B30FD" w:rsidRDefault="008B589B">
      <w:pPr>
        <w:pStyle w:val="TM1"/>
        <w:tabs>
          <w:tab w:val="right" w:leader="dot" w:pos="10190"/>
        </w:tabs>
      </w:pPr>
      <w:hyperlink w:anchor="_Toc84" w:tooltip="#_Toc84" w:history="1">
        <w:r>
          <w:rPr>
            <w:rFonts w:eastAsia="Times New Roman"/>
          </w:rPr>
          <w:t>ARTICLE 16.</w:t>
        </w:r>
        <w:r>
          <w:t xml:space="preserve"> </w:t>
        </w:r>
        <w:r>
          <w:rPr>
            <w:rStyle w:val="Lienhypertexte"/>
            <w:lang w:val="fr-FR"/>
          </w:rPr>
          <w:t>DISPOSITIONS DIVERSES</w:t>
        </w:r>
        <w:r>
          <w:tab/>
        </w:r>
        <w:r>
          <w:fldChar w:fldCharType="begin"/>
        </w:r>
        <w:r>
          <w:instrText>PAGEREF _Toc84 \h</w:instrText>
        </w:r>
        <w:r>
          <w:fldChar w:fldCharType="separate"/>
        </w:r>
        <w:r>
          <w:t>34</w:t>
        </w:r>
        <w:r>
          <w:fldChar w:fldCharType="end"/>
        </w:r>
      </w:hyperlink>
    </w:p>
    <w:p w:rsidR="001B30FD" w:rsidRDefault="008B589B">
      <w:pPr>
        <w:pStyle w:val="TM2"/>
        <w:tabs>
          <w:tab w:val="left" w:pos="850"/>
          <w:tab w:val="right" w:leader="dot" w:pos="10190"/>
        </w:tabs>
      </w:pPr>
      <w:hyperlink w:anchor="_Toc85" w:tooltip="#_Toc85" w:history="1">
        <w:r>
          <w:rPr>
            <w:rFonts w:eastAsia="Times New Roman" w:cs="Times New Roman"/>
          </w:rPr>
          <w:t>16.1</w:t>
        </w:r>
        <w:r>
          <w:tab/>
        </w:r>
        <w:r>
          <w:rPr>
            <w:rStyle w:val="Lienhypertexte"/>
            <w:lang w:val="fr-FR"/>
          </w:rPr>
          <w:t>LANGUE</w:t>
        </w:r>
        <w:r>
          <w:tab/>
        </w:r>
        <w:r>
          <w:fldChar w:fldCharType="begin"/>
        </w:r>
        <w:r>
          <w:instrText>PAG</w:instrText>
        </w:r>
        <w:r>
          <w:instrText>EREF _Toc85 \h</w:instrText>
        </w:r>
        <w:r>
          <w:fldChar w:fldCharType="separate"/>
        </w:r>
        <w:r>
          <w:t>34</w:t>
        </w:r>
        <w:r>
          <w:fldChar w:fldCharType="end"/>
        </w:r>
      </w:hyperlink>
    </w:p>
    <w:p w:rsidR="001B30FD" w:rsidRDefault="008B589B">
      <w:pPr>
        <w:pStyle w:val="TM2"/>
        <w:tabs>
          <w:tab w:val="left" w:pos="850"/>
          <w:tab w:val="right" w:leader="dot" w:pos="10190"/>
        </w:tabs>
      </w:pPr>
      <w:hyperlink w:anchor="_Toc86" w:tooltip="#_Toc86" w:history="1">
        <w:r>
          <w:rPr>
            <w:rFonts w:eastAsia="Times New Roman" w:cs="Times New Roman"/>
          </w:rPr>
          <w:t>16.2</w:t>
        </w:r>
        <w:r>
          <w:tab/>
        </w:r>
        <w:r>
          <w:rPr>
            <w:rStyle w:val="Lienhypertexte"/>
            <w:lang w:val="fr-FR"/>
          </w:rPr>
          <w:t>ASSURANCE</w:t>
        </w:r>
        <w:r>
          <w:tab/>
        </w:r>
        <w:r>
          <w:fldChar w:fldCharType="begin"/>
        </w:r>
        <w:r>
          <w:instrText>PAGEREF _Toc86 \h</w:instrText>
        </w:r>
        <w:r>
          <w:fldChar w:fldCharType="separate"/>
        </w:r>
        <w:r>
          <w:t>34</w:t>
        </w:r>
        <w:r>
          <w:fldChar w:fldCharType="end"/>
        </w:r>
      </w:hyperlink>
    </w:p>
    <w:p w:rsidR="001B30FD" w:rsidRDefault="008B589B">
      <w:pPr>
        <w:pStyle w:val="TM1"/>
        <w:tabs>
          <w:tab w:val="right" w:leader="dot" w:pos="10190"/>
        </w:tabs>
      </w:pPr>
      <w:hyperlink w:anchor="_Toc87" w:tooltip="#_Toc87" w:history="1">
        <w:r>
          <w:rPr>
            <w:rFonts w:eastAsia="Times New Roman"/>
          </w:rPr>
          <w:t>ARTICLE 17.</w:t>
        </w:r>
        <w:r>
          <w:t xml:space="preserve"> </w:t>
        </w:r>
        <w:r>
          <w:rPr>
            <w:rStyle w:val="Lienhypertexte"/>
            <w:lang w:val="fr-FR"/>
          </w:rPr>
          <w:t>DISPOSITIF DE VIGILANCE</w:t>
        </w:r>
        <w:r>
          <w:tab/>
        </w:r>
        <w:r>
          <w:fldChar w:fldCharType="begin"/>
        </w:r>
        <w:r>
          <w:instrText>PAGEREF _Toc87 \h</w:instrText>
        </w:r>
        <w:r>
          <w:fldChar w:fldCharType="separate"/>
        </w:r>
        <w:r>
          <w:t>35</w:t>
        </w:r>
        <w:r>
          <w:fldChar w:fldCharType="end"/>
        </w:r>
      </w:hyperlink>
    </w:p>
    <w:p w:rsidR="001B30FD" w:rsidRDefault="008B589B">
      <w:pPr>
        <w:pStyle w:val="TM1"/>
        <w:tabs>
          <w:tab w:val="right" w:leader="dot" w:pos="10190"/>
        </w:tabs>
      </w:pPr>
      <w:hyperlink w:anchor="_Toc88" w:tooltip="#_Toc88" w:history="1">
        <w:r>
          <w:rPr>
            <w:rFonts w:eastAsia="Times New Roman"/>
          </w:rPr>
          <w:t>ART</w:t>
        </w:r>
        <w:r>
          <w:rPr>
            <w:rFonts w:eastAsia="Times New Roman"/>
          </w:rPr>
          <w:t>ICLE 18.</w:t>
        </w:r>
        <w:r>
          <w:t xml:space="preserve"> </w:t>
        </w:r>
        <w:r>
          <w:rPr>
            <w:rStyle w:val="Lienhypertexte"/>
            <w:lang w:val="fr-FR"/>
          </w:rPr>
          <w:t>DÉROGATIONS AU CCAG</w:t>
        </w:r>
        <w:r>
          <w:tab/>
        </w:r>
        <w:r>
          <w:fldChar w:fldCharType="begin"/>
        </w:r>
        <w:r>
          <w:instrText>PAGEREF _Toc88 \h</w:instrText>
        </w:r>
        <w:r>
          <w:fldChar w:fldCharType="separate"/>
        </w:r>
        <w:r>
          <w:t>35</w:t>
        </w:r>
        <w:r>
          <w:fldChar w:fldCharType="end"/>
        </w:r>
      </w:hyperlink>
    </w:p>
    <w:p w:rsidR="001B30FD" w:rsidRDefault="001B30FD">
      <w:pPr>
        <w:pStyle w:val="TM1"/>
        <w:tabs>
          <w:tab w:val="right" w:leader="dot" w:pos="10190"/>
        </w:tabs>
      </w:pPr>
    </w:p>
    <w:p w:rsidR="001B30FD" w:rsidRDefault="008B589B">
      <w:pPr>
        <w:pStyle w:val="TM1"/>
        <w:tabs>
          <w:tab w:val="right" w:leader="dot" w:pos="10190"/>
        </w:tabs>
        <w:rPr>
          <w:rStyle w:val="Titre2Car"/>
          <w:rFonts w:ascii="Marianne ExtraBold" w:eastAsia="MS Gothic;ＭＳ ゴシック" w:hAnsi="Marianne ExtraBold" w:cstheme="majorBidi"/>
          <w:caps/>
          <w:lang w:val="fr-FR"/>
        </w:rPr>
      </w:pPr>
      <w:hyperlink w:anchor="_Toc2" w:tooltip="#_Toc2" w:history="1"/>
      <w:r>
        <w:rPr>
          <w:lang w:val="fr-FR"/>
        </w:rPr>
        <w:fldChar w:fldCharType="end"/>
      </w:r>
    </w:p>
    <w:p w:rsidR="001B30FD" w:rsidRDefault="008B589B">
      <w:pPr>
        <w:pStyle w:val="Titre1"/>
        <w:rPr>
          <w:lang w:val="fr-FR"/>
        </w:rPr>
      </w:pPr>
      <w:bookmarkStart w:id="0" w:name="_Toc1"/>
      <w:r>
        <w:rPr>
          <w:lang w:val="fr-FR"/>
        </w:rPr>
        <w:lastRenderedPageBreak/>
        <w:t xml:space="preserve">ORGANISATION </w:t>
      </w:r>
      <w:bookmarkEnd w:id="0"/>
    </w:p>
    <w:p w:rsidR="001B30FD" w:rsidRDefault="001B30FD">
      <w:pPr>
        <w:pStyle w:val="Sansinterligne"/>
        <w:jc w:val="both"/>
        <w:rPr>
          <w:rFonts w:ascii="Marianne" w:hAnsi="Marianne"/>
          <w:lang w:val="fr-FR"/>
        </w:rPr>
      </w:pPr>
    </w:p>
    <w:p w:rsidR="001B30FD" w:rsidRDefault="008B589B">
      <w:pPr>
        <w:pStyle w:val="Titre2"/>
        <w:rPr>
          <w:rFonts w:ascii="Marianne ExtraBold" w:hAnsi="Marianne ExtraBold"/>
          <w:lang w:val="fr-FR"/>
        </w:rPr>
      </w:pPr>
      <w:bookmarkStart w:id="1" w:name="_Toc2"/>
      <w:r>
        <w:rPr>
          <w:rFonts w:ascii="Marianne ExtraBold" w:hAnsi="Marianne ExtraBold"/>
          <w:lang w:val="fr-FR"/>
        </w:rPr>
        <w:t xml:space="preserve">CONTEXTE </w:t>
      </w:r>
      <w:bookmarkEnd w:id="1"/>
    </w:p>
    <w:p w:rsidR="001B30FD" w:rsidRDefault="001B30FD">
      <w:pPr>
        <w:jc w:val="both"/>
        <w:rPr>
          <w:rFonts w:eastAsia="MS Mincho;Yu Gothic UI"/>
          <w:color w:val="auto"/>
          <w:lang w:val="fr-FR"/>
        </w:rPr>
      </w:pPr>
    </w:p>
    <w:p w:rsidR="001B30FD" w:rsidRDefault="008B589B">
      <w:pPr>
        <w:jc w:val="both"/>
        <w:rPr>
          <w:rFonts w:eastAsia="MS Mincho;Yu Gothic UI"/>
          <w:color w:val="auto"/>
          <w:lang w:val="fr-FR"/>
        </w:rPr>
      </w:pPr>
      <w:r>
        <w:rPr>
          <w:rFonts w:eastAsia="MS Mincho;Yu Gothic UI"/>
          <w:color w:val="auto"/>
          <w:lang w:val="fr-FR"/>
        </w:rPr>
        <w:t xml:space="preserve">Le présent marché concerne les besoins des services de l’État en matière de gestion de nuitées hôtelières mobilisées au titre de l’hébergement d’urgence. Il encadre les conditions administratives, contractuelles et financières de la prestation de gestion, </w:t>
      </w:r>
      <w:r>
        <w:rPr>
          <w:rFonts w:eastAsia="MS Mincho;Yu Gothic UI"/>
          <w:color w:val="auto"/>
          <w:lang w:val="fr-FR"/>
        </w:rPr>
        <w:t>de suivi et de coordination des nuitées hôtelières mobilisées par les services bénéficiaires.</w:t>
      </w:r>
    </w:p>
    <w:p w:rsidR="001B30FD" w:rsidRDefault="001B30FD">
      <w:pPr>
        <w:jc w:val="both"/>
        <w:rPr>
          <w:rFonts w:eastAsia="MS Mincho;Yu Gothic UI"/>
          <w:color w:val="auto"/>
          <w:lang w:val="fr-FR"/>
        </w:rPr>
      </w:pPr>
    </w:p>
    <w:p w:rsidR="001B30FD" w:rsidRDefault="008B589B">
      <w:pPr>
        <w:jc w:val="both"/>
        <w:rPr>
          <w:rFonts w:eastAsia="MS Mincho;Yu Gothic UI"/>
          <w:color w:val="auto"/>
          <w:lang w:val="fr-FR"/>
        </w:rPr>
      </w:pPr>
      <w:r>
        <w:rPr>
          <w:rFonts w:eastAsia="MS Mincho;Yu Gothic UI"/>
          <w:color w:val="auto"/>
          <w:lang w:val="fr-FR"/>
        </w:rPr>
        <w:t>Les modalités techniques et opérationnelles d’exécution sont précisées au CCTP.</w:t>
      </w:r>
    </w:p>
    <w:p w:rsidR="001B30FD" w:rsidRDefault="001B30FD">
      <w:pPr>
        <w:jc w:val="both"/>
        <w:rPr>
          <w:rFonts w:eastAsia="MS Mincho;Yu Gothic UI"/>
          <w:color w:val="auto"/>
          <w:lang w:val="fr-FR"/>
        </w:rPr>
      </w:pPr>
    </w:p>
    <w:p w:rsidR="001B30FD" w:rsidRDefault="008B589B">
      <w:pPr>
        <w:pStyle w:val="Titre2"/>
        <w:rPr>
          <w:rFonts w:ascii="Marianne ExtraBold" w:hAnsi="Marianne ExtraBold"/>
          <w:lang w:val="fr-FR"/>
        </w:rPr>
      </w:pPr>
      <w:bookmarkStart w:id="2" w:name="_Toc3"/>
      <w:r>
        <w:rPr>
          <w:rFonts w:ascii="Marianne ExtraBold" w:hAnsi="Marianne ExtraBold"/>
          <w:lang w:val="fr-FR"/>
        </w:rPr>
        <w:t>PARTIES</w:t>
      </w:r>
      <w:bookmarkEnd w:id="2"/>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w:t>
      </w:r>
      <w:r>
        <w:rPr>
          <w:rFonts w:ascii="Marianne" w:hAnsi="Marianne" w:cs="Arial"/>
          <w:b/>
          <w:sz w:val="18"/>
          <w:lang w:val="fr-FR"/>
        </w:rPr>
        <w:t xml:space="preserve"> Pouvoir Adjudicateur du marché</w:t>
      </w:r>
      <w:r>
        <w:rPr>
          <w:rFonts w:ascii="Marianne" w:hAnsi="Marianne" w:cs="Arial"/>
          <w:sz w:val="18"/>
          <w:lang w:val="fr-FR"/>
        </w:rPr>
        <w:t xml:space="preserve"> est le Préfet de la région Occitanie,</w:t>
      </w:r>
      <w:r>
        <w:rPr>
          <w:rFonts w:ascii="Marianne" w:hAnsi="Marianne" w:cs="Arial"/>
          <w:sz w:val="18"/>
          <w:lang w:val="fr-FR"/>
        </w:rPr>
        <w:t xml:space="preserve"> selon les dispositions des articles L.1211-1 du code de la commande publique. Il représente les services de l’Etat et les établissements publics qui ont adhéré au groupement de commande. Il est chargé de coordonner, pour le compte du groupement, la passat</w:t>
      </w:r>
      <w:r>
        <w:rPr>
          <w:rFonts w:ascii="Marianne" w:hAnsi="Marianne" w:cs="Arial"/>
          <w:sz w:val="18"/>
          <w:lang w:val="fr-FR"/>
        </w:rPr>
        <w:t>ion du marché, de le signer et de le notifier. Il s’assure de sa bonne exécution. Il peut également signer et notifier les marchés subséquents, les avenants et plus largement tout acte relatif à ce marché.</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 </w:t>
      </w:r>
      <w:r>
        <w:rPr>
          <w:rFonts w:ascii="Marianne" w:hAnsi="Marianne" w:cs="Arial"/>
          <w:b/>
          <w:sz w:val="18"/>
          <w:lang w:val="fr-FR"/>
        </w:rPr>
        <w:t>Représentant du Pouvoir Adjudicateur</w:t>
      </w:r>
      <w:r>
        <w:rPr>
          <w:rFonts w:ascii="Marianne" w:hAnsi="Marianne" w:cs="Arial"/>
          <w:sz w:val="18"/>
          <w:lang w:val="fr-FR"/>
        </w:rPr>
        <w:t xml:space="preserve"> du marché</w:t>
      </w:r>
      <w:r>
        <w:rPr>
          <w:rFonts w:ascii="Marianne" w:hAnsi="Marianne" w:cs="Arial"/>
          <w:sz w:val="18"/>
          <w:lang w:val="fr-FR"/>
        </w:rPr>
        <w:t xml:space="preserve"> est le Secrétaire Général pour les Affaires Régionales de la région Occitanie. Il est désigné dans la suite de ce document par « a</w:t>
      </w:r>
      <w:r>
        <w:rPr>
          <w:rFonts w:ascii="Marianne" w:hAnsi="Marianne" w:cs="Arial"/>
          <w:i/>
          <w:sz w:val="18"/>
          <w:lang w:val="fr-FR"/>
        </w:rPr>
        <w:t>cheteur</w:t>
      </w:r>
      <w:r>
        <w:rPr>
          <w:rFonts w:ascii="Marianne" w:hAnsi="Marianne" w:cs="Arial"/>
          <w:sz w:val="18"/>
          <w:lang w:val="fr-FR"/>
        </w:rPr>
        <w:t xml:space="preserve"> ». En application des articles L.2113-6 et suivants susvisés, il est chargé, entre autres, de signer et de notifier l</w:t>
      </w:r>
      <w:r>
        <w:rPr>
          <w:rFonts w:ascii="Marianne" w:hAnsi="Marianne" w:cs="Arial"/>
          <w:sz w:val="18"/>
          <w:lang w:val="fr-FR"/>
        </w:rPr>
        <w:t>e marché pour le compte des services de l’Etat et des établissements publics concernés. D’une manière générale, l’acheteur représente l’Administration, désigné comme tel.</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La </w:t>
      </w:r>
      <w:r>
        <w:rPr>
          <w:rFonts w:ascii="Marianne" w:hAnsi="Marianne" w:cs="Arial"/>
          <w:b/>
          <w:sz w:val="18"/>
          <w:lang w:val="fr-FR"/>
        </w:rPr>
        <w:t>Plateforme Régionale des Achats Occitanie</w:t>
      </w:r>
      <w:r>
        <w:rPr>
          <w:rFonts w:ascii="Marianne" w:hAnsi="Marianne" w:cs="Arial"/>
          <w:sz w:val="18"/>
          <w:lang w:val="fr-FR"/>
        </w:rPr>
        <w:t xml:space="preserve">, désignée dans la suite de ce document </w:t>
      </w:r>
      <w:r>
        <w:rPr>
          <w:rFonts w:ascii="Marianne" w:hAnsi="Marianne" w:cs="Arial"/>
          <w:sz w:val="18"/>
          <w:lang w:val="fr-FR"/>
        </w:rPr>
        <w:t>par « </w:t>
      </w:r>
      <w:r>
        <w:rPr>
          <w:rFonts w:ascii="Marianne" w:hAnsi="Marianne" w:cs="Arial"/>
          <w:i/>
          <w:sz w:val="18"/>
          <w:lang w:val="fr-FR"/>
        </w:rPr>
        <w:t>PFRA</w:t>
      </w:r>
      <w:r>
        <w:rPr>
          <w:rFonts w:ascii="Marianne" w:hAnsi="Marianne" w:cs="Arial"/>
          <w:sz w:val="18"/>
          <w:lang w:val="fr-FR"/>
        </w:rPr>
        <w:t> » est le service au sein de la Préfecture de Région qui, par délégation, est chargée de la coordination des besoins, de la passation, de la consultation et du suivi de l’exécution du marché.</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Les </w:t>
      </w:r>
      <w:r>
        <w:rPr>
          <w:rFonts w:ascii="Marianne" w:hAnsi="Marianne" w:cs="Arial"/>
          <w:b/>
          <w:sz w:val="18"/>
          <w:lang w:val="fr-FR"/>
        </w:rPr>
        <w:t>services bénéficiaires</w:t>
      </w:r>
      <w:r>
        <w:rPr>
          <w:rFonts w:ascii="Marianne" w:hAnsi="Marianne" w:cs="Arial"/>
          <w:sz w:val="18"/>
          <w:lang w:val="fr-FR"/>
        </w:rPr>
        <w:t xml:space="preserve"> sont les services de l’Eta</w:t>
      </w:r>
      <w:r>
        <w:rPr>
          <w:rFonts w:ascii="Marianne" w:hAnsi="Marianne" w:cs="Arial"/>
          <w:sz w:val="18"/>
          <w:lang w:val="fr-FR"/>
        </w:rPr>
        <w:t xml:space="preserve">t et opérateurs publics adhérents au groupement de commande, ils procèdent, pour ce qui les concerne, à la signature et la notification des bons de commande, à la vérification du service fait et au paiement des factures sur leurs crédits propres. Ils sont </w:t>
      </w:r>
      <w:r>
        <w:rPr>
          <w:rFonts w:ascii="Marianne" w:hAnsi="Marianne" w:cs="Arial"/>
          <w:sz w:val="18"/>
          <w:lang w:val="fr-FR"/>
        </w:rPr>
        <w:t>les acheteurs des bons de commande qu’ils sont amenés à passer et en suivent l’exécution.</w:t>
      </w:r>
    </w:p>
    <w:p w:rsidR="001B30FD" w:rsidRDefault="001B30FD">
      <w:pPr>
        <w:pStyle w:val="Sansinterligne"/>
        <w:jc w:val="both"/>
        <w:rPr>
          <w:rFonts w:ascii="Marianne" w:hAnsi="Marianne" w:cs="Arial"/>
          <w:sz w:val="18"/>
          <w:szCs w:val="18"/>
          <w:lang w:val="fr-FR"/>
        </w:rPr>
      </w:pPr>
    </w:p>
    <w:p w:rsidR="001B30FD" w:rsidRDefault="008B589B">
      <w:pPr>
        <w:tabs>
          <w:tab w:val="left" w:pos="708"/>
        </w:tabs>
        <w:jc w:val="both"/>
        <w:rPr>
          <w:szCs w:val="18"/>
          <w:lang w:val="fr-FR"/>
        </w:rPr>
      </w:pPr>
      <w:r>
        <w:rPr>
          <w:rFonts w:eastAsia="Calibri" w:cs="font407"/>
          <w:b/>
          <w:szCs w:val="18"/>
          <w:lang w:val="fr-FR"/>
        </w:rPr>
        <w:t>Le Service Intégré de l’Accueil et de l’Orientation</w:t>
      </w:r>
      <w:r>
        <w:rPr>
          <w:rFonts w:eastAsia="Calibri" w:cs="font407"/>
          <w:szCs w:val="18"/>
          <w:lang w:val="fr-FR"/>
        </w:rPr>
        <w:t xml:space="preserve"> (SIAO) de l’Hérault est l’organisme en charge du placement et de l’orientation des ménages et aura notamment pour</w:t>
      </w:r>
      <w:r>
        <w:rPr>
          <w:rFonts w:eastAsia="Calibri" w:cs="font407"/>
          <w:szCs w:val="18"/>
          <w:lang w:val="fr-FR"/>
        </w:rPr>
        <w:t xml:space="preserve"> mission de réaliser les demandes de placement et de fin de placement pour le compte de la DDETS.</w:t>
      </w:r>
    </w:p>
    <w:p w:rsidR="001B30FD" w:rsidRDefault="001B30FD">
      <w:pPr>
        <w:pStyle w:val="Sansinterligne"/>
        <w:jc w:val="both"/>
        <w:rPr>
          <w:rFonts w:ascii="Marianne" w:hAnsi="Marianne" w:cs="Arial"/>
          <w:sz w:val="18"/>
          <w:szCs w:val="18"/>
          <w:lang w:val="fr-FR"/>
        </w:rPr>
      </w:pP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 </w:t>
      </w:r>
      <w:r>
        <w:rPr>
          <w:rFonts w:ascii="Marianne" w:hAnsi="Marianne" w:cs="Arial"/>
          <w:b/>
          <w:sz w:val="18"/>
          <w:lang w:val="fr-FR"/>
        </w:rPr>
        <w:t>comptable assignataire</w:t>
      </w:r>
      <w:r>
        <w:rPr>
          <w:rFonts w:ascii="Marianne" w:hAnsi="Marianne" w:cs="Arial"/>
          <w:sz w:val="18"/>
          <w:lang w:val="fr-FR"/>
        </w:rPr>
        <w:t xml:space="preserve"> des paiements sera indiqué sur chacun des bons de commande passés par les services bénéficiaires.</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 </w:t>
      </w:r>
      <w:r>
        <w:rPr>
          <w:rFonts w:ascii="Marianne" w:hAnsi="Marianne" w:cs="Arial"/>
          <w:b/>
          <w:sz w:val="18"/>
          <w:lang w:val="fr-FR"/>
        </w:rPr>
        <w:t>titulaire d’un lot du marché</w:t>
      </w:r>
      <w:r>
        <w:rPr>
          <w:rFonts w:ascii="Marianne" w:hAnsi="Marianne" w:cs="Arial"/>
          <w:sz w:val="18"/>
          <w:lang w:val="fr-FR"/>
        </w:rPr>
        <w:t xml:space="preserve"> est entendu comme l’opérateur économique ou groupement d’entreprises retenus au niveau du marché. Le titulaire ou le mandataire du groupement d’entreprises désignera une personne qui sera son représentant attitré auprès de la PFRA et des services bénéfici</w:t>
      </w:r>
      <w:r>
        <w:rPr>
          <w:rFonts w:ascii="Marianne" w:hAnsi="Marianne" w:cs="Arial"/>
          <w:sz w:val="18"/>
          <w:lang w:val="fr-FR"/>
        </w:rPr>
        <w:t>aires.</w:t>
      </w:r>
    </w:p>
    <w:p w:rsidR="001B30FD" w:rsidRDefault="001B30FD">
      <w:pPr>
        <w:rPr>
          <w:lang w:val="fr-FR"/>
        </w:rPr>
      </w:pPr>
    </w:p>
    <w:p w:rsidR="001B30FD" w:rsidRDefault="008B589B">
      <w:pPr>
        <w:pStyle w:val="Titre2"/>
        <w:rPr>
          <w:rFonts w:ascii="Marianne ExtraBold" w:hAnsi="Marianne ExtraBold"/>
          <w:lang w:val="fr-FR"/>
        </w:rPr>
      </w:pPr>
      <w:bookmarkStart w:id="3" w:name="_Toc4"/>
      <w:r>
        <w:rPr>
          <w:rFonts w:ascii="Marianne ExtraBold" w:hAnsi="Marianne ExtraBold"/>
          <w:lang w:val="fr-FR"/>
        </w:rPr>
        <w:t>GROUPEMENT DE COMMANDE</w:t>
      </w:r>
      <w:bookmarkEnd w:id="3"/>
    </w:p>
    <w:p w:rsidR="001B30FD" w:rsidRDefault="001B30FD">
      <w:pPr>
        <w:pStyle w:val="Sansinterligne"/>
        <w:jc w:val="both"/>
        <w:rPr>
          <w:rFonts w:ascii="Marianne" w:hAnsi="Marianne" w:cs="Arial"/>
          <w:sz w:val="18"/>
          <w:szCs w:val="18"/>
          <w:lang w:val="fr-FR"/>
        </w:rPr>
      </w:pPr>
      <w:bookmarkStart w:id="4" w:name="_GoBack"/>
      <w:bookmarkEnd w:id="4"/>
    </w:p>
    <w:p w:rsidR="001B30FD" w:rsidRDefault="008B589B">
      <w:pPr>
        <w:pStyle w:val="Sansinterligne"/>
        <w:jc w:val="both"/>
        <w:rPr>
          <w:rFonts w:ascii="Marianne" w:hAnsi="Marianne" w:cs="Arial"/>
          <w:sz w:val="18"/>
          <w:lang w:val="fr-FR"/>
        </w:rPr>
      </w:pPr>
      <w:r>
        <w:rPr>
          <w:rFonts w:ascii="Marianne" w:hAnsi="Marianne" w:cs="Arial"/>
          <w:sz w:val="18"/>
          <w:lang w:val="fr-FR"/>
        </w:rPr>
        <w:lastRenderedPageBreak/>
        <w:t>Le coordonnateur du groupement est le Secrétariat Général pour les Affaires Ré</w:t>
      </w:r>
      <w:r>
        <w:rPr>
          <w:rFonts w:ascii="Marianne" w:hAnsi="Marianne" w:cs="Arial"/>
          <w:sz w:val="18"/>
          <w:lang w:val="fr-FR"/>
        </w:rPr>
        <w:t xml:space="preserve">gionales de la Région Occitanie. Il a en charge la signature et la notification du marché, administré par la Plateforme Régionale des Achats Occitanie. Chaque structure bénéficiaire s’assure, pour ce qui la concerne, de la bonne exécution des prestations.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Les conditions de mise à disposition du marché sont précisées à l’article 2.6 du présent CCAP. </w:t>
      </w:r>
    </w:p>
    <w:p w:rsidR="001B30FD" w:rsidRDefault="001B30FD">
      <w:pPr>
        <w:rPr>
          <w:lang w:val="fr-FR"/>
        </w:rPr>
      </w:pPr>
    </w:p>
    <w:p w:rsidR="001B30FD" w:rsidRDefault="008B589B">
      <w:pPr>
        <w:pStyle w:val="Titre1"/>
        <w:rPr>
          <w:lang w:val="fr-FR"/>
        </w:rPr>
      </w:pPr>
      <w:bookmarkStart w:id="5" w:name="_Toc5"/>
      <w:r>
        <w:rPr>
          <w:lang w:val="fr-FR"/>
        </w:rPr>
        <w:t>DISPOSITIONS GÉNÉRALES DU CONTRAT</w:t>
      </w:r>
      <w:bookmarkEnd w:id="5"/>
    </w:p>
    <w:p w:rsidR="001B30FD" w:rsidRDefault="001B30FD">
      <w:pPr>
        <w:pStyle w:val="Sansinterligne"/>
        <w:jc w:val="both"/>
        <w:rPr>
          <w:rFonts w:ascii="Marianne" w:hAnsi="Marianne"/>
          <w:lang w:val="fr-FR"/>
        </w:rPr>
      </w:pPr>
    </w:p>
    <w:p w:rsidR="001B30FD" w:rsidRDefault="008B589B">
      <w:pPr>
        <w:pStyle w:val="Titre2"/>
        <w:rPr>
          <w:rFonts w:ascii="Marianne ExtraBold" w:hAnsi="Marianne ExtraBold"/>
          <w:lang w:val="fr-FR"/>
        </w:rPr>
      </w:pPr>
      <w:bookmarkStart w:id="6" w:name="_Toc6"/>
      <w:r>
        <w:rPr>
          <w:rFonts w:ascii="Marianne ExtraBold" w:hAnsi="Marianne ExtraBold"/>
          <w:lang w:val="fr-FR"/>
        </w:rPr>
        <w:t>OBJET DU MARCH</w:t>
      </w:r>
      <w:r>
        <w:rPr>
          <w:rFonts w:ascii="Marianne ExtraBold" w:hAnsi="Marianne ExtraBold" w:hint="eastAsia"/>
          <w:lang w:val="fr-FR"/>
        </w:rPr>
        <w:t>É</w:t>
      </w:r>
      <w:bookmarkEnd w:id="6"/>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 présent marché a pour objet la gestion de nuitées hôtelières à caractère social mobilisées dans le cadre de l’hébergement d’urgence, pour le compte de la DDETS.</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lang w:val="fr-FR"/>
        </w:rPr>
        <w:t>Cette prestation comprend notamment la réservation,  le suivi, la gestion administrative et</w:t>
      </w:r>
      <w:r>
        <w:rPr>
          <w:rFonts w:ascii="Marianne" w:hAnsi="Marianne" w:cs="Arial"/>
          <w:sz w:val="18"/>
          <w:lang w:val="fr-FR"/>
        </w:rPr>
        <w:t xml:space="preserve"> opérationnelle des nuitées hôtelières mobilisées auprès des établissements référencés</w:t>
      </w:r>
      <w:r>
        <w:rPr>
          <w:rFonts w:ascii="Marianne" w:hAnsi="Marianne" w:cs="Arial"/>
          <w:sz w:val="18"/>
          <w:szCs w:val="18"/>
          <w:lang w:val="fr-FR"/>
        </w:rPr>
        <w:t>.</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color w:val="000000" w:themeColor="text1"/>
          <w:sz w:val="18"/>
          <w:szCs w:val="18"/>
          <w:lang w:val="fr-FR"/>
        </w:rPr>
      </w:pPr>
      <w:r>
        <w:rPr>
          <w:rFonts w:ascii="Marianne" w:hAnsi="Marianne" w:cs="Arial"/>
          <w:color w:val="000000" w:themeColor="text1"/>
          <w:sz w:val="18"/>
          <w:lang w:val="fr-FR" w:bidi="fr-FR"/>
        </w:rPr>
        <w:t>Cette prestation concerne également la restitution de reportings hebdomadaires et mensuels, ainsi que le contrôle des établissements (ce qui relève du respect du cahie</w:t>
      </w:r>
      <w:r>
        <w:rPr>
          <w:rFonts w:ascii="Marianne" w:hAnsi="Marianne" w:cs="Arial"/>
          <w:color w:val="000000" w:themeColor="text1"/>
          <w:sz w:val="18"/>
          <w:lang w:val="fr-FR" w:bidi="fr-FR"/>
        </w:rPr>
        <w:t>r des charges du marché hôtelier, du respect des décisions des commissions de sécurité et du respect des normes des établissements recevant du public (ERP), 5ème catégorie ,classe « O » (locaux à sommeil) pour les résidences hôtelières ou tout établissemen</w:t>
      </w:r>
      <w:r>
        <w:rPr>
          <w:rFonts w:ascii="Marianne" w:hAnsi="Marianne" w:cs="Arial"/>
          <w:color w:val="000000" w:themeColor="text1"/>
          <w:sz w:val="18"/>
          <w:lang w:val="fr-FR" w:bidi="fr-FR"/>
        </w:rPr>
        <w:t>t qui ne serait pas classifié ERP, mais « habitation »)</w:t>
      </w:r>
    </w:p>
    <w:p w:rsidR="001B30FD" w:rsidRDefault="001B30FD">
      <w:pPr>
        <w:pStyle w:val="Sansinterligne"/>
        <w:jc w:val="both"/>
        <w:rPr>
          <w:rFonts w:ascii="Marianne" w:hAnsi="Marianne" w:cs="Arial"/>
          <w:color w:val="FF0000"/>
          <w:sz w:val="18"/>
          <w:szCs w:val="18"/>
          <w:lang w:val="fr-FR"/>
        </w:rPr>
      </w:pPr>
    </w:p>
    <w:p w:rsidR="001B30FD" w:rsidRDefault="008B589B">
      <w:pPr>
        <w:pStyle w:val="Sansinterligne"/>
        <w:jc w:val="both"/>
        <w:rPr>
          <w:rFonts w:ascii="Marianne" w:hAnsi="Marianne" w:cs="Arial"/>
          <w:color w:val="000000" w:themeColor="text1"/>
          <w:sz w:val="18"/>
          <w:szCs w:val="18"/>
          <w:lang w:val="fr-FR"/>
        </w:rPr>
      </w:pPr>
      <w:r>
        <w:rPr>
          <w:rFonts w:ascii="Marianne" w:hAnsi="Marianne" w:cs="Arial"/>
          <w:color w:val="000000" w:themeColor="text1"/>
          <w:sz w:val="18"/>
          <w:lang w:val="fr-FR"/>
        </w:rPr>
        <w:t>Elle concerne également les résidences hôtelières à vocation sociale qui sont susceptibles d’ouvrir pendant la durée du marché.</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Les prestations à exécuter sont décrites au CCTP. </w:t>
      </w:r>
    </w:p>
    <w:p w:rsidR="001B30FD" w:rsidRDefault="001B30FD">
      <w:pPr>
        <w:rPr>
          <w:lang w:val="fr-FR"/>
        </w:rPr>
      </w:pPr>
    </w:p>
    <w:p w:rsidR="001B30FD" w:rsidRDefault="008B589B">
      <w:pPr>
        <w:pStyle w:val="Titre2"/>
        <w:rPr>
          <w:rFonts w:ascii="Marianne ExtraBold" w:hAnsi="Marianne ExtraBold"/>
          <w:lang w:val="fr-FR"/>
        </w:rPr>
      </w:pPr>
      <w:bookmarkStart w:id="7" w:name="_Toc7"/>
      <w:r>
        <w:rPr>
          <w:rFonts w:ascii="Marianne ExtraBold" w:hAnsi="Marianne ExtraBold"/>
          <w:lang w:val="fr-FR"/>
        </w:rPr>
        <w:t>PROC</w:t>
      </w:r>
      <w:r>
        <w:rPr>
          <w:rFonts w:ascii="Marianne ExtraBold" w:hAnsi="Marianne ExtraBold" w:hint="eastAsia"/>
          <w:lang w:val="fr-FR"/>
        </w:rPr>
        <w:t>É</w:t>
      </w:r>
      <w:r>
        <w:rPr>
          <w:rFonts w:ascii="Marianne ExtraBold" w:hAnsi="Marianne ExtraBold"/>
          <w:lang w:val="fr-FR"/>
        </w:rPr>
        <w:t>DURE DE PASSATION</w:t>
      </w:r>
      <w:bookmarkEnd w:id="7"/>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 présent marché est passé en procédure adaptée, en application des articles L.2123-1 et R. 2123-1 à R.2123-7 du Code de la Commande Publique, dans la mesure ou les prestations relèvent de services sociaux et d’autres services spécifiqu</w:t>
      </w:r>
      <w:r>
        <w:rPr>
          <w:rFonts w:ascii="Marianne" w:hAnsi="Marianne" w:cs="Arial"/>
          <w:sz w:val="18"/>
          <w:lang w:val="fr-FR"/>
        </w:rPr>
        <w:t xml:space="preserve">es. </w:t>
      </w:r>
    </w:p>
    <w:p w:rsidR="001B30FD" w:rsidRDefault="001B30FD">
      <w:pPr>
        <w:rPr>
          <w:lang w:val="fr-FR"/>
        </w:rPr>
      </w:pPr>
    </w:p>
    <w:p w:rsidR="001B30FD" w:rsidRDefault="008B589B">
      <w:pPr>
        <w:pStyle w:val="Titre2"/>
        <w:rPr>
          <w:rFonts w:ascii="Marianne ExtraBold" w:hAnsi="Marianne ExtraBold"/>
          <w:lang w:val="fr-FR"/>
        </w:rPr>
      </w:pPr>
      <w:bookmarkStart w:id="8" w:name="_Toc8"/>
      <w:r>
        <w:rPr>
          <w:rFonts w:ascii="Marianne ExtraBold" w:hAnsi="Marianne ExtraBold"/>
          <w:lang w:val="fr-FR"/>
        </w:rPr>
        <w:t>FORME DU MARCH</w:t>
      </w:r>
      <w:r>
        <w:rPr>
          <w:rFonts w:ascii="Marianne ExtraBold" w:hAnsi="Marianne ExtraBold" w:hint="eastAsia"/>
          <w:lang w:val="fr-FR"/>
        </w:rPr>
        <w:t>É</w:t>
      </w:r>
      <w:bookmarkEnd w:id="8"/>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En application de l’article R. 2162-9 du Code de la Commande Publique, le marché est mono-attributaire. Il est conclu avec un seul opérateur économique.</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Il s’exécute par émission de bons de commande.</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Conformément à l’article R. 216</w:t>
      </w:r>
      <w:r>
        <w:rPr>
          <w:rFonts w:ascii="Marianne" w:hAnsi="Marianne" w:cs="Arial"/>
          <w:sz w:val="18"/>
          <w:lang w:val="fr-FR"/>
        </w:rPr>
        <w:t xml:space="preserve">2-4 du Code de la Commande Publique, le marché est conclu sans minimum et avec un maximum, en valeur, de la manière suivante : </w:t>
      </w:r>
    </w:p>
    <w:p w:rsidR="001B30FD" w:rsidRDefault="001B30FD">
      <w:pPr>
        <w:pStyle w:val="Sansinterligne"/>
        <w:jc w:val="both"/>
        <w:rPr>
          <w:rFonts w:ascii="Marianne" w:hAnsi="Marianne" w:cs="Arial"/>
          <w:sz w:val="18"/>
          <w:lang w:val="fr-FR"/>
        </w:rPr>
      </w:pPr>
    </w:p>
    <w:p w:rsidR="001B30FD" w:rsidRDefault="001B30FD">
      <w:pPr>
        <w:pStyle w:val="Sansinterligne"/>
        <w:jc w:val="both"/>
        <w:rPr>
          <w:rFonts w:ascii="Marianne" w:hAnsi="Marianne" w:cs="Arial"/>
          <w:sz w:val="18"/>
          <w:lang w:val="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670"/>
        <w:gridCol w:w="2965"/>
      </w:tblGrid>
      <w:tr w:rsidR="001B30FD" w:rsidRPr="009837D7">
        <w:trPr>
          <w:trHeight w:val="773"/>
          <w:jc w:val="center"/>
        </w:trPr>
        <w:tc>
          <w:tcPr>
            <w:tcW w:w="763" w:type="pct"/>
            <w:shd w:val="clear" w:color="auto" w:fill="465F9D"/>
            <w:vAlign w:val="center"/>
          </w:tcPr>
          <w:p w:rsidR="001B30FD" w:rsidRDefault="008B589B">
            <w:pPr>
              <w:pStyle w:val="Sansinterligne"/>
              <w:jc w:val="center"/>
              <w:rPr>
                <w:rFonts w:ascii="Marianne" w:hAnsi="Marianne" w:cs="Arial"/>
                <w:b/>
                <w:color w:val="FFFFFF" w:themeColor="background1"/>
                <w:sz w:val="20"/>
                <w:lang w:val="fr-FR"/>
              </w:rPr>
            </w:pPr>
            <w:r>
              <w:rPr>
                <w:rFonts w:ascii="Marianne" w:hAnsi="Marianne" w:cs="Arial"/>
                <w:b/>
                <w:color w:val="FFFFFF" w:themeColor="background1"/>
                <w:sz w:val="20"/>
                <w:lang w:val="fr-FR"/>
              </w:rPr>
              <w:t>LOT</w:t>
            </w:r>
          </w:p>
        </w:tc>
        <w:tc>
          <w:tcPr>
            <w:tcW w:w="2782" w:type="pct"/>
            <w:shd w:val="clear" w:color="auto" w:fill="465F9D"/>
            <w:vAlign w:val="center"/>
          </w:tcPr>
          <w:p w:rsidR="001B30FD" w:rsidRDefault="008B589B">
            <w:pPr>
              <w:pStyle w:val="Sansinterligne"/>
              <w:jc w:val="center"/>
              <w:rPr>
                <w:rFonts w:ascii="Marianne" w:hAnsi="Marianne" w:cs="Arial"/>
                <w:b/>
                <w:color w:val="FFFFFF" w:themeColor="background1"/>
                <w:sz w:val="20"/>
                <w:lang w:val="fr-FR"/>
              </w:rPr>
            </w:pPr>
            <w:r>
              <w:rPr>
                <w:rFonts w:ascii="Marianne" w:hAnsi="Marianne" w:cs="Arial"/>
                <w:b/>
                <w:color w:val="FFFFFF" w:themeColor="background1"/>
                <w:sz w:val="20"/>
                <w:lang w:val="fr-FR"/>
              </w:rPr>
              <w:t>INTITULÉ DU LOT</w:t>
            </w:r>
          </w:p>
        </w:tc>
        <w:tc>
          <w:tcPr>
            <w:tcW w:w="1455" w:type="pct"/>
            <w:shd w:val="clear" w:color="auto" w:fill="465F9D"/>
            <w:vAlign w:val="center"/>
          </w:tcPr>
          <w:p w:rsidR="001B30FD" w:rsidRDefault="008B589B">
            <w:pPr>
              <w:pStyle w:val="Sansinterligne"/>
              <w:jc w:val="center"/>
              <w:rPr>
                <w:rFonts w:ascii="Marianne" w:hAnsi="Marianne" w:cs="Arial"/>
                <w:b/>
                <w:color w:val="FFFFFF"/>
                <w:sz w:val="20"/>
                <w:lang w:val="fr-FR"/>
              </w:rPr>
            </w:pPr>
            <w:r>
              <w:rPr>
                <w:rFonts w:ascii="Marianne" w:hAnsi="Marianne" w:cs="Arial"/>
                <w:b/>
                <w:color w:val="FFFFFF"/>
                <w:sz w:val="20"/>
                <w:lang w:val="fr-FR"/>
              </w:rPr>
              <w:t>MONTANT MAXIMUM</w:t>
            </w:r>
          </w:p>
          <w:p w:rsidR="001B30FD" w:rsidRDefault="008B589B">
            <w:pPr>
              <w:pStyle w:val="Sansinterligne"/>
              <w:jc w:val="center"/>
              <w:rPr>
                <w:rFonts w:ascii="Marianne" w:hAnsi="Marianne" w:cs="Arial"/>
                <w:color w:val="FFFFFF"/>
                <w:sz w:val="18"/>
                <w:lang w:val="fr-FR"/>
              </w:rPr>
            </w:pPr>
            <w:r>
              <w:rPr>
                <w:rFonts w:ascii="Marianne" w:hAnsi="Marianne" w:cs="Arial"/>
                <w:color w:val="FFFFFF"/>
                <w:sz w:val="16"/>
                <w:lang w:val="fr-FR"/>
              </w:rPr>
              <w:t>Hors taxes, sur la durée totale du marché, reconductions incluses</w:t>
            </w:r>
          </w:p>
        </w:tc>
      </w:tr>
      <w:tr w:rsidR="001B30FD">
        <w:trPr>
          <w:trHeight w:val="157"/>
          <w:jc w:val="center"/>
        </w:trPr>
        <w:tc>
          <w:tcPr>
            <w:tcW w:w="763" w:type="pct"/>
            <w:vAlign w:val="center"/>
          </w:tcPr>
          <w:p w:rsidR="001B30FD" w:rsidRDefault="008B589B">
            <w:pPr>
              <w:pStyle w:val="Sansinterligne"/>
              <w:jc w:val="center"/>
              <w:rPr>
                <w:rFonts w:ascii="Marianne" w:hAnsi="Marianne" w:cs="Arial"/>
                <w:color w:val="000000" w:themeColor="text1"/>
                <w:sz w:val="18"/>
                <w:szCs w:val="18"/>
                <w:lang w:val="fr-FR" w:bidi="fr-FR"/>
              </w:rPr>
            </w:pPr>
            <w:r>
              <w:rPr>
                <w:rFonts w:ascii="Marianne" w:hAnsi="Marianne" w:cs="Arial"/>
                <w:color w:val="000000" w:themeColor="text1"/>
                <w:sz w:val="18"/>
                <w:szCs w:val="18"/>
                <w:lang w:val="fr-FR" w:bidi="fr-FR"/>
              </w:rPr>
              <w:lastRenderedPageBreak/>
              <w:t>2</w:t>
            </w:r>
          </w:p>
        </w:tc>
        <w:tc>
          <w:tcPr>
            <w:tcW w:w="2782" w:type="pct"/>
            <w:vAlign w:val="center"/>
          </w:tcPr>
          <w:p w:rsidR="001B30FD" w:rsidRDefault="008B589B">
            <w:pPr>
              <w:pStyle w:val="Sansinterligne"/>
              <w:rPr>
                <w:rFonts w:ascii="Marianne" w:hAnsi="Marianne" w:cs="Arial"/>
                <w:color w:val="000000" w:themeColor="text1"/>
                <w:sz w:val="18"/>
                <w:szCs w:val="18"/>
                <w:lang w:val="fr-FR" w:bidi="fr-FR"/>
              </w:rPr>
            </w:pPr>
            <w:r>
              <w:rPr>
                <w:rFonts w:ascii="Marianne" w:hAnsi="Marianne" w:cs="Arial"/>
                <w:color w:val="000000" w:themeColor="text1"/>
                <w:sz w:val="18"/>
                <w:szCs w:val="18"/>
                <w:lang w:val="fr-FR" w:bidi="fr-FR"/>
              </w:rPr>
              <w:t>Gestion des nuitées hôtelières à caractère social mobilisées dans le cadre de l’hébergement d’urgence dans le département de l’Hérault (34)</w:t>
            </w:r>
          </w:p>
        </w:tc>
        <w:tc>
          <w:tcPr>
            <w:tcW w:w="1455" w:type="pct"/>
            <w:vAlign w:val="center"/>
          </w:tcPr>
          <w:p w:rsidR="001B30FD" w:rsidRDefault="008B589B">
            <w:pPr>
              <w:pStyle w:val="Sansinterligne"/>
              <w:jc w:val="center"/>
              <w:rPr>
                <w:rFonts w:ascii="Marianne" w:hAnsi="Marianne" w:cs="Arial"/>
                <w:color w:val="000000" w:themeColor="text1"/>
                <w:sz w:val="18"/>
                <w:szCs w:val="18"/>
                <w:lang w:val="fr-FR" w:bidi="fr-FR"/>
              </w:rPr>
            </w:pPr>
            <w:r>
              <w:rPr>
                <w:rFonts w:ascii="Marianne" w:hAnsi="Marianne" w:cs="Arial"/>
                <w:color w:val="000000" w:themeColor="text1"/>
                <w:sz w:val="18"/>
                <w:szCs w:val="18"/>
                <w:lang w:val="fr-FR" w:bidi="fr-FR"/>
              </w:rPr>
              <w:t xml:space="preserve">1 000 000 HT </w:t>
            </w:r>
          </w:p>
          <w:p w:rsidR="001B30FD" w:rsidRDefault="008B589B">
            <w:pPr>
              <w:pStyle w:val="Sansinterligne"/>
              <w:jc w:val="center"/>
              <w:rPr>
                <w:rFonts w:ascii="Marianne" w:hAnsi="Marianne" w:cs="Arial"/>
                <w:color w:val="000000" w:themeColor="text1"/>
                <w:sz w:val="18"/>
                <w:szCs w:val="18"/>
                <w:lang w:val="fr-FR" w:bidi="fr-FR"/>
              </w:rPr>
            </w:pPr>
            <w:r>
              <w:rPr>
                <w:rFonts w:ascii="Marianne" w:hAnsi="Marianne" w:cs="Arial"/>
                <w:color w:val="000000" w:themeColor="text1"/>
                <w:sz w:val="18"/>
                <w:szCs w:val="18"/>
                <w:lang w:val="fr-FR" w:bidi="fr-FR"/>
              </w:rPr>
              <w:t xml:space="preserve">Soit </w:t>
            </w:r>
          </w:p>
          <w:p w:rsidR="001B30FD" w:rsidRDefault="008B589B">
            <w:pPr>
              <w:pStyle w:val="Sansinterligne"/>
              <w:jc w:val="center"/>
              <w:rPr>
                <w:rFonts w:ascii="Marianne" w:hAnsi="Marianne" w:cs="Arial"/>
                <w:color w:val="000000" w:themeColor="text1"/>
                <w:sz w:val="18"/>
                <w:szCs w:val="18"/>
              </w:rPr>
            </w:pPr>
            <w:r>
              <w:rPr>
                <w:rFonts w:ascii="Marianne" w:hAnsi="Marianne" w:cs="Arial"/>
                <w:color w:val="000000" w:themeColor="text1"/>
                <w:sz w:val="18"/>
                <w:szCs w:val="18"/>
                <w:lang w:val="fr-FR" w:bidi="fr-FR"/>
              </w:rPr>
              <w:t>1 200 000 TTC</w:t>
            </w:r>
          </w:p>
        </w:tc>
      </w:tr>
    </w:tbl>
    <w:p w:rsidR="001B30FD" w:rsidRDefault="001B30FD">
      <w:pPr>
        <w:pStyle w:val="Sansinterligne"/>
        <w:jc w:val="both"/>
        <w:rPr>
          <w:lang w:val="fr-FR"/>
        </w:rPr>
      </w:pPr>
    </w:p>
    <w:p w:rsidR="001B30FD" w:rsidRDefault="008B589B">
      <w:pPr>
        <w:pStyle w:val="Titre2"/>
        <w:rPr>
          <w:rFonts w:ascii="Marianne ExtraBold" w:hAnsi="Marianne ExtraBold"/>
          <w:lang w:val="fr-FR"/>
        </w:rPr>
      </w:pPr>
      <w:bookmarkStart w:id="9" w:name="_Toc9"/>
      <w:r>
        <w:rPr>
          <w:rFonts w:ascii="Marianne ExtraBold" w:hAnsi="Marianne ExtraBold"/>
          <w:lang w:val="fr-FR"/>
        </w:rPr>
        <w:t>DECOMPOSITION DU MARCHE</w:t>
      </w:r>
      <w:bookmarkEnd w:id="9"/>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 présent marché est alloti, conformément aux dispositions des articles L. 2113-10 et R. 2113-1 du Code de la Commande Publique. </w:t>
      </w:r>
    </w:p>
    <w:p w:rsidR="001B30FD" w:rsidRDefault="001B30FD">
      <w:pPr>
        <w:rPr>
          <w:lang w:val="fr-FR"/>
        </w:rPr>
      </w:pPr>
    </w:p>
    <w:p w:rsidR="001B30FD" w:rsidRDefault="008B589B">
      <w:pPr>
        <w:jc w:val="both"/>
        <w:rPr>
          <w:lang w:val="fr-FR"/>
        </w:rPr>
      </w:pPr>
      <w:r>
        <w:rPr>
          <w:lang w:val="fr-FR"/>
        </w:rPr>
        <w:t>Le présent Cahier des Clauses Administratives Particulières (CCAP) concerne les dispositions propres au lot 2 relatif à la g</w:t>
      </w:r>
      <w:r>
        <w:rPr>
          <w:lang w:val="fr-FR"/>
        </w:rPr>
        <w:t xml:space="preserve">estion de nuitées hôtelières à caractère social mobilisées dans le cadre de l’hébergement d’urgence dans le département de l’Hérault (34). </w:t>
      </w:r>
    </w:p>
    <w:p w:rsidR="001B30FD" w:rsidRDefault="001B30FD">
      <w:pPr>
        <w:rPr>
          <w:lang w:val="fr-FR"/>
        </w:rPr>
      </w:pPr>
    </w:p>
    <w:p w:rsidR="001B30FD" w:rsidRDefault="008B589B">
      <w:pPr>
        <w:pStyle w:val="Titre2"/>
        <w:rPr>
          <w:rFonts w:ascii="Marianne ExtraBold" w:hAnsi="Marianne ExtraBold"/>
          <w:lang w:val="fr-FR"/>
        </w:rPr>
      </w:pPr>
      <w:bookmarkStart w:id="10" w:name="_Toc10"/>
      <w:r>
        <w:rPr>
          <w:rFonts w:ascii="Marianne ExtraBold" w:hAnsi="Marianne ExtraBold"/>
          <w:lang w:val="fr-FR"/>
        </w:rPr>
        <w:t>PI</w:t>
      </w:r>
      <w:r>
        <w:rPr>
          <w:rFonts w:ascii="Marianne ExtraBold" w:hAnsi="Marianne ExtraBold" w:hint="eastAsia"/>
          <w:lang w:val="fr-FR"/>
        </w:rPr>
        <w:t>È</w:t>
      </w:r>
      <w:r>
        <w:rPr>
          <w:rFonts w:ascii="Marianne ExtraBold" w:hAnsi="Marianne ExtraBold"/>
          <w:lang w:val="fr-FR"/>
        </w:rPr>
        <w:t>CES CONSTITUTIVES DU MARCHE</w:t>
      </w:r>
      <w:bookmarkEnd w:id="10"/>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Conformément à l’article 4.1 du CCAG-FCS, le marché est constitué des pièces énumér</w:t>
      </w:r>
      <w:r>
        <w:rPr>
          <w:rFonts w:ascii="Marianne" w:hAnsi="Marianne" w:cs="Arial"/>
          <w:sz w:val="18"/>
          <w:lang w:val="fr-FR"/>
        </w:rPr>
        <w:t xml:space="preserve">ées ci-dessous. En cas de contradiction entre les stipulations des pièces contractuelles, ces dernières prévalent dans l’ordre ci-après : </w:t>
      </w:r>
    </w:p>
    <w:p w:rsidR="001B30FD" w:rsidRDefault="001B30FD">
      <w:pPr>
        <w:pStyle w:val="Sansinterligne"/>
        <w:jc w:val="both"/>
        <w:rPr>
          <w:rFonts w:ascii="Marianne" w:hAnsi="Marianne" w:cs="Arial"/>
          <w:sz w:val="18"/>
          <w:szCs w:val="18"/>
          <w:lang w:val="fr-FR"/>
        </w:rPr>
      </w:pPr>
    </w:p>
    <w:p w:rsidR="001B30FD" w:rsidRDefault="008B589B">
      <w:pPr>
        <w:pStyle w:val="Sansinterligne"/>
        <w:numPr>
          <w:ilvl w:val="0"/>
          <w:numId w:val="7"/>
        </w:numPr>
        <w:ind w:left="851" w:hanging="284"/>
        <w:jc w:val="both"/>
        <w:rPr>
          <w:rFonts w:ascii="Marianne" w:hAnsi="Marianne" w:cs="Arial"/>
          <w:sz w:val="18"/>
          <w:szCs w:val="18"/>
          <w:lang w:val="fr-FR"/>
        </w:rPr>
      </w:pPr>
      <w:r>
        <w:rPr>
          <w:rFonts w:ascii="Marianne" w:hAnsi="Marianne" w:cs="Arial"/>
          <w:sz w:val="18"/>
          <w:szCs w:val="18"/>
          <w:lang w:val="fr-FR"/>
        </w:rPr>
        <w:t>L’acte d’engagement (AE), et l’annexe financière relative aux prestations de gestion des nuitées hôtelières à caract</w:t>
      </w:r>
      <w:r>
        <w:rPr>
          <w:rFonts w:ascii="Marianne" w:hAnsi="Marianne" w:cs="Arial"/>
          <w:sz w:val="18"/>
          <w:szCs w:val="18"/>
          <w:lang w:val="fr-FR"/>
        </w:rPr>
        <w:t>ère social mobilisées dans le cadre de l’hébergement d’urgence (annexes 1) de chaque lot ;</w:t>
      </w:r>
    </w:p>
    <w:p w:rsidR="001B30FD" w:rsidRDefault="008B589B">
      <w:pPr>
        <w:pStyle w:val="Sansinterligne"/>
        <w:numPr>
          <w:ilvl w:val="0"/>
          <w:numId w:val="7"/>
        </w:numPr>
        <w:ind w:left="851" w:hanging="284"/>
        <w:jc w:val="both"/>
        <w:rPr>
          <w:rFonts w:ascii="Marianne" w:hAnsi="Marianne" w:cs="Arial"/>
          <w:sz w:val="18"/>
          <w:szCs w:val="18"/>
          <w:lang w:val="fr-FR"/>
        </w:rPr>
      </w:pPr>
      <w:r>
        <w:rPr>
          <w:rFonts w:ascii="Marianne" w:hAnsi="Marianne" w:cs="Arial"/>
          <w:sz w:val="18"/>
          <w:szCs w:val="18"/>
          <w:lang w:val="fr-FR"/>
        </w:rPr>
        <w:t>Le présent cahier des clauses administratives particulières (CCAP) ;</w:t>
      </w:r>
    </w:p>
    <w:p w:rsidR="001B30FD" w:rsidRDefault="008B589B">
      <w:pPr>
        <w:pStyle w:val="Sansinterligne"/>
        <w:numPr>
          <w:ilvl w:val="0"/>
          <w:numId w:val="7"/>
        </w:numPr>
        <w:ind w:left="851" w:hanging="284"/>
        <w:jc w:val="both"/>
        <w:rPr>
          <w:rFonts w:ascii="Marianne" w:hAnsi="Marianne" w:cs="Arial"/>
          <w:sz w:val="18"/>
          <w:szCs w:val="18"/>
          <w:lang w:val="fr-FR"/>
        </w:rPr>
      </w:pPr>
      <w:r>
        <w:rPr>
          <w:rFonts w:ascii="Marianne" w:hAnsi="Marianne" w:cs="Arial"/>
          <w:sz w:val="18"/>
          <w:szCs w:val="18"/>
          <w:lang w:val="fr-FR"/>
        </w:rPr>
        <w:t>Le cahier des clauses techniques particulières (CCTP) ;</w:t>
      </w:r>
    </w:p>
    <w:p w:rsidR="001B30FD" w:rsidRDefault="008B589B">
      <w:pPr>
        <w:pStyle w:val="Sansinterligne"/>
        <w:numPr>
          <w:ilvl w:val="0"/>
          <w:numId w:val="7"/>
        </w:numPr>
        <w:ind w:left="851" w:hanging="284"/>
        <w:jc w:val="both"/>
        <w:rPr>
          <w:rFonts w:ascii="Marianne" w:hAnsi="Marianne" w:cs="Arial"/>
          <w:sz w:val="18"/>
          <w:szCs w:val="18"/>
          <w:lang w:val="fr-FR"/>
        </w:rPr>
      </w:pPr>
      <w:r>
        <w:rPr>
          <w:rFonts w:ascii="Marianne" w:hAnsi="Marianne" w:cs="Arial"/>
          <w:sz w:val="18"/>
          <w:szCs w:val="18"/>
          <w:lang w:val="fr-FR"/>
        </w:rPr>
        <w:t>Le cahier des clauses administratives générale applicables aux marchés publics de fournitures courantes et de services (CCAG-FCS) approuvé par arrêté du 30 mars 2021 ;</w:t>
      </w:r>
    </w:p>
    <w:p w:rsidR="001B30FD" w:rsidRDefault="008B589B">
      <w:pPr>
        <w:pStyle w:val="Sansinterligne"/>
        <w:numPr>
          <w:ilvl w:val="0"/>
          <w:numId w:val="7"/>
        </w:numPr>
        <w:ind w:left="851" w:hanging="284"/>
        <w:jc w:val="both"/>
        <w:rPr>
          <w:rFonts w:ascii="Marianne" w:hAnsi="Marianne" w:cs="Arial"/>
          <w:sz w:val="18"/>
          <w:szCs w:val="18"/>
          <w:lang w:val="fr-FR"/>
        </w:rPr>
      </w:pPr>
      <w:r>
        <w:rPr>
          <w:rFonts w:ascii="Marianne" w:hAnsi="Marianne" w:cs="Arial"/>
          <w:sz w:val="18"/>
          <w:szCs w:val="18"/>
          <w:lang w:val="fr-FR"/>
        </w:rPr>
        <w:t>Le Cadre de mémoire technique (CMT) dûment complété par le titulaire de chaque lot;</w:t>
      </w:r>
    </w:p>
    <w:p w:rsidR="001B30FD" w:rsidRDefault="008B589B">
      <w:pPr>
        <w:pStyle w:val="Sansinterligne"/>
        <w:numPr>
          <w:ilvl w:val="0"/>
          <w:numId w:val="7"/>
        </w:numPr>
        <w:ind w:left="851" w:hanging="284"/>
        <w:jc w:val="both"/>
        <w:rPr>
          <w:rFonts w:ascii="Marianne" w:hAnsi="Marianne" w:cs="Arial"/>
          <w:sz w:val="18"/>
          <w:szCs w:val="18"/>
          <w:lang w:val="fr-FR"/>
        </w:rPr>
      </w:pPr>
      <w:r>
        <w:rPr>
          <w:rFonts w:ascii="Marianne" w:hAnsi="Marianne" w:cs="Arial"/>
          <w:sz w:val="18"/>
          <w:szCs w:val="18"/>
          <w:lang w:val="fr-FR"/>
        </w:rPr>
        <w:t>Les actes spéciaux de sous-traitance et leurs avenants, postérieurs à la notification du marché.</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 xml:space="preserve">Le CCAG-FCS étant réputé connu, il n’est pas joint matériellement au présent marché mais chaque titulaire peut le consulter sur le site internet suivant : </w:t>
      </w:r>
    </w:p>
    <w:p w:rsidR="001B30FD" w:rsidRDefault="008B589B">
      <w:pPr>
        <w:pStyle w:val="Sansinterligne"/>
        <w:jc w:val="both"/>
        <w:rPr>
          <w:rFonts w:ascii="Marianne" w:hAnsi="Marianne" w:cs="Arial"/>
          <w:sz w:val="18"/>
          <w:szCs w:val="18"/>
          <w:lang w:val="fr-FR"/>
        </w:rPr>
      </w:pPr>
      <w:hyperlink r:id="rId15" w:tooltip="https://www.legifrance.gouv.fr/jorf/id/JORFTEXT000043310341" w:history="1">
        <w:r>
          <w:rPr>
            <w:rStyle w:val="Lienhypertexte"/>
            <w:rFonts w:ascii="Marianne" w:hAnsi="Marianne" w:cs="Arial"/>
            <w:sz w:val="18"/>
            <w:szCs w:val="18"/>
            <w:lang w:val="fr-FR"/>
          </w:rPr>
          <w:t>https://www.legifrance.gouv.fr/jorf/id/JORFTEXT000043310341</w:t>
        </w:r>
      </w:hyperlink>
      <w:r>
        <w:rPr>
          <w:rStyle w:val="Lienhypertexte"/>
          <w:rFonts w:ascii="Marianne" w:hAnsi="Marianne" w:cs="Arial"/>
          <w:sz w:val="18"/>
          <w:szCs w:val="18"/>
          <w:lang w:val="fr-FR"/>
        </w:rPr>
        <w:t xml:space="preserve"> </w:t>
      </w:r>
    </w:p>
    <w:p w:rsidR="001B30FD" w:rsidRDefault="001B30FD">
      <w:pPr>
        <w:rPr>
          <w:lang w:val="fr-FR"/>
        </w:rPr>
      </w:pPr>
    </w:p>
    <w:p w:rsidR="001B30FD" w:rsidRDefault="008B589B">
      <w:pPr>
        <w:pStyle w:val="Titre2"/>
        <w:rPr>
          <w:rFonts w:ascii="Marianne ExtraBold" w:hAnsi="Marianne ExtraBold"/>
          <w:lang w:val="fr-FR"/>
        </w:rPr>
      </w:pPr>
      <w:bookmarkStart w:id="11" w:name="_Toc11"/>
      <w:r>
        <w:rPr>
          <w:rFonts w:ascii="Marianne ExtraBold" w:hAnsi="Marianne ExtraBold"/>
          <w:lang w:val="fr-FR"/>
        </w:rPr>
        <w:t>MISE A DISPOSITION DU MARCHE</w:t>
      </w:r>
      <w:bookmarkEnd w:id="11"/>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Conformément aux disposit</w:t>
      </w:r>
      <w:r>
        <w:rPr>
          <w:rFonts w:ascii="Marianne" w:hAnsi="Marianne" w:cs="Arial"/>
          <w:sz w:val="18"/>
          <w:szCs w:val="18"/>
          <w:lang w:val="fr-FR"/>
        </w:rPr>
        <w:t xml:space="preserve">ions du décret n° 2016-247 du 3 mars 2016 relatif à la création de la Direction des Achats de l’État (DAE) et à la gouvernance des achats de l’État, le présent marché est ouvert à l’ensemble des services de l’État sur la région Occitanie. </w:t>
      </w:r>
    </w:p>
    <w:p w:rsidR="001B30FD" w:rsidRDefault="001B30FD">
      <w:pPr>
        <w:pStyle w:val="Sansinterligne"/>
        <w:jc w:val="both"/>
        <w:rPr>
          <w:rFonts w:ascii="Marianne" w:hAnsi="Marianne" w:cs="Arial"/>
          <w:sz w:val="18"/>
          <w:szCs w:val="18"/>
          <w:lang w:val="fr-FR"/>
        </w:rPr>
      </w:pPr>
    </w:p>
    <w:p w:rsidR="001B30FD" w:rsidRDefault="001B30FD">
      <w:pPr>
        <w:rPr>
          <w:lang w:val="fr-FR"/>
        </w:rPr>
      </w:pPr>
    </w:p>
    <w:p w:rsidR="001B30FD" w:rsidRDefault="008B589B">
      <w:pPr>
        <w:pStyle w:val="Titre2"/>
        <w:rPr>
          <w:rFonts w:ascii="Marianne ExtraBold" w:hAnsi="Marianne ExtraBold"/>
          <w:lang w:val="fr-FR"/>
        </w:rPr>
      </w:pPr>
      <w:bookmarkStart w:id="12" w:name="_Toc12"/>
      <w:r>
        <w:rPr>
          <w:rFonts w:ascii="Marianne ExtraBold" w:hAnsi="Marianne ExtraBold"/>
          <w:lang w:val="fr-FR"/>
        </w:rPr>
        <w:t>MARCHE DE PRES</w:t>
      </w:r>
      <w:r>
        <w:rPr>
          <w:rFonts w:ascii="Marianne ExtraBold" w:hAnsi="Marianne ExtraBold"/>
          <w:lang w:val="fr-FR"/>
        </w:rPr>
        <w:t>TATION SIMILAIRES</w:t>
      </w:r>
      <w:bookmarkEnd w:id="12"/>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En application de l’article R. 2122-7 du Code de la Commande Publique, l’acheteur se réserve le droit, le cas échéant, de passer un ou plusieurs marchés négocié(s) sans publicité ni mise en concurrence préalable avec le titulaire du marc</w:t>
      </w:r>
      <w:r>
        <w:rPr>
          <w:rFonts w:ascii="Marianne" w:hAnsi="Marianne" w:cs="Arial"/>
          <w:sz w:val="18"/>
          <w:szCs w:val="18"/>
          <w:lang w:val="fr-FR"/>
        </w:rPr>
        <w:t xml:space="preserve">hé pour des prestations similaires, à savoir des prestations qui ne figurent pas dans le présent marché mais qui seraient devenues nécessaires et réalisables à l’identique. </w:t>
      </w:r>
    </w:p>
    <w:p w:rsidR="001B30FD" w:rsidRDefault="001B30FD">
      <w:pPr>
        <w:pStyle w:val="Sansinterligne"/>
        <w:jc w:val="both"/>
        <w:rPr>
          <w:rFonts w:ascii="Marianne" w:hAnsi="Marianne" w:cs="Arial"/>
          <w:color w:val="FF0000"/>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 xml:space="preserve">Le cas échéant, le marché de prestations similaire est négocié par la PFRA. </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lastRenderedPageBreak/>
        <w:t xml:space="preserve">La </w:t>
      </w:r>
      <w:r>
        <w:rPr>
          <w:rFonts w:ascii="Marianne" w:hAnsi="Marianne" w:cs="Arial"/>
          <w:sz w:val="18"/>
          <w:szCs w:val="18"/>
          <w:lang w:val="fr-FR"/>
        </w:rPr>
        <w:t xml:space="preserve">durée pendant laquelle un nouveau marché de prestations similaires peut être conclu ne peut excéder trois (3) ans à compter de la notification du présent marché. </w:t>
      </w:r>
    </w:p>
    <w:p w:rsidR="001B30FD" w:rsidRDefault="001B30FD">
      <w:pPr>
        <w:rPr>
          <w:lang w:val="fr-FR"/>
        </w:rPr>
      </w:pPr>
    </w:p>
    <w:p w:rsidR="001B30FD" w:rsidRDefault="008B589B">
      <w:pPr>
        <w:pStyle w:val="Titre1"/>
        <w:rPr>
          <w:lang w:val="fr-FR"/>
        </w:rPr>
      </w:pPr>
      <w:bookmarkStart w:id="13" w:name="_Toc13"/>
      <w:r>
        <w:rPr>
          <w:lang w:val="fr-FR"/>
        </w:rPr>
        <w:t>DURÉE DU MARCHÉ</w:t>
      </w:r>
      <w:bookmarkEnd w:id="13"/>
    </w:p>
    <w:p w:rsidR="001B30FD" w:rsidRDefault="001B30FD">
      <w:pPr>
        <w:jc w:val="both"/>
        <w:rPr>
          <w:rFonts w:cs="Marianne"/>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 présent marché est conclu pour une durée initiale de deux (2) ans ferme </w:t>
      </w:r>
      <w:r>
        <w:rPr>
          <w:rFonts w:ascii="Marianne" w:hAnsi="Marianne" w:cs="Arial"/>
          <w:sz w:val="18"/>
          <w:lang w:val="fr-FR"/>
        </w:rPr>
        <w:t xml:space="preserve">à compter de sa date de notification. Il peut être reconduit deux (2) fois par période d’un (1) an, sans que sa durée totale ne puisse excéder quatre (4) ans.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En application de l’article R. 2112-4 du Code de la Commande Publique, la reconduction est taci</w:t>
      </w:r>
      <w:r>
        <w:rPr>
          <w:rFonts w:ascii="Marianne" w:hAnsi="Marianne" w:cs="Arial"/>
          <w:sz w:val="18"/>
          <w:lang w:val="fr-FR"/>
        </w:rPr>
        <w:t xml:space="preserve">te, et le titulaire ne peut s’y opposer. En cas de non-reconduction, l’Acheteur notifie sa décision au titulaire au plus tard deux (2) mois avant la date d’échéance du marché, par l’envoi d’un courrier conférant date certaine de réception. </w:t>
      </w:r>
    </w:p>
    <w:p w:rsidR="001B30FD" w:rsidRDefault="001B30FD">
      <w:pPr>
        <w:jc w:val="both"/>
        <w:rPr>
          <w:rFonts w:cs="Marianne"/>
          <w:lang w:val="fr-FR"/>
        </w:rPr>
      </w:pPr>
    </w:p>
    <w:p w:rsidR="001B30FD" w:rsidRDefault="008B589B">
      <w:pPr>
        <w:pStyle w:val="Titre1"/>
        <w:ind w:left="0" w:firstLine="0"/>
        <w:rPr>
          <w:lang w:val="fr-FR"/>
        </w:rPr>
      </w:pPr>
      <w:bookmarkStart w:id="14" w:name="_Toc14"/>
      <w:r>
        <w:rPr>
          <w:lang w:val="fr-FR"/>
        </w:rPr>
        <w:t>PRIX DES PRESTATIONS</w:t>
      </w:r>
      <w:bookmarkEnd w:id="14"/>
    </w:p>
    <w:p w:rsidR="001B30FD" w:rsidRDefault="001B30FD">
      <w:pPr>
        <w:pStyle w:val="Sansinterligne"/>
        <w:jc w:val="both"/>
        <w:rPr>
          <w:rFonts w:ascii="Marianne" w:hAnsi="Marianne"/>
          <w:lang w:val="fr-FR"/>
        </w:rPr>
      </w:pPr>
    </w:p>
    <w:p w:rsidR="001B30FD" w:rsidRDefault="008B589B">
      <w:pPr>
        <w:pStyle w:val="Titre2"/>
        <w:ind w:left="0" w:firstLine="0"/>
        <w:rPr>
          <w:rFonts w:ascii="Marianne ExtraBold" w:hAnsi="Marianne ExtraBold"/>
          <w:lang w:val="fr-FR"/>
        </w:rPr>
      </w:pPr>
      <w:bookmarkStart w:id="15" w:name="_Toc15"/>
      <w:r>
        <w:rPr>
          <w:rFonts w:ascii="Marianne ExtraBold" w:hAnsi="Marianne ExtraBold"/>
          <w:lang w:val="fr-FR"/>
        </w:rPr>
        <w:t>DEFINITION DES PRIX</w:t>
      </w:r>
      <w:bookmarkEnd w:id="15"/>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Les prix initiaux des prestations sont ceux figurants à l’annexe 1 de l’acte d’engagement au mois de remise des offres par le titulaire.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Les p</w:t>
      </w:r>
      <w:r>
        <w:rPr>
          <w:rFonts w:ascii="Marianne" w:hAnsi="Marianne" w:cs="Arial"/>
          <w:sz w:val="18"/>
          <w:lang w:val="fr-FR"/>
        </w:rPr>
        <w:t xml:space="preserve">rix initiaux sont établis hors taxes et toutes taxes comprises. Le taux de Taxe sur la Valeur Ajoutée (TVA) est celui en vigueur à la date d’établissement des prix initiaux. Il est précisé que les Parties s’engagent principalement sur les prix hors taxes.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Il est également précisé que, dans le cas où un changement tarifaire surviendrait, ce changement ne doit pas s’accompagner d’une diminution de la qualité des prestations par rapport aux dispositions du présent marché. </w:t>
      </w:r>
    </w:p>
    <w:p w:rsidR="001B30FD" w:rsidRDefault="001B30FD">
      <w:pPr>
        <w:rPr>
          <w:lang w:val="fr-FR"/>
        </w:rPr>
      </w:pPr>
    </w:p>
    <w:p w:rsidR="001B30FD" w:rsidRDefault="008B589B">
      <w:pPr>
        <w:pStyle w:val="Titre2"/>
        <w:ind w:left="576"/>
        <w:rPr>
          <w:rFonts w:ascii="Marianne ExtraBold" w:hAnsi="Marianne ExtraBold"/>
          <w:lang w:val="fr-FR"/>
        </w:rPr>
      </w:pPr>
      <w:bookmarkStart w:id="16" w:name="_Toc16"/>
      <w:r>
        <w:rPr>
          <w:rFonts w:ascii="Marianne ExtraBold" w:hAnsi="Marianne ExtraBold"/>
          <w:lang w:val="fr-FR"/>
        </w:rPr>
        <w:t>FORME DES PRIX</w:t>
      </w:r>
      <w:bookmarkEnd w:id="16"/>
    </w:p>
    <w:p w:rsidR="001B30FD" w:rsidRDefault="001B30FD">
      <w:pPr>
        <w:jc w:val="both"/>
        <w:rPr>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Le marché est trai</w:t>
      </w:r>
      <w:r>
        <w:rPr>
          <w:rFonts w:ascii="Marianne" w:hAnsi="Marianne" w:cs="Arial"/>
          <w:sz w:val="18"/>
          <w:szCs w:val="18"/>
          <w:lang w:val="fr-FR"/>
        </w:rPr>
        <w:t>té à prix unitaire sur la durée totale du marché.</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Les prix du marché sont ceux figurant en annexe de l’acte d’engagement, établis en euros hors taxes (HT) et toutes taxes comprises (TTC).</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Le taux de TVA applicable est celui en vigueur à la date d’établis</w:t>
      </w:r>
      <w:r>
        <w:rPr>
          <w:rFonts w:ascii="Marianne" w:hAnsi="Marianne" w:cs="Arial"/>
          <w:sz w:val="18"/>
          <w:szCs w:val="18"/>
          <w:lang w:val="fr-FR"/>
        </w:rPr>
        <w:t>sement de la demande de paiement par le Titulaire. Actuellement il est de 20%.</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color w:val="000000" w:themeColor="text1"/>
          <w:sz w:val="18"/>
          <w:szCs w:val="18"/>
          <w:lang w:val="fr-FR"/>
        </w:rPr>
      </w:pPr>
      <w:r>
        <w:rPr>
          <w:rFonts w:ascii="Marianne" w:eastAsia="Arial" w:hAnsi="Marianne" w:cs="Arial"/>
          <w:color w:val="000000" w:themeColor="text1"/>
          <w:sz w:val="18"/>
          <w:szCs w:val="18"/>
          <w:lang w:val="fr-FR"/>
        </w:rPr>
        <w:t>Les prestations faisant l’objet du marché seront réglées par application des prix unitaires de l’annexe financière aux quantités réellement exécutées.</w:t>
      </w:r>
      <w:r>
        <w:rPr>
          <w:rFonts w:ascii="Marianne" w:eastAsia="Times New Roman" w:hAnsi="Marianne"/>
          <w:color w:val="000000" w:themeColor="text1"/>
          <w:sz w:val="18"/>
          <w:szCs w:val="18"/>
          <w:lang w:val="fr-FR"/>
        </w:rPr>
        <w:t xml:space="preserve"> </w:t>
      </w:r>
    </w:p>
    <w:p w:rsidR="001B30FD" w:rsidRDefault="001B30FD">
      <w:pPr>
        <w:rPr>
          <w:lang w:val="fr-FR"/>
        </w:rPr>
      </w:pPr>
    </w:p>
    <w:p w:rsidR="001B30FD" w:rsidRDefault="008B589B">
      <w:pPr>
        <w:pStyle w:val="Titre2"/>
        <w:ind w:left="576"/>
        <w:rPr>
          <w:rFonts w:ascii="Marianne ExtraBold" w:hAnsi="Marianne ExtraBold"/>
          <w:lang w:val="fr-FR"/>
        </w:rPr>
      </w:pPr>
      <w:bookmarkStart w:id="17" w:name="_Toc17"/>
      <w:r>
        <w:rPr>
          <w:rFonts w:ascii="Marianne ExtraBold" w:hAnsi="Marianne ExtraBold"/>
          <w:lang w:val="fr-FR"/>
        </w:rPr>
        <w:t>CONTENU DES PRIX</w:t>
      </w:r>
      <w:bookmarkEnd w:id="17"/>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Les p</w:t>
      </w:r>
      <w:r>
        <w:rPr>
          <w:rFonts w:ascii="Marianne" w:hAnsi="Marianne" w:cs="Arial"/>
          <w:sz w:val="18"/>
          <w:lang w:val="fr-FR"/>
        </w:rPr>
        <w:t>rix du marché sont réputés inclure toutes les taxes, les charges fiscales, parafiscales et autres frappant obligatoirement la prestation ainsi que les assurances, et, d’une manière générale, tous les frais et dépenses nécessaires à l’exécution du marché. P</w:t>
      </w:r>
      <w:r>
        <w:rPr>
          <w:rFonts w:ascii="Marianne" w:hAnsi="Marianne" w:cs="Arial"/>
          <w:sz w:val="18"/>
          <w:lang w:val="fr-FR"/>
        </w:rPr>
        <w:t>lus généralement au respect de l’ensemble des obligations souscrites par le Titulaire, cela comprend notamment :</w:t>
      </w:r>
    </w:p>
    <w:p w:rsidR="001B30FD" w:rsidRDefault="008B589B">
      <w:pPr>
        <w:pStyle w:val="Sansinterligne"/>
        <w:numPr>
          <w:ilvl w:val="0"/>
          <w:numId w:val="26"/>
        </w:numPr>
        <w:ind w:left="425"/>
        <w:jc w:val="both"/>
        <w:rPr>
          <w:rFonts w:ascii="Marianne" w:hAnsi="Marianne" w:cs="Arial"/>
          <w:sz w:val="18"/>
          <w:szCs w:val="18"/>
          <w:lang w:val="fr-FR"/>
        </w:rPr>
      </w:pPr>
      <w:r>
        <w:rPr>
          <w:rFonts w:ascii="Marianne" w:hAnsi="Marianne" w:cs="Arial"/>
          <w:sz w:val="18"/>
          <w:lang w:val="fr-FR"/>
        </w:rPr>
        <w:t>La mise à disposition du matériel et l’ensemble des coûts liés à la réalisation des prestations ;</w:t>
      </w:r>
    </w:p>
    <w:p w:rsidR="001B30FD" w:rsidRDefault="008B589B">
      <w:pPr>
        <w:pStyle w:val="Sansinterligne"/>
        <w:numPr>
          <w:ilvl w:val="0"/>
          <w:numId w:val="26"/>
        </w:numPr>
        <w:ind w:left="425"/>
        <w:jc w:val="both"/>
        <w:rPr>
          <w:rFonts w:ascii="Marianne" w:hAnsi="Marianne" w:cs="Arial"/>
          <w:sz w:val="18"/>
          <w:szCs w:val="18"/>
          <w:lang w:val="fr-FR"/>
        </w:rPr>
      </w:pPr>
      <w:r>
        <w:rPr>
          <w:rFonts w:ascii="Marianne" w:hAnsi="Marianne" w:cs="Arial"/>
          <w:sz w:val="18"/>
          <w:lang w:val="fr-FR"/>
        </w:rPr>
        <w:t>Les frais d’assurance ;</w:t>
      </w:r>
    </w:p>
    <w:p w:rsidR="001B30FD" w:rsidRDefault="008B589B">
      <w:pPr>
        <w:pStyle w:val="Sansinterligne"/>
        <w:numPr>
          <w:ilvl w:val="0"/>
          <w:numId w:val="26"/>
        </w:numPr>
        <w:ind w:left="425"/>
        <w:jc w:val="both"/>
        <w:rPr>
          <w:rFonts w:ascii="Marianne" w:hAnsi="Marianne" w:cs="Arial"/>
          <w:sz w:val="18"/>
          <w:lang w:val="fr-FR"/>
        </w:rPr>
      </w:pPr>
      <w:r>
        <w:rPr>
          <w:rFonts w:ascii="Marianne" w:hAnsi="Marianne" w:cs="Arial"/>
          <w:sz w:val="18"/>
          <w:lang w:val="fr-FR"/>
        </w:rPr>
        <w:lastRenderedPageBreak/>
        <w:t>Tout frais lié à l’application de la réglementation en termes d’hygiène, de sécurité et de protection des travailleurs ;</w:t>
      </w:r>
    </w:p>
    <w:p w:rsidR="001B30FD" w:rsidRDefault="008B589B">
      <w:pPr>
        <w:pStyle w:val="Sansinterligne"/>
        <w:numPr>
          <w:ilvl w:val="0"/>
          <w:numId w:val="26"/>
        </w:numPr>
        <w:ind w:left="425"/>
        <w:jc w:val="both"/>
        <w:rPr>
          <w:rFonts w:ascii="Marianne" w:hAnsi="Marianne" w:cs="Arial"/>
          <w:sz w:val="18"/>
          <w:lang w:val="fr-FR"/>
        </w:rPr>
      </w:pPr>
      <w:r>
        <w:rPr>
          <w:rFonts w:ascii="Marianne" w:hAnsi="Marianne" w:cs="Arial"/>
          <w:sz w:val="18"/>
          <w:lang w:val="fr-FR"/>
        </w:rPr>
        <w:t>Les frais liés aux mesures devant éventuellement être prises par le titulaire pour respecter les obligations du respect des règles de sécurité ou de confidentialité.</w:t>
      </w:r>
    </w:p>
    <w:p w:rsidR="001B30FD" w:rsidRDefault="001B30FD">
      <w:pPr>
        <w:rPr>
          <w:szCs w:val="18"/>
          <w:lang w:val="fr-FR"/>
        </w:rPr>
      </w:pPr>
    </w:p>
    <w:p w:rsidR="001B30FD" w:rsidRDefault="008B589B">
      <w:pPr>
        <w:pStyle w:val="Titre2"/>
        <w:ind w:left="576"/>
        <w:rPr>
          <w:rFonts w:ascii="Marianne ExtraBold" w:hAnsi="Marianne ExtraBold"/>
          <w:lang w:val="fr-FR"/>
        </w:rPr>
      </w:pPr>
      <w:bookmarkStart w:id="18" w:name="_Toc18"/>
      <w:r>
        <w:rPr>
          <w:rFonts w:ascii="Marianne ExtraBold" w:hAnsi="Marianne ExtraBold"/>
          <w:lang w:val="fr-FR"/>
        </w:rPr>
        <w:t>MODALITE DE REVISION DU PRIX DES PRESTATIONS</w:t>
      </w:r>
      <w:bookmarkEnd w:id="18"/>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Les prix du marché sont révisables selon le</w:t>
      </w:r>
      <w:r>
        <w:rPr>
          <w:rFonts w:ascii="Marianne" w:hAnsi="Marianne" w:cs="Arial"/>
          <w:sz w:val="18"/>
          <w:szCs w:val="18"/>
          <w:lang w:val="fr-FR"/>
        </w:rPr>
        <w:t>s conditions indiquées ci-dessous :</w:t>
      </w:r>
    </w:p>
    <w:p w:rsidR="001B30FD" w:rsidRDefault="001B30FD">
      <w:pPr>
        <w:pStyle w:val="Sansinterligne"/>
        <w:jc w:val="both"/>
        <w:rPr>
          <w:rFonts w:ascii="Marianne" w:hAnsi="Marianne" w:cs="Arial"/>
          <w:sz w:val="18"/>
          <w:szCs w:val="18"/>
          <w:lang w:val="fr-FR"/>
        </w:rPr>
      </w:pP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 xml:space="preserve">Les prix des prestations sont réputés établis sur la base des conditions économiques du mois de remise de l’offre finale par le titulaire. Ce mois est appelé mois « zéro » ou « M0 ». </w:t>
      </w: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Les prix sont fermes pour la prem</w:t>
      </w:r>
      <w:r>
        <w:rPr>
          <w:rFonts w:eastAsia="Marianne" w:cs="Marianne"/>
          <w:lang w:val="fr-FR"/>
        </w:rPr>
        <w:t xml:space="preserve">ière année d’exécution de l’accord-cadre. Cette première année court de la date de notification du présent accord-cadre à la date anniversaire de notification. </w:t>
      </w: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 </w:t>
      </w:r>
    </w:p>
    <w:p w:rsidR="001B30FD" w:rsidRDefault="008B589B">
      <w:pPr>
        <w:pStyle w:val="Paragraphedeliste"/>
        <w:numPr>
          <w:ilvl w:val="0"/>
          <w:numId w:val="8"/>
        </w:numPr>
        <w:ind w:left="709" w:hanging="283"/>
        <w:jc w:val="both"/>
        <w:rPr>
          <w:rFonts w:eastAsia="Marianne" w:cs="Marianne"/>
          <w:szCs w:val="18"/>
          <w:lang w:val="fr-FR"/>
        </w:rPr>
      </w:pPr>
      <w:r>
        <w:rPr>
          <w:rFonts w:eastAsia="Times New Roman"/>
          <w:b/>
          <w:bCs/>
          <w:szCs w:val="18"/>
          <w:lang w:val="fr-FR" w:eastAsia="fr-FR"/>
        </w:rPr>
        <w:t>Formule de la révision des prix du marché</w:t>
      </w: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A l’issue de la première année d’exécution, les pri</w:t>
      </w:r>
      <w:r>
        <w:rPr>
          <w:rFonts w:eastAsia="Marianne" w:cs="Marianne"/>
          <w:lang w:val="fr-FR"/>
        </w:rPr>
        <w:t xml:space="preserve">x sont révisés </w:t>
      </w:r>
      <w:r>
        <w:rPr>
          <w:rFonts w:eastAsia="Marianne" w:cs="Marianne"/>
          <w:b/>
          <w:lang w:val="fr-FR"/>
        </w:rPr>
        <w:t>annuellement</w:t>
      </w:r>
      <w:r>
        <w:rPr>
          <w:rFonts w:eastAsia="Marianne" w:cs="Marianne"/>
          <w:lang w:val="fr-FR"/>
        </w:rPr>
        <w:t xml:space="preserve">, à la hausse comme à la baisse, à la date anniversaire de notification de l’accord-cadre par application de la formule suivante : </w:t>
      </w:r>
    </w:p>
    <w:p w:rsidR="001B30FD" w:rsidRDefault="001B30FD">
      <w:pPr>
        <w:pStyle w:val="Sansinterligne"/>
        <w:jc w:val="both"/>
        <w:rPr>
          <w:rStyle w:val="Lienhypertexte"/>
          <w:rFonts w:ascii="Marianne" w:eastAsia="Marianne" w:hAnsi="Marianne" w:cs="Arial"/>
          <w:b/>
          <w:bCs/>
          <w:color w:val="FF0000"/>
          <w:sz w:val="18"/>
          <w:szCs w:val="18"/>
          <w:highlight w:val="cyan"/>
          <w:lang w:val="fr-FR"/>
        </w:rPr>
      </w:pPr>
    </w:p>
    <w:p w:rsidR="001B30FD" w:rsidRDefault="001B30FD">
      <w:pPr>
        <w:jc w:val="both"/>
        <w:rPr>
          <w:rFonts w:eastAsia="Times New Roman"/>
          <w:color w:val="FF0000"/>
          <w:szCs w:val="18"/>
          <w:lang w:val="fr-FR"/>
        </w:rPr>
      </w:pPr>
    </w:p>
    <w:p w:rsidR="001B30FD" w:rsidRDefault="001B30FD">
      <w:pPr>
        <w:jc w:val="both"/>
        <w:rPr>
          <w:rFonts w:eastAsia="Times New Roman"/>
          <w:szCs w:val="18"/>
          <w:lang w:val="fr-FR"/>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8"/>
        <w:gridCol w:w="4282"/>
      </w:tblGrid>
      <w:tr w:rsidR="001B30FD">
        <w:trPr>
          <w:trHeight w:hRule="exact" w:val="271"/>
        </w:trPr>
        <w:tc>
          <w:tcPr>
            <w:tcW w:w="2899" w:type="pct"/>
            <w:shd w:val="clear" w:color="auto" w:fill="465F9D"/>
            <w:vAlign w:val="center"/>
          </w:tcPr>
          <w:p w:rsidR="001B30FD" w:rsidRDefault="008B589B">
            <w:pPr>
              <w:pStyle w:val="TableParagraph"/>
              <w:spacing w:before="6" w:line="263" w:lineRule="exact"/>
              <w:jc w:val="center"/>
              <w:rPr>
                <w:rFonts w:ascii="Marianne" w:hAnsi="Marianne" w:cs="Arial"/>
                <w:sz w:val="18"/>
                <w:szCs w:val="18"/>
                <w:lang w:val="fr-FR"/>
              </w:rPr>
            </w:pPr>
            <w:r>
              <w:rPr>
                <w:rFonts w:ascii="Marianne" w:hAnsi="Marianne" w:cs="Arial"/>
                <w:b/>
                <w:color w:val="FFFFFF"/>
                <w:sz w:val="18"/>
                <w:szCs w:val="18"/>
                <w:lang w:val="fr-FR"/>
              </w:rPr>
              <w:t>FORMULE</w:t>
            </w:r>
          </w:p>
        </w:tc>
        <w:tc>
          <w:tcPr>
            <w:tcW w:w="2101" w:type="pct"/>
            <w:shd w:val="clear" w:color="auto" w:fill="465F9D"/>
            <w:vAlign w:val="center"/>
          </w:tcPr>
          <w:p w:rsidR="001B30FD" w:rsidRDefault="008B589B">
            <w:pPr>
              <w:pStyle w:val="TableParagraph"/>
              <w:spacing w:before="6" w:line="263" w:lineRule="exact"/>
              <w:jc w:val="center"/>
              <w:rPr>
                <w:rFonts w:ascii="Marianne" w:hAnsi="Marianne" w:cs="Arial"/>
                <w:sz w:val="18"/>
                <w:szCs w:val="18"/>
                <w:lang w:val="fr-FR"/>
              </w:rPr>
            </w:pPr>
            <w:r>
              <w:rPr>
                <w:rFonts w:ascii="Marianne" w:hAnsi="Marianne" w:cs="Arial"/>
                <w:b/>
                <w:color w:val="FFFFFF"/>
                <w:sz w:val="18"/>
                <w:szCs w:val="18"/>
                <w:lang w:val="fr-FR"/>
              </w:rPr>
              <w:t>INDICE ET DÉSIGNATION</w:t>
            </w:r>
          </w:p>
        </w:tc>
      </w:tr>
      <w:tr w:rsidR="001B30FD">
        <w:trPr>
          <w:trHeight w:hRule="exact" w:val="474"/>
        </w:trPr>
        <w:tc>
          <w:tcPr>
            <w:tcW w:w="2899" w:type="pct"/>
            <w:shd w:val="clear" w:color="auto" w:fill="FFFFFF"/>
            <w:vAlign w:val="center"/>
          </w:tcPr>
          <w:p w:rsidR="001B30FD" w:rsidRDefault="008B589B">
            <w:pPr>
              <w:pStyle w:val="TableParagraph"/>
              <w:jc w:val="center"/>
              <w:rPr>
                <w:rFonts w:ascii="Marianne" w:hAnsi="Marianne" w:cs="Arial"/>
                <w:sz w:val="18"/>
                <w:szCs w:val="18"/>
                <w:lang w:val="en-GB"/>
              </w:rPr>
            </w:pPr>
            <w:r>
              <w:rPr>
                <w:rFonts w:ascii="Marianne" w:hAnsi="Marianne" w:cs="Arial"/>
                <w:sz w:val="18"/>
                <w:szCs w:val="18"/>
                <w:lang w:val="en-GB"/>
              </w:rPr>
              <w:t>P</w:t>
            </w:r>
            <w:r>
              <w:rPr>
                <w:rFonts w:ascii="Marianne" w:hAnsi="Marianne" w:cs="Arial"/>
                <w:position w:val="-1"/>
                <w:sz w:val="18"/>
                <w:szCs w:val="18"/>
                <w:lang w:val="en-GB"/>
              </w:rPr>
              <w:t xml:space="preserve">n </w:t>
            </w:r>
            <w:r>
              <w:rPr>
                <w:rFonts w:ascii="Marianne" w:hAnsi="Marianne" w:cs="Arial"/>
                <w:sz w:val="18"/>
                <w:szCs w:val="18"/>
                <w:lang w:val="en-GB"/>
              </w:rPr>
              <w:t>= P</w:t>
            </w:r>
            <w:r>
              <w:rPr>
                <w:rFonts w:ascii="Marianne" w:hAnsi="Marianne" w:cs="Arial"/>
                <w:position w:val="-1"/>
                <w:sz w:val="18"/>
                <w:szCs w:val="18"/>
                <w:lang w:val="en-GB"/>
              </w:rPr>
              <w:t xml:space="preserve">0  </w:t>
            </w:r>
            <w:r>
              <w:rPr>
                <w:rFonts w:ascii="Marianne" w:hAnsi="Marianne" w:cs="Arial"/>
                <w:sz w:val="18"/>
                <w:szCs w:val="18"/>
                <w:lang w:val="en-GB"/>
              </w:rPr>
              <w:t>x [0,2 + 0,80 x</w:t>
            </w:r>
            <w:r>
              <w:rPr>
                <w:rFonts w:ascii="Marianne" w:hAnsi="Marianne" w:cs="Arial"/>
                <w:spacing w:val="-11"/>
                <w:sz w:val="18"/>
                <w:szCs w:val="18"/>
                <w:lang w:val="en-GB"/>
              </w:rPr>
              <w:t xml:space="preserve"> </w:t>
            </w:r>
            <w:r>
              <w:rPr>
                <w:rFonts w:ascii="Marianne" w:hAnsi="Marianne" w:cs="Arial"/>
                <w:sz w:val="18"/>
                <w:szCs w:val="18"/>
                <w:lang w:val="en-GB"/>
              </w:rPr>
              <w:t>(ICHT-H</w:t>
            </w:r>
            <w:r>
              <w:rPr>
                <w:rFonts w:ascii="Marianne" w:hAnsi="Marianne" w:cs="Arial"/>
                <w:position w:val="-1"/>
                <w:sz w:val="18"/>
                <w:szCs w:val="18"/>
                <w:lang w:val="en-GB"/>
              </w:rPr>
              <w:t>n</w:t>
            </w:r>
            <w:r>
              <w:rPr>
                <w:rFonts w:ascii="Marianne" w:hAnsi="Marianne" w:cs="Arial"/>
                <w:sz w:val="18"/>
                <w:szCs w:val="18"/>
                <w:lang w:val="en-GB"/>
              </w:rPr>
              <w:t>/ICHT-H</w:t>
            </w:r>
            <w:r>
              <w:rPr>
                <w:rFonts w:ascii="Marianne" w:hAnsi="Marianne" w:cs="Arial"/>
                <w:position w:val="-1"/>
                <w:sz w:val="18"/>
                <w:szCs w:val="18"/>
                <w:lang w:val="en-GB"/>
              </w:rPr>
              <w:t>0</w:t>
            </w:r>
            <w:r>
              <w:rPr>
                <w:rFonts w:ascii="Marianne" w:hAnsi="Marianne" w:cs="Arial"/>
                <w:sz w:val="18"/>
                <w:szCs w:val="18"/>
                <w:lang w:val="en-GB"/>
              </w:rPr>
              <w:t>)]</w:t>
            </w:r>
          </w:p>
        </w:tc>
        <w:tc>
          <w:tcPr>
            <w:tcW w:w="2101" w:type="pct"/>
            <w:shd w:val="clear" w:color="auto" w:fill="FFFFFF"/>
            <w:vAlign w:val="center"/>
          </w:tcPr>
          <w:p w:rsidR="001B30FD" w:rsidRDefault="008B589B">
            <w:pPr>
              <w:pStyle w:val="TableParagraph"/>
              <w:jc w:val="center"/>
              <w:rPr>
                <w:rFonts w:ascii="Marianne" w:hAnsi="Marianne" w:cs="Arial"/>
                <w:sz w:val="18"/>
                <w:szCs w:val="18"/>
                <w:lang w:val="fr-FR"/>
              </w:rPr>
            </w:pPr>
            <w:r>
              <w:rPr>
                <w:rFonts w:ascii="Marianne" w:hAnsi="Marianne" w:cs="Arial"/>
                <w:sz w:val="18"/>
                <w:szCs w:val="18"/>
                <w:lang w:val="fr-FR"/>
              </w:rPr>
              <w:t>Identifiant INSEE</w:t>
            </w:r>
            <w:r>
              <w:rPr>
                <w:rFonts w:ascii="Marianne" w:hAnsi="Marianne" w:cs="Arial"/>
                <w:spacing w:val="-13"/>
                <w:sz w:val="18"/>
                <w:szCs w:val="18"/>
                <w:lang w:val="fr-FR"/>
              </w:rPr>
              <w:t xml:space="preserve"> </w:t>
            </w:r>
            <w:r>
              <w:rPr>
                <w:rFonts w:ascii="Marianne" w:hAnsi="Marianne" w:cs="Arial"/>
                <w:color w:val="00007F"/>
                <w:sz w:val="18"/>
                <w:szCs w:val="18"/>
                <w:u w:val="single"/>
                <w:lang w:val="fr-FR"/>
              </w:rPr>
              <w:t>001565196</w:t>
            </w:r>
          </w:p>
        </w:tc>
      </w:tr>
    </w:tbl>
    <w:p w:rsidR="001B30FD" w:rsidRDefault="001B30FD">
      <w:pPr>
        <w:spacing w:before="10"/>
        <w:ind w:left="426"/>
        <w:jc w:val="both"/>
        <w:rPr>
          <w:szCs w:val="18"/>
          <w:lang w:val="fr-FR"/>
        </w:rPr>
      </w:pPr>
    </w:p>
    <w:p w:rsidR="001B30FD" w:rsidRDefault="008B589B">
      <w:pPr>
        <w:pStyle w:val="Corpsdetexte"/>
        <w:spacing w:before="55"/>
        <w:ind w:right="126"/>
        <w:jc w:val="both"/>
        <w:rPr>
          <w:szCs w:val="18"/>
          <w:lang w:val="fr-FR"/>
        </w:rPr>
      </w:pPr>
      <w:r>
        <w:rPr>
          <w:szCs w:val="18"/>
          <w:lang w:val="fr-FR"/>
        </w:rPr>
        <w:t>La révision se fait par application de la</w:t>
      </w:r>
      <w:r>
        <w:rPr>
          <w:spacing w:val="9"/>
          <w:szCs w:val="18"/>
          <w:lang w:val="fr-FR"/>
        </w:rPr>
        <w:t xml:space="preserve"> </w:t>
      </w:r>
      <w:r>
        <w:rPr>
          <w:szCs w:val="18"/>
          <w:lang w:val="fr-FR"/>
        </w:rPr>
        <w:t>formule ci-dessus, dans laquelle</w:t>
      </w:r>
      <w:r>
        <w:rPr>
          <w:spacing w:val="-9"/>
          <w:szCs w:val="18"/>
          <w:lang w:val="fr-FR"/>
        </w:rPr>
        <w:t xml:space="preserve"> </w:t>
      </w:r>
      <w:r>
        <w:rPr>
          <w:szCs w:val="18"/>
          <w:lang w:val="fr-FR"/>
        </w:rPr>
        <w:t>:</w:t>
      </w:r>
    </w:p>
    <w:p w:rsidR="001B30FD" w:rsidRDefault="008B589B">
      <w:pPr>
        <w:pStyle w:val="Corpsdetexte"/>
        <w:spacing w:before="1" w:line="266" w:lineRule="exact"/>
        <w:jc w:val="both"/>
        <w:rPr>
          <w:szCs w:val="18"/>
          <w:lang w:val="fr-FR"/>
        </w:rPr>
      </w:pPr>
      <w:r>
        <w:rPr>
          <w:b/>
          <w:bCs/>
          <w:szCs w:val="18"/>
          <w:lang w:val="fr-FR"/>
        </w:rPr>
        <w:t>P</w:t>
      </w:r>
      <w:r>
        <w:rPr>
          <w:b/>
          <w:bCs/>
          <w:position w:val="-1"/>
          <w:szCs w:val="18"/>
          <w:lang w:val="fr-FR"/>
        </w:rPr>
        <w:t>n</w:t>
      </w:r>
      <w:r>
        <w:rPr>
          <w:szCs w:val="18"/>
          <w:lang w:val="fr-FR"/>
        </w:rPr>
        <w:t>= prix révisé €HT, à appliquer pour la période annuelle N ;</w:t>
      </w:r>
    </w:p>
    <w:p w:rsidR="001B30FD" w:rsidRDefault="008B589B">
      <w:pPr>
        <w:pStyle w:val="Corpsdetexte"/>
        <w:spacing w:line="266" w:lineRule="exact"/>
        <w:jc w:val="both"/>
        <w:rPr>
          <w:szCs w:val="18"/>
          <w:lang w:val="fr-FR"/>
        </w:rPr>
      </w:pPr>
      <w:r>
        <w:rPr>
          <w:b/>
          <w:bCs/>
          <w:spacing w:val="-2"/>
          <w:position w:val="2"/>
          <w:szCs w:val="18"/>
          <w:lang w:val="fr-FR"/>
        </w:rPr>
        <w:t>P</w:t>
      </w:r>
      <w:r>
        <w:rPr>
          <w:b/>
          <w:bCs/>
          <w:spacing w:val="1"/>
          <w:szCs w:val="18"/>
          <w:lang w:val="fr-FR"/>
        </w:rPr>
        <w:t>0</w:t>
      </w:r>
      <w:r>
        <w:rPr>
          <w:position w:val="2"/>
          <w:szCs w:val="18"/>
          <w:lang w:val="fr-FR"/>
        </w:rPr>
        <w:t>=</w:t>
      </w:r>
      <w:r>
        <w:rPr>
          <w:spacing w:val="-2"/>
          <w:position w:val="2"/>
          <w:szCs w:val="18"/>
          <w:lang w:val="fr-FR"/>
        </w:rPr>
        <w:t xml:space="preserve"> </w:t>
      </w:r>
      <w:r>
        <w:rPr>
          <w:szCs w:val="18"/>
          <w:lang w:val="fr-FR"/>
        </w:rPr>
        <w:t xml:space="preserve">prix initial €HT du marché </w:t>
      </w:r>
      <w:r>
        <w:rPr>
          <w:spacing w:val="6"/>
          <w:position w:val="2"/>
          <w:szCs w:val="18"/>
          <w:lang w:val="fr-FR"/>
        </w:rPr>
        <w:t>;</w:t>
      </w:r>
    </w:p>
    <w:p w:rsidR="001B30FD" w:rsidRDefault="008B589B">
      <w:pPr>
        <w:pStyle w:val="Corpsdetexte"/>
        <w:spacing w:before="5"/>
        <w:ind w:right="132"/>
        <w:jc w:val="both"/>
        <w:rPr>
          <w:szCs w:val="18"/>
          <w:lang w:val="fr-FR"/>
        </w:rPr>
      </w:pPr>
      <w:r>
        <w:rPr>
          <w:b/>
          <w:bCs/>
          <w:szCs w:val="18"/>
          <w:lang w:val="fr-FR"/>
        </w:rPr>
        <w:t>ICHT-H</w:t>
      </w:r>
      <w:r>
        <w:rPr>
          <w:b/>
          <w:bCs/>
          <w:position w:val="-1"/>
          <w:szCs w:val="18"/>
          <w:lang w:val="fr-FR"/>
        </w:rPr>
        <w:t>n</w:t>
      </w:r>
      <w:r>
        <w:rPr>
          <w:szCs w:val="18"/>
          <w:lang w:val="fr-FR"/>
        </w:rPr>
        <w:t>=</w:t>
      </w:r>
      <w:r>
        <w:rPr>
          <w:spacing w:val="31"/>
          <w:szCs w:val="18"/>
          <w:lang w:val="fr-FR"/>
        </w:rPr>
        <w:t xml:space="preserve"> </w:t>
      </w:r>
      <w:r>
        <w:rPr>
          <w:szCs w:val="18"/>
          <w:lang w:val="fr-FR"/>
        </w:rPr>
        <w:t>valeur de l’indice mensuel du coût horaire du travail révisé - Salaires et charges – Tous salariés - Services administratifs, soutien - correspondant au dernier indice connu publié à la date de révision</w:t>
      </w:r>
    </w:p>
    <w:p w:rsidR="001B30FD" w:rsidRDefault="008B589B">
      <w:pPr>
        <w:pStyle w:val="Corpsdetexte"/>
        <w:spacing w:line="244" w:lineRule="auto"/>
        <w:ind w:right="127"/>
        <w:jc w:val="both"/>
        <w:rPr>
          <w:szCs w:val="18"/>
          <w:lang w:val="fr-FR"/>
        </w:rPr>
      </w:pPr>
      <w:r>
        <w:rPr>
          <w:b/>
          <w:bCs/>
          <w:spacing w:val="-1"/>
          <w:position w:val="2"/>
          <w:szCs w:val="18"/>
          <w:lang w:val="fr-FR"/>
        </w:rPr>
        <w:t>ICHT</w:t>
      </w:r>
      <w:r>
        <w:rPr>
          <w:b/>
          <w:bCs/>
          <w:spacing w:val="2"/>
          <w:position w:val="2"/>
          <w:szCs w:val="18"/>
          <w:lang w:val="fr-FR"/>
        </w:rPr>
        <w:t>-</w:t>
      </w:r>
      <w:r>
        <w:rPr>
          <w:b/>
          <w:bCs/>
          <w:spacing w:val="-1"/>
          <w:position w:val="2"/>
          <w:szCs w:val="18"/>
          <w:lang w:val="fr-FR"/>
        </w:rPr>
        <w:t>H</w:t>
      </w:r>
      <w:r>
        <w:rPr>
          <w:b/>
          <w:bCs/>
          <w:spacing w:val="1"/>
          <w:szCs w:val="18"/>
          <w:lang w:val="fr-FR"/>
        </w:rPr>
        <w:t>0</w:t>
      </w:r>
      <w:r>
        <w:rPr>
          <w:position w:val="2"/>
          <w:szCs w:val="18"/>
          <w:lang w:val="fr-FR"/>
        </w:rPr>
        <w:t>=</w:t>
      </w:r>
      <w:r>
        <w:rPr>
          <w:spacing w:val="18"/>
          <w:position w:val="2"/>
          <w:szCs w:val="18"/>
          <w:lang w:val="fr-FR"/>
        </w:rPr>
        <w:t xml:space="preserve"> </w:t>
      </w:r>
      <w:r>
        <w:rPr>
          <w:szCs w:val="18"/>
          <w:lang w:val="fr-FR"/>
        </w:rPr>
        <w:t>même indice en valeur de base du marché du m</w:t>
      </w:r>
      <w:r>
        <w:rPr>
          <w:szCs w:val="18"/>
          <w:lang w:val="fr-FR"/>
        </w:rPr>
        <w:t xml:space="preserve">ois Mo correspondant à la date limite de remise des offres </w:t>
      </w:r>
    </w:p>
    <w:p w:rsidR="001B30FD" w:rsidRDefault="008B589B">
      <w:pPr>
        <w:jc w:val="both"/>
        <w:rPr>
          <w:rFonts w:eastAsia="Times New Roman"/>
          <w:szCs w:val="18"/>
          <w:lang w:val="fr-FR"/>
        </w:rPr>
      </w:pPr>
      <w:r>
        <w:rPr>
          <w:szCs w:val="18"/>
          <w:lang w:val="fr-FR"/>
        </w:rPr>
        <w:t>Le prix de règlement ainsi déterminé reste fixe entre chaque révision. L’indice identifié sur le site de l’INSEE est disponible en ayant recours au lien suivant</w:t>
      </w:r>
    </w:p>
    <w:p w:rsidR="001B30FD" w:rsidRDefault="008B589B">
      <w:pPr>
        <w:pStyle w:val="Sansinterligne"/>
        <w:jc w:val="both"/>
        <w:rPr>
          <w:rStyle w:val="Lienhypertexte"/>
          <w:rFonts w:ascii="Marianne" w:hAnsi="Marianne"/>
          <w:sz w:val="18"/>
          <w:szCs w:val="18"/>
          <w:lang w:val="fr-FR"/>
        </w:rPr>
      </w:pPr>
      <w:r>
        <w:rPr>
          <w:rStyle w:val="Lienhypertexte"/>
          <w:rFonts w:ascii="Marianne" w:hAnsi="Marianne"/>
          <w:sz w:val="18"/>
          <w:szCs w:val="18"/>
          <w:lang w:val="fr-FR"/>
        </w:rPr>
        <w:t>https://www.insee.fr/fr/statistique</w:t>
      </w:r>
      <w:r>
        <w:rPr>
          <w:rStyle w:val="Lienhypertexte"/>
          <w:rFonts w:ascii="Marianne" w:hAnsi="Marianne"/>
          <w:sz w:val="18"/>
          <w:szCs w:val="18"/>
          <w:lang w:val="fr-FR"/>
        </w:rPr>
        <w:t>s/serie/001565196</w:t>
      </w:r>
    </w:p>
    <w:p w:rsidR="001B30FD" w:rsidRDefault="001B30FD">
      <w:pPr>
        <w:pStyle w:val="Sansinterligne"/>
        <w:jc w:val="both"/>
        <w:rPr>
          <w:rFonts w:ascii="Marianne" w:hAnsi="Marianne"/>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sz w:val="18"/>
          <w:szCs w:val="18"/>
          <w:lang w:val="fr-FR"/>
        </w:rPr>
        <w:t>Les prix ainsi révisés sont invariables durant cette nouvelle période. Ils n‘ont pas à être constatés par voie d’avenant.</w:t>
      </w:r>
    </w:p>
    <w:p w:rsidR="001B30FD" w:rsidRDefault="001B30FD">
      <w:pPr>
        <w:rPr>
          <w:lang w:val="fr-FR"/>
        </w:rPr>
      </w:pPr>
    </w:p>
    <w:p w:rsidR="001B30FD" w:rsidRDefault="008B589B">
      <w:pPr>
        <w:pStyle w:val="Paragraphedeliste"/>
        <w:numPr>
          <w:ilvl w:val="0"/>
          <w:numId w:val="8"/>
        </w:numPr>
        <w:ind w:left="0" w:firstLine="426"/>
        <w:jc w:val="both"/>
        <w:rPr>
          <w:color w:val="FF0000"/>
          <w:szCs w:val="18"/>
          <w:lang w:val="fr-FR"/>
        </w:rPr>
      </w:pPr>
      <w:r>
        <w:rPr>
          <w:rFonts w:eastAsia="Times New Roman"/>
          <w:b/>
          <w:bCs/>
          <w:szCs w:val="18"/>
          <w:lang w:val="fr-FR" w:eastAsia="fr-FR"/>
        </w:rPr>
        <w:t xml:space="preserve">Liquidation de la révision des prix du marché </w:t>
      </w:r>
    </w:p>
    <w:p w:rsidR="001B30FD" w:rsidRDefault="008B589B">
      <w:pPr>
        <w:jc w:val="both"/>
        <w:rPr>
          <w:rFonts w:eastAsia="Times New Roman"/>
          <w:szCs w:val="18"/>
          <w:lang w:val="fr-FR"/>
        </w:rPr>
      </w:pPr>
      <w:r>
        <w:rPr>
          <w:rFonts w:eastAsia="Times New Roman"/>
          <w:szCs w:val="18"/>
          <w:lang w:val="fr-FR" w:eastAsia="fr-FR"/>
        </w:rPr>
        <w:t>Le coefficient est arrondi au millième supérieur.</w:t>
      </w:r>
    </w:p>
    <w:p w:rsidR="001B30FD" w:rsidRDefault="008B589B">
      <w:pPr>
        <w:jc w:val="both"/>
        <w:rPr>
          <w:rFonts w:eastAsia="Times New Roman"/>
          <w:szCs w:val="18"/>
          <w:lang w:val="fr-FR"/>
        </w:rPr>
      </w:pPr>
      <w:r>
        <w:rPr>
          <w:rFonts w:eastAsia="Times New Roman"/>
          <w:szCs w:val="18"/>
          <w:lang w:val="fr-FR" w:eastAsia="fr-FR"/>
        </w:rPr>
        <w:t>Si la quatrième décimale est comprise entre 0 et 4 (ces valeurs incluses), la troisième décimale reste inchangée (arrondie par défaut)</w:t>
      </w:r>
    </w:p>
    <w:p w:rsidR="001B30FD" w:rsidRDefault="008B589B">
      <w:pPr>
        <w:jc w:val="both"/>
        <w:rPr>
          <w:rFonts w:eastAsia="Times New Roman"/>
          <w:szCs w:val="18"/>
          <w:lang w:val="fr-FR"/>
        </w:rPr>
      </w:pPr>
      <w:r>
        <w:rPr>
          <w:rFonts w:eastAsia="Times New Roman"/>
          <w:szCs w:val="18"/>
          <w:lang w:val="fr-FR" w:eastAsia="fr-FR"/>
        </w:rPr>
        <w:t>Si la quatrième décimale est comprise entre 5 et 9 (ces valeurs incluses), la troisième décimale est augmentée d'une unit</w:t>
      </w:r>
      <w:r>
        <w:rPr>
          <w:rFonts w:eastAsia="Times New Roman"/>
          <w:szCs w:val="18"/>
          <w:lang w:val="fr-FR" w:eastAsia="fr-FR"/>
        </w:rPr>
        <w:t>é (arrondie par excès).</w:t>
      </w:r>
    </w:p>
    <w:p w:rsidR="001B30FD" w:rsidRDefault="001B30FD">
      <w:pPr>
        <w:rPr>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 xml:space="preserve">Dans le cas où l’indice venait à être arrêté en cours d’exécution, la PFRA sera seule décisionnaire du choix de l’indice de remplacement. </w:t>
      </w:r>
    </w:p>
    <w:p w:rsidR="001B30FD" w:rsidRDefault="001B30FD">
      <w:pPr>
        <w:rPr>
          <w:lang w:val="fr-FR"/>
        </w:rPr>
      </w:pP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La révision des prix est réalisée sur demande expresse du titulaire. La demande doit être transmise à l’Acheteur au plus tard un (1) mois avant la date anniversaire de notification du marché. En cas de silence du titulaire passé ce délai, les prix sont rép</w:t>
      </w:r>
      <w:r>
        <w:rPr>
          <w:rFonts w:eastAsia="Marianne" w:cs="Marianne"/>
          <w:lang w:val="fr-FR"/>
        </w:rPr>
        <w:t xml:space="preserve">utés reconduits à l’identique. Le titulaire ne peut procéder à aucune modification unilatérale des prix. </w:t>
      </w: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Les documents contenant le détail du nouveau calcul de la révision et les nouveaux tarifs (annexe financière révisée) seront envoyés par le titulair</w:t>
      </w:r>
      <w:r>
        <w:rPr>
          <w:rFonts w:eastAsia="Marianne" w:cs="Marianne"/>
          <w:lang w:val="fr-FR"/>
        </w:rPr>
        <w:t xml:space="preserve">e à l’acheteur, pour validation, à l’adresse mail suivante : </w:t>
      </w:r>
      <w:hyperlink w:history="1">
        <w:r>
          <w:rPr>
            <w:rStyle w:val="Lienhypertexte"/>
            <w:rFonts w:eastAsia="Marianne" w:cs="Marianne"/>
            <w:color w:val="0563C1"/>
            <w:lang w:val="fr-FR"/>
          </w:rPr>
          <w:t>pfra@occitanie.gouv.fr</w:t>
        </w:r>
      </w:hyperlink>
    </w:p>
    <w:p w:rsidR="001B30FD" w:rsidRDefault="001B30FD">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p>
    <w:p w:rsidR="001B30FD" w:rsidRDefault="008B589B">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r>
        <w:rPr>
          <w:rFonts w:eastAsia="Marianne" w:cs="Marianne"/>
          <w:lang w:val="fr-FR"/>
        </w:rPr>
        <w:t>La PFRA transmettra au titulaire une décision de révision pour la période concernée.</w:t>
      </w:r>
    </w:p>
    <w:p w:rsidR="001B30FD" w:rsidRDefault="001B30FD">
      <w:pPr>
        <w:rPr>
          <w:lang w:val="fr-FR"/>
        </w:rPr>
      </w:pPr>
    </w:p>
    <w:p w:rsidR="001B30FD" w:rsidRDefault="008B589B">
      <w:pPr>
        <w:pStyle w:val="Titre2"/>
        <w:ind w:left="576"/>
        <w:rPr>
          <w:rFonts w:ascii="Marianne ExtraBold" w:hAnsi="Marianne ExtraBold"/>
          <w:lang w:val="fr-FR"/>
        </w:rPr>
      </w:pPr>
      <w:bookmarkStart w:id="19" w:name="_Toc19"/>
      <w:r>
        <w:rPr>
          <w:rFonts w:ascii="Marianne ExtraBold" w:hAnsi="Marianne ExtraBold"/>
          <w:lang w:val="fr-FR"/>
        </w:rPr>
        <w:t>CLAUSE DE SAUVEGARDE</w:t>
      </w:r>
      <w:bookmarkEnd w:id="19"/>
    </w:p>
    <w:p w:rsidR="001B30FD" w:rsidRDefault="001B30FD">
      <w:pPr>
        <w:rPr>
          <w:szCs w:val="18"/>
          <w:lang w:val="fr-FR"/>
        </w:rPr>
      </w:pPr>
    </w:p>
    <w:p w:rsidR="001B30FD" w:rsidRDefault="008B589B">
      <w:pPr>
        <w:rPr>
          <w:rFonts w:eastAsia="Times New Roman"/>
          <w:szCs w:val="18"/>
          <w:lang w:val="fr-FR"/>
        </w:rPr>
      </w:pPr>
      <w:r>
        <w:rPr>
          <w:szCs w:val="18"/>
          <w:lang w:val="fr-FR"/>
        </w:rPr>
        <w:t>Si l’augmentation des prix résultant de la révision est supérieure à 3%</w:t>
      </w:r>
      <w:r>
        <w:rPr>
          <w:color w:val="FF0000"/>
          <w:szCs w:val="18"/>
          <w:lang w:val="fr-FR"/>
        </w:rPr>
        <w:t xml:space="preserve"> </w:t>
      </w:r>
      <w:r>
        <w:rPr>
          <w:szCs w:val="18"/>
          <w:lang w:val="fr-FR"/>
        </w:rPr>
        <w:t>sur la durée totale du marché, l’acheteur se réserve la possibilité de résilier le marché sans que le titulaire ne puisse prétendre à aucune indemnité.</w:t>
      </w:r>
    </w:p>
    <w:p w:rsidR="001B30FD" w:rsidRDefault="001B30FD">
      <w:pPr>
        <w:rPr>
          <w:lang w:val="fr-FR"/>
        </w:rPr>
      </w:pPr>
    </w:p>
    <w:p w:rsidR="001B30FD" w:rsidRDefault="008B589B">
      <w:pPr>
        <w:pStyle w:val="Titre1"/>
        <w:rPr>
          <w:lang w:val="fr-FR"/>
        </w:rPr>
      </w:pPr>
      <w:bookmarkStart w:id="20" w:name="_Toc20"/>
      <w:r>
        <w:rPr>
          <w:lang w:val="fr-FR"/>
        </w:rPr>
        <w:t>ACHATS RESPONSABLES</w:t>
      </w:r>
      <w:bookmarkEnd w:id="20"/>
    </w:p>
    <w:p w:rsidR="001B30FD" w:rsidRDefault="001B30FD">
      <w:pPr>
        <w:pStyle w:val="Sansinterligne"/>
        <w:jc w:val="both"/>
        <w:rPr>
          <w:rFonts w:ascii="Marianne" w:hAnsi="Marianne"/>
          <w:lang w:val="fr-FR"/>
        </w:rPr>
      </w:pPr>
    </w:p>
    <w:p w:rsidR="001B30FD" w:rsidRDefault="008B589B">
      <w:pPr>
        <w:pStyle w:val="Titre2"/>
        <w:ind w:left="576"/>
        <w:rPr>
          <w:rFonts w:ascii="Marianne ExtraBold" w:hAnsi="Marianne ExtraBold"/>
          <w:lang w:val="fr-FR"/>
        </w:rPr>
      </w:pPr>
      <w:bookmarkStart w:id="21" w:name="_Toc21"/>
      <w:r>
        <w:rPr>
          <w:rFonts w:ascii="Marianne ExtraBold" w:hAnsi="Marianne ExtraBold"/>
          <w:lang w:val="fr-FR"/>
        </w:rPr>
        <w:t xml:space="preserve">PROMOTION </w:t>
      </w:r>
      <w:r>
        <w:rPr>
          <w:rFonts w:ascii="Marianne ExtraBold" w:hAnsi="Marianne ExtraBold"/>
          <w:lang w:val="fr-FR"/>
        </w:rPr>
        <w:t>DE LA D</w:t>
      </w:r>
      <w:r>
        <w:rPr>
          <w:rFonts w:ascii="Marianne ExtraBold" w:hAnsi="Marianne ExtraBold" w:hint="eastAsia"/>
          <w:lang w:val="fr-FR"/>
        </w:rPr>
        <w:t>É</w:t>
      </w:r>
      <w:r>
        <w:rPr>
          <w:rFonts w:ascii="Marianne ExtraBold" w:hAnsi="Marianne ExtraBold"/>
          <w:lang w:val="fr-FR"/>
        </w:rPr>
        <w:t xml:space="preserve">MARCHE DE LABELLISATION RFAR : </w:t>
      </w:r>
      <w:r>
        <w:rPr>
          <w:rFonts w:ascii="Marianne ExtraBold" w:hAnsi="Marianne ExtraBold" w:hint="eastAsia"/>
          <w:lang w:val="fr-FR"/>
        </w:rPr>
        <w:t>«</w:t>
      </w:r>
      <w:r>
        <w:rPr>
          <w:rFonts w:ascii="Marianne ExtraBold" w:hAnsi="Marianne ExtraBold"/>
          <w:lang w:val="fr-FR"/>
        </w:rPr>
        <w:t xml:space="preserve"> RELATIONS FOURNISSEURS ET ACHATS RESPONSABLES </w:t>
      </w:r>
      <w:r>
        <w:rPr>
          <w:rFonts w:ascii="Marianne ExtraBold" w:hAnsi="Marianne ExtraBold" w:hint="eastAsia"/>
          <w:lang w:val="fr-FR"/>
        </w:rPr>
        <w:t>»</w:t>
      </w:r>
      <w:bookmarkEnd w:id="21"/>
    </w:p>
    <w:p w:rsidR="001B30FD" w:rsidRDefault="001B30FD">
      <w:pPr>
        <w:rPr>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La PFRA OCCITANIE a été labellisée « Relations fournisseurs et achats Responsables » le 23 janvier 2024.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Par conséquent, la PFRA souhaite continuer à améliorer sa r</w:t>
      </w:r>
      <w:r>
        <w:rPr>
          <w:rFonts w:ascii="Marianne" w:hAnsi="Marianne" w:cs="Arial"/>
          <w:sz w:val="18"/>
          <w:lang w:val="fr-FR"/>
        </w:rPr>
        <w:t>elation avec ses fournisseurs en :</w:t>
      </w:r>
    </w:p>
    <w:p w:rsidR="001B30FD" w:rsidRDefault="008B589B">
      <w:pPr>
        <w:pStyle w:val="Sansinterligne"/>
        <w:numPr>
          <w:ilvl w:val="0"/>
          <w:numId w:val="15"/>
        </w:numPr>
        <w:jc w:val="both"/>
        <w:rPr>
          <w:rFonts w:ascii="Marianne" w:hAnsi="Marianne" w:cs="Arial"/>
          <w:sz w:val="18"/>
          <w:lang w:val="fr-FR"/>
        </w:rPr>
      </w:pPr>
      <w:r>
        <w:rPr>
          <w:rFonts w:ascii="Marianne" w:hAnsi="Marianne" w:cs="Arial"/>
          <w:sz w:val="18"/>
          <w:lang w:val="fr-FR"/>
        </w:rPr>
        <w:t>Mettant en place des conditions favorables au développement de relation équilibrée ;</w:t>
      </w:r>
    </w:p>
    <w:p w:rsidR="001B30FD" w:rsidRDefault="008B589B">
      <w:pPr>
        <w:pStyle w:val="Sansinterligne"/>
        <w:numPr>
          <w:ilvl w:val="0"/>
          <w:numId w:val="15"/>
        </w:numPr>
        <w:jc w:val="both"/>
        <w:rPr>
          <w:rFonts w:ascii="Marianne" w:hAnsi="Marianne" w:cs="Arial"/>
          <w:sz w:val="18"/>
          <w:lang w:val="fr-FR"/>
        </w:rPr>
      </w:pPr>
      <w:r>
        <w:rPr>
          <w:rFonts w:ascii="Marianne" w:hAnsi="Marianne" w:cs="Arial"/>
          <w:sz w:val="18"/>
          <w:lang w:val="fr-FR"/>
        </w:rPr>
        <w:t>Veillant aux intérêts des fournisseurs et sous-traitants ;</w:t>
      </w:r>
    </w:p>
    <w:p w:rsidR="001B30FD" w:rsidRDefault="008B589B">
      <w:pPr>
        <w:pStyle w:val="Sansinterligne"/>
        <w:numPr>
          <w:ilvl w:val="0"/>
          <w:numId w:val="15"/>
        </w:numPr>
        <w:jc w:val="both"/>
        <w:rPr>
          <w:rFonts w:ascii="Marianne" w:hAnsi="Marianne" w:cs="Arial"/>
          <w:sz w:val="18"/>
          <w:lang w:val="fr-FR"/>
        </w:rPr>
      </w:pPr>
      <w:r>
        <w:rPr>
          <w:rFonts w:ascii="Marianne" w:hAnsi="Marianne" w:cs="Arial"/>
          <w:sz w:val="18"/>
          <w:lang w:val="fr-FR"/>
        </w:rPr>
        <w:t>Valorisant la démarche d’écoute de la voix des fournisseurs.</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A ce titre, ell</w:t>
      </w:r>
      <w:r>
        <w:rPr>
          <w:rFonts w:ascii="Marianne" w:hAnsi="Marianne" w:cs="Arial"/>
          <w:sz w:val="18"/>
          <w:lang w:val="fr-FR"/>
        </w:rPr>
        <w:t xml:space="preserve">e encourage ses fournisseurs à : </w:t>
      </w:r>
    </w:p>
    <w:p w:rsidR="001B30FD" w:rsidRDefault="008B589B">
      <w:pPr>
        <w:pStyle w:val="Sansinterligne"/>
        <w:numPr>
          <w:ilvl w:val="0"/>
          <w:numId w:val="16"/>
        </w:numPr>
        <w:jc w:val="both"/>
        <w:rPr>
          <w:rFonts w:ascii="Marianne" w:hAnsi="Marianne" w:cs="Arial"/>
          <w:sz w:val="18"/>
          <w:lang w:val="fr-FR"/>
        </w:rPr>
      </w:pPr>
      <w:r>
        <w:rPr>
          <w:rFonts w:ascii="Marianne" w:hAnsi="Marianne" w:cs="Arial"/>
          <w:sz w:val="18"/>
          <w:lang w:val="fr-FR"/>
        </w:rPr>
        <w:t xml:space="preserve">Mettre en place une démarche d’amélioration continue en matière de RSE et valoriser les évolutions en cours de marché </w:t>
      </w:r>
    </w:p>
    <w:p w:rsidR="001B30FD" w:rsidRDefault="008B589B">
      <w:pPr>
        <w:pStyle w:val="Sansinterligne"/>
        <w:numPr>
          <w:ilvl w:val="0"/>
          <w:numId w:val="16"/>
        </w:numPr>
        <w:jc w:val="both"/>
        <w:rPr>
          <w:rFonts w:ascii="Marianne" w:hAnsi="Marianne" w:cs="Arial"/>
          <w:sz w:val="18"/>
          <w:lang w:val="fr-FR"/>
        </w:rPr>
      </w:pPr>
      <w:r>
        <w:rPr>
          <w:rFonts w:ascii="Marianne" w:hAnsi="Marianne" w:cs="Arial"/>
          <w:sz w:val="18"/>
          <w:lang w:val="fr-FR"/>
        </w:rPr>
        <w:t>Construire un projet fédérateur transversal et de transformation autour d’une politique achats responsables, en y associant l’ensemble des directions concernées ;</w:t>
      </w:r>
    </w:p>
    <w:p w:rsidR="001B30FD" w:rsidRDefault="008B589B">
      <w:pPr>
        <w:pStyle w:val="Sansinterligne"/>
        <w:numPr>
          <w:ilvl w:val="0"/>
          <w:numId w:val="16"/>
        </w:numPr>
        <w:jc w:val="both"/>
        <w:rPr>
          <w:rFonts w:ascii="Marianne" w:hAnsi="Marianne" w:cs="Arial"/>
          <w:sz w:val="18"/>
          <w:lang w:val="fr-FR"/>
        </w:rPr>
      </w:pPr>
      <w:r>
        <w:rPr>
          <w:rFonts w:ascii="Marianne" w:hAnsi="Marianne" w:cs="Arial"/>
          <w:sz w:val="18"/>
          <w:lang w:val="fr-FR"/>
        </w:rPr>
        <w:t>Développer les bonnes pratiques achats responsables dans l’ensemble de la chaîne d’approvisio</w:t>
      </w:r>
      <w:r>
        <w:rPr>
          <w:rFonts w:ascii="Marianne" w:hAnsi="Marianne" w:cs="Arial"/>
          <w:sz w:val="18"/>
          <w:lang w:val="fr-FR"/>
        </w:rPr>
        <w:t>nnement ;</w:t>
      </w:r>
    </w:p>
    <w:p w:rsidR="001B30FD" w:rsidRDefault="008B589B">
      <w:pPr>
        <w:pStyle w:val="Sansinterligne"/>
        <w:numPr>
          <w:ilvl w:val="0"/>
          <w:numId w:val="16"/>
        </w:numPr>
        <w:jc w:val="both"/>
        <w:rPr>
          <w:rFonts w:ascii="Marianne" w:hAnsi="Marianne" w:cs="Arial"/>
          <w:sz w:val="18"/>
          <w:lang w:val="fr-FR"/>
        </w:rPr>
      </w:pPr>
      <w:r>
        <w:rPr>
          <w:rFonts w:ascii="Marianne" w:hAnsi="Marianne" w:cs="Arial"/>
          <w:sz w:val="18"/>
          <w:lang w:val="fr-FR"/>
        </w:rPr>
        <w:t>S’engager dans un parcours d’achats responsables en signant la Charte RFAR et œuvrer à l’obtention du Label RFAR.</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Aussi, le titulaire s'engage à informer la PFRA de toute démarche entreprise en la matière, et notamment : </w:t>
      </w:r>
    </w:p>
    <w:p w:rsidR="001B30FD" w:rsidRDefault="008B589B">
      <w:pPr>
        <w:pStyle w:val="Sansinterligne"/>
        <w:numPr>
          <w:ilvl w:val="0"/>
          <w:numId w:val="17"/>
        </w:numPr>
        <w:jc w:val="both"/>
        <w:rPr>
          <w:rFonts w:ascii="Marianne" w:hAnsi="Marianne" w:cs="Arial"/>
          <w:sz w:val="18"/>
          <w:lang w:val="fr-FR"/>
        </w:rPr>
      </w:pPr>
      <w:r>
        <w:rPr>
          <w:rFonts w:ascii="Marianne" w:hAnsi="Marianne" w:cs="Arial"/>
          <w:sz w:val="18"/>
          <w:lang w:val="fr-FR"/>
        </w:rPr>
        <w:t>La signature de la Char</w:t>
      </w:r>
      <w:r>
        <w:rPr>
          <w:rFonts w:ascii="Marianne" w:hAnsi="Marianne" w:cs="Arial"/>
          <w:sz w:val="18"/>
          <w:lang w:val="fr-FR"/>
        </w:rPr>
        <w:t>te « Relations fournisseurs et achats responsables »,</w:t>
      </w:r>
    </w:p>
    <w:p w:rsidR="001B30FD" w:rsidRDefault="008B589B">
      <w:pPr>
        <w:pStyle w:val="Sansinterligne"/>
        <w:numPr>
          <w:ilvl w:val="0"/>
          <w:numId w:val="17"/>
        </w:numPr>
        <w:jc w:val="both"/>
        <w:rPr>
          <w:rFonts w:ascii="Marianne" w:hAnsi="Marianne" w:cs="Arial"/>
          <w:sz w:val="18"/>
          <w:lang w:val="fr-FR"/>
        </w:rPr>
      </w:pPr>
      <w:r>
        <w:rPr>
          <w:rFonts w:ascii="Marianne" w:hAnsi="Marianne" w:cs="Arial"/>
          <w:sz w:val="18"/>
          <w:lang w:val="fr-FR"/>
        </w:rPr>
        <w:t>L’obtention du Label « Relations fournisseurs et achats responsables » (RFAR), et/ou toute norme ou tout label équivalent.</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 Médiateur des entreprises et le Conseil national des achats (CNA) se propos</w:t>
      </w:r>
      <w:r>
        <w:rPr>
          <w:rFonts w:ascii="Marianne" w:hAnsi="Marianne" w:cs="Arial"/>
          <w:sz w:val="18"/>
          <w:lang w:val="fr-FR"/>
        </w:rPr>
        <w:t>ent de vous accompagner dans cette démarche.</w:t>
      </w:r>
    </w:p>
    <w:p w:rsidR="001B30FD" w:rsidRDefault="008B589B">
      <w:pPr>
        <w:pStyle w:val="Sansinterligne"/>
        <w:jc w:val="both"/>
        <w:rPr>
          <w:rFonts w:ascii="Marianne" w:hAnsi="Marianne" w:cs="Arial"/>
          <w:sz w:val="18"/>
          <w:lang w:val="fr-FR"/>
        </w:rPr>
      </w:pPr>
      <w:r>
        <w:rPr>
          <w:rFonts w:ascii="Marianne" w:hAnsi="Marianne" w:cs="Arial"/>
          <w:sz w:val="18"/>
          <w:lang w:val="fr-FR"/>
        </w:rPr>
        <w:t>Pour toute information, consultez le site internet :</w:t>
      </w:r>
    </w:p>
    <w:p w:rsidR="001B30FD" w:rsidRDefault="008B589B">
      <w:pPr>
        <w:pStyle w:val="Sansinterligne"/>
        <w:jc w:val="both"/>
        <w:rPr>
          <w:rFonts w:ascii="Marianne" w:hAnsi="Marianne" w:cs="Arial"/>
          <w:sz w:val="18"/>
          <w:lang w:val="fr-FR"/>
        </w:rPr>
      </w:pPr>
      <w:hyperlink r:id="rId16" w:tooltip="https://www.economie.gouv.fr/mediateur-des-entreprises/pour-des-relations-fournisseurs-responsables" w:history="1">
        <w:r>
          <w:rPr>
            <w:rStyle w:val="Lienhypertexte"/>
            <w:rFonts w:ascii="Marianne" w:hAnsi="Marianne" w:cs="Arial"/>
            <w:sz w:val="18"/>
            <w:lang w:val="fr-FR"/>
          </w:rPr>
          <w:t>https://www.economie.gouv.fr/mediateur-des-entreprises</w:t>
        </w:r>
      </w:hyperlink>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Contact: </w:t>
      </w:r>
      <w:hyperlink r:id="rId17" w:tooltip="mailto:charterfar@finances.gouv.fr" w:history="1">
        <w:r>
          <w:rPr>
            <w:rStyle w:val="Lienhypertexte"/>
            <w:rFonts w:ascii="Marianne" w:hAnsi="Marianne" w:cs="Arial"/>
            <w:sz w:val="18"/>
            <w:lang w:val="fr-FR"/>
          </w:rPr>
          <w:t>charterfar@finances.gouv.fr</w:t>
        </w:r>
      </w:hyperlink>
      <w:r>
        <w:rPr>
          <w:rFonts w:ascii="Marianne" w:hAnsi="Marianne" w:cs="Arial"/>
          <w:sz w:val="18"/>
          <w:lang w:val="fr-FR"/>
        </w:rPr>
        <w:t xml:space="preserve"> </w:t>
      </w:r>
    </w:p>
    <w:p w:rsidR="001B30FD" w:rsidRDefault="001B30FD">
      <w:pPr>
        <w:rPr>
          <w:lang w:val="fr-FR"/>
        </w:rPr>
      </w:pPr>
    </w:p>
    <w:p w:rsidR="001B30FD" w:rsidRDefault="008B589B">
      <w:pPr>
        <w:pStyle w:val="Titre2"/>
        <w:ind w:left="576"/>
        <w:rPr>
          <w:rFonts w:ascii="Marianne ExtraBold" w:hAnsi="Marianne ExtraBold"/>
          <w:lang w:val="fr-FR"/>
        </w:rPr>
      </w:pPr>
      <w:bookmarkStart w:id="22" w:name="_Toc22"/>
      <w:r>
        <w:rPr>
          <w:rFonts w:ascii="Marianne ExtraBold" w:hAnsi="Marianne ExtraBold"/>
          <w:lang w:val="fr-FR"/>
        </w:rPr>
        <w:lastRenderedPageBreak/>
        <w:t>CLAUSE ENVIRONNEMENTALE</w:t>
      </w:r>
      <w:bookmarkEnd w:id="22"/>
    </w:p>
    <w:p w:rsidR="001B30FD" w:rsidRDefault="001B30FD">
      <w:pPr>
        <w:rPr>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Dans une volonté de protection de l'environnement, il est fait application de l'article L.2112-2 du code de la commande publique, en prévoyant des conditions d'exécution des prestations comportant des éléments à caractère environne</w:t>
      </w:r>
      <w:r>
        <w:rPr>
          <w:rFonts w:ascii="Marianne" w:hAnsi="Marianne" w:cs="Arial"/>
          <w:sz w:val="18"/>
          <w:lang w:val="fr-FR"/>
        </w:rPr>
        <w:t>mental.</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Durant l’exécution du marché, le titulaire s’engage à mettre en œuvre les pratiques les moins impactantes sur l’environnement.</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lang w:val="fr-FR"/>
        </w:rPr>
        <w:t>En particulier, il respecte les clauses suivantes :</w:t>
      </w:r>
    </w:p>
    <w:p w:rsidR="001B30FD" w:rsidRDefault="001B30FD">
      <w:pPr>
        <w:pStyle w:val="Sansinterligne"/>
        <w:jc w:val="both"/>
        <w:rPr>
          <w:rFonts w:ascii="Marianne" w:hAnsi="Marianne" w:cs="Arial"/>
          <w:sz w:val="18"/>
          <w:szCs w:val="18"/>
          <w:lang w:val="fr-FR"/>
        </w:rPr>
      </w:pP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23" w:name="_Toc23"/>
      <w:r>
        <w:rPr>
          <w:rFonts w:ascii="Marianne ExtraBold" w:eastAsiaTheme="majorEastAsia" w:hAnsi="Marianne ExtraBold" w:cstheme="majorBidi"/>
          <w:caps/>
          <w:color w:val="465F9D"/>
          <w:sz w:val="22"/>
          <w:szCs w:val="26"/>
          <w:lang w:val="fr-FR" w:eastAsia="en-US"/>
        </w:rPr>
        <w:t>BEGES et plan de transition associ</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 xml:space="preserve"> du titulaire</w:t>
      </w:r>
      <w:bookmarkEnd w:id="23"/>
    </w:p>
    <w:p w:rsidR="001B30FD" w:rsidRDefault="008B589B">
      <w:pPr>
        <w:pStyle w:val="Sansinterligne"/>
        <w:jc w:val="both"/>
        <w:rPr>
          <w:rFonts w:ascii="Marianne" w:hAnsi="Marianne" w:cs="Arial"/>
          <w:b/>
          <w:sz w:val="18"/>
          <w:lang w:val="fr-FR"/>
        </w:rPr>
      </w:pPr>
      <w:r>
        <w:rPr>
          <w:rFonts w:ascii="Marianne" w:hAnsi="Marianne" w:cs="Arial"/>
          <w:b/>
          <w:sz w:val="18"/>
          <w:lang w:val="fr-FR"/>
        </w:rPr>
        <w:t xml:space="preserve">Seulement pour les entreprises soumises au BEGES (&gt;500 salariés).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En application de la circulaire « Engagements pour la transformation écologique de l’Etat » (circulaire de la Première ministre n°6425SG du 21 novembre 2023), il</w:t>
      </w:r>
      <w:r>
        <w:rPr>
          <w:rFonts w:ascii="Marianne" w:hAnsi="Marianne" w:cs="Arial"/>
          <w:sz w:val="18"/>
          <w:lang w:val="fr-FR"/>
        </w:rPr>
        <w:t xml:space="preserve"> est exigé des titulaires soumis à l’article L229-25 du code de l'environnement et du décret n°2022-982 du 1er juillet 2022 relatif aux BEGES, de communiquer à l’acheteur leur BEGES et plan de transition associé dans un délai maximum de trois (03) mois apr</w:t>
      </w:r>
      <w:r>
        <w:rPr>
          <w:rFonts w:ascii="Marianne" w:hAnsi="Marianne" w:cs="Arial"/>
          <w:sz w:val="18"/>
          <w:lang w:val="fr-FR"/>
        </w:rPr>
        <w:t>ès notification du marché. Le BEGES doit couvrir toute la durée d’exécution du marché. Un nouveau BEGES (et plan de transition) sera communiqué à l’acheteur si le BEGES communiqué après notification du marché arrive à échéance durant l’exécution du marché.</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La communication du BEGES doit impérativement être effectuée via la page de l’ADEME </w:t>
      </w:r>
      <w:hyperlink r:id="rId18" w:tooltip="https://bilans-ges.ademe.fr/" w:history="1">
        <w:r>
          <w:rPr>
            <w:rStyle w:val="Lienhypertexte"/>
            <w:rFonts w:ascii="Marianne" w:hAnsi="Marianne" w:cs="Arial"/>
            <w:sz w:val="18"/>
            <w:lang w:val="fr-FR"/>
          </w:rPr>
          <w:t>https://bilans-ges.ademe.fr/</w:t>
        </w:r>
      </w:hyperlink>
      <w:r>
        <w:rPr>
          <w:rFonts w:ascii="Marianne" w:hAnsi="Marianne" w:cs="Arial"/>
          <w:sz w:val="18"/>
          <w:lang w:val="fr-FR"/>
        </w:rPr>
        <w:t xml:space="preserve">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Les plans de transition sont communiqués sur cette même page</w:t>
      </w:r>
      <w:r>
        <w:rPr>
          <w:rFonts w:ascii="Marianne" w:hAnsi="Marianne" w:cs="Arial"/>
          <w:sz w:val="18"/>
          <w:lang w:val="fr-FR"/>
        </w:rPr>
        <w:t>. Toutefois, les titulaires soumis aux obligations de déclaration extra-financière peuvent communiquer leur plan de transition via leur rapport de performance extra-financière. Ils indiqueront le lien à l’acheteur.</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24" w:name="_Toc24"/>
      <w:r>
        <w:rPr>
          <w:rFonts w:ascii="Marianne ExtraBold" w:eastAsiaTheme="majorEastAsia" w:hAnsi="Marianne ExtraBold" w:cstheme="majorBidi"/>
          <w:caps/>
          <w:color w:val="465F9D"/>
          <w:sz w:val="22"/>
          <w:szCs w:val="26"/>
          <w:lang w:val="fr-FR" w:eastAsia="en-US"/>
        </w:rPr>
        <w:t>Qualit</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 xml:space="preserve"> environnementale des v</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hicules ro</w:t>
      </w:r>
      <w:r>
        <w:rPr>
          <w:rFonts w:ascii="Marianne ExtraBold" w:eastAsiaTheme="majorEastAsia" w:hAnsi="Marianne ExtraBold" w:cstheme="majorBidi"/>
          <w:caps/>
          <w:color w:val="465F9D"/>
          <w:sz w:val="22"/>
          <w:szCs w:val="26"/>
          <w:lang w:val="fr-FR" w:eastAsia="en-US"/>
        </w:rPr>
        <w:t>utiers utilis</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s pour l</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caps/>
          <w:color w:val="465F9D"/>
          <w:sz w:val="22"/>
          <w:szCs w:val="26"/>
          <w:lang w:val="fr-FR" w:eastAsia="en-US"/>
        </w:rPr>
        <w:t>ex</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cution du march</w:t>
      </w:r>
      <w:r>
        <w:rPr>
          <w:rFonts w:ascii="Marianne ExtraBold" w:eastAsiaTheme="majorEastAsia" w:hAnsi="Marianne ExtraBold" w:cstheme="majorBidi" w:hint="eastAsia"/>
          <w:caps/>
          <w:color w:val="465F9D"/>
          <w:sz w:val="22"/>
          <w:szCs w:val="26"/>
          <w:lang w:val="fr-FR" w:eastAsia="en-US"/>
        </w:rPr>
        <w:t>é</w:t>
      </w:r>
      <w:bookmarkEnd w:id="24"/>
    </w:p>
    <w:p w:rsidR="001B30FD" w:rsidRDefault="008B589B">
      <w:pPr>
        <w:pStyle w:val="Sansinterligne"/>
        <w:jc w:val="both"/>
        <w:rPr>
          <w:rFonts w:ascii="Marianne" w:hAnsi="Marianne" w:cs="Arial"/>
          <w:color w:val="FF0000"/>
          <w:sz w:val="18"/>
          <w:lang w:val="fr-FR"/>
        </w:rPr>
      </w:pPr>
      <w:r>
        <w:rPr>
          <w:rFonts w:ascii="Marianne" w:hAnsi="Marianne" w:cs="Arial"/>
          <w:sz w:val="18"/>
          <w:lang w:val="fr-FR"/>
        </w:rPr>
        <w:t xml:space="preserve">Le présent article s’applique aux véhicules mobilisés dans le cadre de l’exécution du marché que la prestation soit réalisée en flotte propre ou </w:t>
      </w:r>
      <w:r>
        <w:rPr>
          <w:rFonts w:ascii="Marianne" w:hAnsi="Marianne" w:cs="Arial"/>
          <w:color w:val="000000" w:themeColor="text1"/>
          <w:sz w:val="18"/>
          <w:lang w:val="fr-FR"/>
        </w:rPr>
        <w:t>externalisée (notamment le déplacement des contrôleurs qualité de le</w:t>
      </w:r>
      <w:r>
        <w:rPr>
          <w:rFonts w:ascii="Marianne" w:hAnsi="Marianne" w:cs="Arial"/>
          <w:color w:val="000000" w:themeColor="text1"/>
          <w:sz w:val="18"/>
          <w:lang w:val="fr-FR"/>
        </w:rPr>
        <w:t>ur domicile vers les établissements hôteliers, quotidiennement).</w:t>
      </w:r>
    </w:p>
    <w:p w:rsidR="001B30FD" w:rsidRDefault="001B30FD">
      <w:pPr>
        <w:pStyle w:val="Sansinterligne"/>
        <w:jc w:val="both"/>
        <w:rPr>
          <w:rFonts w:ascii="Marianne" w:hAnsi="Marianne" w:cs="Arial"/>
          <w:sz w:val="18"/>
          <w:lang w:val="fr-FR"/>
        </w:rPr>
      </w:pPr>
    </w:p>
    <w:p w:rsidR="001B30FD" w:rsidRDefault="008B589B">
      <w:pPr>
        <w:jc w:val="both"/>
        <w:rPr>
          <w:lang w:val="fr-FR"/>
        </w:rPr>
      </w:pPr>
      <w:r>
        <w:rPr>
          <w:lang w:val="fr-FR"/>
        </w:rPr>
        <w:t>Le titulaire adresse à l’acheteur au bilan annuel, sous format électronique, en accès libre et facilement exploitable, un tableau synthétique. La mise à disposition et mise en forme sont à l</w:t>
      </w:r>
      <w:r>
        <w:rPr>
          <w:lang w:val="fr-FR"/>
        </w:rPr>
        <w:t>’initiative du titulaire et devra être au format Excel). Il fournit à la demande de l’acheteur, tout document permettant d’attester de ces caractéristiques (ex. certificat de conformité du véhicule, certificat d’immatriculation).</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25" w:name="_Toc25"/>
      <w:r>
        <w:rPr>
          <w:rFonts w:ascii="Marianne ExtraBold" w:eastAsiaTheme="majorEastAsia" w:hAnsi="Marianne ExtraBold" w:cstheme="majorBidi"/>
          <w:caps/>
          <w:color w:val="465F9D"/>
          <w:sz w:val="22"/>
          <w:szCs w:val="26"/>
          <w:lang w:val="fr-FR" w:eastAsia="en-US"/>
        </w:rPr>
        <w:t xml:space="preserve">Formation des conducteurs </w:t>
      </w:r>
      <w:r>
        <w:rPr>
          <w:rFonts w:ascii="Marianne ExtraBold" w:eastAsiaTheme="majorEastAsia" w:hAnsi="Marianne ExtraBold" w:cstheme="majorBidi" w:hint="eastAsia"/>
          <w:caps/>
          <w:color w:val="465F9D"/>
          <w:sz w:val="22"/>
          <w:szCs w:val="26"/>
          <w:lang w:val="fr-FR" w:eastAsia="en-US"/>
        </w:rPr>
        <w:t>à</w:t>
      </w:r>
      <w:r>
        <w:rPr>
          <w:rFonts w:ascii="Marianne ExtraBold" w:eastAsiaTheme="majorEastAsia" w:hAnsi="Marianne ExtraBold" w:cstheme="majorBidi"/>
          <w:caps/>
          <w:color w:val="465F9D"/>
          <w:sz w:val="22"/>
          <w:szCs w:val="26"/>
          <w:lang w:val="fr-FR" w:eastAsia="en-US"/>
        </w:rPr>
        <w:t xml:space="preserve"> l</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coconduite</w:t>
      </w:r>
      <w:bookmarkEnd w:id="25"/>
    </w:p>
    <w:p w:rsidR="001B30FD" w:rsidRDefault="008B589B">
      <w:pPr>
        <w:pStyle w:val="Sansinterligne"/>
        <w:jc w:val="both"/>
        <w:rPr>
          <w:rFonts w:ascii="Marianne" w:hAnsi="Marianne" w:cs="Arial"/>
          <w:sz w:val="18"/>
          <w:lang w:val="fr-FR"/>
        </w:rPr>
      </w:pPr>
      <w:r>
        <w:rPr>
          <w:rFonts w:ascii="Marianne" w:hAnsi="Marianne" w:cs="Arial"/>
          <w:sz w:val="18"/>
          <w:lang w:val="fr-FR"/>
        </w:rPr>
        <w:t>L’écoconduite est une pratique permettant de limiter l’émission de gaz à effet de serre, de polluants atmosphériques ainsi que les dépenses associées à la consommation de carburant.</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En cas de mobilisation de sa propre flotte de véhicules, </w:t>
      </w:r>
      <w:r>
        <w:rPr>
          <w:rFonts w:ascii="Marianne" w:hAnsi="Marianne" w:cs="Arial"/>
          <w:sz w:val="18"/>
          <w:lang w:val="fr-FR"/>
        </w:rPr>
        <w:t>le titulaire veille à ce que l’ensemble des conducteurs mobilisés sur le marché soit formé à l'écoconduite. Les conducteurs doivent être formés à minima 1 fois sur toute la durée d’exécution du marché.</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lastRenderedPageBreak/>
        <w:t>Le titulaire transmet à l’acheteur, à la fin de la fo</w:t>
      </w:r>
      <w:r>
        <w:rPr>
          <w:rFonts w:ascii="Marianne" w:hAnsi="Marianne" w:cs="Arial"/>
          <w:sz w:val="18"/>
          <w:lang w:val="fr-FR"/>
        </w:rPr>
        <w:t>rmation et au plus tard deux mois avant la date anniversaire de notification du marché (à compter de la 2</w:t>
      </w:r>
      <w:r>
        <w:rPr>
          <w:rFonts w:ascii="Marianne" w:hAnsi="Marianne" w:cs="Arial"/>
          <w:sz w:val="18"/>
          <w:vertAlign w:val="superscript"/>
          <w:lang w:val="fr-FR"/>
        </w:rPr>
        <w:t>ème</w:t>
      </w:r>
      <w:r>
        <w:rPr>
          <w:rFonts w:ascii="Marianne" w:hAnsi="Marianne" w:cs="Arial"/>
          <w:sz w:val="18"/>
          <w:lang w:val="fr-FR"/>
        </w:rPr>
        <w:t xml:space="preserve"> année d’exécution), sous format électronique facilement exploitable, les documents justifiant la formation effective de ses personnels conducteurs </w:t>
      </w:r>
      <w:r>
        <w:rPr>
          <w:rFonts w:ascii="Marianne" w:hAnsi="Marianne" w:cs="Arial"/>
          <w:sz w:val="18"/>
          <w:lang w:val="fr-FR"/>
        </w:rPr>
        <w:t xml:space="preserve">à l’écoconduite : relevé des sessions de formation des conducteurs, dates auxquelles elles ont eu lieu, durée, effectifs concernés, etc. </w:t>
      </w:r>
    </w:p>
    <w:p w:rsidR="001B30FD" w:rsidRDefault="001B30FD">
      <w:pPr>
        <w:pStyle w:val="Sansinterligne"/>
        <w:jc w:val="both"/>
        <w:rPr>
          <w:rFonts w:ascii="Marianne" w:hAnsi="Marianne" w:cs="Arial"/>
          <w:sz w:val="18"/>
          <w:lang w:val="fr-FR"/>
        </w:rPr>
      </w:pPr>
    </w:p>
    <w:p w:rsidR="001B30FD" w:rsidRDefault="008B589B">
      <w:pPr>
        <w:rPr>
          <w:lang w:val="fr-FR"/>
        </w:rPr>
      </w:pPr>
      <w:r>
        <w:rPr>
          <w:lang w:val="fr-FR"/>
        </w:rPr>
        <w:t>La formati</w:t>
      </w:r>
      <w:r>
        <w:rPr>
          <w:rFonts w:eastAsia="Marianne" w:cs="Marianne"/>
          <w:lang w:val="fr-FR"/>
        </w:rPr>
        <w:t>on de chaque intervenant du marché est vue lors du bilan annuel. La mise à disposition et mise en forme son</w:t>
      </w:r>
      <w:r>
        <w:rPr>
          <w:rFonts w:eastAsia="Marianne" w:cs="Marianne"/>
          <w:lang w:val="fr-FR"/>
        </w:rPr>
        <w:t>t à l’initiative du titulaire et devra être au format Excel)</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En cas d’externalisation de la prestation de transport, le titulaire incite les prestataires auxquels il fait appel à respecter cette obligation dans le cadre de l’exécution du marché.</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26" w:name="_Toc26"/>
      <w:r>
        <w:rPr>
          <w:rFonts w:ascii="Marianne ExtraBold" w:eastAsiaTheme="majorEastAsia" w:hAnsi="Marianne ExtraBold" w:cstheme="majorBidi"/>
          <w:caps/>
          <w:color w:val="465F9D"/>
          <w:sz w:val="22"/>
          <w:szCs w:val="26"/>
          <w:lang w:val="fr-FR" w:eastAsia="en-US"/>
        </w:rPr>
        <w:t>Gestion d</w:t>
      </w:r>
      <w:r>
        <w:rPr>
          <w:rFonts w:ascii="Marianne ExtraBold" w:eastAsiaTheme="majorEastAsia" w:hAnsi="Marianne ExtraBold" w:cstheme="majorBidi"/>
          <w:caps/>
          <w:color w:val="465F9D"/>
          <w:sz w:val="22"/>
          <w:szCs w:val="26"/>
          <w:lang w:val="fr-FR" w:eastAsia="en-US"/>
        </w:rPr>
        <w:t>es d</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chets</w:t>
      </w:r>
      <w:bookmarkEnd w:id="26"/>
    </w:p>
    <w:p w:rsidR="001B30FD" w:rsidRDefault="008B589B">
      <w:pPr>
        <w:pStyle w:val="Sansinterligne"/>
        <w:jc w:val="both"/>
        <w:rPr>
          <w:rFonts w:ascii="Marianne" w:hAnsi="Marianne" w:cs="Arial"/>
          <w:sz w:val="18"/>
          <w:lang w:val="fr-FR"/>
        </w:rPr>
      </w:pPr>
      <w:r>
        <w:rPr>
          <w:rFonts w:ascii="Marianne" w:hAnsi="Marianne" w:cs="Arial"/>
          <w:sz w:val="18"/>
          <w:lang w:val="fr-FR"/>
        </w:rPr>
        <w:t>Les déchets résiduels générés par les prestations objet du marché (chutes de produits et matériaux de construction résultant de l’intervention des titulaires, déchets d’équipements électriques et électroniques, déchets d’emballage de produits mi</w:t>
      </w:r>
      <w:r>
        <w:rPr>
          <w:rFonts w:ascii="Marianne" w:hAnsi="Marianne" w:cs="Arial"/>
          <w:sz w:val="18"/>
          <w:lang w:val="fr-FR"/>
        </w:rPr>
        <w:t>s en œuvre) sont sous la responsabilité des titulaires qui sont tenus de les enlever ou les faire enlever des sites des services bénéficiaires. En particulier et sauf demande contraire dûment exprimée par le bénéficiaire, le titulaire laisse les sites béné</w:t>
      </w:r>
      <w:r>
        <w:rPr>
          <w:rFonts w:ascii="Marianne" w:hAnsi="Marianne" w:cs="Arial"/>
          <w:sz w:val="18"/>
          <w:lang w:val="fr-FR"/>
        </w:rPr>
        <w:t>ficiaires libres de tout emballage secondaire et tertiaire servant au conditionnement et au transport de produits utilisés pour l’exécution des prestations du présent marché.</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Chaque titulaire assure le traitement des dits déchets dans les conditions défin</w:t>
      </w:r>
      <w:r>
        <w:rPr>
          <w:rFonts w:ascii="Marianne" w:hAnsi="Marianne" w:cs="Arial"/>
          <w:sz w:val="18"/>
          <w:lang w:val="fr-FR"/>
        </w:rPr>
        <w:t>ies par la réglementation spécifique à chaque typologie de déchets, selon la hiérarchie des modes traitement exprimée à l’article L. 541-1 du code de l’environnement :</w:t>
      </w:r>
    </w:p>
    <w:p w:rsidR="001B30FD" w:rsidRDefault="008B589B">
      <w:pPr>
        <w:pStyle w:val="Sansinterligne"/>
        <w:numPr>
          <w:ilvl w:val="0"/>
          <w:numId w:val="18"/>
        </w:numPr>
        <w:jc w:val="both"/>
        <w:rPr>
          <w:rFonts w:ascii="Marianne" w:hAnsi="Marianne" w:cs="Arial"/>
          <w:sz w:val="18"/>
          <w:lang w:val="fr-FR"/>
        </w:rPr>
      </w:pPr>
      <w:r>
        <w:rPr>
          <w:rFonts w:ascii="Marianne" w:hAnsi="Marianne" w:cs="Arial"/>
          <w:sz w:val="18"/>
          <w:lang w:val="fr-FR"/>
        </w:rPr>
        <w:t>Préparation en vue de la réutilisation ;</w:t>
      </w:r>
    </w:p>
    <w:p w:rsidR="001B30FD" w:rsidRDefault="008B589B">
      <w:pPr>
        <w:pStyle w:val="Sansinterligne"/>
        <w:numPr>
          <w:ilvl w:val="0"/>
          <w:numId w:val="18"/>
        </w:numPr>
        <w:jc w:val="both"/>
        <w:rPr>
          <w:rFonts w:ascii="Marianne" w:hAnsi="Marianne" w:cs="Arial"/>
          <w:sz w:val="18"/>
          <w:lang w:val="fr-FR"/>
        </w:rPr>
      </w:pPr>
      <w:r>
        <w:rPr>
          <w:rFonts w:ascii="Marianne" w:hAnsi="Marianne" w:cs="Arial"/>
          <w:sz w:val="18"/>
          <w:lang w:val="fr-FR"/>
        </w:rPr>
        <w:t>Recyclage ;</w:t>
      </w:r>
    </w:p>
    <w:p w:rsidR="001B30FD" w:rsidRDefault="008B589B">
      <w:pPr>
        <w:pStyle w:val="Sansinterligne"/>
        <w:numPr>
          <w:ilvl w:val="0"/>
          <w:numId w:val="18"/>
        </w:numPr>
        <w:jc w:val="both"/>
        <w:rPr>
          <w:rFonts w:ascii="Marianne" w:hAnsi="Marianne" w:cs="Arial"/>
          <w:sz w:val="18"/>
          <w:lang w:val="fr-FR"/>
        </w:rPr>
      </w:pPr>
      <w:r>
        <w:rPr>
          <w:rFonts w:ascii="Marianne" w:hAnsi="Marianne" w:cs="Arial"/>
          <w:sz w:val="18"/>
          <w:lang w:val="fr-FR"/>
        </w:rPr>
        <w:t>Toute autre valorisation, notamment la valorisation énergétique ;</w:t>
      </w:r>
    </w:p>
    <w:p w:rsidR="001B30FD" w:rsidRDefault="008B589B">
      <w:pPr>
        <w:pStyle w:val="Sansinterligne"/>
        <w:numPr>
          <w:ilvl w:val="0"/>
          <w:numId w:val="18"/>
        </w:numPr>
        <w:jc w:val="both"/>
        <w:rPr>
          <w:rFonts w:ascii="Marianne" w:hAnsi="Marianne" w:cs="Arial"/>
          <w:sz w:val="18"/>
          <w:lang w:val="fr-FR"/>
        </w:rPr>
      </w:pPr>
      <w:r>
        <w:rPr>
          <w:rFonts w:ascii="Marianne" w:hAnsi="Marianne" w:cs="Arial"/>
          <w:sz w:val="18"/>
          <w:lang w:val="fr-FR"/>
        </w:rPr>
        <w:t>En dernier recours, élimination.</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Tenant compte de la préoccupation environnementale exprimée par l’acheteur, les titulaires veillent au tri des déchets en vue de leur traitement dans les fi</w:t>
      </w:r>
      <w:r>
        <w:rPr>
          <w:rFonts w:ascii="Marianne" w:hAnsi="Marianne" w:cs="Arial"/>
          <w:sz w:val="18"/>
          <w:lang w:val="fr-FR"/>
        </w:rPr>
        <w:t>lières de valorisation adaptées. Dans le cas de travaux, chaque titulaire établit le bordereau de suivi des déchets (BSD) dès l’enlèvement de ceux-ci. Le BSD doit notamment indiquer la typologie de déchets, les tonnages collectés, les modes de traitement a</w:t>
      </w:r>
      <w:r>
        <w:rPr>
          <w:rFonts w:ascii="Marianne" w:hAnsi="Marianne" w:cs="Arial"/>
          <w:sz w:val="18"/>
          <w:lang w:val="fr-FR"/>
        </w:rPr>
        <w:t>ppliqués et les lieux de traitement.</w:t>
      </w:r>
    </w:p>
    <w:p w:rsidR="001B30FD" w:rsidRDefault="001B30FD">
      <w:pPr>
        <w:pStyle w:val="Sansinterligne"/>
        <w:jc w:val="both"/>
        <w:rPr>
          <w:rFonts w:ascii="Marianne" w:hAnsi="Marianne" w:cs="Arial"/>
          <w:b/>
          <w:bCs/>
          <w:sz w:val="18"/>
          <w:szCs w:val="18"/>
          <w:lang w:val="fr-FR"/>
        </w:rPr>
      </w:pPr>
    </w:p>
    <w:p w:rsidR="001B30FD" w:rsidRDefault="001B30FD">
      <w:pPr>
        <w:rPr>
          <w:lang w:val="fr-FR"/>
        </w:rPr>
      </w:pPr>
    </w:p>
    <w:p w:rsidR="001B30FD" w:rsidRDefault="001B30FD">
      <w:pPr>
        <w:jc w:val="both"/>
        <w:rPr>
          <w:lang w:val="fr-FR"/>
        </w:rPr>
      </w:pPr>
    </w:p>
    <w:p w:rsidR="001B30FD" w:rsidRDefault="008B589B">
      <w:pPr>
        <w:pStyle w:val="Titre1"/>
        <w:rPr>
          <w:lang w:val="fr-FR"/>
        </w:rPr>
      </w:pPr>
      <w:bookmarkStart w:id="27" w:name="_Toc27"/>
      <w:r>
        <w:rPr>
          <w:lang w:val="fr-FR"/>
        </w:rPr>
        <w:t>OBLIGATIONS ET ENGAGEMENTS DES PARTIES</w:t>
      </w:r>
      <w:bookmarkEnd w:id="27"/>
    </w:p>
    <w:p w:rsidR="001B30FD" w:rsidRDefault="001B30FD">
      <w:pPr>
        <w:pStyle w:val="Sansinterligne"/>
        <w:jc w:val="both"/>
        <w:rPr>
          <w:rFonts w:ascii="Marianne" w:hAnsi="Marianne"/>
          <w:lang w:val="fr-FR"/>
        </w:rPr>
      </w:pPr>
    </w:p>
    <w:p w:rsidR="001B30FD" w:rsidRDefault="008B589B">
      <w:pPr>
        <w:pStyle w:val="Titre2"/>
        <w:ind w:left="576"/>
        <w:rPr>
          <w:rFonts w:ascii="Marianne ExtraBold" w:hAnsi="Marianne ExtraBold"/>
          <w:lang w:val="fr-FR"/>
        </w:rPr>
      </w:pPr>
      <w:bookmarkStart w:id="28" w:name="_Toc28"/>
      <w:r>
        <w:rPr>
          <w:rFonts w:ascii="Marianne ExtraBold" w:hAnsi="Marianne ExtraBold"/>
          <w:lang w:val="fr-FR"/>
        </w:rPr>
        <w:t>ENGAGEMENTS ET OBLIGATIONS DU TITULAIRE</w:t>
      </w:r>
      <w:bookmarkEnd w:id="28"/>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29" w:name="_Toc29"/>
      <w:r>
        <w:rPr>
          <w:rFonts w:ascii="Marianne ExtraBold" w:eastAsiaTheme="majorEastAsia" w:hAnsi="Marianne ExtraBold" w:cstheme="majorBidi"/>
          <w:caps/>
          <w:color w:val="465F9D"/>
          <w:sz w:val="22"/>
          <w:szCs w:val="26"/>
          <w:lang w:val="fr-FR" w:eastAsia="en-US"/>
        </w:rPr>
        <w:t>Engagements</w:t>
      </w:r>
      <w:bookmarkEnd w:id="29"/>
    </w:p>
    <w:p w:rsidR="001B30FD" w:rsidRDefault="008B589B">
      <w:pPr>
        <w:pStyle w:val="Sansinterligne"/>
        <w:jc w:val="both"/>
        <w:rPr>
          <w:rFonts w:ascii="Marianne" w:hAnsi="Marianne" w:cs="Arial"/>
          <w:sz w:val="18"/>
          <w:szCs w:val="18"/>
          <w:lang w:val="fr-FR"/>
        </w:rPr>
      </w:pPr>
      <w:r>
        <w:rPr>
          <w:rFonts w:ascii="Marianne" w:hAnsi="Marianne" w:cs="Arial"/>
          <w:sz w:val="18"/>
          <w:lang w:val="fr-FR"/>
        </w:rPr>
        <w:t xml:space="preserve">Le titulaire s’engage à exécuter les prestations conformément aux spécifications et aux modalités décrites dans les documents contractuels, et notamment : </w:t>
      </w:r>
    </w:p>
    <w:p w:rsidR="001B30FD" w:rsidRDefault="008B589B">
      <w:pPr>
        <w:pStyle w:val="Sansinterligne"/>
        <w:numPr>
          <w:ilvl w:val="0"/>
          <w:numId w:val="14"/>
        </w:numPr>
        <w:spacing w:after="40"/>
        <w:jc w:val="both"/>
        <w:rPr>
          <w:rFonts w:ascii="Marianne" w:hAnsi="Marianne" w:cs="Arial"/>
          <w:sz w:val="18"/>
          <w:lang w:val="fr-FR"/>
        </w:rPr>
      </w:pPr>
      <w:r>
        <w:rPr>
          <w:rFonts w:ascii="Marianne" w:hAnsi="Marianne" w:cs="Arial"/>
          <w:sz w:val="18"/>
          <w:lang w:val="fr-FR"/>
        </w:rPr>
        <w:t>A tenir la PFRA informé du déroulé des prestations, et notamment à l’informer sans délai de toute di</w:t>
      </w:r>
      <w:r>
        <w:rPr>
          <w:rFonts w:ascii="Marianne" w:hAnsi="Marianne" w:cs="Arial"/>
          <w:sz w:val="18"/>
          <w:lang w:val="fr-FR"/>
        </w:rPr>
        <w:t>fficulté rencontrée dans l’exécution des prestations ;</w:t>
      </w:r>
    </w:p>
    <w:p w:rsidR="001B30FD" w:rsidRDefault="008B589B">
      <w:pPr>
        <w:pStyle w:val="Sansinterligne"/>
        <w:numPr>
          <w:ilvl w:val="0"/>
          <w:numId w:val="14"/>
        </w:numPr>
        <w:spacing w:after="40"/>
        <w:jc w:val="both"/>
        <w:rPr>
          <w:rFonts w:ascii="Marianne" w:hAnsi="Marianne" w:cs="Arial"/>
          <w:sz w:val="18"/>
          <w:lang w:val="fr-FR"/>
        </w:rPr>
      </w:pPr>
      <w:r>
        <w:rPr>
          <w:rFonts w:ascii="Marianne" w:hAnsi="Marianne" w:cs="Arial"/>
          <w:sz w:val="18"/>
          <w:lang w:val="fr-FR"/>
        </w:rPr>
        <w:t>A maintenir les compétences de ses personnels intervenants au titre du marché ;</w:t>
      </w:r>
    </w:p>
    <w:p w:rsidR="001B30FD" w:rsidRDefault="008B589B">
      <w:pPr>
        <w:pStyle w:val="Sansinterligne"/>
        <w:numPr>
          <w:ilvl w:val="0"/>
          <w:numId w:val="14"/>
        </w:numPr>
        <w:spacing w:after="40"/>
        <w:jc w:val="both"/>
        <w:rPr>
          <w:rFonts w:ascii="Marianne" w:hAnsi="Marianne" w:cs="Arial"/>
          <w:sz w:val="18"/>
          <w:lang w:val="fr-FR"/>
        </w:rPr>
      </w:pPr>
      <w:r>
        <w:rPr>
          <w:rFonts w:ascii="Marianne" w:hAnsi="Marianne" w:cs="Arial"/>
          <w:sz w:val="18"/>
          <w:lang w:val="fr-FR"/>
        </w:rPr>
        <w:t>A vérifier et communiquer à la PFRA ou au service bénéficiaire émetteur du bon de commande, tout élément qui lui paraîtra</w:t>
      </w:r>
      <w:r>
        <w:rPr>
          <w:rFonts w:ascii="Marianne" w:hAnsi="Marianne" w:cs="Arial"/>
          <w:sz w:val="18"/>
          <w:lang w:val="fr-FR"/>
        </w:rPr>
        <w:t>it de nature à compromettre la bonne exécution des prestations.</w:t>
      </w:r>
    </w:p>
    <w:p w:rsidR="001B30FD" w:rsidRDefault="001B30FD">
      <w:pPr>
        <w:pStyle w:val="Sansinterligne"/>
        <w:spacing w:after="40"/>
        <w:ind w:left="720"/>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lastRenderedPageBreak/>
        <w:t>Durant la période de validité du marché, le titulaire s’engage à communiquer par écrit, sans délai, à l’Acheteur, tout changement ayant une incidence sur le statut de sa société, y compris le</w:t>
      </w:r>
      <w:r>
        <w:rPr>
          <w:rFonts w:ascii="Marianne" w:hAnsi="Marianne" w:cs="Arial"/>
          <w:sz w:val="18"/>
          <w:lang w:val="fr-FR"/>
        </w:rPr>
        <w:t xml:space="preserve">s changements d'intitulé de son compte bancaire, ainsi que les modifications se rapportant aux renseignements qu’il a fournis pour l’acceptation d’un sous-traitant et l’agrément de ses conditions de paiement.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Si le titulaire néglige de se conformer à cet</w:t>
      </w:r>
      <w:r>
        <w:rPr>
          <w:rFonts w:ascii="Marianne" w:hAnsi="Marianne" w:cs="Arial"/>
          <w:sz w:val="18"/>
          <w:lang w:val="fr-FR"/>
        </w:rPr>
        <w:t>te disposition, il est informé que l’Acheteur ne saurait être tenu pour responsable des retards de paiement des factures présentant une anomalie par comparaison aux indications portées sur l’acte d'engagement du marché, du fait de modifications intervenues</w:t>
      </w:r>
      <w:r>
        <w:rPr>
          <w:rFonts w:ascii="Marianne" w:hAnsi="Marianne" w:cs="Arial"/>
          <w:sz w:val="18"/>
          <w:lang w:val="fr-FR"/>
        </w:rPr>
        <w:t xml:space="preserve"> au sein de la société et dont la personne publique n'aurait pas eu connaissance.</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 titulaire s’engage à respecter le cadre d’intervention fixé par la DDETS.</w:t>
      </w:r>
    </w:p>
    <w:p w:rsidR="001B30FD" w:rsidRDefault="001B30FD">
      <w:pPr>
        <w:jc w:val="both"/>
        <w:rPr>
          <w:rFonts w:ascii="Marianne ExtraBold" w:eastAsiaTheme="majorEastAsia" w:hAnsi="Marianne ExtraBold" w:cstheme="majorBidi"/>
          <w:b/>
          <w:bCs/>
          <w:caps/>
          <w:color w:val="FF0000"/>
          <w:sz w:val="22"/>
          <w:lang w:val="fr-FR"/>
        </w:rPr>
      </w:pP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30" w:name="_Toc30"/>
      <w:r>
        <w:rPr>
          <w:rFonts w:ascii="Marianne ExtraBold" w:eastAsiaTheme="majorEastAsia" w:hAnsi="Marianne ExtraBold" w:cstheme="majorBidi"/>
          <w:caps/>
          <w:color w:val="465F9D"/>
          <w:sz w:val="22"/>
          <w:szCs w:val="26"/>
          <w:lang w:val="fr-FR" w:eastAsia="en-US"/>
        </w:rPr>
        <w:t>Obligations de confidentialit</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 xml:space="preserve"> des donnÉes</w:t>
      </w:r>
      <w:bookmarkEnd w:id="30"/>
    </w:p>
    <w:p w:rsidR="001B30FD" w:rsidRDefault="008B589B">
      <w:pPr>
        <w:jc w:val="both"/>
        <w:rPr>
          <w:lang w:val="fr-FR"/>
        </w:rPr>
      </w:pPr>
      <w:r>
        <w:rPr>
          <w:lang w:val="fr-FR"/>
        </w:rPr>
        <w:t>Le Titulaire doit se conforme</w:t>
      </w:r>
      <w:r>
        <w:rPr>
          <w:lang w:val="fr-FR"/>
        </w:rPr>
        <w:t xml:space="preserve">r à la réglementation tant nationale qu’européenne relative à la protection des données à caractère personnel. En particulier, le Titulaire s’engage à effectuer les formalités déclaratives requises au regard du traitement de données à caractère personnel. </w:t>
      </w:r>
    </w:p>
    <w:p w:rsidR="001B30FD" w:rsidRDefault="001B30FD">
      <w:pPr>
        <w:jc w:val="both"/>
        <w:rPr>
          <w:lang w:val="fr-FR"/>
        </w:rPr>
      </w:pPr>
    </w:p>
    <w:p w:rsidR="001B30FD" w:rsidRDefault="008B589B">
      <w:pPr>
        <w:jc w:val="both"/>
        <w:rPr>
          <w:lang w:val="fr-FR"/>
        </w:rPr>
      </w:pPr>
      <w:r>
        <w:rPr>
          <w:lang w:val="fr-FR"/>
        </w:rPr>
        <w:t>Conformément à l’article 5 du CCAG-FCS, le titulaire et l’acheteur qui, à l'occasion de l'exécution du marché, ont connaissance d'informations ou reçoivent communication de documents ou d'éléments de toute nature, signalés comme présentant un caractère c</w:t>
      </w:r>
      <w:r>
        <w:rPr>
          <w:lang w:val="fr-FR"/>
        </w:rPr>
        <w:t xml:space="preserve">onfidentiel sont tenus de prendre toutes mesures nécessaires, afin d'éviter que ces informations, documents ou éléments ne soient divulgués à un tiers qui n'a pas à en connaître. </w:t>
      </w:r>
    </w:p>
    <w:p w:rsidR="001B30FD" w:rsidRDefault="008B589B">
      <w:pPr>
        <w:jc w:val="both"/>
        <w:rPr>
          <w:lang w:val="fr-FR"/>
        </w:rPr>
      </w:pPr>
      <w:r>
        <w:rPr>
          <w:lang w:val="fr-FR"/>
        </w:rPr>
        <w:t xml:space="preserve">Le titulaire doit informer son personnel des obligations de confidentialité </w:t>
      </w:r>
      <w:r>
        <w:rPr>
          <w:lang w:val="fr-FR"/>
        </w:rPr>
        <w:t>et des mesures de sécurité qui s'imposent à lui pour l'exécution du marché. Il doit s'assurer du respect de ces obligations par ses sous-traitants.</w:t>
      </w:r>
    </w:p>
    <w:p w:rsidR="001B30FD" w:rsidRDefault="001B30FD">
      <w:pPr>
        <w:jc w:val="both"/>
        <w:rPr>
          <w:lang w:val="fr-FR"/>
        </w:rPr>
      </w:pPr>
    </w:p>
    <w:p w:rsidR="001B30FD" w:rsidRDefault="008B589B">
      <w:pPr>
        <w:jc w:val="both"/>
        <w:rPr>
          <w:lang w:val="fr-FR"/>
        </w:rPr>
      </w:pPr>
      <w:r>
        <w:rPr>
          <w:lang w:val="fr-FR"/>
        </w:rPr>
        <w:t>Le titulaire s'engage à mettre en œuvre les moyens appropriés afin de garder confidentiels les informations</w:t>
      </w:r>
      <w:r>
        <w:rPr>
          <w:lang w:val="fr-FR"/>
        </w:rPr>
        <w:t>,</w:t>
      </w:r>
      <w:r>
        <w:rPr>
          <w:lang w:val="fr-FR"/>
        </w:rPr>
        <w:br/>
        <w:t>les documents et les objets auxquels il aura eu accès lors de l'exécution du marché, sans qu'il soit</w:t>
      </w:r>
      <w:r>
        <w:rPr>
          <w:lang w:val="fr-FR"/>
        </w:rPr>
        <w:br/>
        <w:t>besoin d'en expliciter systématiquement le caractère confidentiel.</w:t>
      </w:r>
    </w:p>
    <w:p w:rsidR="001B30FD" w:rsidRDefault="001B30FD">
      <w:pPr>
        <w:jc w:val="both"/>
        <w:rPr>
          <w:lang w:val="fr-FR"/>
        </w:rPr>
      </w:pPr>
    </w:p>
    <w:p w:rsidR="001B30FD" w:rsidRDefault="008B589B">
      <w:pPr>
        <w:jc w:val="both"/>
        <w:rPr>
          <w:lang w:val="fr-FR"/>
        </w:rPr>
      </w:pPr>
      <w:r>
        <w:rPr>
          <w:lang w:val="fr-FR"/>
        </w:rPr>
        <w:t>Le Titulaire s’interdit de transmettre des données à caractère personnel des personne</w:t>
      </w:r>
      <w:r>
        <w:rPr>
          <w:lang w:val="fr-FR"/>
        </w:rPr>
        <w:t>s hébergées, sans avoir obtenu au préalable l’accord écrit et express du SIAO ou de la personne intéressée. A ce titre, le Titulaire s’engage en particulier à communiquer au SIAO ou à la DDETS, sans tarder, toute demande d'informations relatives à une pers</w:t>
      </w:r>
      <w:r>
        <w:rPr>
          <w:lang w:val="fr-FR"/>
        </w:rPr>
        <w:t xml:space="preserve">onne hébergée en provenance de services de Police ou de presse dès leur réception.  Toute autre communication à des tiers est interdite sauf à avoir été autorisée par un mandat spécial émanant d’un magistrat ou d’un officier de police judiciaire, qui doit </w:t>
      </w:r>
      <w:r>
        <w:rPr>
          <w:lang w:val="fr-FR"/>
        </w:rPr>
        <w:t>être communiqué préalablement.</w:t>
      </w:r>
    </w:p>
    <w:p w:rsidR="001B30FD" w:rsidRDefault="001B30FD">
      <w:pPr>
        <w:jc w:val="both"/>
        <w:rPr>
          <w:lang w:val="fr-FR"/>
        </w:rPr>
      </w:pPr>
    </w:p>
    <w:p w:rsidR="001B30FD" w:rsidRDefault="008B589B">
      <w:pPr>
        <w:jc w:val="both"/>
        <w:rPr>
          <w:lang w:val="fr-FR"/>
        </w:rPr>
      </w:pPr>
      <w:r>
        <w:rPr>
          <w:lang w:val="fr-FR"/>
        </w:rPr>
        <w:t>Chaque partie au marché est tenue au respect des règles relatives à la protection des données à caractère personnel, auxquelles elle a accès pour les besoins de l'exécution du marché.</w:t>
      </w:r>
    </w:p>
    <w:p w:rsidR="001B30FD" w:rsidRDefault="001B30FD">
      <w:pPr>
        <w:jc w:val="both"/>
        <w:rPr>
          <w:lang w:val="fr-FR"/>
        </w:rPr>
      </w:pPr>
    </w:p>
    <w:p w:rsidR="001B30FD" w:rsidRDefault="008B589B">
      <w:pPr>
        <w:jc w:val="both"/>
        <w:rPr>
          <w:lang w:val="fr-FR"/>
        </w:rPr>
      </w:pPr>
      <w:r>
        <w:rPr>
          <w:lang w:val="fr-FR"/>
        </w:rPr>
        <w:t>Ces informations, documents ou objets n</w:t>
      </w:r>
      <w:r>
        <w:rPr>
          <w:lang w:val="fr-FR"/>
        </w:rPr>
        <w:t>e peuvent être, sans autorisation expresse de l’Acheteur (pour les informations données dans le marché) et du service ordonnateur (pour les informations données les bons de commande), divulgués, publiés, communiqués à des tiers ou être utilisés directement</w:t>
      </w:r>
      <w:r>
        <w:rPr>
          <w:lang w:val="fr-FR"/>
        </w:rPr>
        <w:t xml:space="preserve"> par le titulaire, hors du marché ou à l'issue de son exécution.</w:t>
      </w:r>
    </w:p>
    <w:p w:rsidR="001B30FD" w:rsidRDefault="001B30FD">
      <w:pPr>
        <w:jc w:val="both"/>
        <w:rPr>
          <w:lang w:val="fr-FR"/>
        </w:rPr>
      </w:pPr>
    </w:p>
    <w:p w:rsidR="001B30FD" w:rsidRDefault="008B589B">
      <w:pPr>
        <w:jc w:val="both"/>
        <w:rPr>
          <w:lang w:val="fr-FR"/>
        </w:rPr>
      </w:pPr>
      <w:r>
        <w:rPr>
          <w:lang w:val="fr-FR"/>
        </w:rPr>
        <w:t>L'ordonnateur pourra demander, à tout moment, au titulaire, de lui retourner les éléments ou supports</w:t>
      </w:r>
      <w:r>
        <w:rPr>
          <w:lang w:val="fr-FR"/>
        </w:rPr>
        <w:br/>
        <w:t>d'informations confidentielles qui lui auraient été fournis.</w:t>
      </w:r>
    </w:p>
    <w:p w:rsidR="001B30FD" w:rsidRDefault="001B30FD">
      <w:pPr>
        <w:jc w:val="both"/>
        <w:rPr>
          <w:lang w:val="fr-FR"/>
        </w:rPr>
      </w:pPr>
    </w:p>
    <w:p w:rsidR="001B30FD" w:rsidRDefault="008B589B">
      <w:pPr>
        <w:jc w:val="both"/>
        <w:rPr>
          <w:lang w:val="fr-FR"/>
        </w:rPr>
      </w:pPr>
      <w:r>
        <w:rPr>
          <w:lang w:val="fr-FR"/>
        </w:rPr>
        <w:t>La violation de l'obligati</w:t>
      </w:r>
      <w:r>
        <w:rPr>
          <w:lang w:val="fr-FR"/>
        </w:rPr>
        <w:t>on de confidentialité par le titulaire pourra entraîner la résiliation du marché</w:t>
      </w:r>
      <w:r>
        <w:rPr>
          <w:lang w:val="fr-FR"/>
        </w:rPr>
        <w:br/>
        <w:t>aux torts du titulaire.</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31" w:name="_Toc31"/>
      <w:r>
        <w:rPr>
          <w:rFonts w:ascii="Marianne ExtraBold" w:eastAsiaTheme="majorEastAsia" w:hAnsi="Marianne ExtraBold" w:cstheme="majorBidi"/>
          <w:caps/>
          <w:color w:val="465F9D"/>
          <w:sz w:val="22"/>
          <w:szCs w:val="26"/>
          <w:lang w:val="fr-FR" w:eastAsia="en-US"/>
        </w:rPr>
        <w:t>Obligations d</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caps/>
          <w:color w:val="465F9D"/>
          <w:sz w:val="22"/>
          <w:szCs w:val="26"/>
          <w:lang w:val="fr-FR" w:eastAsia="en-US"/>
        </w:rPr>
        <w:t>information</w:t>
      </w:r>
      <w:bookmarkEnd w:id="31"/>
    </w:p>
    <w:p w:rsidR="001B30FD" w:rsidRDefault="008B589B">
      <w:pPr>
        <w:jc w:val="both"/>
        <w:rPr>
          <w:lang w:val="fr-FR"/>
        </w:rPr>
      </w:pPr>
      <w:r>
        <w:rPr>
          <w:lang w:val="fr-FR"/>
        </w:rPr>
        <w:t>Le titulaire est tenu de signaler à la DDETS 34 et au SIAO 34 tous les éléments qui lui paraissent de nature à compromettre l</w:t>
      </w:r>
      <w:r>
        <w:rPr>
          <w:lang w:val="fr-FR"/>
        </w:rPr>
        <w:t xml:space="preserve">a bonne exécution de la prestation, en particulier les événements indésirables graves devant faire l’objet d’une information aux autorités administratives sont mentionnés à l'article L. 331-8-1 du code de l'action sociale et des familles. </w:t>
      </w:r>
    </w:p>
    <w:p w:rsidR="001B30FD" w:rsidRDefault="008B589B">
      <w:pPr>
        <w:jc w:val="both"/>
        <w:rPr>
          <w:lang w:val="fr-FR"/>
        </w:rPr>
      </w:pPr>
      <w:r>
        <w:rPr>
          <w:lang w:val="fr-FR"/>
        </w:rPr>
        <w:t>Une fiche spécif</w:t>
      </w:r>
      <w:r>
        <w:rPr>
          <w:lang w:val="fr-FR"/>
        </w:rPr>
        <w:t>ique sera communiquée au titulaire au démarrage du marché</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32" w:name="_Toc32"/>
      <w:r>
        <w:rPr>
          <w:rFonts w:ascii="Marianne ExtraBold" w:eastAsiaTheme="majorEastAsia" w:hAnsi="Marianne ExtraBold" w:cstheme="majorBidi"/>
          <w:caps/>
          <w:color w:val="465F9D"/>
          <w:sz w:val="22"/>
          <w:szCs w:val="26"/>
          <w:lang w:val="fr-FR" w:eastAsia="en-US"/>
        </w:rPr>
        <w:t>Obligation de conseil</w:t>
      </w:r>
      <w:bookmarkEnd w:id="32"/>
    </w:p>
    <w:p w:rsidR="001B30FD" w:rsidRDefault="008B589B">
      <w:pPr>
        <w:jc w:val="both"/>
        <w:rPr>
          <w:lang w:val="fr-FR"/>
        </w:rPr>
      </w:pPr>
      <w:r>
        <w:rPr>
          <w:lang w:val="fr-FR"/>
        </w:rPr>
        <w:t>Le titulaire a une obligation de diligence et de conseil, voire d’alerte, de la DDETS 34, de la PFRA Occitanie, du SIAO34.</w:t>
      </w:r>
    </w:p>
    <w:p w:rsidR="001B30FD" w:rsidRDefault="008B589B">
      <w:pPr>
        <w:jc w:val="both"/>
        <w:rPr>
          <w:lang w:val="fr-FR"/>
        </w:rPr>
      </w:pPr>
      <w:r>
        <w:rPr>
          <w:lang w:val="fr-FR"/>
        </w:rPr>
        <w:t>Le titulaire exerce cette obligation s’il se rend compte de difficultés particulières au titre de ses prestations. Il prévient l’acheteur en listant les risques et propose des actions pour les réduire et y remédier.</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33" w:name="_Toc33"/>
      <w:r>
        <w:rPr>
          <w:rFonts w:ascii="Marianne ExtraBold" w:eastAsiaTheme="majorEastAsia" w:hAnsi="Marianne ExtraBold" w:cstheme="majorBidi"/>
          <w:caps/>
          <w:color w:val="465F9D"/>
          <w:sz w:val="22"/>
          <w:szCs w:val="26"/>
          <w:lang w:val="fr-FR" w:eastAsia="en-US"/>
        </w:rPr>
        <w:t>Obligation de discr</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tion et de comportem</w:t>
      </w:r>
      <w:r>
        <w:rPr>
          <w:rFonts w:ascii="Marianne ExtraBold" w:eastAsiaTheme="majorEastAsia" w:hAnsi="Marianne ExtraBold" w:cstheme="majorBidi"/>
          <w:caps/>
          <w:color w:val="465F9D"/>
          <w:sz w:val="22"/>
          <w:szCs w:val="26"/>
          <w:lang w:val="fr-FR" w:eastAsia="en-US"/>
        </w:rPr>
        <w:t>ent</w:t>
      </w:r>
      <w:bookmarkEnd w:id="33"/>
    </w:p>
    <w:p w:rsidR="001B30FD" w:rsidRDefault="008B589B">
      <w:pPr>
        <w:jc w:val="both"/>
        <w:rPr>
          <w:lang w:val="fr-FR"/>
        </w:rPr>
      </w:pPr>
      <w:r>
        <w:rPr>
          <w:lang w:val="fr-FR"/>
        </w:rPr>
        <w:t>Le titulaire s’engage à ne pas divulguer et à ne pas utiliser pour d’autres fins que l’exécution du présent marché les informations qu’il serait amené à connaître directement ou indirectement au cours de son exécution. En cas de manquement du titulaire</w:t>
      </w:r>
      <w:r>
        <w:rPr>
          <w:lang w:val="fr-FR"/>
        </w:rPr>
        <w:t xml:space="preserve"> ou de son personnel à cette obligation, l’acheteur est fondé à résilier le marché sans indemnité, et, le cas échéant à engager toute poursuite ou action en réparations. Cette obligation s’étend aux sous-traitants.</w:t>
      </w:r>
    </w:p>
    <w:p w:rsidR="001B30FD" w:rsidRDefault="001B30FD">
      <w:pPr>
        <w:jc w:val="both"/>
        <w:rPr>
          <w:lang w:val="fr-FR"/>
        </w:rPr>
      </w:pP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34" w:name="_Toc34"/>
      <w:r>
        <w:rPr>
          <w:rFonts w:ascii="Marianne ExtraBold" w:eastAsiaTheme="majorEastAsia" w:hAnsi="Marianne ExtraBold" w:cstheme="majorBidi"/>
          <w:caps/>
          <w:color w:val="465F9D"/>
          <w:sz w:val="22"/>
          <w:szCs w:val="22"/>
          <w:lang w:val="fr-FR"/>
        </w:rPr>
        <w:t xml:space="preserve">ASSURANCES RESPONSABILITES </w:t>
      </w:r>
      <w:bookmarkEnd w:id="34"/>
    </w:p>
    <w:p w:rsidR="001B30FD" w:rsidRDefault="008B589B">
      <w:pPr>
        <w:jc w:val="both"/>
        <w:rPr>
          <w:szCs w:val="18"/>
          <w:highlight w:val="white"/>
          <w:lang w:val="fr-FR"/>
        </w:rPr>
      </w:pPr>
      <w:r>
        <w:rPr>
          <w:szCs w:val="18"/>
          <w:lang w:val="fr-FR"/>
        </w:rPr>
        <w:t>Le titulaire</w:t>
      </w:r>
      <w:r>
        <w:rPr>
          <w:szCs w:val="18"/>
          <w:lang w:val="fr-FR"/>
        </w:rPr>
        <w:t xml:space="preserve"> doit avoir souscrit un contrat d'assurance responsabilité civile en cours de validité. Ce contrat doit le garantir contre les conséquences pécuniaires de l'engagement de sa responsabilité civile pouvant résulter des dommages corporels et/ou matériels subi</w:t>
      </w:r>
      <w:r>
        <w:rPr>
          <w:szCs w:val="18"/>
          <w:lang w:val="fr-FR"/>
        </w:rPr>
        <w:t>s par tout tiers au marché ou les services de l’État à l'occasion de l'exécution des prestations objet du présent marché.</w:t>
      </w:r>
    </w:p>
    <w:p w:rsidR="001B30FD" w:rsidRDefault="001B30FD">
      <w:pPr>
        <w:jc w:val="both"/>
        <w:rPr>
          <w:szCs w:val="18"/>
          <w:highlight w:val="white"/>
          <w:lang w:val="fr-FR"/>
        </w:rPr>
      </w:pPr>
    </w:p>
    <w:p w:rsidR="001B30FD" w:rsidRDefault="008B589B">
      <w:pPr>
        <w:jc w:val="both"/>
        <w:rPr>
          <w:szCs w:val="18"/>
          <w:highlight w:val="white"/>
          <w:lang w:val="fr-FR"/>
        </w:rPr>
      </w:pPr>
      <w:r>
        <w:rPr>
          <w:szCs w:val="18"/>
          <w:lang w:val="fr-FR"/>
        </w:rPr>
        <w:t xml:space="preserve">Le titulaire doit également avoir souscrit un contrat d'assurance responsabilité professionnelle en cours de validité. Celui-ci doit </w:t>
      </w:r>
      <w:r>
        <w:rPr>
          <w:szCs w:val="18"/>
          <w:lang w:val="fr-FR"/>
        </w:rPr>
        <w:t>le garantir contre tout type de dommages qu'il causerait aux services de l’État, à l'occasion de l'exécution des prestations objet du présent marché, que ce soit de son propre fait ou de celui de ses préposés.</w:t>
      </w:r>
    </w:p>
    <w:p w:rsidR="001B30FD" w:rsidRDefault="001B30FD">
      <w:pPr>
        <w:jc w:val="both"/>
        <w:rPr>
          <w:szCs w:val="18"/>
          <w:highlight w:val="white"/>
          <w:lang w:val="fr-FR"/>
        </w:rPr>
      </w:pPr>
    </w:p>
    <w:p w:rsidR="001B30FD" w:rsidRDefault="008B589B">
      <w:pPr>
        <w:jc w:val="both"/>
        <w:rPr>
          <w:szCs w:val="18"/>
          <w:highlight w:val="white"/>
          <w:lang w:val="fr-FR"/>
        </w:rPr>
      </w:pPr>
      <w:r>
        <w:rPr>
          <w:szCs w:val="18"/>
          <w:lang w:val="fr-FR"/>
        </w:rPr>
        <w:t>Enfin, le titulaire doit avoir souscrit un co</w:t>
      </w:r>
      <w:r>
        <w:rPr>
          <w:szCs w:val="18"/>
          <w:lang w:val="fr-FR"/>
        </w:rPr>
        <w:t>ntrat d’assurance pour la couverture des locaux.</w:t>
      </w:r>
    </w:p>
    <w:p w:rsidR="001B30FD" w:rsidRDefault="001B30FD">
      <w:pPr>
        <w:jc w:val="both"/>
        <w:rPr>
          <w:szCs w:val="18"/>
          <w:highlight w:val="white"/>
          <w:lang w:val="fr-FR"/>
        </w:rPr>
      </w:pPr>
    </w:p>
    <w:p w:rsidR="001B30FD" w:rsidRDefault="008B589B">
      <w:pPr>
        <w:jc w:val="both"/>
        <w:rPr>
          <w:szCs w:val="18"/>
          <w:highlight w:val="white"/>
          <w:lang w:val="fr-FR"/>
        </w:rPr>
      </w:pPr>
      <w:r>
        <w:rPr>
          <w:szCs w:val="18"/>
          <w:lang w:val="fr-FR"/>
        </w:rPr>
        <w:t>Sur première demande, le titulaire doit produire les attestations d'assurance en cours de validité, indiquant la nature, le montant, la durée et les conditions d'application des garanties précitées.</w:t>
      </w:r>
    </w:p>
    <w:p w:rsidR="001B30FD" w:rsidRDefault="001B30FD">
      <w:pPr>
        <w:jc w:val="both"/>
        <w:rPr>
          <w:szCs w:val="18"/>
          <w:highlight w:val="yellow"/>
          <w:lang w:val="fr-FR"/>
        </w:rPr>
      </w:pPr>
    </w:p>
    <w:p w:rsidR="001B30FD" w:rsidRDefault="008B589B">
      <w:pPr>
        <w:jc w:val="both"/>
        <w:rPr>
          <w:szCs w:val="18"/>
          <w:lang w:val="fr-FR"/>
        </w:rPr>
      </w:pPr>
      <w:r>
        <w:rPr>
          <w:szCs w:val="18"/>
          <w:lang w:val="fr-FR"/>
        </w:rPr>
        <w:t>En cas de dégradation, l’indemnisation financière est déterminée et assurée selon les modalités de l’assurance souscrite par le prestataire. Aucune indemnisation ne peut être demandée aux parties du contrat représentant l’Administration.</w:t>
      </w:r>
      <w:r>
        <w:rPr>
          <w:szCs w:val="18"/>
          <w:lang w:val="fr-FR"/>
        </w:rPr>
        <w:tab/>
      </w:r>
    </w:p>
    <w:p w:rsidR="001B30FD" w:rsidRDefault="001B30FD">
      <w:pPr>
        <w:jc w:val="both"/>
        <w:rPr>
          <w:lang w:val="fr-FR"/>
        </w:rPr>
      </w:pPr>
    </w:p>
    <w:p w:rsidR="001B30FD" w:rsidRDefault="001B30FD">
      <w:pPr>
        <w:jc w:val="both"/>
        <w:rPr>
          <w:lang w:val="fr-FR"/>
        </w:rPr>
      </w:pPr>
    </w:p>
    <w:p w:rsidR="001B30FD" w:rsidRDefault="008B589B">
      <w:pPr>
        <w:pStyle w:val="Titre2"/>
        <w:ind w:left="576"/>
        <w:rPr>
          <w:rFonts w:ascii="Marianne ExtraBold" w:hAnsi="Marianne ExtraBold"/>
          <w:lang w:val="fr-FR"/>
        </w:rPr>
      </w:pPr>
      <w:bookmarkStart w:id="35" w:name="_Toc35"/>
      <w:r>
        <w:rPr>
          <w:rFonts w:ascii="Marianne ExtraBold" w:hAnsi="Marianne ExtraBold"/>
          <w:lang w:val="fr-FR"/>
        </w:rPr>
        <w:lastRenderedPageBreak/>
        <w:t xml:space="preserve">ENGAGEMENTS DE </w:t>
      </w:r>
      <w:r>
        <w:rPr>
          <w:rFonts w:ascii="Marianne ExtraBold" w:hAnsi="Marianne ExtraBold"/>
          <w:lang w:val="fr-FR"/>
        </w:rPr>
        <w:t>L</w:t>
      </w:r>
      <w:r>
        <w:rPr>
          <w:rFonts w:ascii="Marianne ExtraBold" w:hAnsi="Marianne ExtraBold" w:hint="eastAsia"/>
          <w:lang w:val="fr-FR"/>
        </w:rPr>
        <w:t>’</w:t>
      </w:r>
      <w:r>
        <w:rPr>
          <w:rFonts w:ascii="Marianne ExtraBold" w:hAnsi="Marianne ExtraBold"/>
          <w:lang w:val="fr-FR"/>
        </w:rPr>
        <w:t>ACHETEUR</w:t>
      </w:r>
      <w:bookmarkEnd w:id="35"/>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Afin de contribuer à l’exécution conforme des prestations par le titulaire pendant toute la durée du marché la DDETS s’engage à :</w:t>
      </w:r>
    </w:p>
    <w:p w:rsidR="001B30FD" w:rsidRDefault="008B589B">
      <w:pPr>
        <w:pStyle w:val="Sansinterligne"/>
        <w:numPr>
          <w:ilvl w:val="0"/>
          <w:numId w:val="20"/>
        </w:numPr>
        <w:jc w:val="both"/>
        <w:rPr>
          <w:rFonts w:ascii="Marianne" w:hAnsi="Marianne" w:cs="Arial"/>
          <w:sz w:val="18"/>
          <w:lang w:val="fr-FR"/>
        </w:rPr>
      </w:pPr>
      <w:r>
        <w:rPr>
          <w:rFonts w:ascii="Marianne" w:hAnsi="Marianne" w:cs="Arial"/>
          <w:sz w:val="18"/>
          <w:lang w:val="fr-FR"/>
        </w:rPr>
        <w:t>Payer le prix après service fait ;</w:t>
      </w:r>
    </w:p>
    <w:p w:rsidR="001B30FD" w:rsidRDefault="008B589B">
      <w:pPr>
        <w:pStyle w:val="Sansinterligne"/>
        <w:numPr>
          <w:ilvl w:val="0"/>
          <w:numId w:val="20"/>
        </w:numPr>
        <w:jc w:val="both"/>
        <w:rPr>
          <w:rFonts w:ascii="Marianne" w:hAnsi="Marianne" w:cs="Arial"/>
          <w:sz w:val="18"/>
          <w:lang w:val="fr-FR"/>
        </w:rPr>
      </w:pPr>
      <w:r>
        <w:rPr>
          <w:rFonts w:ascii="Marianne" w:hAnsi="Marianne" w:cs="Arial"/>
          <w:sz w:val="18"/>
          <w:lang w:val="fr-FR"/>
        </w:rPr>
        <w:t>Assurer au titulaire toutes facilités pour permettre l’exécution des prestation</w:t>
      </w:r>
      <w:r>
        <w:rPr>
          <w:rFonts w:ascii="Marianne" w:hAnsi="Marianne" w:cs="Arial"/>
          <w:sz w:val="18"/>
          <w:lang w:val="fr-FR"/>
        </w:rPr>
        <w:t xml:space="preserve">s ; </w:t>
      </w:r>
    </w:p>
    <w:p w:rsidR="001B30FD" w:rsidRDefault="008B589B">
      <w:pPr>
        <w:pStyle w:val="Sansinterligne"/>
        <w:numPr>
          <w:ilvl w:val="0"/>
          <w:numId w:val="20"/>
        </w:numPr>
        <w:jc w:val="both"/>
        <w:rPr>
          <w:rFonts w:ascii="Marianne" w:hAnsi="Marianne" w:cs="Arial"/>
          <w:sz w:val="18"/>
          <w:lang w:val="fr-FR"/>
        </w:rPr>
      </w:pPr>
      <w:r>
        <w:rPr>
          <w:rFonts w:ascii="Marianne" w:hAnsi="Marianne" w:cs="Arial"/>
          <w:sz w:val="18"/>
          <w:lang w:val="fr-FR"/>
        </w:rPr>
        <w:t>Mettre le titulaire en mesure d’assurer ses obligations dans le respect des stipulations contractuelles et sans retard, sous réserve des règles.</w:t>
      </w:r>
    </w:p>
    <w:p w:rsidR="001B30FD" w:rsidRDefault="001B30FD">
      <w:pPr>
        <w:jc w:val="both"/>
        <w:rPr>
          <w:lang w:val="fr-FR"/>
        </w:rPr>
      </w:pPr>
    </w:p>
    <w:p w:rsidR="001B30FD" w:rsidRDefault="008B589B">
      <w:pPr>
        <w:pStyle w:val="Titre1"/>
        <w:rPr>
          <w:lang w:val="fr-FR"/>
        </w:rPr>
      </w:pPr>
      <w:bookmarkStart w:id="36" w:name="_Toc36"/>
      <w:r>
        <w:rPr>
          <w:lang w:val="fr-FR"/>
        </w:rPr>
        <w:t xml:space="preserve">DISPOSITIONS RELATIVES AUX MODALITÉS D’EXÉCUTION </w:t>
      </w:r>
      <w:bookmarkEnd w:id="36"/>
    </w:p>
    <w:p w:rsidR="001B30FD" w:rsidRDefault="001B30FD">
      <w:pPr>
        <w:pStyle w:val="Sansinterligne"/>
        <w:jc w:val="both"/>
        <w:rPr>
          <w:rFonts w:ascii="Marianne" w:hAnsi="Marianne"/>
          <w:lang w:val="fr-FR"/>
        </w:rPr>
      </w:pPr>
    </w:p>
    <w:p w:rsidR="001B30FD" w:rsidRDefault="008B589B">
      <w:pPr>
        <w:pStyle w:val="Titre2"/>
        <w:ind w:left="576"/>
        <w:rPr>
          <w:rFonts w:ascii="Marianne ExtraBold" w:hAnsi="Marianne ExtraBold"/>
          <w:lang w:val="fr-FR"/>
        </w:rPr>
      </w:pPr>
      <w:bookmarkStart w:id="37" w:name="_Toc37"/>
      <w:r>
        <w:rPr>
          <w:rFonts w:ascii="Marianne ExtraBold" w:hAnsi="Marianne ExtraBold"/>
          <w:lang w:val="fr-FR"/>
        </w:rPr>
        <w:t>MODALITES D</w:t>
      </w:r>
      <w:r>
        <w:rPr>
          <w:rFonts w:ascii="Marianne ExtraBold" w:hAnsi="Marianne ExtraBold" w:hint="eastAsia"/>
          <w:lang w:val="fr-FR"/>
        </w:rPr>
        <w:t>’</w:t>
      </w:r>
      <w:r>
        <w:rPr>
          <w:rFonts w:ascii="Marianne ExtraBold" w:hAnsi="Marianne ExtraBold"/>
          <w:lang w:val="fr-FR"/>
        </w:rPr>
        <w:t>ATTRIBUTION DES BONS DE COMMANDES</w:t>
      </w:r>
      <w:bookmarkEnd w:id="37"/>
    </w:p>
    <w:p w:rsidR="001B30FD" w:rsidRDefault="001B30FD">
      <w:pPr>
        <w:jc w:val="both"/>
        <w:rPr>
          <w:szCs w:val="18"/>
          <w:lang w:val="fr-FR"/>
        </w:rPr>
      </w:pPr>
    </w:p>
    <w:p w:rsidR="001B30FD" w:rsidRDefault="008B589B">
      <w:pPr>
        <w:jc w:val="both"/>
        <w:rPr>
          <w:szCs w:val="18"/>
          <w:lang w:val="fr-FR"/>
        </w:rPr>
      </w:pPr>
      <w:r>
        <w:rPr>
          <w:szCs w:val="18"/>
          <w:lang w:val="fr-FR"/>
        </w:rPr>
        <w:t xml:space="preserve">A chaque début d’exercice, la DDETS déclenche les prestations, par l’émission d’un bon de commande auprès du titulaire. </w:t>
      </w:r>
    </w:p>
    <w:p w:rsidR="001B30FD" w:rsidRDefault="001B30FD">
      <w:pPr>
        <w:jc w:val="both"/>
        <w:rPr>
          <w:szCs w:val="18"/>
          <w:lang w:val="fr-FR"/>
        </w:rPr>
      </w:pPr>
    </w:p>
    <w:p w:rsidR="001B30FD" w:rsidRDefault="008B589B">
      <w:pPr>
        <w:jc w:val="both"/>
        <w:rPr>
          <w:szCs w:val="18"/>
          <w:lang w:val="fr-FR"/>
        </w:rPr>
      </w:pPr>
      <w:r>
        <w:rPr>
          <w:szCs w:val="18"/>
          <w:lang w:val="fr-FR"/>
        </w:rPr>
        <w:t>Ce bon de commande est établi sur la base d’un estimatif de services réalisés pour l’année en cours.</w:t>
      </w:r>
    </w:p>
    <w:p w:rsidR="001B30FD" w:rsidRDefault="001B30FD">
      <w:pPr>
        <w:jc w:val="both"/>
        <w:rPr>
          <w:szCs w:val="18"/>
          <w:lang w:val="fr-FR"/>
        </w:rPr>
      </w:pPr>
    </w:p>
    <w:p w:rsidR="001B30FD" w:rsidRDefault="008B589B">
      <w:pPr>
        <w:jc w:val="both"/>
        <w:rPr>
          <w:szCs w:val="18"/>
          <w:lang w:val="fr-FR"/>
        </w:rPr>
      </w:pPr>
      <w:r>
        <w:rPr>
          <w:szCs w:val="18"/>
          <w:lang w:val="fr-FR"/>
        </w:rPr>
        <w:t>Ce bon de commande permet d’ouvr</w:t>
      </w:r>
      <w:r>
        <w:rPr>
          <w:szCs w:val="18"/>
          <w:lang w:val="fr-FR"/>
        </w:rPr>
        <w:t xml:space="preserve">ir une ligne de dépense avec le titulaire, il ne vaut pas engagement de dépense sur la totalité du bon de commande. Seuls les </w:t>
      </w:r>
      <w:r>
        <w:rPr>
          <w:szCs w:val="18"/>
          <w:u w:val="single"/>
          <w:lang w:val="fr-FR"/>
        </w:rPr>
        <w:t>services réellement exécutés</w:t>
      </w:r>
      <w:r>
        <w:rPr>
          <w:szCs w:val="18"/>
          <w:lang w:val="fr-FR"/>
        </w:rPr>
        <w:t xml:space="preserve"> seront facturés par le titulaire aux prix mentionnés à l’annexe financière.</w:t>
      </w:r>
    </w:p>
    <w:p w:rsidR="001B30FD" w:rsidRDefault="001B30FD">
      <w:pPr>
        <w:jc w:val="both"/>
        <w:rPr>
          <w:szCs w:val="18"/>
          <w:lang w:val="fr-FR"/>
        </w:rPr>
      </w:pPr>
    </w:p>
    <w:p w:rsidR="001B30FD" w:rsidRDefault="008B589B">
      <w:pPr>
        <w:jc w:val="both"/>
        <w:rPr>
          <w:szCs w:val="18"/>
          <w:lang w:val="fr-FR"/>
        </w:rPr>
      </w:pPr>
      <w:r>
        <w:rPr>
          <w:szCs w:val="18"/>
          <w:lang w:val="fr-FR"/>
        </w:rPr>
        <w:t>A la fin de l’exercice a</w:t>
      </w:r>
      <w:r>
        <w:rPr>
          <w:szCs w:val="18"/>
          <w:lang w:val="fr-FR"/>
        </w:rPr>
        <w:t>nnuel la part du bon de commande non consommée est soldée. Le titulaire ne peut prétendre à percevoir tout ou partie du volume non consommé.</w:t>
      </w:r>
    </w:p>
    <w:p w:rsidR="001B30FD" w:rsidRDefault="001B30FD">
      <w:pPr>
        <w:jc w:val="both"/>
        <w:rPr>
          <w:szCs w:val="18"/>
          <w:lang w:val="fr-FR"/>
        </w:rPr>
      </w:pPr>
    </w:p>
    <w:p w:rsidR="001B30FD" w:rsidRDefault="008B589B">
      <w:pPr>
        <w:jc w:val="both"/>
        <w:rPr>
          <w:szCs w:val="18"/>
          <w:lang w:val="fr-FR"/>
        </w:rPr>
      </w:pPr>
      <w:r>
        <w:rPr>
          <w:szCs w:val="18"/>
          <w:lang w:val="fr-FR"/>
        </w:rPr>
        <w:t>Si en cours d’exercice le montant total du bon de commande devait être atteint, le service bénéficiaire (la DDETS)</w:t>
      </w:r>
      <w:r>
        <w:rPr>
          <w:szCs w:val="18"/>
          <w:lang w:val="fr-FR"/>
        </w:rPr>
        <w:t xml:space="preserve"> procédera à l’émission d’un nouveau bon de commande ou à la modification à la hausse du bon de commande initial.</w:t>
      </w:r>
    </w:p>
    <w:p w:rsidR="001B30FD" w:rsidRDefault="008B589B">
      <w:pPr>
        <w:jc w:val="both"/>
        <w:rPr>
          <w:szCs w:val="18"/>
          <w:lang w:val="fr-FR"/>
        </w:rPr>
      </w:pPr>
      <w:r>
        <w:rPr>
          <w:szCs w:val="18"/>
          <w:lang w:val="fr-FR"/>
        </w:rPr>
        <w:t>Selon les dispositions de l’article 3.7 du CCAG-FCS, la notification du bon de commande vaut lancement des prestations au titre de l’année con</w:t>
      </w:r>
      <w:r>
        <w:rPr>
          <w:szCs w:val="18"/>
          <w:lang w:val="fr-FR"/>
        </w:rPr>
        <w:t>cernée.</w:t>
      </w:r>
    </w:p>
    <w:p w:rsidR="001B30FD" w:rsidRDefault="001B30FD">
      <w:pPr>
        <w:rPr>
          <w:szCs w:val="18"/>
          <w:lang w:val="fr-FR"/>
        </w:rPr>
      </w:pPr>
    </w:p>
    <w:p w:rsidR="001B30FD" w:rsidRDefault="008B589B">
      <w:pPr>
        <w:pStyle w:val="Titre2"/>
        <w:ind w:left="576"/>
        <w:rPr>
          <w:rFonts w:ascii="Marianne ExtraBold" w:hAnsi="Marianne ExtraBold"/>
          <w:lang w:val="fr-FR"/>
        </w:rPr>
      </w:pPr>
      <w:bookmarkStart w:id="38" w:name="_Toc38"/>
      <w:r>
        <w:rPr>
          <w:rFonts w:ascii="Marianne ExtraBold" w:hAnsi="Marianne ExtraBold"/>
          <w:lang w:val="fr-FR"/>
        </w:rPr>
        <w:t>MODALITES DE COMMANDE DES PRESTATIONS</w:t>
      </w:r>
      <w:bookmarkEnd w:id="38"/>
    </w:p>
    <w:p w:rsidR="001B30FD" w:rsidRDefault="001B30FD">
      <w:pPr>
        <w:rPr>
          <w:lang w:val="fr-FR"/>
        </w:rPr>
      </w:pPr>
    </w:p>
    <w:p w:rsidR="001B30FD" w:rsidRDefault="008B589B">
      <w:pPr>
        <w:jc w:val="both"/>
        <w:rPr>
          <w:szCs w:val="18"/>
          <w:lang w:val="fr-FR"/>
        </w:rPr>
      </w:pPr>
      <w:r>
        <w:rPr>
          <w:szCs w:val="18"/>
          <w:lang w:val="fr-FR"/>
        </w:rPr>
        <w:t>Les prestations donnent lieu à l’émission de bons de commandes en fonction des besoins de la DDETS. Les bons de commande sont établis par la DDETS et transmis au titulaire. Ils comportent notamment les donnée</w:t>
      </w:r>
      <w:r>
        <w:rPr>
          <w:szCs w:val="18"/>
          <w:lang w:val="fr-FR"/>
        </w:rPr>
        <w:t>s de référence suivantes :</w:t>
      </w:r>
    </w:p>
    <w:p w:rsidR="001B30FD" w:rsidRDefault="001B30FD">
      <w:pPr>
        <w:jc w:val="both"/>
        <w:rPr>
          <w:szCs w:val="18"/>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4"/>
        <w:gridCol w:w="2108"/>
        <w:gridCol w:w="3298"/>
        <w:gridCol w:w="2240"/>
      </w:tblGrid>
      <w:tr w:rsidR="001B30FD">
        <w:tc>
          <w:tcPr>
            <w:tcW w:w="2723" w:type="dxa"/>
            <w:shd w:val="clear" w:color="FFFFFF" w:fill="465F93"/>
            <w:vAlign w:val="center"/>
          </w:tcPr>
          <w:p w:rsidR="001B30FD" w:rsidRDefault="008B589B">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PRESTATION</w:t>
            </w:r>
          </w:p>
        </w:tc>
        <w:tc>
          <w:tcPr>
            <w:tcW w:w="2234" w:type="dxa"/>
            <w:shd w:val="clear" w:color="FFFFFF" w:fill="465F93"/>
            <w:vAlign w:val="center"/>
          </w:tcPr>
          <w:p w:rsidR="001B30FD" w:rsidRDefault="008B589B">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SERVICE</w:t>
            </w:r>
          </w:p>
        </w:tc>
        <w:tc>
          <w:tcPr>
            <w:tcW w:w="3543" w:type="dxa"/>
            <w:shd w:val="clear" w:color="FFFFFF" w:fill="465F93"/>
            <w:vAlign w:val="center"/>
          </w:tcPr>
          <w:p w:rsidR="001B30FD" w:rsidRDefault="008B589B">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DONNÉES COMPTABLES</w:t>
            </w:r>
          </w:p>
        </w:tc>
        <w:tc>
          <w:tcPr>
            <w:tcW w:w="2392" w:type="dxa"/>
            <w:shd w:val="clear" w:color="FFFFFF" w:fill="465F93"/>
            <w:vAlign w:val="center"/>
          </w:tcPr>
          <w:p w:rsidR="001B30FD" w:rsidRDefault="008B589B">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TITULAIRE</w:t>
            </w:r>
          </w:p>
        </w:tc>
      </w:tr>
      <w:tr w:rsidR="001B30FD">
        <w:tc>
          <w:tcPr>
            <w:tcW w:w="2723"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Date de la commande</w:t>
            </w:r>
          </w:p>
        </w:tc>
        <w:tc>
          <w:tcPr>
            <w:tcW w:w="2234"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Raison sociale</w:t>
            </w:r>
          </w:p>
        </w:tc>
        <w:tc>
          <w:tcPr>
            <w:tcW w:w="3543"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Référence du marché (numéro de commande Chorus ou autre système d’information)</w:t>
            </w:r>
          </w:p>
        </w:tc>
        <w:tc>
          <w:tcPr>
            <w:tcW w:w="2392"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Raison sociale</w:t>
            </w:r>
          </w:p>
        </w:tc>
      </w:tr>
      <w:tr w:rsidR="001B30FD">
        <w:tc>
          <w:tcPr>
            <w:tcW w:w="2723"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 xml:space="preserve">Objet </w:t>
            </w:r>
          </w:p>
          <w:p w:rsidR="001B30FD" w:rsidRDefault="008B589B">
            <w:pPr>
              <w:pStyle w:val="Sansinterligne"/>
              <w:rPr>
                <w:rFonts w:ascii="Marianne" w:hAnsi="Marianne" w:cs="Arial"/>
                <w:sz w:val="18"/>
                <w:lang w:val="fr-FR"/>
              </w:rPr>
            </w:pPr>
            <w:r>
              <w:rPr>
                <w:rFonts w:ascii="Marianne" w:hAnsi="Marianne" w:cs="Arial"/>
                <w:sz w:val="18"/>
                <w:lang w:val="fr-FR"/>
              </w:rPr>
              <w:t>Détail des prestations</w:t>
            </w:r>
          </w:p>
        </w:tc>
        <w:tc>
          <w:tcPr>
            <w:tcW w:w="2234"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Adresse de facturation</w:t>
            </w:r>
          </w:p>
        </w:tc>
        <w:tc>
          <w:tcPr>
            <w:tcW w:w="3543"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Référentiel du service dépensier (en charge du traitement financier)</w:t>
            </w:r>
          </w:p>
        </w:tc>
        <w:tc>
          <w:tcPr>
            <w:tcW w:w="2392"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Siège social</w:t>
            </w:r>
          </w:p>
          <w:p w:rsidR="001B30FD" w:rsidRDefault="008B589B">
            <w:pPr>
              <w:pStyle w:val="Sansinterligne"/>
              <w:rPr>
                <w:rFonts w:ascii="Marianne" w:hAnsi="Marianne" w:cs="Arial"/>
                <w:sz w:val="18"/>
                <w:lang w:val="fr-FR"/>
              </w:rPr>
            </w:pPr>
            <w:r>
              <w:rPr>
                <w:rFonts w:ascii="Marianne" w:hAnsi="Marianne" w:cs="Arial"/>
                <w:sz w:val="18"/>
                <w:lang w:val="fr-FR"/>
              </w:rPr>
              <w:t>SIRET</w:t>
            </w:r>
          </w:p>
          <w:p w:rsidR="001B30FD" w:rsidRDefault="008B589B">
            <w:pPr>
              <w:pStyle w:val="Sansinterligne"/>
              <w:rPr>
                <w:rFonts w:ascii="Marianne" w:hAnsi="Marianne" w:cs="Arial"/>
                <w:sz w:val="18"/>
                <w:lang w:val="fr-FR"/>
              </w:rPr>
            </w:pPr>
            <w:r>
              <w:rPr>
                <w:rFonts w:ascii="Marianne" w:hAnsi="Marianne" w:cs="Arial"/>
                <w:sz w:val="18"/>
                <w:lang w:val="fr-FR"/>
              </w:rPr>
              <w:t>RIB</w:t>
            </w:r>
          </w:p>
        </w:tc>
      </w:tr>
      <w:tr w:rsidR="001B30FD" w:rsidRPr="009837D7">
        <w:tc>
          <w:tcPr>
            <w:tcW w:w="2723"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Période de référence</w:t>
            </w:r>
          </w:p>
        </w:tc>
        <w:tc>
          <w:tcPr>
            <w:tcW w:w="2234" w:type="dxa"/>
            <w:vMerge w:val="restart"/>
            <w:vAlign w:val="center"/>
          </w:tcPr>
          <w:p w:rsidR="001B30FD" w:rsidRDefault="008B589B">
            <w:pPr>
              <w:pStyle w:val="Sansinterligne"/>
              <w:rPr>
                <w:rFonts w:ascii="Marianne" w:hAnsi="Marianne" w:cs="Arial"/>
                <w:sz w:val="18"/>
                <w:lang w:val="fr-FR"/>
              </w:rPr>
            </w:pPr>
            <w:r>
              <w:rPr>
                <w:rFonts w:ascii="Marianne" w:hAnsi="Marianne" w:cs="Arial"/>
                <w:sz w:val="18"/>
                <w:lang w:val="fr-FR"/>
              </w:rPr>
              <w:t>Référentiel budgétaire</w:t>
            </w:r>
          </w:p>
        </w:tc>
        <w:tc>
          <w:tcPr>
            <w:tcW w:w="3543" w:type="dxa"/>
            <w:vMerge w:val="restart"/>
            <w:vAlign w:val="center"/>
          </w:tcPr>
          <w:p w:rsidR="001B30FD" w:rsidRDefault="008B589B">
            <w:pPr>
              <w:pStyle w:val="Sansinterligne"/>
              <w:rPr>
                <w:rFonts w:ascii="Marianne" w:hAnsi="Marianne" w:cs="Arial"/>
                <w:sz w:val="18"/>
                <w:lang w:val="fr-FR"/>
              </w:rPr>
            </w:pPr>
            <w:r>
              <w:rPr>
                <w:rFonts w:ascii="Marianne" w:hAnsi="Marianne" w:cs="Arial"/>
                <w:sz w:val="18"/>
                <w:lang w:val="fr-FR"/>
              </w:rPr>
              <w:t>Référentiel du comptable assignataire de la dépense</w:t>
            </w:r>
          </w:p>
          <w:p w:rsidR="001B30FD" w:rsidRDefault="008B589B">
            <w:pPr>
              <w:pStyle w:val="Sansinterligne"/>
              <w:rPr>
                <w:rFonts w:ascii="Marianne" w:hAnsi="Marianne" w:cs="Arial"/>
                <w:sz w:val="18"/>
                <w:lang w:val="fr-FR"/>
              </w:rPr>
            </w:pPr>
            <w:r>
              <w:rPr>
                <w:rFonts w:ascii="Marianne" w:hAnsi="Marianne" w:cs="Arial"/>
                <w:sz w:val="18"/>
                <w:lang w:val="fr-FR"/>
              </w:rPr>
              <w:lastRenderedPageBreak/>
              <w:t>Adresse de facturation</w:t>
            </w:r>
          </w:p>
          <w:p w:rsidR="001B30FD" w:rsidRDefault="008B589B">
            <w:pPr>
              <w:pStyle w:val="Sansinterligne"/>
              <w:rPr>
                <w:rFonts w:ascii="Marianne" w:hAnsi="Marianne" w:cs="Arial"/>
                <w:sz w:val="18"/>
                <w:lang w:val="fr-FR"/>
              </w:rPr>
            </w:pPr>
            <w:r>
              <w:rPr>
                <w:rFonts w:ascii="Marianne" w:hAnsi="Marianne" w:cs="Arial"/>
                <w:sz w:val="18"/>
                <w:lang w:val="fr-FR"/>
              </w:rPr>
              <w:t>Taux et montant de la</w:t>
            </w:r>
            <w:r>
              <w:rPr>
                <w:rFonts w:ascii="Marianne" w:hAnsi="Marianne" w:cs="Arial"/>
                <w:sz w:val="18"/>
                <w:lang w:val="fr-FR"/>
              </w:rPr>
              <w:t xml:space="preserve"> TVA</w:t>
            </w:r>
          </w:p>
          <w:p w:rsidR="001B30FD" w:rsidRDefault="008B589B">
            <w:pPr>
              <w:pStyle w:val="Sansinterligne"/>
              <w:rPr>
                <w:rFonts w:ascii="Marianne" w:hAnsi="Marianne" w:cs="Arial"/>
                <w:sz w:val="18"/>
                <w:lang w:val="fr-FR"/>
              </w:rPr>
            </w:pPr>
            <w:r>
              <w:rPr>
                <w:rFonts w:ascii="Marianne" w:hAnsi="Marianne" w:cs="Arial"/>
                <w:sz w:val="18"/>
                <w:lang w:val="fr-FR"/>
              </w:rPr>
              <w:t>Autres taxes liées à l’exécution</w:t>
            </w:r>
          </w:p>
          <w:p w:rsidR="001B30FD" w:rsidRDefault="008B589B">
            <w:pPr>
              <w:pStyle w:val="Sansinterligne"/>
              <w:rPr>
                <w:rFonts w:ascii="Marianne" w:hAnsi="Marianne" w:cs="Arial"/>
                <w:sz w:val="18"/>
                <w:lang w:val="fr-FR"/>
              </w:rPr>
            </w:pPr>
            <w:r>
              <w:rPr>
                <w:rFonts w:ascii="Marianne" w:hAnsi="Marianne" w:cs="Arial"/>
                <w:sz w:val="18"/>
                <w:lang w:val="fr-FR"/>
              </w:rPr>
              <w:t>Prix HT et TTC</w:t>
            </w:r>
          </w:p>
        </w:tc>
        <w:tc>
          <w:tcPr>
            <w:tcW w:w="2392" w:type="dxa"/>
            <w:vMerge w:val="restart"/>
            <w:vAlign w:val="center"/>
          </w:tcPr>
          <w:p w:rsidR="001B30FD" w:rsidRDefault="001B30FD">
            <w:pPr>
              <w:pStyle w:val="Sansinterligne"/>
              <w:rPr>
                <w:rFonts w:ascii="Marianne" w:hAnsi="Marianne" w:cs="Arial"/>
                <w:sz w:val="18"/>
                <w:lang w:val="fr-FR"/>
              </w:rPr>
            </w:pPr>
          </w:p>
        </w:tc>
      </w:tr>
    </w:tbl>
    <w:p w:rsidR="001B30FD" w:rsidRDefault="001B30FD">
      <w:pPr>
        <w:rPr>
          <w:lang w:val="fr-FR"/>
        </w:rPr>
      </w:pPr>
    </w:p>
    <w:p w:rsidR="001B30FD" w:rsidRDefault="008B589B">
      <w:pPr>
        <w:pStyle w:val="Titre2"/>
        <w:ind w:left="576"/>
        <w:rPr>
          <w:rFonts w:ascii="Marianne ExtraBold" w:hAnsi="Marianne ExtraBold"/>
          <w:lang w:val="fr-FR"/>
        </w:rPr>
      </w:pPr>
      <w:bookmarkStart w:id="39" w:name="_Toc39"/>
      <w:r>
        <w:rPr>
          <w:rFonts w:ascii="Marianne ExtraBold" w:hAnsi="Marianne ExtraBold"/>
          <w:lang w:val="fr-FR"/>
        </w:rPr>
        <w:t>DELAIS D</w:t>
      </w:r>
      <w:r>
        <w:rPr>
          <w:rFonts w:ascii="Marianne ExtraBold" w:hAnsi="Marianne ExtraBold" w:hint="eastAsia"/>
          <w:lang w:val="fr-FR"/>
        </w:rPr>
        <w:t>’</w:t>
      </w:r>
      <w:r>
        <w:rPr>
          <w:rFonts w:ascii="Marianne ExtraBold" w:hAnsi="Marianne ExtraBold"/>
          <w:lang w:val="fr-FR"/>
        </w:rPr>
        <w:t>EXECUTION DES BONS DE COMMANDE ET DUREE DE VALIDITE   DES BONS DE COMMANDE</w:t>
      </w:r>
      <w:bookmarkEnd w:id="39"/>
    </w:p>
    <w:p w:rsidR="001B30FD" w:rsidRDefault="001B30FD">
      <w:pPr>
        <w:rPr>
          <w:lang w:val="fr-FR"/>
        </w:rPr>
      </w:pP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Sans préjudice de l’article R. 2162-5 du Code de la Commande Publique, les bons de</w:t>
      </w:r>
      <w:r>
        <w:rPr>
          <w:rFonts w:eastAsia="Marianne" w:cs="Marianne"/>
          <w:lang w:val="fr-FR"/>
        </w:rPr>
        <w:t xml:space="preserve"> commande peuvent être notifiés jusqu’au dernier jour de la période de validité du marché, quelque que soit la durée d’exécution des prestations commandées, sans que celles-ci ne puisse excéder de plus de six (6) mois la date de fin de validité du marché.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Les délais d’exécution des prestations sont fixés à chaque bon de commande, dans les conditions prévues par le présent marché. La durée maximale du bon de commande est fixée à douze (12) mois. </w:t>
      </w:r>
    </w:p>
    <w:p w:rsidR="001B30FD" w:rsidRDefault="008B589B">
      <w:pPr>
        <w:pBdr>
          <w:top w:val="none" w:sz="4" w:space="0" w:color="000000"/>
          <w:left w:val="none" w:sz="4" w:space="0" w:color="000000"/>
          <w:bottom w:val="none" w:sz="4" w:space="0" w:color="000000"/>
          <w:right w:val="none" w:sz="4" w:space="0" w:color="000000"/>
        </w:pBdr>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Une prolongation des délais d’exécution des bons de comma</w:t>
      </w:r>
      <w:r>
        <w:rPr>
          <w:rFonts w:eastAsia="Marianne" w:cs="Marianne"/>
          <w:lang w:val="fr-FR"/>
        </w:rPr>
        <w:t xml:space="preserve">nde peut-être prononcée par le service bénéficiaire dans les conditions prévues à l’article 13.3 du CCAG-FCS. </w:t>
      </w:r>
    </w:p>
    <w:p w:rsidR="001B30FD" w:rsidRDefault="001B30FD">
      <w:pPr>
        <w:rPr>
          <w:lang w:val="fr-FR"/>
        </w:rPr>
      </w:pPr>
    </w:p>
    <w:p w:rsidR="001B30FD" w:rsidRDefault="008B589B">
      <w:pPr>
        <w:pStyle w:val="Titre2"/>
        <w:ind w:left="576"/>
        <w:rPr>
          <w:rFonts w:ascii="Marianne ExtraBold" w:hAnsi="Marianne ExtraBold"/>
          <w:lang w:val="fr-FR"/>
        </w:rPr>
      </w:pPr>
      <w:bookmarkStart w:id="40" w:name="_Toc40"/>
      <w:r>
        <w:rPr>
          <w:rFonts w:ascii="Marianne ExtraBold" w:hAnsi="Marianne ExtraBold"/>
          <w:lang w:val="fr-FR"/>
        </w:rPr>
        <w:t>MODALITE DE MODIFICATION OU D</w:t>
      </w:r>
      <w:r>
        <w:rPr>
          <w:rFonts w:ascii="Marianne ExtraBold" w:hAnsi="Marianne ExtraBold" w:hint="eastAsia"/>
          <w:lang w:val="fr-FR"/>
        </w:rPr>
        <w:t>’</w:t>
      </w:r>
      <w:r>
        <w:rPr>
          <w:rFonts w:ascii="Marianne ExtraBold" w:hAnsi="Marianne ExtraBold"/>
          <w:lang w:val="fr-FR"/>
        </w:rPr>
        <w:t>ANNULATION DES BONS DE COMMANDE EN COURS D</w:t>
      </w:r>
      <w:r>
        <w:rPr>
          <w:rFonts w:ascii="Marianne ExtraBold" w:hAnsi="Marianne ExtraBold" w:hint="eastAsia"/>
          <w:lang w:val="fr-FR"/>
        </w:rPr>
        <w:t>’</w:t>
      </w:r>
      <w:r>
        <w:rPr>
          <w:rFonts w:ascii="Marianne ExtraBold" w:hAnsi="Marianne ExtraBold"/>
          <w:lang w:val="fr-FR"/>
        </w:rPr>
        <w:t>EXECUTION</w:t>
      </w:r>
      <w:bookmarkEnd w:id="40"/>
    </w:p>
    <w:p w:rsidR="001B30FD" w:rsidRDefault="001B30FD">
      <w:pPr>
        <w:rPr>
          <w:lang w:val="fr-FR"/>
        </w:rPr>
      </w:pP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Des modifications peuvent être apportées en cours d’exécution aux bons de commande par les services bénéficiaires, notamment dans le cadre de l’article 9.1 du présent CCAP.</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bons de commande peuvent également être suspendus, dans les conditions prévue</w:t>
      </w:r>
      <w:r>
        <w:rPr>
          <w:rFonts w:eastAsia="Marianne" w:cs="Marianne"/>
          <w:lang w:val="fr-FR"/>
        </w:rPr>
        <w:t>s à l’article 8.5 du CCAP.</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41" w:name="_Toc41"/>
      <w:r>
        <w:rPr>
          <w:rFonts w:ascii="Marianne ExtraBold" w:eastAsiaTheme="majorEastAsia" w:hAnsi="Marianne ExtraBold" w:cstheme="majorBidi"/>
          <w:caps/>
          <w:color w:val="465F9D"/>
          <w:sz w:val="22"/>
          <w:szCs w:val="26"/>
          <w:lang w:val="fr-FR" w:eastAsia="en-US"/>
        </w:rPr>
        <w:t>Modification des prestations en cours d</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caps/>
          <w:color w:val="465F9D"/>
          <w:sz w:val="22"/>
          <w:szCs w:val="26"/>
          <w:lang w:val="fr-FR" w:eastAsia="en-US"/>
        </w:rPr>
        <w:t>ex</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cution</w:t>
      </w:r>
      <w:bookmarkEnd w:id="41"/>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Au cours de l’exécution du présent marché, le service bénéficiaire peut être amené à faire évoluer les prestations objet d’un bon de commande et ce, sans que soit remis en cause l</w:t>
      </w:r>
      <w:r>
        <w:rPr>
          <w:rFonts w:eastAsia="Marianne" w:cs="Marianne"/>
          <w:lang w:val="fr-FR"/>
        </w:rPr>
        <w:t xml:space="preserve">e déroulement normal du marché.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Ces modifications sont réalisées dans les conditions techniques et dans les délais définis au CCTP et dans le cadre de mémoire technique du titulaire.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 service bénéficiaire adresse au titulaire une demande écrite for</w:t>
      </w:r>
      <w:r>
        <w:rPr>
          <w:rFonts w:eastAsia="Marianne" w:cs="Marianne"/>
          <w:lang w:val="fr-FR"/>
        </w:rPr>
        <w:t>malisant les modifications à apporter au bon de commande par courrier électronique. La demande de modification doit être émise sous quinze (15) jours à compter de l’émission du bon de commande. Elle prendra la forme d’un bon de commande rectificatif, numér</w:t>
      </w:r>
      <w:r>
        <w:rPr>
          <w:rFonts w:eastAsia="Marianne" w:cs="Marianne"/>
          <w:lang w:val="fr-FR"/>
        </w:rPr>
        <w:t xml:space="preserve">oté, daté et notifié au titulaire.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rFonts w:eastAsia="Marianne" w:cs="Marianne"/>
          <w:szCs w:val="18"/>
          <w:lang w:val="fr-FR"/>
        </w:rPr>
      </w:pPr>
      <w:r>
        <w:rPr>
          <w:rFonts w:eastAsia="Marianne" w:cs="Marianne"/>
          <w:lang w:val="fr-FR"/>
        </w:rPr>
        <w:t>Lorsqu’il estime que les modifications demandées à un bon de commande appellent à des observations de sa part, le titulaire doit les notifier au service bénéficiaire dans un délai de quinze (15) jours à compter de la r</w:t>
      </w:r>
      <w:r>
        <w:rPr>
          <w:rFonts w:eastAsia="Marianne" w:cs="Marianne"/>
          <w:lang w:val="fr-FR"/>
        </w:rPr>
        <w:t xml:space="preserve">éception de la demande de modifications. </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42" w:name="_Toc42"/>
      <w:r>
        <w:rPr>
          <w:rFonts w:ascii="Marianne ExtraBold" w:eastAsiaTheme="majorEastAsia" w:hAnsi="Marianne ExtraBold" w:cstheme="majorBidi"/>
          <w:caps/>
          <w:color w:val="465F9D"/>
          <w:sz w:val="22"/>
          <w:szCs w:val="26"/>
          <w:lang w:val="fr-FR" w:eastAsia="en-US"/>
        </w:rPr>
        <w:lastRenderedPageBreak/>
        <w:t>Annulation d</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caps/>
          <w:color w:val="465F9D"/>
          <w:sz w:val="22"/>
          <w:szCs w:val="26"/>
          <w:lang w:val="fr-FR" w:eastAsia="en-US"/>
        </w:rPr>
        <w:t>ex</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cution d</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caps/>
          <w:color w:val="465F9D"/>
          <w:sz w:val="22"/>
          <w:szCs w:val="26"/>
          <w:lang w:val="fr-FR" w:eastAsia="en-US"/>
        </w:rPr>
        <w:t>une prestation</w:t>
      </w:r>
      <w:bookmarkEnd w:id="42"/>
    </w:p>
    <w:p w:rsidR="001B30FD" w:rsidRDefault="008B589B">
      <w:pPr>
        <w:pBdr>
          <w:top w:val="none" w:sz="4" w:space="0" w:color="000000"/>
          <w:left w:val="none" w:sz="4" w:space="0" w:color="000000"/>
          <w:bottom w:val="none" w:sz="4" w:space="0" w:color="000000"/>
          <w:right w:val="none" w:sz="4" w:space="0" w:color="000000"/>
        </w:pBdr>
        <w:jc w:val="both"/>
        <w:rPr>
          <w:rFonts w:eastAsia="Marianne" w:cs="Marianne"/>
          <w:szCs w:val="18"/>
          <w:lang w:val="fr-FR"/>
        </w:rPr>
      </w:pPr>
      <w:r>
        <w:rPr>
          <w:rFonts w:eastAsia="Marianne" w:cs="Marianne"/>
          <w:lang w:val="fr-FR"/>
        </w:rPr>
        <w:t xml:space="preserve">Le service bénéficiaire peut, qu’il y ait ou non faute du titulaire, décider de l’arrêt de l’exécution d’une ou de plusieurs prestations objet d’un bon de commande. Le cas échéant, le service bénéficiaire notifie cet arrêt au titulaire, avec un préavis de </w:t>
      </w:r>
      <w:r>
        <w:rPr>
          <w:rFonts w:eastAsia="Marianne" w:cs="Marianne"/>
          <w:lang w:val="fr-FR"/>
        </w:rPr>
        <w:t xml:space="preserve">quinze (15) jours par lettre recommandée avec accusé de réception ou par tout moyen dématérialisé permettant de déterminer de façon certaine la date et l’heure de sa réception. </w:t>
      </w:r>
    </w:p>
    <w:p w:rsidR="001B30FD" w:rsidRDefault="001B30FD">
      <w:pPr>
        <w:pBdr>
          <w:top w:val="none" w:sz="4" w:space="0" w:color="000000"/>
          <w:left w:val="none" w:sz="4" w:space="0" w:color="000000"/>
          <w:bottom w:val="none" w:sz="4" w:space="0" w:color="000000"/>
          <w:right w:val="none" w:sz="4" w:space="0" w:color="000000"/>
        </w:pBdr>
        <w:jc w:val="both"/>
        <w:rPr>
          <w:lang w:val="fr-FR"/>
        </w:rPr>
      </w:pPr>
    </w:p>
    <w:p w:rsidR="001B30FD" w:rsidRDefault="008B589B">
      <w:pPr>
        <w:pBdr>
          <w:top w:val="none" w:sz="4" w:space="0" w:color="000000"/>
          <w:left w:val="none" w:sz="4" w:space="0" w:color="000000"/>
          <w:bottom w:val="none" w:sz="4" w:space="0" w:color="000000"/>
          <w:right w:val="none" w:sz="4" w:space="0" w:color="000000"/>
        </w:pBdr>
        <w:jc w:val="both"/>
        <w:rPr>
          <w:rFonts w:eastAsia="Marianne" w:cs="Marianne"/>
          <w:szCs w:val="18"/>
          <w:lang w:val="fr-FR"/>
        </w:rPr>
      </w:pPr>
      <w:r>
        <w:rPr>
          <w:rFonts w:eastAsia="Marianne" w:cs="Marianne"/>
          <w:lang w:val="fr-FR"/>
        </w:rPr>
        <w:t>Les bons de commande pourront également être annulés dans le cas et les condi</w:t>
      </w:r>
      <w:r>
        <w:rPr>
          <w:rFonts w:eastAsia="Marianne" w:cs="Marianne"/>
          <w:lang w:val="fr-FR"/>
        </w:rPr>
        <w:t>tions prévues à l’article 14.2 du présent CCAP.</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L’arrêt de l’exécution d’une ou de plusieurs prestation(s) objet(s) d’un bon de commande ne vaut pas résiliation du marché. Par ailleurs, elles ne donnent lieu à aucune indemnité. </w:t>
      </w:r>
    </w:p>
    <w:p w:rsidR="001B30FD" w:rsidRDefault="001B30FD">
      <w:pPr>
        <w:jc w:val="both"/>
        <w:rPr>
          <w:sz w:val="22"/>
          <w:lang w:val="fr-FR"/>
        </w:rPr>
      </w:pPr>
    </w:p>
    <w:p w:rsidR="001B30FD" w:rsidRDefault="008B589B">
      <w:pPr>
        <w:pStyle w:val="Titre1"/>
        <w:rPr>
          <w:lang w:val="fr-FR"/>
        </w:rPr>
      </w:pPr>
      <w:bookmarkStart w:id="43" w:name="_Toc43"/>
      <w:r>
        <w:rPr>
          <w:lang w:val="fr-FR"/>
        </w:rPr>
        <w:t>CONDITION D’EXECUTION DES PRESTATIONS</w:t>
      </w:r>
      <w:bookmarkEnd w:id="43"/>
    </w:p>
    <w:p w:rsidR="001B30FD" w:rsidRDefault="001B30FD">
      <w:pPr>
        <w:pStyle w:val="Sansinterligne"/>
        <w:jc w:val="both"/>
        <w:rPr>
          <w:rFonts w:ascii="Marianne" w:hAnsi="Marianne"/>
          <w:lang w:val="fr-FR"/>
        </w:rPr>
      </w:pPr>
    </w:p>
    <w:p w:rsidR="001B30FD" w:rsidRDefault="008B589B">
      <w:pPr>
        <w:pStyle w:val="Titre2"/>
        <w:ind w:left="576"/>
        <w:rPr>
          <w:rFonts w:ascii="Marianne ExtraBold" w:hAnsi="Marianne ExtraBold"/>
          <w:lang w:val="fr-FR"/>
        </w:rPr>
      </w:pPr>
      <w:bookmarkStart w:id="44" w:name="_Toc44"/>
      <w:r>
        <w:rPr>
          <w:rFonts w:ascii="Marianne ExtraBold" w:hAnsi="Marianne ExtraBold"/>
          <w:lang w:val="fr-FR"/>
        </w:rPr>
        <w:t>MODALITE D</w:t>
      </w:r>
      <w:r>
        <w:rPr>
          <w:rFonts w:ascii="Marianne ExtraBold" w:hAnsi="Marianne ExtraBold" w:hint="eastAsia"/>
          <w:lang w:val="fr-FR"/>
        </w:rPr>
        <w:t>’</w:t>
      </w:r>
      <w:r>
        <w:rPr>
          <w:rFonts w:ascii="Marianne ExtraBold" w:hAnsi="Marianne ExtraBold"/>
          <w:lang w:val="fr-FR"/>
        </w:rPr>
        <w:t>EXECUTION</w:t>
      </w:r>
      <w:bookmarkEnd w:id="44"/>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45" w:name="_Toc45"/>
      <w:r>
        <w:rPr>
          <w:rFonts w:ascii="Marianne ExtraBold" w:eastAsiaTheme="majorEastAsia" w:hAnsi="Marianne ExtraBold" w:cstheme="majorBidi"/>
          <w:caps/>
          <w:color w:val="465F9D"/>
          <w:sz w:val="22"/>
          <w:szCs w:val="26"/>
          <w:lang w:val="fr-FR" w:eastAsia="en-US"/>
        </w:rPr>
        <w:t>Communication entre les parties</w:t>
      </w:r>
      <w:bookmarkEnd w:id="45"/>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parties se transmettent les informations, décisions et documents relatifs à l’exécution des prestations par tout moyen de communication permettant de déterminer</w:t>
      </w:r>
      <w:r>
        <w:rPr>
          <w:rFonts w:eastAsia="Marianne" w:cs="Marianne"/>
          <w:lang w:val="fr-FR"/>
        </w:rPr>
        <w:t xml:space="preserve"> de façon certaine la date et l’heure de réception.</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décisions qui font courir un délai sont notifiées de manière privilégiée par lettre recommandée avec accusé de réception ou par remise en mains propres contre récépissé à la personne habilitée à rep</w:t>
      </w:r>
      <w:r>
        <w:rPr>
          <w:rFonts w:eastAsia="Marianne" w:cs="Marianne"/>
          <w:lang w:val="fr-FR"/>
        </w:rPr>
        <w:t>résenter le titulaire (ou son mandataire en cas de groupement). Le service bénéficiaire ou la PFRA, le cas échéant, peut refuser la communication d’informations, notamment au regard des impératifs de sécurité et de confidentialité, par décision dûment moti</w:t>
      </w:r>
      <w:r>
        <w:rPr>
          <w:rFonts w:eastAsia="Marianne" w:cs="Marianne"/>
          <w:lang w:val="fr-FR"/>
        </w:rPr>
        <w:t>vée.</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46" w:name="_Toc46"/>
      <w:r>
        <w:rPr>
          <w:rFonts w:ascii="Marianne ExtraBold" w:eastAsiaTheme="majorEastAsia" w:hAnsi="Marianne ExtraBold" w:cstheme="majorBidi"/>
          <w:caps/>
          <w:color w:val="465F9D"/>
          <w:sz w:val="22"/>
          <w:szCs w:val="26"/>
          <w:lang w:val="fr-FR" w:eastAsia="en-US"/>
        </w:rPr>
        <w:t>Sous-traitance</w:t>
      </w:r>
      <w:bookmarkEnd w:id="46"/>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Le titulaire peut sous-traiter l’exécution de certaines prestations </w:t>
      </w:r>
      <w:r>
        <w:rPr>
          <w:rFonts w:eastAsia="Marianne" w:cs="Marianne"/>
          <w:lang w:val="fr-FR"/>
        </w:rPr>
        <w:t xml:space="preserve">faisant l’objet du présent marché, dans les conditions prévues par l’article L. 2193-3 du Code de la commande publique et les articles R. 2193-1 à R. 2193-22 du même Code, sous réserve de l’acceptation et de l’agrément des conditions du paiement du ou des </w:t>
      </w:r>
      <w:r>
        <w:rPr>
          <w:rFonts w:eastAsia="Marianne" w:cs="Marianne"/>
          <w:lang w:val="fr-FR"/>
        </w:rPr>
        <w:t>sous-traitants.</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 titulaire s'engage notamment à présenter les entreprises auxquelles il envisage de confier la réalisation de certaines parties des prestations objets du marché. Pour ce faire, il fournit une déclaration contenant les renseignements men</w:t>
      </w:r>
      <w:r>
        <w:rPr>
          <w:rFonts w:eastAsia="Marianne" w:cs="Marianne"/>
          <w:lang w:val="fr-FR"/>
        </w:rPr>
        <w:t xml:space="preserve">tionnés aux articles R. 2193-1 et R. 2193-3 du Code de la commande publique sont comprises ou le formulaire DC4 (téléchargeable sur </w:t>
      </w:r>
      <w:hyperlink r:id="rId19" w:tooltip="https://www.economie.gouv.fr/daj/les-formulaires-de-declaration-du-candidat" w:history="1">
        <w:r>
          <w:rPr>
            <w:rStyle w:val="Lienhypertexte"/>
            <w:rFonts w:eastAsia="Marianne" w:cs="Marianne"/>
            <w:color w:val="0563C1"/>
            <w:lang w:val="fr-FR"/>
          </w:rPr>
          <w:t>https://www.economie.gouv.fr/daj/les-formulaires-de-declaration-du-candidat</w:t>
        </w:r>
      </w:hyperlink>
      <w:r>
        <w:rPr>
          <w:rFonts w:eastAsia="Marianne" w:cs="Marianne"/>
          <w:lang w:val="fr-FR"/>
        </w:rPr>
        <w:t xml:space="preserve"> ).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Cette déclaration, où le formulaire DC4 le cas échéant, doit être communiquée selon les formalités suivantes : </w:t>
      </w:r>
    </w:p>
    <w:p w:rsidR="001B30FD" w:rsidRDefault="008B589B">
      <w:pPr>
        <w:numPr>
          <w:ilvl w:val="0"/>
          <w:numId w:val="24"/>
        </w:num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Si le(s) sous</w:t>
      </w:r>
      <w:r>
        <w:rPr>
          <w:rFonts w:eastAsia="Marianne" w:cs="Marianne"/>
          <w:lang w:val="fr-FR"/>
        </w:rPr>
        <w:t>-traitant(s) n’interviennent que pour un service bénéficiaire unique, pour une opération ponctuelle, la déclaration devra être adressée au service bénéficiaire qui en assurera la gestion, notamment en matière d’agrément de paiement ;</w:t>
      </w:r>
    </w:p>
    <w:p w:rsidR="001B30FD" w:rsidRDefault="008B589B">
      <w:pPr>
        <w:numPr>
          <w:ilvl w:val="0"/>
          <w:numId w:val="24"/>
        </w:num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Si le(s) sous-traitant(s) doivent intervenir pour l’ensemble d’un lot du marché ou pour plusieurs services bénéficiaires, la déclaration devra être adressée à la PFRA qui en assurera la gestion, notamment en matière d’agréments de paiement.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lastRenderedPageBreak/>
        <w:t>Il est rappe</w:t>
      </w:r>
      <w:r>
        <w:rPr>
          <w:rFonts w:eastAsia="Marianne" w:cs="Marianne"/>
          <w:lang w:val="fr-FR"/>
        </w:rPr>
        <w:t xml:space="preserve">lé que la sous-traitance intégrale du marché ou d’un lot est interdite.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En cas de non-respect de ces dispositions, le titulaire s’expose aux sanctions prévues à l’article 3.6.3 du CCAG-FCS. </w:t>
      </w:r>
    </w:p>
    <w:p w:rsidR="001B30FD" w:rsidRDefault="001B30FD">
      <w:pPr>
        <w:pBdr>
          <w:top w:val="none" w:sz="4" w:space="0" w:color="000000"/>
          <w:left w:val="none" w:sz="4" w:space="0" w:color="000000"/>
          <w:bottom w:val="none" w:sz="4" w:space="0" w:color="000000"/>
          <w:right w:val="none" w:sz="4" w:space="0" w:color="000000"/>
        </w:pBdr>
        <w:jc w:val="both"/>
        <w:rPr>
          <w:lang w:val="fr-FR"/>
        </w:rPr>
      </w:pPr>
    </w:p>
    <w:p w:rsidR="001B30FD" w:rsidRDefault="001B30FD">
      <w:pPr>
        <w:pBdr>
          <w:top w:val="none" w:sz="4" w:space="0" w:color="000000"/>
          <w:left w:val="none" w:sz="4" w:space="0" w:color="000000"/>
          <w:bottom w:val="none" w:sz="4" w:space="0" w:color="000000"/>
          <w:right w:val="none" w:sz="4" w:space="0" w:color="000000"/>
        </w:pBdr>
        <w:jc w:val="both"/>
        <w:rPr>
          <w:rFonts w:eastAsia="Marianne" w:cs="Marianne"/>
          <w:lang w:val="fr-FR"/>
        </w:rPr>
      </w:pPr>
    </w:p>
    <w:p w:rsidR="001B30FD" w:rsidRDefault="008B589B">
      <w:pPr>
        <w:pStyle w:val="Titre2"/>
        <w:ind w:left="567"/>
        <w:rPr>
          <w:rFonts w:ascii="Marianne ExtraBold" w:hAnsi="Marianne ExtraBold" w:cs="Marianne ExtraBold"/>
        </w:rPr>
      </w:pPr>
      <w:bookmarkStart w:id="47" w:name="_Toc47"/>
      <w:r>
        <w:rPr>
          <w:rFonts w:ascii="Marianne ExtraBold" w:eastAsia="Marianne ExtraBold" w:hAnsi="Marianne ExtraBold" w:cs="Marianne ExtraBold"/>
          <w:lang w:val="fr-FR"/>
        </w:rPr>
        <w:t>COTRAITANCE</w:t>
      </w:r>
      <w:bookmarkEnd w:id="47"/>
    </w:p>
    <w:p w:rsidR="001B30FD" w:rsidRDefault="001B30FD">
      <w:pPr>
        <w:pBdr>
          <w:top w:val="none" w:sz="4" w:space="0" w:color="000000"/>
          <w:left w:val="none" w:sz="4" w:space="0" w:color="000000"/>
          <w:bottom w:val="none" w:sz="4" w:space="0" w:color="000000"/>
          <w:right w:val="none" w:sz="4" w:space="0" w:color="000000"/>
        </w:pBdr>
        <w:jc w:val="both"/>
        <w:rPr>
          <w:rFonts w:eastAsia="Marianne" w:cs="Marianne"/>
          <w:lang w:val="fr-FR"/>
        </w:rPr>
      </w:pPr>
    </w:p>
    <w:p w:rsidR="001B30FD" w:rsidRDefault="008B589B">
      <w:pPr>
        <w:pBdr>
          <w:top w:val="none" w:sz="4" w:space="0" w:color="000000"/>
          <w:left w:val="none" w:sz="4" w:space="0" w:color="000000"/>
          <w:bottom w:val="none" w:sz="4" w:space="0" w:color="000000"/>
          <w:right w:val="none" w:sz="4" w:space="0" w:color="000000"/>
        </w:pBdr>
        <w:jc w:val="both"/>
        <w:rPr>
          <w:rFonts w:eastAsia="Marianne" w:cs="Marianne"/>
          <w:lang w:val="fr-FR"/>
        </w:rPr>
      </w:pPr>
      <w:r>
        <w:rPr>
          <w:rFonts w:eastAsia="Marianne" w:cs="Marianne"/>
          <w:lang w:val="fr-FR"/>
        </w:rPr>
        <w:t>En cas de défaillance du mandataire du groupeme</w:t>
      </w:r>
      <w:r>
        <w:rPr>
          <w:rFonts w:eastAsia="Marianne" w:cs="Marianne"/>
          <w:lang w:val="fr-FR"/>
        </w:rPr>
        <w:t>nt d’opérateurs économiques, les membres du groupement sont tenus de lui désigner un remplaçant. A défaut, et à l’issue d’un délai de huit (8) jours courant à compter de la notification de la mise en demeure par l’acheteur, le cocontractant inscrit en deux</w:t>
      </w:r>
      <w:r>
        <w:rPr>
          <w:rFonts w:eastAsia="Marianne" w:cs="Marianne"/>
          <w:lang w:val="fr-FR"/>
        </w:rPr>
        <w:t>ième position dans l’acte d’engagement devient le nouveau mandataire du groupement.</w:t>
      </w:r>
    </w:p>
    <w:p w:rsidR="001B30FD" w:rsidRDefault="001B30FD">
      <w:pPr>
        <w:rPr>
          <w:lang w:val="fr-FR"/>
        </w:rPr>
      </w:pPr>
    </w:p>
    <w:p w:rsidR="001B30FD" w:rsidRDefault="008B589B">
      <w:pPr>
        <w:pStyle w:val="Titre2"/>
        <w:ind w:left="576"/>
        <w:rPr>
          <w:rFonts w:ascii="Marianne ExtraBold" w:hAnsi="Marianne ExtraBold"/>
          <w:lang w:val="fr-FR"/>
        </w:rPr>
      </w:pPr>
      <w:bookmarkStart w:id="48" w:name="_Toc48"/>
      <w:r>
        <w:rPr>
          <w:rFonts w:ascii="Marianne ExtraBold" w:hAnsi="Marianne ExtraBold"/>
          <w:lang w:val="fr-FR"/>
        </w:rPr>
        <w:t>DELAIS D</w:t>
      </w:r>
      <w:r>
        <w:rPr>
          <w:rFonts w:ascii="Marianne ExtraBold" w:hAnsi="Marianne ExtraBold" w:hint="eastAsia"/>
          <w:lang w:val="fr-FR"/>
        </w:rPr>
        <w:t>’</w:t>
      </w:r>
      <w:r>
        <w:rPr>
          <w:rFonts w:ascii="Marianne ExtraBold" w:hAnsi="Marianne ExtraBold"/>
          <w:lang w:val="fr-FR"/>
        </w:rPr>
        <w:t>EXECUTION</w:t>
      </w:r>
      <w:bookmarkEnd w:id="48"/>
    </w:p>
    <w:p w:rsidR="001B30FD" w:rsidRDefault="001B30FD">
      <w:pPr>
        <w:pBdr>
          <w:top w:val="none" w:sz="4" w:space="0" w:color="000000"/>
          <w:left w:val="none" w:sz="4" w:space="0" w:color="000000"/>
          <w:bottom w:val="none" w:sz="4" w:space="0" w:color="000000"/>
          <w:right w:val="none" w:sz="4" w:space="0" w:color="000000"/>
        </w:pBdr>
        <w:jc w:val="both"/>
        <w:rPr>
          <w:rFonts w:eastAsia="Marianne" w:cs="Marianne"/>
          <w:lang w:val="fr-FR"/>
        </w:rPr>
      </w:pP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La computation des délais d’exécution des prestations est réalisée en application de l’article 3.2 du CCAG-FCS. Conformément à l’article 3.2.2, les dél</w:t>
      </w:r>
      <w:r>
        <w:rPr>
          <w:rFonts w:eastAsia="Marianne" w:cs="Marianne"/>
          <w:lang w:val="fr-FR"/>
        </w:rPr>
        <w:t>ais mentionnés s’entendent en jours calendaires, sauf mention spécifique dans les documents du marché.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L’exécution des prestations débute à la date de l’accusé de réception de la notification du bon de commande au titulaire, sauf si le bon de commande prévoit une date différente.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délais particuliers d’exécution des prestations sont fixés, sauf except</w:t>
      </w:r>
      <w:r>
        <w:rPr>
          <w:rFonts w:eastAsia="Marianne" w:cs="Marianne"/>
          <w:lang w:val="fr-FR"/>
        </w:rPr>
        <w:t>ion, dans le CCTP. Ces délais expirent à la date de présentation des prestations au service bénéficiaire, en vue de l’engagement des opérations de vérification.</w:t>
      </w:r>
    </w:p>
    <w:p w:rsidR="001B30FD" w:rsidRDefault="001B30FD">
      <w:pPr>
        <w:rPr>
          <w:lang w:val="fr-FR"/>
        </w:rPr>
      </w:pPr>
    </w:p>
    <w:p w:rsidR="001B30FD" w:rsidRDefault="001B30FD">
      <w:pPr>
        <w:rPr>
          <w:rFonts w:ascii="Marianne ExtraBold" w:eastAsia="Marianne" w:hAnsi="Marianne ExtraBold" w:cs="Marianne"/>
          <w:color w:val="FF0000"/>
          <w:lang w:val="fr-FR"/>
        </w:rPr>
      </w:pPr>
    </w:p>
    <w:p w:rsidR="001B30FD" w:rsidRDefault="008B589B">
      <w:pPr>
        <w:pStyle w:val="Titre2"/>
        <w:ind w:left="576"/>
        <w:rPr>
          <w:rFonts w:ascii="Marianne ExtraBold" w:hAnsi="Marianne ExtraBold"/>
          <w:lang w:val="fr-FR"/>
        </w:rPr>
      </w:pPr>
      <w:bookmarkStart w:id="49" w:name="_Toc49"/>
      <w:r>
        <w:rPr>
          <w:rFonts w:ascii="Marianne ExtraBold" w:hAnsi="Marianne ExtraBold"/>
          <w:lang w:val="fr-FR"/>
        </w:rPr>
        <w:t>SUSPENSION EN CAS DE CIRCONSTANCES IMPRÉVISIBLES</w:t>
      </w:r>
      <w:bookmarkEnd w:id="49"/>
    </w:p>
    <w:p w:rsidR="001B30FD" w:rsidRDefault="001B30FD">
      <w:pPr>
        <w:jc w:val="both"/>
        <w:rPr>
          <w:rFonts w:eastAsia="Marianne" w:cs="Marianne"/>
          <w:lang w:val="fr-FR"/>
        </w:rPr>
      </w:pPr>
    </w:p>
    <w:p w:rsidR="001B30FD" w:rsidRDefault="008B589B">
      <w:pPr>
        <w:jc w:val="both"/>
        <w:rPr>
          <w:lang w:val="fr-FR"/>
        </w:rPr>
      </w:pPr>
      <w:r>
        <w:rPr>
          <w:rFonts w:eastAsia="Marianne" w:cs="Marianne"/>
          <w:lang w:val="fr-FR"/>
        </w:rPr>
        <w:t>Les dispositions de l’article 24 du CCAG-FCS s’appliquent.</w:t>
      </w:r>
    </w:p>
    <w:p w:rsidR="001B30FD" w:rsidRDefault="001B30FD">
      <w:pPr>
        <w:jc w:val="both"/>
        <w:rPr>
          <w:lang w:val="fr-FR"/>
        </w:rPr>
      </w:pPr>
    </w:p>
    <w:p w:rsidR="001B30FD" w:rsidRDefault="008B589B">
      <w:pPr>
        <w:pStyle w:val="Titre1"/>
        <w:rPr>
          <w:lang w:val="fr-FR"/>
        </w:rPr>
      </w:pPr>
      <w:bookmarkStart w:id="50" w:name="_Toc50"/>
      <w:r>
        <w:rPr>
          <w:lang w:val="fr-FR"/>
        </w:rPr>
        <w:t>MODALITÉS DE CONTRÔLE ET DE VALIDATION DES PRESTATIONS PRINCIPES GÉNÉRAUX</w:t>
      </w:r>
      <w:bookmarkEnd w:id="50"/>
    </w:p>
    <w:p w:rsidR="001B30FD" w:rsidRDefault="001B30FD">
      <w:pPr>
        <w:pStyle w:val="Sansinterligne"/>
        <w:jc w:val="both"/>
        <w:rPr>
          <w:rFonts w:ascii="Marianne" w:hAnsi="Marianne"/>
          <w:lang w:val="fr-FR"/>
        </w:rPr>
      </w:pPr>
    </w:p>
    <w:p w:rsidR="001B30FD" w:rsidRDefault="008B589B">
      <w:pPr>
        <w:pStyle w:val="Titre2"/>
        <w:ind w:left="576"/>
        <w:rPr>
          <w:rFonts w:ascii="Marianne ExtraBold" w:hAnsi="Marianne ExtraBold"/>
          <w:lang w:val="fr-FR"/>
        </w:rPr>
      </w:pPr>
      <w:bookmarkStart w:id="51" w:name="_Toc51"/>
      <w:r>
        <w:rPr>
          <w:rFonts w:ascii="Marianne ExtraBold" w:hAnsi="Marianne ExtraBold"/>
          <w:lang w:val="fr-FR"/>
        </w:rPr>
        <w:t>V</w:t>
      </w:r>
      <w:r>
        <w:rPr>
          <w:rFonts w:ascii="Marianne ExtraBold" w:hAnsi="Marianne ExtraBold" w:hint="eastAsia"/>
          <w:lang w:val="fr-FR"/>
        </w:rPr>
        <w:t>É</w:t>
      </w:r>
      <w:r>
        <w:rPr>
          <w:rFonts w:ascii="Marianne ExtraBold" w:hAnsi="Marianne ExtraBold"/>
          <w:lang w:val="fr-FR"/>
        </w:rPr>
        <w:t xml:space="preserve">RIFICATION DES PRESTATIONS </w:t>
      </w:r>
      <w:bookmarkEnd w:id="51"/>
    </w:p>
    <w:p w:rsidR="001B30FD" w:rsidRDefault="001B30FD">
      <w:pPr>
        <w:rPr>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L’exécution des prestations donne lieu à des vérifications quantitatives et qualitatives, </w:t>
      </w:r>
      <w:r>
        <w:rPr>
          <w:rFonts w:ascii="Marianne" w:hAnsi="Marianne" w:cs="Arial"/>
          <w:sz w:val="18"/>
          <w:lang w:val="fr-FR"/>
        </w:rPr>
        <w:t xml:space="preserve">dans les conditions des articles 27 et 28 du CCAG-FCS. Ces opérations de vérifications, notamment qualitatives, ont pour but de constater la correspondance entre les prestations fournies et les spécifications du marché.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Ce contrôle est effectué par</w:t>
      </w:r>
      <w:r>
        <w:rPr>
          <w:rFonts w:ascii="Marianne" w:hAnsi="Marianne" w:cs="Arial"/>
          <w:color w:val="000000" w:themeColor="text1"/>
          <w:sz w:val="18"/>
          <w:lang w:val="fr-FR"/>
        </w:rPr>
        <w:t xml:space="preserve"> un re</w:t>
      </w:r>
      <w:r>
        <w:rPr>
          <w:rFonts w:ascii="Marianne" w:hAnsi="Marianne" w:cs="Arial"/>
          <w:color w:val="000000" w:themeColor="text1"/>
          <w:sz w:val="18"/>
          <w:lang w:val="fr-FR"/>
        </w:rPr>
        <w:t>présentant du préfet, désigné par la direction de la DDETS34</w:t>
      </w:r>
      <w:r>
        <w:rPr>
          <w:rFonts w:ascii="Marianne" w:hAnsi="Marianne" w:cs="Arial"/>
          <w:sz w:val="18"/>
          <w:lang w:val="fr-FR"/>
        </w:rPr>
        <w:t>, soit par un référent technique du service bénéficiaire, soit par un prestataire externe désigné par celui-ci. Le cas échéant, le titulaire est tenu de mettre à disposition de ce nouvel intervena</w:t>
      </w:r>
      <w:r>
        <w:rPr>
          <w:rFonts w:ascii="Marianne" w:hAnsi="Marianne" w:cs="Arial"/>
          <w:sz w:val="18"/>
          <w:lang w:val="fr-FR"/>
        </w:rPr>
        <w:t xml:space="preserve">nt tous les documents nécessaires pour effectuer son contrôle.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Les opérations de vérifications qui ne nécessitent qu’un examen sommaire ne demandant que peu de temps sont réalisées au moment même de la livraison  par le référent technique du service béné</w:t>
      </w:r>
      <w:r>
        <w:rPr>
          <w:rFonts w:ascii="Marianne" w:hAnsi="Marianne" w:cs="Arial"/>
          <w:sz w:val="18"/>
          <w:lang w:val="fr-FR"/>
        </w:rPr>
        <w:t xml:space="preserve">ficiaire ou le prestataire externe. </w:t>
      </w:r>
      <w:r>
        <w:rPr>
          <w:rFonts w:ascii="Marianne" w:hAnsi="Marianne" w:cs="Arial"/>
          <w:sz w:val="18"/>
          <w:lang w:val="fr-FR"/>
        </w:rPr>
        <w:lastRenderedPageBreak/>
        <w:t xml:space="preserve">A défaut de notification de décision au titulaire, les prestations sont réputées admises dans un délai de quinze (15) jours à dater de la livraison .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Les opérations de vérification autre, plus complexes, sont réalisées</w:t>
      </w:r>
      <w:r>
        <w:rPr>
          <w:rFonts w:ascii="Marianne" w:hAnsi="Marianne" w:cs="Arial"/>
          <w:sz w:val="18"/>
          <w:lang w:val="fr-FR"/>
        </w:rPr>
        <w:t xml:space="preserve"> dans un délai de quinze (15) jours à compter de la date de livraison et/ou de mise en service dans les conditions fixées à l’article 29 du CCAG-FCS par le référent technique du service bénéficiaire ou le prestataire externe. Passé ce délai, la décision d’</w:t>
      </w:r>
      <w:r>
        <w:rPr>
          <w:rFonts w:ascii="Marianne" w:hAnsi="Marianne" w:cs="Arial"/>
          <w:sz w:val="18"/>
          <w:lang w:val="fr-FR"/>
        </w:rPr>
        <w:t xml:space="preserve">admission des prestations est réputée acquise. </w:t>
      </w:r>
    </w:p>
    <w:p w:rsidR="001B30FD" w:rsidRDefault="001B30FD">
      <w:pPr>
        <w:rPr>
          <w:lang w:val="fr-FR"/>
        </w:rPr>
      </w:pPr>
    </w:p>
    <w:p w:rsidR="001B30FD" w:rsidRDefault="008B589B">
      <w:pPr>
        <w:pStyle w:val="Titre2"/>
        <w:ind w:left="576"/>
        <w:rPr>
          <w:rFonts w:ascii="Marianne ExtraBold" w:hAnsi="Marianne ExtraBold"/>
          <w:lang w:val="fr-FR"/>
        </w:rPr>
      </w:pPr>
      <w:bookmarkStart w:id="52" w:name="_Toc52"/>
      <w:r>
        <w:rPr>
          <w:rFonts w:ascii="Marianne ExtraBold" w:hAnsi="Marianne ExtraBold"/>
          <w:lang w:val="fr-FR"/>
        </w:rPr>
        <w:t>D</w:t>
      </w:r>
      <w:r>
        <w:rPr>
          <w:rFonts w:ascii="Marianne ExtraBold" w:hAnsi="Marianne ExtraBold" w:hint="eastAsia"/>
          <w:lang w:val="fr-FR"/>
        </w:rPr>
        <w:t>É</w:t>
      </w:r>
      <w:r>
        <w:rPr>
          <w:rFonts w:ascii="Marianne ExtraBold" w:hAnsi="Marianne ExtraBold"/>
          <w:lang w:val="fr-FR"/>
        </w:rPr>
        <w:t>CISION APR</w:t>
      </w:r>
      <w:r>
        <w:rPr>
          <w:rFonts w:ascii="Marianne ExtraBold" w:hAnsi="Marianne ExtraBold" w:hint="eastAsia"/>
          <w:lang w:val="fr-FR"/>
        </w:rPr>
        <w:t>È</w:t>
      </w:r>
      <w:r>
        <w:rPr>
          <w:rFonts w:ascii="Marianne ExtraBold" w:hAnsi="Marianne ExtraBold"/>
          <w:lang w:val="fr-FR"/>
        </w:rPr>
        <w:t>S V</w:t>
      </w:r>
      <w:r>
        <w:rPr>
          <w:rFonts w:ascii="Marianne ExtraBold" w:hAnsi="Marianne ExtraBold" w:hint="eastAsia"/>
          <w:lang w:val="fr-FR"/>
        </w:rPr>
        <w:t>É</w:t>
      </w:r>
      <w:r>
        <w:rPr>
          <w:rFonts w:ascii="Marianne ExtraBold" w:hAnsi="Marianne ExtraBold"/>
          <w:lang w:val="fr-FR"/>
        </w:rPr>
        <w:t>RIFICATION ET CONDITIONS D</w:t>
      </w:r>
      <w:r>
        <w:rPr>
          <w:rFonts w:ascii="Marianne ExtraBold" w:hAnsi="Marianne ExtraBold" w:hint="eastAsia"/>
          <w:lang w:val="fr-FR"/>
        </w:rPr>
        <w:t>’</w:t>
      </w:r>
      <w:r>
        <w:rPr>
          <w:rFonts w:ascii="Marianne ExtraBold" w:hAnsi="Marianne ExtraBold"/>
          <w:lang w:val="fr-FR"/>
        </w:rPr>
        <w:t>ADMISSION</w:t>
      </w:r>
      <w:bookmarkEnd w:id="52"/>
    </w:p>
    <w:p w:rsidR="001B30FD" w:rsidRDefault="001B30FD">
      <w:pPr>
        <w:rPr>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Conformément à l’article 30 du CCAG FCS, le référent technique du service bénéficiaire peut prononcer, à l’issue des opérations de vérifications quantit</w:t>
      </w:r>
      <w:r>
        <w:rPr>
          <w:rFonts w:ascii="Marianne" w:hAnsi="Marianne" w:cs="Arial"/>
          <w:sz w:val="18"/>
          <w:lang w:val="fr-FR"/>
        </w:rPr>
        <w:t xml:space="preserve">atives et qualitatives : </w:t>
      </w:r>
    </w:p>
    <w:p w:rsidR="001B30FD" w:rsidRDefault="008B589B">
      <w:pPr>
        <w:pStyle w:val="Sansinterligne"/>
        <w:numPr>
          <w:ilvl w:val="0"/>
          <w:numId w:val="23"/>
        </w:numPr>
        <w:jc w:val="both"/>
        <w:rPr>
          <w:rFonts w:ascii="Marianne" w:hAnsi="Marianne" w:cs="Arial"/>
          <w:sz w:val="18"/>
          <w:lang w:val="fr-FR"/>
        </w:rPr>
      </w:pPr>
      <w:r>
        <w:rPr>
          <w:rFonts w:ascii="Marianne" w:hAnsi="Marianne" w:cs="Arial"/>
          <w:sz w:val="18"/>
          <w:lang w:val="fr-FR"/>
        </w:rPr>
        <w:t>L’</w:t>
      </w:r>
      <w:r>
        <w:rPr>
          <w:rFonts w:ascii="Marianne" w:hAnsi="Marianne" w:cs="Arial"/>
          <w:b/>
          <w:sz w:val="18"/>
          <w:lang w:val="fr-FR"/>
        </w:rPr>
        <w:t>admission</w:t>
      </w:r>
      <w:r>
        <w:rPr>
          <w:rFonts w:ascii="Marianne" w:hAnsi="Marianne" w:cs="Arial"/>
          <w:sz w:val="18"/>
          <w:lang w:val="fr-FR"/>
        </w:rPr>
        <w:t xml:space="preserve"> des prestations, lorsque les prestations répondent aux stipulations du marché ; </w:t>
      </w:r>
    </w:p>
    <w:p w:rsidR="001B30FD" w:rsidRDefault="008B589B">
      <w:pPr>
        <w:pStyle w:val="Sansinterligne"/>
        <w:numPr>
          <w:ilvl w:val="0"/>
          <w:numId w:val="23"/>
        </w:numPr>
        <w:jc w:val="both"/>
        <w:rPr>
          <w:rFonts w:ascii="Marianne" w:hAnsi="Marianne" w:cs="Arial"/>
          <w:sz w:val="18"/>
          <w:lang w:val="fr-FR"/>
        </w:rPr>
      </w:pPr>
      <w:r>
        <w:rPr>
          <w:rFonts w:ascii="Marianne" w:hAnsi="Marianne" w:cs="Arial"/>
          <w:sz w:val="18"/>
          <w:lang w:val="fr-FR"/>
        </w:rPr>
        <w:t>L’</w:t>
      </w:r>
      <w:r>
        <w:rPr>
          <w:rFonts w:ascii="Marianne" w:hAnsi="Marianne" w:cs="Arial"/>
          <w:b/>
          <w:sz w:val="18"/>
          <w:lang w:val="fr-FR"/>
        </w:rPr>
        <w:t>ajournement</w:t>
      </w:r>
      <w:r>
        <w:rPr>
          <w:rFonts w:ascii="Marianne" w:hAnsi="Marianne" w:cs="Arial"/>
          <w:sz w:val="18"/>
          <w:lang w:val="fr-FR"/>
        </w:rPr>
        <w:t>, lorsque les prestations ne peuvent être</w:t>
      </w:r>
      <w:r>
        <w:rPr>
          <w:rFonts w:ascii="Marianne" w:hAnsi="Marianne" w:cs="Arial"/>
          <w:sz w:val="18"/>
          <w:lang w:val="fr-FR"/>
        </w:rPr>
        <w:t xml:space="preserve"> reçues que moyennant certaines mises au point. Cette décision invite le titulaire à présenter à nouveau au service bénéficiaire les prestations mises au point. Le cas échéant, la réfaction est prononcée dans les conditions de l’article 30.2 du CCAG-FCS ; </w:t>
      </w:r>
    </w:p>
    <w:p w:rsidR="001B30FD" w:rsidRDefault="008B589B">
      <w:pPr>
        <w:pStyle w:val="Sansinterligne"/>
        <w:numPr>
          <w:ilvl w:val="0"/>
          <w:numId w:val="23"/>
        </w:numPr>
        <w:jc w:val="both"/>
        <w:rPr>
          <w:rFonts w:ascii="Marianne" w:hAnsi="Marianne" w:cs="Arial"/>
          <w:sz w:val="18"/>
          <w:lang w:val="fr-FR"/>
        </w:rPr>
      </w:pPr>
      <w:r>
        <w:rPr>
          <w:rFonts w:ascii="Marianne" w:hAnsi="Marianne" w:cs="Arial"/>
          <w:sz w:val="18"/>
          <w:lang w:val="fr-FR"/>
        </w:rPr>
        <w:t xml:space="preserve">La </w:t>
      </w:r>
      <w:r>
        <w:rPr>
          <w:rFonts w:ascii="Marianne" w:hAnsi="Marianne" w:cs="Arial"/>
          <w:b/>
          <w:sz w:val="18"/>
          <w:lang w:val="fr-FR"/>
        </w:rPr>
        <w:t>réfaction</w:t>
      </w:r>
      <w:r>
        <w:rPr>
          <w:rFonts w:ascii="Marianne" w:hAnsi="Marianne" w:cs="Arial"/>
          <w:sz w:val="18"/>
          <w:lang w:val="fr-FR"/>
        </w:rPr>
        <w:t>, lorsque les prestations, sans être entièrement conformes aux stipulations du marché, peuvent être reçues en l’état avec réfaction de prix proportionnelle à l’importance des imperfections constatées. Le cas échéant, la réfaction est prononcée</w:t>
      </w:r>
      <w:r>
        <w:rPr>
          <w:rFonts w:ascii="Marianne" w:hAnsi="Marianne" w:cs="Arial"/>
          <w:sz w:val="18"/>
          <w:lang w:val="fr-FR"/>
        </w:rPr>
        <w:t xml:space="preserve"> dans les conditions de l’article 30.3 du CCAG-FCS ; </w:t>
      </w:r>
    </w:p>
    <w:p w:rsidR="001B30FD" w:rsidRDefault="008B589B">
      <w:pPr>
        <w:pStyle w:val="Sansinterligne"/>
        <w:numPr>
          <w:ilvl w:val="0"/>
          <w:numId w:val="23"/>
        </w:numPr>
        <w:jc w:val="both"/>
        <w:rPr>
          <w:rFonts w:ascii="Marianne" w:hAnsi="Marianne" w:cs="Arial"/>
          <w:sz w:val="18"/>
          <w:lang w:val="fr-FR"/>
        </w:rPr>
      </w:pPr>
      <w:r>
        <w:rPr>
          <w:rFonts w:ascii="Marianne" w:hAnsi="Marianne" w:cs="Arial"/>
          <w:sz w:val="18"/>
          <w:lang w:val="fr-FR"/>
        </w:rPr>
        <w:t xml:space="preserve">Le </w:t>
      </w:r>
      <w:r>
        <w:rPr>
          <w:rFonts w:ascii="Marianne" w:hAnsi="Marianne" w:cs="Arial"/>
          <w:b/>
          <w:sz w:val="18"/>
          <w:lang w:val="fr-FR"/>
        </w:rPr>
        <w:t>rejet</w:t>
      </w:r>
      <w:r>
        <w:rPr>
          <w:rFonts w:ascii="Marianne" w:hAnsi="Marianne" w:cs="Arial"/>
          <w:sz w:val="18"/>
          <w:lang w:val="fr-FR"/>
        </w:rPr>
        <w:t xml:space="preserve"> des prestations, lorsque ces dernières ne sont pas conformes aux stipulations du marché et ne peuvent être reçues en l’état.  Le rejet peut être partiel ou total. Dans ce dernier cas, le servic</w:t>
      </w:r>
      <w:r>
        <w:rPr>
          <w:rFonts w:ascii="Marianne" w:hAnsi="Marianne" w:cs="Arial"/>
          <w:sz w:val="18"/>
          <w:lang w:val="fr-FR"/>
        </w:rPr>
        <w:t xml:space="preserve">e bénéficiaire se réserve la possibilité de faire exécuter à nouveau les prestations dans les conditions du marché et du bon de commande.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L’admission des prestations ouvre droit au paiement des prestations réalisées au titre des bons de commande émis. </w:t>
      </w:r>
    </w:p>
    <w:p w:rsidR="001B30FD" w:rsidRDefault="001B30FD">
      <w:pPr>
        <w:rPr>
          <w:lang w:val="fr-FR"/>
        </w:rPr>
      </w:pPr>
    </w:p>
    <w:p w:rsidR="001B30FD" w:rsidRDefault="001B30FD">
      <w:pPr>
        <w:jc w:val="both"/>
        <w:rPr>
          <w:lang w:val="fr-FR"/>
        </w:rPr>
      </w:pPr>
    </w:p>
    <w:p w:rsidR="001B30FD" w:rsidRDefault="008B589B">
      <w:pPr>
        <w:pStyle w:val="Titre1"/>
        <w:rPr>
          <w:lang w:val="fr-FR"/>
        </w:rPr>
      </w:pPr>
      <w:bookmarkStart w:id="53" w:name="_Toc53"/>
      <w:r>
        <w:rPr>
          <w:lang w:val="fr-FR"/>
        </w:rPr>
        <w:t>OBJECTIF DE PERFORMANCE</w:t>
      </w:r>
      <w:bookmarkEnd w:id="53"/>
    </w:p>
    <w:p w:rsidR="001B30FD" w:rsidRDefault="001B30FD">
      <w:pPr>
        <w:pStyle w:val="Textedebulles"/>
        <w:rPr>
          <w:rStyle w:val="TextedebullesCar"/>
          <w:lang w:val="fr-FR"/>
        </w:rPr>
      </w:pP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La présente clause de performance a pour objet de permettre un suivi objectif, mesurable et traçable de la qualité d’exécution des prestations, d’identifier les écarts éventuels et de définir, le cas échéant, les actions correctiv</w:t>
      </w:r>
      <w:r>
        <w:rPr>
          <w:rFonts w:eastAsia="Marianne" w:cs="Marianne"/>
          <w:lang w:val="fr-FR"/>
        </w:rPr>
        <w:t>es nécessaires.</w:t>
      </w: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Les indicateurs sont applicables à compter du démarrage effectif des prestations du lot concerné. Ils sont appréciés, pour la première année, sur la période réellement exécutée, puis sur une période annuelle d’exécution.</w:t>
      </w: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 xml:space="preserve">L’atteinte des </w:t>
      </w:r>
      <w:r>
        <w:rPr>
          <w:rFonts w:eastAsia="Marianne" w:cs="Marianne"/>
          <w:lang w:val="fr-FR"/>
        </w:rPr>
        <w:t>objectifs ne donne lieu à aucune prime, bonus ou rémunération complémentaire. Les objectifs constituent des exigences contractuelles de qualité d’exécution.</w:t>
      </w: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Le titulaire transmet les données brutes nécessaires au calcul des indicateurs dans un délai de q</w:t>
      </w:r>
      <w:r>
        <w:rPr>
          <w:rFonts w:eastAsia="Marianne" w:cs="Marianne"/>
          <w:lang w:val="fr-FR"/>
        </w:rPr>
        <w:t>uinze (15) jours ouvrés suivant la fin de la période annuelle considérée, ou au plus tard quinze (15) jours ouvrés avant la réunion de bilan annuel.</w:t>
      </w: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rPr>
          <w:rFonts w:eastAsia="Marianne" w:cs="Marianne"/>
          <w:lang w:val="fr-FR"/>
        </w:rPr>
      </w:pPr>
      <w:r>
        <w:rPr>
          <w:rFonts w:eastAsia="Marianne" w:cs="Marianne"/>
          <w:lang w:val="fr-FR"/>
        </w:rPr>
        <w:t>En cas de non-atteinte totale ou partielle d’un objectif, le titulaire peut être tenu de présenter un pla</w:t>
      </w:r>
      <w:r>
        <w:rPr>
          <w:rFonts w:eastAsia="Marianne" w:cs="Marianne"/>
          <w:lang w:val="fr-FR"/>
        </w:rPr>
        <w:t>n d’actions correctives dans un délai de quinze (15) jours ouvrés. Lorsque l’écart constaté correspond à un manquement prévu par le tableau des pénalités, les pénalités prévues à l’article 12 du présent CCAP peuvent être appliquées.</w:t>
      </w:r>
    </w:p>
    <w:p w:rsidR="001B30FD" w:rsidRDefault="001B30FD">
      <w:pPr>
        <w:pStyle w:val="Textedebulles"/>
        <w:rPr>
          <w:rStyle w:val="TextedebullesCar"/>
          <w:color w:val="FF0000"/>
          <w:sz w:val="22"/>
          <w:szCs w:val="22"/>
          <w:lang w:val="fr-FR"/>
        </w:rPr>
      </w:pPr>
    </w:p>
    <w:p w:rsidR="001B30FD" w:rsidRDefault="001B30FD">
      <w:pPr>
        <w:pStyle w:val="Textedebulles"/>
        <w:rPr>
          <w:rStyle w:val="TextedebullesCar"/>
          <w:color w:val="FF0000"/>
          <w:sz w:val="22"/>
          <w:szCs w:val="22"/>
          <w:lang w:val="fr-FR"/>
        </w:rPr>
      </w:pPr>
    </w:p>
    <w:tbl>
      <w:tblPr>
        <w:tblW w:w="10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9"/>
        <w:gridCol w:w="2171"/>
        <w:gridCol w:w="2236"/>
        <w:gridCol w:w="1444"/>
        <w:gridCol w:w="2149"/>
      </w:tblGrid>
      <w:tr w:rsidR="001B30FD">
        <w:trPr>
          <w:trHeight w:val="233"/>
        </w:trPr>
        <w:tc>
          <w:tcPr>
            <w:tcW w:w="2199" w:type="dxa"/>
            <w:shd w:val="clear" w:color="FFFFFF" w:fill="465F93"/>
            <w:vAlign w:val="center"/>
          </w:tcPr>
          <w:p w:rsidR="001B30FD" w:rsidRDefault="008B589B">
            <w:pPr>
              <w:pStyle w:val="Sansinterligne"/>
              <w:jc w:val="center"/>
              <w:rPr>
                <w:rFonts w:ascii="Marianne" w:hAnsi="Marianne" w:cs="Arial"/>
                <w:b/>
                <w:bCs/>
                <w:color w:val="FFFFFF" w:themeColor="background1"/>
                <w:sz w:val="20"/>
              </w:rPr>
            </w:pPr>
            <w:r>
              <w:rPr>
                <w:rFonts w:ascii="Marianne" w:hAnsi="Marianne" w:cs="Arial"/>
                <w:b/>
                <w:bCs/>
                <w:color w:val="FFFFFF" w:themeColor="background1"/>
                <w:sz w:val="20"/>
                <w:lang w:val="fr-FR"/>
              </w:rPr>
              <w:t>Indicateur</w:t>
            </w:r>
          </w:p>
        </w:tc>
        <w:tc>
          <w:tcPr>
            <w:tcW w:w="2171" w:type="dxa"/>
            <w:shd w:val="clear" w:color="FFFFFF" w:fill="465F93"/>
            <w:vAlign w:val="center"/>
          </w:tcPr>
          <w:p w:rsidR="001B30FD" w:rsidRDefault="008B589B">
            <w:pPr>
              <w:pStyle w:val="Sansinterligne"/>
              <w:jc w:val="center"/>
              <w:rPr>
                <w:rFonts w:ascii="Marianne" w:hAnsi="Marianne" w:cs="Arial"/>
                <w:b/>
                <w:bCs/>
                <w:color w:val="FFFFFF" w:themeColor="background1"/>
                <w:sz w:val="20"/>
              </w:rPr>
            </w:pPr>
            <w:r>
              <w:rPr>
                <w:rFonts w:ascii="Marianne" w:hAnsi="Marianne" w:cs="Arial"/>
                <w:b/>
                <w:bCs/>
                <w:color w:val="FFFFFF" w:themeColor="background1"/>
                <w:sz w:val="20"/>
                <w:lang w:val="fr-FR"/>
              </w:rPr>
              <w:t>Mesure</w:t>
            </w:r>
          </w:p>
        </w:tc>
        <w:tc>
          <w:tcPr>
            <w:tcW w:w="2236" w:type="dxa"/>
            <w:shd w:val="clear" w:color="FFFFFF" w:fill="465F93"/>
            <w:vAlign w:val="center"/>
          </w:tcPr>
          <w:p w:rsidR="001B30FD" w:rsidRDefault="008B589B">
            <w:pPr>
              <w:pStyle w:val="Sansinterligne"/>
              <w:jc w:val="center"/>
              <w:rPr>
                <w:rFonts w:ascii="Marianne" w:hAnsi="Marianne" w:cs="Arial"/>
                <w:b/>
                <w:bCs/>
                <w:color w:val="FFFFFF" w:themeColor="background1"/>
                <w:sz w:val="20"/>
              </w:rPr>
            </w:pPr>
            <w:r>
              <w:rPr>
                <w:rFonts w:ascii="Marianne" w:hAnsi="Marianne" w:cs="Arial"/>
                <w:b/>
                <w:bCs/>
                <w:color w:val="FFFFFF" w:themeColor="background1"/>
                <w:sz w:val="20"/>
                <w:lang w:val="fr-FR"/>
              </w:rPr>
              <w:t>Sou</w:t>
            </w:r>
            <w:r>
              <w:rPr>
                <w:rFonts w:ascii="Marianne" w:hAnsi="Marianne" w:cs="Arial"/>
                <w:b/>
                <w:bCs/>
                <w:color w:val="FFFFFF" w:themeColor="background1"/>
                <w:sz w:val="20"/>
                <w:lang w:val="fr-FR"/>
              </w:rPr>
              <w:t>rce de prevue</w:t>
            </w:r>
          </w:p>
        </w:tc>
        <w:tc>
          <w:tcPr>
            <w:tcW w:w="1444" w:type="dxa"/>
            <w:shd w:val="clear" w:color="FFFFFF" w:fill="465F93"/>
            <w:vAlign w:val="center"/>
          </w:tcPr>
          <w:p w:rsidR="001B30FD" w:rsidRDefault="008B589B">
            <w:pPr>
              <w:pStyle w:val="Sansinterligne"/>
              <w:jc w:val="center"/>
              <w:rPr>
                <w:rFonts w:ascii="Marianne" w:hAnsi="Marianne" w:cs="Arial"/>
                <w:b/>
                <w:bCs/>
                <w:color w:val="FFFFFF" w:themeColor="background1"/>
                <w:sz w:val="20"/>
              </w:rPr>
            </w:pPr>
            <w:r>
              <w:rPr>
                <w:rFonts w:ascii="Marianne" w:hAnsi="Marianne" w:cs="Arial"/>
                <w:b/>
                <w:bCs/>
                <w:color w:val="FFFFFF" w:themeColor="background1"/>
                <w:sz w:val="20"/>
                <w:lang w:val="fr-FR"/>
              </w:rPr>
              <w:t>Fr</w:t>
            </w:r>
            <w:r>
              <w:rPr>
                <w:rFonts w:ascii="Marianne" w:hAnsi="Marianne" w:cs="Arial" w:hint="cs"/>
                <w:b/>
                <w:bCs/>
                <w:color w:val="FFFFFF" w:themeColor="background1"/>
                <w:sz w:val="20"/>
                <w:lang w:val="fr-FR"/>
              </w:rPr>
              <w:t>é</w:t>
            </w:r>
            <w:r>
              <w:rPr>
                <w:rFonts w:ascii="Marianne" w:hAnsi="Marianne" w:cs="Arial"/>
                <w:b/>
                <w:bCs/>
                <w:color w:val="FFFFFF" w:themeColor="background1"/>
                <w:sz w:val="20"/>
                <w:lang w:val="fr-FR"/>
              </w:rPr>
              <w:t>quence</w:t>
            </w:r>
          </w:p>
        </w:tc>
        <w:tc>
          <w:tcPr>
            <w:tcW w:w="2149" w:type="dxa"/>
            <w:shd w:val="clear" w:color="FFFFFF" w:fill="465F93"/>
          </w:tcPr>
          <w:p w:rsidR="001B30FD" w:rsidRDefault="008B589B">
            <w:pPr>
              <w:pStyle w:val="Sansinterligne"/>
              <w:jc w:val="center"/>
              <w:rPr>
                <w:rFonts w:ascii="Marianne" w:hAnsi="Marianne" w:cs="Arial"/>
                <w:b/>
                <w:bCs/>
                <w:color w:val="FFFFFF" w:themeColor="background1"/>
                <w:sz w:val="20"/>
              </w:rPr>
            </w:pPr>
            <w:r>
              <w:rPr>
                <w:rFonts w:ascii="Marianne" w:hAnsi="Marianne" w:cs="Arial"/>
                <w:b/>
                <w:bCs/>
                <w:color w:val="FFFFFF" w:themeColor="background1"/>
                <w:sz w:val="20"/>
                <w:lang w:val="fr-FR"/>
              </w:rPr>
              <w:t>Cible</w:t>
            </w:r>
          </w:p>
        </w:tc>
      </w:tr>
      <w:tr w:rsidR="001B30FD">
        <w:trPr>
          <w:trHeight w:val="1871"/>
        </w:trPr>
        <w:tc>
          <w:tcPr>
            <w:tcW w:w="2199" w:type="dxa"/>
            <w:vAlign w:val="center"/>
          </w:tcPr>
          <w:p w:rsidR="001B30FD" w:rsidRDefault="008B589B">
            <w:pPr>
              <w:rPr>
                <w:lang w:val="fr-FR"/>
              </w:rPr>
            </w:pPr>
            <w:r>
              <w:rPr>
                <w:lang w:val="fr-FR"/>
              </w:rPr>
              <w:lastRenderedPageBreak/>
              <w:t>Signalement des non-présentations, absences et EIG</w:t>
            </w:r>
          </w:p>
        </w:tc>
        <w:tc>
          <w:tcPr>
            <w:tcW w:w="2171" w:type="dxa"/>
            <w:vAlign w:val="center"/>
          </w:tcPr>
          <w:p w:rsidR="001B30FD" w:rsidRDefault="008B589B">
            <w:pPr>
              <w:rPr>
                <w:lang w:val="fr-FR"/>
              </w:rPr>
            </w:pPr>
            <w:r>
              <w:rPr>
                <w:lang w:val="fr-FR"/>
              </w:rPr>
              <w:t>Nombre de signalements réalisés dans le délai / nombre d’événements connus × 100</w:t>
            </w:r>
          </w:p>
        </w:tc>
        <w:tc>
          <w:tcPr>
            <w:tcW w:w="2236" w:type="dxa"/>
            <w:vAlign w:val="center"/>
          </w:tcPr>
          <w:p w:rsidR="001B30FD" w:rsidRDefault="008B589B">
            <w:pPr>
              <w:rPr>
                <w:lang w:val="fr-FR"/>
              </w:rPr>
            </w:pPr>
            <w:r>
              <w:rPr>
                <w:lang w:val="fr-FR"/>
              </w:rPr>
              <w:t>Mail à la DDETS/SIAO, registre incident, outil de suivi</w:t>
            </w:r>
          </w:p>
        </w:tc>
        <w:tc>
          <w:tcPr>
            <w:tcW w:w="1444" w:type="dxa"/>
            <w:vAlign w:val="center"/>
          </w:tcPr>
          <w:p w:rsidR="001B30FD" w:rsidRDefault="008B589B">
            <w:pPr>
              <w:jc w:val="center"/>
              <w:rPr>
                <w:lang w:val="fr-FR"/>
              </w:rPr>
            </w:pPr>
            <w:r>
              <w:rPr>
                <w:lang w:val="fr-FR" w:eastAsia="en-GB"/>
              </w:rPr>
              <w:t>Mensuellement</w:t>
            </w:r>
          </w:p>
        </w:tc>
        <w:tc>
          <w:tcPr>
            <w:tcW w:w="2149" w:type="dxa"/>
            <w:vAlign w:val="center"/>
          </w:tcPr>
          <w:p w:rsidR="001B30FD" w:rsidRDefault="008B589B">
            <w:pPr>
              <w:jc w:val="center"/>
              <w:rPr>
                <w:lang w:val="fr-FR"/>
              </w:rPr>
            </w:pPr>
            <w:r>
              <w:rPr>
                <w:lang w:val="fr-FR" w:eastAsia="en-GB"/>
              </w:rPr>
              <w:t>100%</w:t>
            </w:r>
          </w:p>
        </w:tc>
      </w:tr>
      <w:tr w:rsidR="001B30FD" w:rsidRPr="009837D7">
        <w:trPr>
          <w:trHeight w:val="1871"/>
        </w:trPr>
        <w:tc>
          <w:tcPr>
            <w:tcW w:w="2199" w:type="dxa"/>
            <w:vAlign w:val="center"/>
          </w:tcPr>
          <w:p w:rsidR="001B30FD" w:rsidRDefault="008B589B">
            <w:pPr>
              <w:rPr>
                <w:lang w:val="fr-FR"/>
              </w:rPr>
            </w:pPr>
            <w:r>
              <w:rPr>
                <w:lang w:val="fr-FR"/>
              </w:rPr>
              <w:t>Réalisation et traçabilité des contrôles hôteliers prévus ou demandés</w:t>
            </w:r>
          </w:p>
        </w:tc>
        <w:tc>
          <w:tcPr>
            <w:tcW w:w="2171" w:type="dxa"/>
            <w:vAlign w:val="center"/>
          </w:tcPr>
          <w:p w:rsidR="001B30FD" w:rsidRDefault="008B589B">
            <w:pPr>
              <w:rPr>
                <w:lang w:val="fr-FR"/>
              </w:rPr>
            </w:pPr>
            <w:r>
              <w:rPr>
                <w:lang w:val="fr-FR"/>
              </w:rPr>
              <w:t>Nombre de contrôles réalisés et tracés dans le délai / nombre de contrôles prévus ou demandés × 100</w:t>
            </w:r>
          </w:p>
        </w:tc>
        <w:tc>
          <w:tcPr>
            <w:tcW w:w="2236" w:type="dxa"/>
            <w:vAlign w:val="center"/>
          </w:tcPr>
          <w:p w:rsidR="001B30FD" w:rsidRDefault="008B589B">
            <w:pPr>
              <w:rPr>
                <w:lang w:val="fr-FR"/>
              </w:rPr>
            </w:pPr>
            <w:r>
              <w:rPr>
                <w:lang w:val="fr-FR"/>
              </w:rPr>
              <w:t>Planning de contrôle, compte rendu de visite, grille de contrôle, photos ou pièces jus</w:t>
            </w:r>
            <w:r>
              <w:rPr>
                <w:lang w:val="fr-FR"/>
              </w:rPr>
              <w:t>tificatives si prévues</w:t>
            </w:r>
          </w:p>
        </w:tc>
        <w:tc>
          <w:tcPr>
            <w:tcW w:w="1444" w:type="dxa"/>
            <w:vAlign w:val="center"/>
          </w:tcPr>
          <w:p w:rsidR="001B30FD" w:rsidRDefault="008B589B">
            <w:pPr>
              <w:jc w:val="center"/>
              <w:rPr>
                <w:lang w:val="fr-FR"/>
              </w:rPr>
            </w:pPr>
            <w:r>
              <w:rPr>
                <w:rStyle w:val="lev"/>
                <w:lang w:val="fr-FR"/>
              </w:rPr>
              <w:t>Trimestrielle</w:t>
            </w:r>
            <w:r>
              <w:rPr>
                <w:lang w:val="fr-FR"/>
              </w:rPr>
              <w:t xml:space="preserve"> pour les contrôles périodiques ; </w:t>
            </w:r>
            <w:r>
              <w:rPr>
                <w:rStyle w:val="lev"/>
                <w:lang w:val="fr-FR"/>
              </w:rPr>
              <w:t>mensuelle</w:t>
            </w:r>
            <w:r>
              <w:rPr>
                <w:lang w:val="fr-FR"/>
              </w:rPr>
              <w:t xml:space="preserve"> pour le suivi des contrôles supplémentaires</w:t>
            </w:r>
          </w:p>
        </w:tc>
        <w:tc>
          <w:tcPr>
            <w:tcW w:w="2149" w:type="dxa"/>
            <w:vAlign w:val="center"/>
          </w:tcPr>
          <w:p w:rsidR="001B30FD" w:rsidRDefault="008B589B">
            <w:pPr>
              <w:jc w:val="center"/>
              <w:rPr>
                <w:lang w:val="fr-FR"/>
              </w:rPr>
            </w:pPr>
            <w:r>
              <w:rPr>
                <w:rStyle w:val="lev"/>
                <w:b w:val="0"/>
                <w:lang w:val="fr-FR"/>
              </w:rPr>
              <w:t>≥ 95 %</w:t>
            </w:r>
            <w:r>
              <w:rPr>
                <w:lang w:val="fr-FR"/>
              </w:rPr>
              <w:t xml:space="preserve"> pour les contrôles périodiques ; </w:t>
            </w:r>
            <w:r>
              <w:rPr>
                <w:rStyle w:val="lev"/>
                <w:b w:val="0"/>
                <w:lang w:val="fr-FR"/>
              </w:rPr>
              <w:t>100 %</w:t>
            </w:r>
            <w:r>
              <w:rPr>
                <w:lang w:val="fr-FR"/>
              </w:rPr>
              <w:t xml:space="preserve"> pour les contrôles supplémentaires demandés</w:t>
            </w:r>
          </w:p>
        </w:tc>
      </w:tr>
    </w:tbl>
    <w:p w:rsidR="001B30FD" w:rsidRDefault="001B30FD">
      <w:pPr>
        <w:jc w:val="both"/>
        <w:rPr>
          <w:rStyle w:val="TextedebullesCar"/>
          <w:color w:val="FF0000"/>
          <w:sz w:val="22"/>
          <w:szCs w:val="22"/>
          <w:lang w:val="fr-FR"/>
        </w:rPr>
      </w:pPr>
    </w:p>
    <w:p w:rsidR="001B30FD" w:rsidRDefault="008B589B">
      <w:pPr>
        <w:jc w:val="both"/>
        <w:rPr>
          <w:lang w:val="fr-FR"/>
        </w:rPr>
      </w:pPr>
      <w:r>
        <w:rPr>
          <w:lang w:val="fr-FR"/>
        </w:rPr>
        <w:t xml:space="preserve">Ces indicateurs font l’objet d’un bilan </w:t>
      </w:r>
      <w:r>
        <w:rPr>
          <w:lang w:val="fr-FR"/>
        </w:rPr>
        <w:t>annuel présenté au pouvoir adjudicateur. Le titulaire transmet au préalable les données brutes nécessaires à leur calcul dans les délais prévus au présent article.</w:t>
      </w:r>
    </w:p>
    <w:p w:rsidR="001B30FD" w:rsidRDefault="001B30FD">
      <w:pPr>
        <w:jc w:val="both"/>
        <w:rPr>
          <w:lang w:val="fr-FR"/>
        </w:rPr>
      </w:pPr>
    </w:p>
    <w:p w:rsidR="001B30FD" w:rsidRDefault="008B589B">
      <w:pPr>
        <w:jc w:val="both"/>
        <w:rPr>
          <w:lang w:val="fr-FR"/>
        </w:rPr>
      </w:pPr>
      <w:r>
        <w:rPr>
          <w:lang w:val="fr-FR"/>
        </w:rPr>
        <w:t>En cas de non-atteinte totale ou partielle d’un objectif, le titulaire peut être tenu de pr</w:t>
      </w:r>
      <w:r>
        <w:rPr>
          <w:lang w:val="fr-FR"/>
        </w:rPr>
        <w:t>ésenter un plan d’actions correctives. Lorsque l’écart constaté correspond à un manquement prévu par le tableau des pénalités, les pénalités correspondantes peuvent être appliquées conformément à l’article 12 « Pénalités » du présent CCAP.</w:t>
      </w:r>
    </w:p>
    <w:p w:rsidR="001B30FD" w:rsidRDefault="001B30FD">
      <w:pPr>
        <w:pStyle w:val="Sansinterligne"/>
        <w:jc w:val="both"/>
        <w:rPr>
          <w:rStyle w:val="TextedebullesCar"/>
          <w:rFonts w:ascii="Marianne" w:hAnsi="Marianne"/>
          <w:color w:val="FF0000"/>
          <w:sz w:val="22"/>
          <w:szCs w:val="22"/>
          <w:lang w:val="fr-FR"/>
        </w:rPr>
      </w:pPr>
    </w:p>
    <w:p w:rsidR="001B30FD" w:rsidRDefault="008B589B">
      <w:pPr>
        <w:pStyle w:val="Titre1"/>
        <w:rPr>
          <w:lang w:val="fr-FR"/>
        </w:rPr>
      </w:pPr>
      <w:bookmarkStart w:id="54" w:name="_Toc54"/>
      <w:r>
        <w:rPr>
          <w:lang w:val="fr-FR"/>
        </w:rPr>
        <w:t>MODALITÉS DE RÈ</w:t>
      </w:r>
      <w:r>
        <w:rPr>
          <w:lang w:val="fr-FR"/>
        </w:rPr>
        <w:t>GLEMENT DES PRESTATIONS</w:t>
      </w:r>
      <w:bookmarkEnd w:id="54"/>
    </w:p>
    <w:p w:rsidR="001B30FD" w:rsidRDefault="001B30FD">
      <w:pPr>
        <w:pStyle w:val="Sansinterligne"/>
        <w:jc w:val="both"/>
        <w:rPr>
          <w:rFonts w:ascii="Marianne" w:hAnsi="Marianne"/>
          <w:lang w:val="fr-FR"/>
        </w:rPr>
      </w:pPr>
    </w:p>
    <w:p w:rsidR="001B30FD" w:rsidRDefault="008B589B">
      <w:pPr>
        <w:pStyle w:val="Titre2"/>
        <w:ind w:left="576"/>
        <w:rPr>
          <w:rFonts w:ascii="Marianne ExtraBold" w:hAnsi="Marianne ExtraBold"/>
          <w:lang w:val="fr-FR"/>
        </w:rPr>
      </w:pPr>
      <w:bookmarkStart w:id="55" w:name="_Toc55"/>
      <w:r>
        <w:rPr>
          <w:rFonts w:ascii="Marianne ExtraBold" w:hAnsi="Marianne ExtraBold"/>
          <w:lang w:val="fr-FR"/>
        </w:rPr>
        <w:t>AVANCES</w:t>
      </w:r>
      <w:bookmarkEnd w:id="55"/>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56" w:name="_Toc56"/>
      <w:r>
        <w:rPr>
          <w:rFonts w:ascii="Marianne ExtraBold" w:eastAsiaTheme="majorEastAsia" w:hAnsi="Marianne ExtraBold" w:cstheme="majorBidi"/>
          <w:caps/>
          <w:color w:val="465F9D"/>
          <w:sz w:val="22"/>
          <w:szCs w:val="26"/>
          <w:lang w:val="fr-FR" w:eastAsia="en-US"/>
        </w:rPr>
        <w:t>Versement de l</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caps/>
          <w:color w:val="465F9D"/>
          <w:sz w:val="22"/>
          <w:szCs w:val="26"/>
          <w:lang w:val="fr-FR" w:eastAsia="en-US"/>
        </w:rPr>
        <w:t>avance</w:t>
      </w:r>
      <w:bookmarkEnd w:id="56"/>
    </w:p>
    <w:p w:rsidR="001B30FD" w:rsidRDefault="008B589B">
      <w:pPr>
        <w:ind w:left="-142"/>
        <w:jc w:val="both"/>
        <w:rPr>
          <w:szCs w:val="18"/>
          <w:lang w:val="fr-FR"/>
        </w:rPr>
      </w:pPr>
      <w:r>
        <w:rPr>
          <w:szCs w:val="18"/>
          <w:lang w:val="fr-FR"/>
        </w:rPr>
        <w:t xml:space="preserve">Sauf s’il y renonce expressément, le titulaire a droit au versement de l’avance prévue aux articles L. 2191-2 et R. 2191-1 et suivant du Code de la Commande Publique. </w:t>
      </w:r>
    </w:p>
    <w:p w:rsidR="001B30FD" w:rsidRDefault="001B30FD">
      <w:pPr>
        <w:ind w:left="-142"/>
        <w:jc w:val="both"/>
        <w:rPr>
          <w:szCs w:val="18"/>
          <w:lang w:val="fr-FR"/>
        </w:rPr>
      </w:pPr>
    </w:p>
    <w:p w:rsidR="001B30FD" w:rsidRDefault="008B589B">
      <w:pPr>
        <w:ind w:left="-142"/>
        <w:jc w:val="both"/>
        <w:rPr>
          <w:szCs w:val="18"/>
          <w:lang w:val="fr-FR"/>
        </w:rPr>
      </w:pPr>
      <w:r>
        <w:rPr>
          <w:szCs w:val="18"/>
          <w:lang w:val="fr-FR"/>
        </w:rPr>
        <w:t>En application de l’article R. 2191-16 du Code de la Commande Publique, l’avance est accordée au titulaire pour chaque bon de commande notifié supérieur à cinquante mille (50 000) € HT et d’une durée d’exécution supérieure à deux (2) mois.</w:t>
      </w:r>
    </w:p>
    <w:p w:rsidR="001B30FD" w:rsidRDefault="001B30FD">
      <w:pPr>
        <w:ind w:left="-142"/>
        <w:jc w:val="both"/>
        <w:rPr>
          <w:szCs w:val="18"/>
          <w:lang w:val="fr-FR"/>
        </w:rPr>
      </w:pPr>
    </w:p>
    <w:p w:rsidR="001B30FD" w:rsidRDefault="008B589B">
      <w:pPr>
        <w:ind w:left="-142"/>
        <w:jc w:val="both"/>
        <w:rPr>
          <w:szCs w:val="18"/>
          <w:lang w:val="fr-FR"/>
        </w:rPr>
      </w:pPr>
      <w:r>
        <w:rPr>
          <w:szCs w:val="18"/>
          <w:lang w:val="fr-FR"/>
        </w:rPr>
        <w:t>Le montant de l</w:t>
      </w:r>
      <w:r>
        <w:rPr>
          <w:szCs w:val="18"/>
          <w:lang w:val="fr-FR"/>
        </w:rPr>
        <w:t>’avance est fixé à cinq (5) % du montant du bon de commande si la durée d’exécution et inférieure ou égale à douze (12) mois. Pour chaque bon de commande notifié d’une durée d’exécution supérieure à douze (12) mois, le montant de l’avance est fixé à cinq (</w:t>
      </w:r>
      <w:r>
        <w:rPr>
          <w:szCs w:val="18"/>
          <w:lang w:val="fr-FR"/>
        </w:rPr>
        <w:t xml:space="preserve">5) % d’une somme égale à douze (12) fois le montant du bon de commande divisé par sa durée exprimée en mois. </w:t>
      </w:r>
    </w:p>
    <w:p w:rsidR="001B30FD" w:rsidRDefault="001B30FD">
      <w:pPr>
        <w:ind w:left="-142"/>
        <w:jc w:val="both"/>
        <w:rPr>
          <w:szCs w:val="18"/>
          <w:lang w:val="fr-FR"/>
        </w:rPr>
      </w:pPr>
    </w:p>
    <w:p w:rsidR="001B30FD" w:rsidRDefault="001B30FD">
      <w:pPr>
        <w:jc w:val="both"/>
        <w:rPr>
          <w:szCs w:val="18"/>
          <w:lang w:val="fr-FR"/>
        </w:rPr>
      </w:pPr>
    </w:p>
    <w:p w:rsidR="001B30FD" w:rsidRDefault="008B589B">
      <w:pPr>
        <w:ind w:left="-142"/>
        <w:jc w:val="both"/>
        <w:rPr>
          <w:szCs w:val="18"/>
          <w:lang w:val="fr-FR"/>
        </w:rPr>
      </w:pPr>
      <w:r>
        <w:rPr>
          <w:szCs w:val="18"/>
          <w:lang w:val="fr-FR"/>
        </w:rPr>
        <w:t>Le montant de l’avance ne peut être affecté par la mise en œuvre d’une clause de variation de prix.</w:t>
      </w:r>
    </w:p>
    <w:p w:rsidR="001B30FD" w:rsidRDefault="001B30FD">
      <w:pPr>
        <w:ind w:left="-142"/>
        <w:jc w:val="both"/>
        <w:rPr>
          <w:szCs w:val="18"/>
          <w:lang w:val="fr-FR"/>
        </w:rPr>
      </w:pPr>
    </w:p>
    <w:p w:rsidR="001B30FD" w:rsidRDefault="008B589B">
      <w:pPr>
        <w:ind w:left="-142"/>
        <w:jc w:val="both"/>
        <w:rPr>
          <w:szCs w:val="18"/>
          <w:lang w:val="fr-FR"/>
        </w:rPr>
      </w:pPr>
      <w:r>
        <w:rPr>
          <w:szCs w:val="18"/>
          <w:lang w:val="fr-FR"/>
        </w:rPr>
        <w:lastRenderedPageBreak/>
        <w:t>L’avance est versée au titulaire en une seu</w:t>
      </w:r>
      <w:r>
        <w:rPr>
          <w:szCs w:val="18"/>
          <w:lang w:val="fr-FR"/>
        </w:rPr>
        <w:t>le fois, pour chaque bon de commande ou marché subséquent. Le paiement intervient dans un délai de trente (30) jours à compter de la date de notification du bon de commande.</w:t>
      </w:r>
    </w:p>
    <w:p w:rsidR="001B30FD" w:rsidRDefault="001B30FD">
      <w:pPr>
        <w:ind w:left="-142"/>
        <w:jc w:val="both"/>
        <w:rPr>
          <w:szCs w:val="18"/>
          <w:lang w:val="fr-FR"/>
        </w:rPr>
      </w:pPr>
    </w:p>
    <w:p w:rsidR="001B30FD" w:rsidRDefault="008B589B">
      <w:pPr>
        <w:ind w:left="-142"/>
        <w:jc w:val="both"/>
        <w:rPr>
          <w:szCs w:val="18"/>
          <w:lang w:val="fr-FR"/>
        </w:rPr>
      </w:pPr>
      <w:r>
        <w:rPr>
          <w:szCs w:val="18"/>
          <w:lang w:val="fr-FR"/>
        </w:rPr>
        <w:t xml:space="preserve">Le titulaire peut toutefois refuser le versement de l’avance. Le cas échéant, le </w:t>
      </w:r>
      <w:r>
        <w:rPr>
          <w:szCs w:val="18"/>
          <w:lang w:val="fr-FR"/>
        </w:rPr>
        <w:t>titulaire préciser son refus dans l’acte d’engagement.</w:t>
      </w:r>
    </w:p>
    <w:p w:rsidR="001B30FD" w:rsidRDefault="001B30FD">
      <w:pPr>
        <w:jc w:val="both"/>
        <w:rPr>
          <w:szCs w:val="18"/>
          <w:lang w:val="fr-FR"/>
        </w:rPr>
      </w:pP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57" w:name="_Toc57"/>
      <w:r>
        <w:rPr>
          <w:rFonts w:ascii="Marianne ExtraBold" w:eastAsiaTheme="majorEastAsia" w:hAnsi="Marianne ExtraBold" w:cstheme="majorBidi"/>
          <w:caps/>
          <w:color w:val="465F9D"/>
          <w:sz w:val="22"/>
          <w:szCs w:val="26"/>
          <w:lang w:val="fr-FR" w:eastAsia="en-US"/>
        </w:rPr>
        <w:t>Remboursement de l</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caps/>
          <w:color w:val="465F9D"/>
          <w:sz w:val="22"/>
          <w:szCs w:val="26"/>
          <w:lang w:val="fr-FR" w:eastAsia="en-US"/>
        </w:rPr>
        <w:t>avance</w:t>
      </w:r>
      <w:bookmarkEnd w:id="57"/>
    </w:p>
    <w:p w:rsidR="001B30FD" w:rsidRDefault="008B589B">
      <w:pPr>
        <w:ind w:left="-142"/>
        <w:jc w:val="both"/>
        <w:rPr>
          <w:szCs w:val="18"/>
          <w:lang w:val="fr-FR"/>
        </w:rPr>
      </w:pPr>
      <w:r>
        <w:rPr>
          <w:szCs w:val="18"/>
          <w:lang w:val="fr-FR"/>
        </w:rPr>
        <w:t xml:space="preserve">Le remboursement de l’avance s’impute par précompte sur les sommes dues au titulaire tel qu’il est prévu aux articles R.2191-11 et R.2191-12 du code de la commande publique, </w:t>
      </w:r>
      <w:r>
        <w:rPr>
          <w:szCs w:val="18"/>
          <w:lang w:val="fr-FR"/>
        </w:rPr>
        <w:t>soit la totalité sur la facture unique, soit il commencera dès lors que le paiement atteindra 65% du montant TTC du marché et devra être terminé lorsque les prestations exécutées atteindront 80% du montant TTC du marché.</w:t>
      </w:r>
    </w:p>
    <w:p w:rsidR="001B30FD" w:rsidRDefault="001B30FD">
      <w:pPr>
        <w:jc w:val="both"/>
        <w:rPr>
          <w:szCs w:val="18"/>
          <w:lang w:val="fr-FR"/>
        </w:rPr>
      </w:pPr>
    </w:p>
    <w:p w:rsidR="001B30FD" w:rsidRDefault="008B589B">
      <w:pPr>
        <w:pStyle w:val="Titre2"/>
        <w:ind w:left="576"/>
        <w:rPr>
          <w:rFonts w:ascii="Marianne ExtraBold" w:hAnsi="Marianne ExtraBold"/>
          <w:lang w:val="fr-FR"/>
        </w:rPr>
      </w:pPr>
      <w:bookmarkStart w:id="58" w:name="_Toc58"/>
      <w:r>
        <w:rPr>
          <w:rFonts w:ascii="Marianne ExtraBold" w:hAnsi="Marianne ExtraBold"/>
          <w:lang w:val="fr-FR"/>
        </w:rPr>
        <w:t>ACOMPTES</w:t>
      </w:r>
      <w:bookmarkEnd w:id="58"/>
    </w:p>
    <w:p w:rsidR="001B30FD" w:rsidRDefault="008B589B">
      <w:pPr>
        <w:ind w:left="-142"/>
        <w:jc w:val="both"/>
        <w:rPr>
          <w:szCs w:val="18"/>
          <w:lang w:val="fr-FR"/>
        </w:rPr>
      </w:pPr>
      <w:r>
        <w:rPr>
          <w:szCs w:val="18"/>
          <w:lang w:val="fr-FR"/>
        </w:rPr>
        <w:t>Il est fait application d</w:t>
      </w:r>
      <w:r>
        <w:rPr>
          <w:szCs w:val="18"/>
          <w:lang w:val="fr-FR"/>
        </w:rPr>
        <w:t>es articles R.2191-20 à R2191.22 du code de la commande publique. Le titulaire, s’il en fait la demande, reçoit des acomptes pour les prestations qui ont donné lieu à un commencement d’exécution. La périodicité du versement des acomptes est fixée à un mois</w:t>
      </w:r>
      <w:r>
        <w:rPr>
          <w:szCs w:val="18"/>
          <w:lang w:val="fr-FR"/>
        </w:rPr>
        <w:t xml:space="preserve">. </w:t>
      </w:r>
    </w:p>
    <w:p w:rsidR="001B30FD" w:rsidRDefault="001B30FD">
      <w:pPr>
        <w:rPr>
          <w:lang w:val="fr-FR"/>
        </w:rPr>
      </w:pPr>
    </w:p>
    <w:p w:rsidR="001B30FD" w:rsidRDefault="001B30FD">
      <w:pPr>
        <w:ind w:left="-142"/>
        <w:rPr>
          <w:rFonts w:ascii="Marianne ExtraBold" w:eastAsiaTheme="majorEastAsia" w:hAnsi="Marianne ExtraBold" w:cstheme="majorBidi"/>
          <w:caps/>
          <w:color w:val="000000" w:themeColor="text1"/>
          <w:sz w:val="22"/>
          <w:lang w:val="fr-FR"/>
        </w:rPr>
      </w:pPr>
    </w:p>
    <w:p w:rsidR="001B30FD" w:rsidRDefault="008B589B">
      <w:pPr>
        <w:pStyle w:val="Titre2"/>
        <w:ind w:left="576"/>
        <w:rPr>
          <w:rFonts w:ascii="Marianne ExtraBold" w:hAnsi="Marianne ExtraBold"/>
          <w:lang w:val="fr-FR"/>
        </w:rPr>
      </w:pPr>
      <w:bookmarkStart w:id="59" w:name="_Toc59"/>
      <w:r>
        <w:rPr>
          <w:rFonts w:ascii="Marianne ExtraBold" w:hAnsi="Marianne ExtraBold"/>
          <w:lang w:val="fr-FR"/>
        </w:rPr>
        <w:t>DÉLAIS DE PAIEMENT</w:t>
      </w:r>
      <w:bookmarkEnd w:id="59"/>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60" w:name="_Toc60"/>
      <w:r>
        <w:rPr>
          <w:rFonts w:ascii="Marianne ExtraBold" w:eastAsiaTheme="majorEastAsia" w:hAnsi="Marianne ExtraBold" w:cstheme="majorBidi"/>
          <w:caps/>
          <w:color w:val="465F9D"/>
          <w:sz w:val="22"/>
          <w:szCs w:val="26"/>
          <w:lang w:val="fr-FR" w:eastAsia="en-US"/>
        </w:rPr>
        <w:t>GÉnÉralitÉs</w:t>
      </w:r>
      <w:bookmarkEnd w:id="60"/>
    </w:p>
    <w:p w:rsidR="001B30FD" w:rsidRDefault="008B589B">
      <w:pPr>
        <w:ind w:left="-142"/>
        <w:jc w:val="both"/>
        <w:rPr>
          <w:szCs w:val="18"/>
          <w:lang w:val="fr-FR"/>
        </w:rPr>
      </w:pPr>
      <w:r>
        <w:rPr>
          <w:szCs w:val="18"/>
          <w:lang w:val="fr-FR"/>
        </w:rPr>
        <w:t xml:space="preserve">Les sommes dues sont payées conformément aux dispositions des articles R.2192-10 et suivants du code de la commande publique. Le délai de paiement est fixé à trente (30) jours maximum. </w:t>
      </w:r>
    </w:p>
    <w:p w:rsidR="001B30FD" w:rsidRDefault="001B30FD">
      <w:pPr>
        <w:ind w:left="-142"/>
        <w:jc w:val="both"/>
        <w:rPr>
          <w:szCs w:val="18"/>
          <w:lang w:val="fr-FR"/>
        </w:rPr>
      </w:pPr>
    </w:p>
    <w:p w:rsidR="001B30FD" w:rsidRDefault="008B589B">
      <w:pPr>
        <w:ind w:left="-142"/>
        <w:jc w:val="both"/>
        <w:rPr>
          <w:szCs w:val="18"/>
          <w:lang w:val="fr-FR"/>
        </w:rPr>
      </w:pPr>
      <w:r>
        <w:rPr>
          <w:szCs w:val="18"/>
          <w:lang w:val="fr-FR"/>
        </w:rPr>
        <w:t xml:space="preserve">Le délai de paiement court à compter de la date de réception de la demande de paiement par le service bénéficiaire, ou tout autre personne habilitée à cet effet. </w:t>
      </w:r>
    </w:p>
    <w:p w:rsidR="001B30FD" w:rsidRDefault="001B30FD">
      <w:pPr>
        <w:ind w:left="-142"/>
        <w:jc w:val="both"/>
        <w:rPr>
          <w:szCs w:val="18"/>
          <w:lang w:val="fr-FR"/>
        </w:rPr>
      </w:pPr>
    </w:p>
    <w:p w:rsidR="001B30FD" w:rsidRDefault="008B589B">
      <w:pPr>
        <w:ind w:left="-142"/>
        <w:jc w:val="both"/>
        <w:rPr>
          <w:szCs w:val="18"/>
          <w:lang w:val="fr-FR"/>
        </w:rPr>
      </w:pPr>
      <w:r>
        <w:rPr>
          <w:szCs w:val="18"/>
          <w:lang w:val="fr-FR"/>
        </w:rPr>
        <w:t>La date de réception de la demande de paiement ne peut faire l’objet d’un accord contractuel</w:t>
      </w:r>
      <w:r>
        <w:rPr>
          <w:szCs w:val="18"/>
          <w:lang w:val="fr-FR"/>
        </w:rPr>
        <w:t xml:space="preserve"> entre l’acheteur et le titulaire.</w:t>
      </w:r>
    </w:p>
    <w:p w:rsidR="001B30FD" w:rsidRDefault="001B30FD">
      <w:pPr>
        <w:ind w:left="-142"/>
        <w:jc w:val="both"/>
        <w:rPr>
          <w:szCs w:val="18"/>
          <w:lang w:val="fr-FR"/>
        </w:rPr>
      </w:pPr>
    </w:p>
    <w:p w:rsidR="001B30FD" w:rsidRDefault="008B589B">
      <w:pPr>
        <w:ind w:left="-142"/>
        <w:jc w:val="both"/>
        <w:rPr>
          <w:szCs w:val="18"/>
          <w:lang w:val="fr-FR"/>
        </w:rPr>
      </w:pPr>
      <w:r>
        <w:rPr>
          <w:szCs w:val="18"/>
          <w:lang w:val="fr-FR"/>
        </w:rPr>
        <w:t>Le versement des intérêts moratoires, les indemnités forfaitaire et complémentaire pour frais de recouvrement s'effectuent dans le cadre des articles R.2192-31 à R.2192-36 du code de la commande publique.</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61" w:name="_Toc61"/>
      <w:r>
        <w:rPr>
          <w:rFonts w:ascii="Marianne ExtraBold" w:eastAsiaTheme="majorEastAsia" w:hAnsi="Marianne ExtraBold" w:cstheme="majorBidi"/>
          <w:caps/>
          <w:color w:val="465F9D"/>
          <w:sz w:val="22"/>
          <w:szCs w:val="26"/>
          <w:lang w:val="fr-FR" w:eastAsia="en-US"/>
        </w:rPr>
        <w:t>RYTHME DE PAIEMENT</w:t>
      </w:r>
      <w:bookmarkEnd w:id="61"/>
    </w:p>
    <w:p w:rsidR="001B30FD" w:rsidRDefault="008B589B">
      <w:pPr>
        <w:ind w:left="-142"/>
        <w:jc w:val="both"/>
        <w:rPr>
          <w:color w:val="000000" w:themeColor="text1"/>
          <w:lang w:val="fr-FR"/>
        </w:rPr>
      </w:pPr>
      <w:r>
        <w:rPr>
          <w:color w:val="000000" w:themeColor="text1"/>
          <w:szCs w:val="18"/>
          <w:lang w:val="fr-FR" w:bidi="fr-FR"/>
        </w:rPr>
        <w:t>La facturation se fera semestriellement. Pour le dernier semestre, toute facture adressée à la DDETS 34 après le 15 décembre de l’année N ne pourra être traitée et sera alors considérée comme une facture traitée en janvier N+1.</w:t>
      </w:r>
    </w:p>
    <w:p w:rsidR="001B30FD" w:rsidRDefault="001B30FD">
      <w:pPr>
        <w:rPr>
          <w:lang w:val="fr-FR"/>
        </w:rPr>
      </w:pPr>
    </w:p>
    <w:p w:rsidR="001B30FD" w:rsidRDefault="008B589B">
      <w:pPr>
        <w:pStyle w:val="Titre2"/>
        <w:ind w:left="576"/>
        <w:rPr>
          <w:rFonts w:ascii="Marianne ExtraBold" w:hAnsi="Marianne ExtraBold"/>
          <w:lang w:val="fr-FR"/>
        </w:rPr>
      </w:pPr>
      <w:bookmarkStart w:id="62" w:name="_Toc62"/>
      <w:r>
        <w:rPr>
          <w:rFonts w:ascii="Marianne ExtraBold" w:hAnsi="Marianne ExtraBold"/>
          <w:lang w:val="fr-FR"/>
        </w:rPr>
        <w:t>FACTURAT</w:t>
      </w:r>
      <w:r>
        <w:rPr>
          <w:rFonts w:ascii="Marianne ExtraBold" w:hAnsi="Marianne ExtraBold"/>
          <w:lang w:val="fr-FR"/>
        </w:rPr>
        <w:t>ION</w:t>
      </w:r>
      <w:bookmarkEnd w:id="62"/>
    </w:p>
    <w:p w:rsidR="001B30FD" w:rsidRDefault="001B30FD">
      <w:pPr>
        <w:ind w:left="-142"/>
        <w:jc w:val="both"/>
        <w:rPr>
          <w:szCs w:val="18"/>
          <w:lang w:val="fr-FR"/>
        </w:rPr>
      </w:pPr>
    </w:p>
    <w:p w:rsidR="001B30FD" w:rsidRDefault="008B589B">
      <w:pPr>
        <w:ind w:left="-142"/>
        <w:jc w:val="both"/>
        <w:rPr>
          <w:szCs w:val="18"/>
          <w:lang w:val="fr-FR"/>
        </w:rPr>
      </w:pPr>
      <w:r>
        <w:rPr>
          <w:szCs w:val="18"/>
          <w:lang w:val="fr-FR"/>
        </w:rPr>
        <w:t>Les paiements sont effectués dans les conditions précisées à l’article 11 du CCAG-FCS.</w:t>
      </w:r>
    </w:p>
    <w:p w:rsidR="001B30FD" w:rsidRDefault="001B30FD">
      <w:pPr>
        <w:ind w:left="-142"/>
        <w:jc w:val="both"/>
        <w:rPr>
          <w:szCs w:val="18"/>
          <w:lang w:val="fr-FR"/>
        </w:rPr>
      </w:pPr>
    </w:p>
    <w:p w:rsidR="001B30FD" w:rsidRDefault="008B589B">
      <w:pPr>
        <w:ind w:left="-142"/>
        <w:jc w:val="both"/>
        <w:rPr>
          <w:lang w:val="fr-FR"/>
        </w:rPr>
      </w:pPr>
      <w:r>
        <w:rPr>
          <w:szCs w:val="18"/>
          <w:lang w:val="fr-FR"/>
        </w:rPr>
        <w:lastRenderedPageBreak/>
        <w:t>Pour la prestation « contrôle qualité », chaque facture devra être accompagnée d’une pièce jointe, sous forme de tableur, indiquant la date et le nom de l’établiss</w:t>
      </w:r>
      <w:r>
        <w:rPr>
          <w:szCs w:val="18"/>
          <w:lang w:val="fr-FR"/>
        </w:rPr>
        <w:t>ement contrôlé, et le nom du contrôleur,</w:t>
      </w:r>
      <w:r>
        <w:rPr>
          <w:color w:val="000000" w:themeColor="text1"/>
          <w:szCs w:val="18"/>
          <w:lang w:val="fr-FR"/>
        </w:rPr>
        <w:t xml:space="preserve"> ainsi que le nom, la fonction et la signature du responsable de l’établissement contrôlé. Si une visite supplémentaire est demandée par la DDETS34, elle sera indiquée par</w:t>
      </w:r>
      <w:r>
        <w:rPr>
          <w:color w:val="FF0000"/>
          <w:szCs w:val="18"/>
          <w:lang w:val="fr-FR"/>
        </w:rPr>
        <w:t xml:space="preserve"> </w:t>
      </w:r>
      <w:r>
        <w:rPr>
          <w:color w:val="000000" w:themeColor="text1"/>
          <w:szCs w:val="18"/>
          <w:lang w:val="fr-FR"/>
        </w:rPr>
        <w:t>courrier électronique.</w:t>
      </w:r>
    </w:p>
    <w:p w:rsidR="001B30FD" w:rsidRDefault="001B30FD">
      <w:pPr>
        <w:ind w:left="-142"/>
        <w:jc w:val="both"/>
        <w:rPr>
          <w:lang w:val="fr-FR"/>
        </w:rPr>
      </w:pPr>
    </w:p>
    <w:p w:rsidR="001B30FD" w:rsidRDefault="008B589B">
      <w:pPr>
        <w:ind w:left="-142"/>
        <w:jc w:val="both"/>
        <w:rPr>
          <w:lang w:val="fr-FR"/>
        </w:rPr>
      </w:pPr>
      <w:r>
        <w:rPr>
          <w:szCs w:val="18"/>
          <w:lang w:val="fr-FR" w:bidi="fr-FR"/>
        </w:rPr>
        <w:t>La facturation se fe</w:t>
      </w:r>
      <w:r>
        <w:rPr>
          <w:szCs w:val="18"/>
          <w:lang w:val="fr-FR" w:bidi="fr-FR"/>
        </w:rPr>
        <w:t>ra mensuellement sur la base du nombre d’établissements qui hébergeront à l’instant, pour le mois concerné par la facturation</w:t>
      </w:r>
    </w:p>
    <w:p w:rsidR="001B30FD" w:rsidRDefault="001B30FD">
      <w:pPr>
        <w:ind w:left="-142"/>
        <w:jc w:val="both"/>
        <w:rPr>
          <w:lang w:val="fr-FR" w:bidi="fr-FR"/>
        </w:rPr>
      </w:pPr>
    </w:p>
    <w:p w:rsidR="001B30FD" w:rsidRDefault="008B589B">
      <w:pPr>
        <w:ind w:left="-142"/>
        <w:jc w:val="both"/>
        <w:rPr>
          <w:lang w:val="fr-FR"/>
        </w:rPr>
      </w:pPr>
      <w:r>
        <w:rPr>
          <w:szCs w:val="18"/>
          <w:lang w:val="fr-FR" w:eastAsia="en-US"/>
        </w:rPr>
        <w:t>Le placement initial des ménages déjà hébergés au moment du démarrage du marché ne fait pas l’objet d’une facturation liée à leur</w:t>
      </w:r>
      <w:r>
        <w:rPr>
          <w:szCs w:val="18"/>
          <w:lang w:val="fr-FR" w:eastAsia="en-US"/>
        </w:rPr>
        <w:t xml:space="preserve"> orientation à l’hôtel (confère  l’annexe financière ).</w:t>
      </w:r>
    </w:p>
    <w:p w:rsidR="001B30FD" w:rsidRDefault="001B30FD">
      <w:pPr>
        <w:ind w:left="-142"/>
        <w:jc w:val="both"/>
        <w:rPr>
          <w:lang w:val="fr-FR"/>
        </w:rPr>
      </w:pP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63" w:name="_Toc63"/>
      <w:r>
        <w:rPr>
          <w:rFonts w:ascii="Marianne ExtraBold" w:eastAsiaTheme="majorEastAsia" w:hAnsi="Marianne ExtraBold" w:cstheme="majorBidi"/>
          <w:caps/>
          <w:color w:val="465F9D"/>
          <w:sz w:val="22"/>
          <w:szCs w:val="22"/>
          <w:lang w:val="fr-FR" w:eastAsia="en-US"/>
        </w:rPr>
        <w:t xml:space="preserve">Contenu </w:t>
      </w:r>
      <w:r>
        <w:rPr>
          <w:rFonts w:ascii="Marianne ExtraBold" w:eastAsiaTheme="majorEastAsia" w:hAnsi="Marianne ExtraBold" w:cstheme="majorBidi"/>
          <w:caps/>
          <w:color w:val="465F9D"/>
          <w:sz w:val="22"/>
          <w:szCs w:val="26"/>
          <w:lang w:val="fr-FR" w:eastAsia="en-US"/>
        </w:rPr>
        <w:t>de la facture</w:t>
      </w:r>
      <w:bookmarkEnd w:id="63"/>
    </w:p>
    <w:p w:rsidR="001B30FD" w:rsidRDefault="008B589B">
      <w:pPr>
        <w:ind w:left="-142"/>
        <w:jc w:val="both"/>
        <w:rPr>
          <w:szCs w:val="18"/>
          <w:highlight w:val="yellow"/>
          <w:lang w:val="fr-FR"/>
        </w:rPr>
      </w:pPr>
      <w:r>
        <w:rPr>
          <w:szCs w:val="18"/>
          <w:lang w:val="fr-FR"/>
        </w:rPr>
        <w:t>Le titulaire émet une facture récapitulative unique chaque mois à terme échu (datées du dernier jour du mois), faisant mention :</w:t>
      </w:r>
    </w:p>
    <w:tbl>
      <w:tblPr>
        <w:tblStyle w:val="Grilledutableau"/>
        <w:tblW w:w="9551" w:type="dxa"/>
        <w:jc w:val="center"/>
        <w:tblLook w:val="04A0" w:firstRow="1" w:lastRow="0" w:firstColumn="1" w:lastColumn="0" w:noHBand="0" w:noVBand="1"/>
      </w:tblPr>
      <w:tblGrid>
        <w:gridCol w:w="5102"/>
        <w:gridCol w:w="4449"/>
      </w:tblGrid>
      <w:tr w:rsidR="001B30FD" w:rsidRPr="009837D7">
        <w:trPr>
          <w:trHeight w:val="353"/>
          <w:jc w:val="center"/>
        </w:trPr>
        <w:tc>
          <w:tcPr>
            <w:tcW w:w="5102" w:type="dxa"/>
            <w:shd w:val="clear" w:color="auto" w:fill="94A5D0"/>
            <w:vAlign w:val="center"/>
          </w:tcPr>
          <w:p w:rsidR="001B30FD" w:rsidRDefault="008B589B">
            <w:pPr>
              <w:rPr>
                <w:szCs w:val="18"/>
                <w:lang w:val="fr-FR"/>
              </w:rPr>
            </w:pPr>
            <w:r>
              <w:rPr>
                <w:szCs w:val="18"/>
                <w:lang w:val="fr-FR"/>
              </w:rPr>
              <w:t>La prestation</w:t>
            </w:r>
          </w:p>
        </w:tc>
        <w:tc>
          <w:tcPr>
            <w:tcW w:w="4449" w:type="dxa"/>
            <w:shd w:val="clear" w:color="auto" w:fill="94A5D0"/>
            <w:vAlign w:val="center"/>
          </w:tcPr>
          <w:p w:rsidR="001B30FD" w:rsidRDefault="008B589B">
            <w:pPr>
              <w:rPr>
                <w:szCs w:val="18"/>
                <w:lang w:val="fr-FR"/>
              </w:rPr>
            </w:pPr>
            <w:r>
              <w:rPr>
                <w:szCs w:val="18"/>
                <w:lang w:val="fr-FR"/>
              </w:rPr>
              <w:t>La raison sociale du prestataire</w:t>
            </w:r>
          </w:p>
        </w:tc>
      </w:tr>
      <w:tr w:rsidR="001B30FD" w:rsidRPr="009837D7">
        <w:trPr>
          <w:trHeight w:val="353"/>
          <w:jc w:val="center"/>
        </w:trPr>
        <w:tc>
          <w:tcPr>
            <w:tcW w:w="5102" w:type="dxa"/>
            <w:shd w:val="clear" w:color="auto" w:fill="FFFFFF"/>
            <w:vAlign w:val="center"/>
          </w:tcPr>
          <w:p w:rsidR="001B30FD" w:rsidRDefault="008B589B">
            <w:pPr>
              <w:rPr>
                <w:szCs w:val="18"/>
                <w:lang w:val="fr-FR"/>
              </w:rPr>
            </w:pPr>
            <w:r>
              <w:rPr>
                <w:szCs w:val="18"/>
                <w:lang w:val="fr-FR"/>
              </w:rPr>
              <w:t>La date d’émission de la facture</w:t>
            </w:r>
          </w:p>
        </w:tc>
        <w:tc>
          <w:tcPr>
            <w:tcW w:w="4449" w:type="dxa"/>
            <w:shd w:val="clear" w:color="auto" w:fill="FFFFFF"/>
            <w:vAlign w:val="center"/>
          </w:tcPr>
          <w:p w:rsidR="001B30FD" w:rsidRDefault="008B589B">
            <w:pPr>
              <w:rPr>
                <w:szCs w:val="18"/>
                <w:lang w:val="fr-FR"/>
              </w:rPr>
            </w:pPr>
            <w:r>
              <w:rPr>
                <w:szCs w:val="18"/>
                <w:lang w:val="fr-FR"/>
              </w:rPr>
              <w:t>Désignation de l’émetteur et du destinataire de la facture</w:t>
            </w:r>
          </w:p>
        </w:tc>
      </w:tr>
      <w:tr w:rsidR="001B30FD">
        <w:trPr>
          <w:trHeight w:val="397"/>
          <w:jc w:val="center"/>
        </w:trPr>
        <w:tc>
          <w:tcPr>
            <w:tcW w:w="5102" w:type="dxa"/>
            <w:shd w:val="clear" w:color="auto" w:fill="94A5D0"/>
            <w:vAlign w:val="center"/>
          </w:tcPr>
          <w:p w:rsidR="001B30FD" w:rsidRDefault="008B589B">
            <w:pPr>
              <w:rPr>
                <w:szCs w:val="18"/>
                <w:lang w:val="fr-FR"/>
              </w:rPr>
            </w:pPr>
            <w:r>
              <w:rPr>
                <w:szCs w:val="18"/>
                <w:lang w:val="fr-FR"/>
              </w:rPr>
              <w:t>La période de référence de la prestation</w:t>
            </w:r>
          </w:p>
        </w:tc>
        <w:tc>
          <w:tcPr>
            <w:tcW w:w="4449" w:type="dxa"/>
            <w:shd w:val="clear" w:color="auto" w:fill="94A5D0"/>
            <w:vAlign w:val="center"/>
          </w:tcPr>
          <w:p w:rsidR="001B30FD" w:rsidRDefault="008B589B">
            <w:pPr>
              <w:rPr>
                <w:szCs w:val="18"/>
                <w:lang w:val="fr-FR"/>
              </w:rPr>
            </w:pPr>
            <w:r>
              <w:rPr>
                <w:szCs w:val="18"/>
                <w:lang w:val="fr-FR"/>
              </w:rPr>
              <w:t>Siège social du prestataire</w:t>
            </w:r>
          </w:p>
        </w:tc>
      </w:tr>
      <w:tr w:rsidR="001B30FD">
        <w:trPr>
          <w:trHeight w:val="398"/>
          <w:jc w:val="center"/>
        </w:trPr>
        <w:tc>
          <w:tcPr>
            <w:tcW w:w="5102" w:type="dxa"/>
            <w:shd w:val="clear" w:color="auto" w:fill="FFFFFF"/>
            <w:vAlign w:val="center"/>
          </w:tcPr>
          <w:p w:rsidR="001B30FD" w:rsidRDefault="008B589B">
            <w:pPr>
              <w:rPr>
                <w:szCs w:val="18"/>
                <w:lang w:val="fr-FR"/>
              </w:rPr>
            </w:pPr>
            <w:r>
              <w:rPr>
                <w:szCs w:val="18"/>
                <w:lang w:val="fr-FR"/>
              </w:rPr>
              <w:t>Le périmètre géographique</w:t>
            </w:r>
          </w:p>
        </w:tc>
        <w:tc>
          <w:tcPr>
            <w:tcW w:w="4449" w:type="dxa"/>
            <w:shd w:val="clear" w:color="auto" w:fill="FFFFFF"/>
            <w:vAlign w:val="center"/>
          </w:tcPr>
          <w:p w:rsidR="001B30FD" w:rsidRDefault="008B589B">
            <w:pPr>
              <w:rPr>
                <w:szCs w:val="18"/>
                <w:lang w:val="fr-FR"/>
              </w:rPr>
            </w:pPr>
            <w:r>
              <w:rPr>
                <w:szCs w:val="18"/>
                <w:lang w:val="fr-FR"/>
              </w:rPr>
              <w:t>SIRET</w:t>
            </w:r>
          </w:p>
        </w:tc>
      </w:tr>
      <w:tr w:rsidR="001B30FD">
        <w:trPr>
          <w:trHeight w:val="405"/>
          <w:jc w:val="center"/>
        </w:trPr>
        <w:tc>
          <w:tcPr>
            <w:tcW w:w="5102" w:type="dxa"/>
            <w:shd w:val="clear" w:color="auto" w:fill="94A5D0"/>
            <w:vAlign w:val="center"/>
          </w:tcPr>
          <w:p w:rsidR="001B30FD" w:rsidRDefault="008B589B">
            <w:pPr>
              <w:rPr>
                <w:szCs w:val="18"/>
                <w:lang w:val="fr-FR"/>
              </w:rPr>
            </w:pPr>
            <w:r>
              <w:rPr>
                <w:szCs w:val="18"/>
                <w:lang w:val="fr-FR"/>
              </w:rPr>
              <w:t>Les quantités et la dénomination précise des prestations exécutées</w:t>
            </w:r>
          </w:p>
        </w:tc>
        <w:tc>
          <w:tcPr>
            <w:tcW w:w="4449" w:type="dxa"/>
            <w:shd w:val="clear" w:color="auto" w:fill="94A5D0"/>
            <w:vAlign w:val="center"/>
          </w:tcPr>
          <w:p w:rsidR="001B30FD" w:rsidRDefault="008B589B">
            <w:pPr>
              <w:rPr>
                <w:szCs w:val="18"/>
                <w:lang w:val="fr-FR"/>
              </w:rPr>
            </w:pPr>
            <w:r>
              <w:rPr>
                <w:szCs w:val="18"/>
                <w:lang w:val="fr-FR"/>
              </w:rPr>
              <w:t>APE</w:t>
            </w:r>
          </w:p>
        </w:tc>
      </w:tr>
      <w:tr w:rsidR="001B30FD">
        <w:trPr>
          <w:trHeight w:val="619"/>
          <w:jc w:val="center"/>
        </w:trPr>
        <w:tc>
          <w:tcPr>
            <w:tcW w:w="5102" w:type="dxa"/>
            <w:shd w:val="clear" w:color="auto" w:fill="FFFFFF"/>
            <w:vAlign w:val="center"/>
          </w:tcPr>
          <w:p w:rsidR="001B30FD" w:rsidRDefault="008B589B">
            <w:pPr>
              <w:rPr>
                <w:szCs w:val="18"/>
                <w:lang w:val="fr-FR"/>
              </w:rPr>
            </w:pPr>
            <w:r>
              <w:rPr>
                <w:szCs w:val="18"/>
                <w:lang w:val="fr-FR"/>
              </w:rPr>
              <w:t>Les références du bon de commande (numéro d’engagement juridique (EJ), date d’émission, montant)</w:t>
            </w:r>
          </w:p>
        </w:tc>
        <w:tc>
          <w:tcPr>
            <w:tcW w:w="4449" w:type="dxa"/>
            <w:shd w:val="clear" w:color="auto" w:fill="FFFFFF"/>
            <w:vAlign w:val="center"/>
          </w:tcPr>
          <w:p w:rsidR="001B30FD" w:rsidRDefault="008B589B">
            <w:pPr>
              <w:rPr>
                <w:szCs w:val="18"/>
                <w:lang w:val="fr-FR"/>
              </w:rPr>
            </w:pPr>
            <w:r>
              <w:rPr>
                <w:szCs w:val="18"/>
                <w:lang w:val="fr-FR"/>
              </w:rPr>
              <w:t>RIB (IBAN BIC)</w:t>
            </w:r>
          </w:p>
        </w:tc>
      </w:tr>
      <w:tr w:rsidR="001B30FD" w:rsidRPr="009837D7">
        <w:trPr>
          <w:trHeight w:val="407"/>
          <w:jc w:val="center"/>
        </w:trPr>
        <w:tc>
          <w:tcPr>
            <w:tcW w:w="5102" w:type="dxa"/>
            <w:shd w:val="clear" w:color="auto" w:fill="94A5D0"/>
            <w:vAlign w:val="center"/>
          </w:tcPr>
          <w:p w:rsidR="001B30FD" w:rsidRDefault="008B589B">
            <w:pPr>
              <w:rPr>
                <w:szCs w:val="18"/>
                <w:lang w:val="fr-FR"/>
              </w:rPr>
            </w:pPr>
            <w:r>
              <w:rPr>
                <w:szCs w:val="18"/>
                <w:lang w:val="fr-FR"/>
              </w:rPr>
              <w:t>Le code du service bénéficiaire  (mentionné au bon de commande)</w:t>
            </w:r>
          </w:p>
        </w:tc>
        <w:tc>
          <w:tcPr>
            <w:tcW w:w="4449" w:type="dxa"/>
            <w:shd w:val="clear" w:color="auto" w:fill="94A5D0"/>
            <w:vAlign w:val="center"/>
          </w:tcPr>
          <w:p w:rsidR="001B30FD" w:rsidRDefault="008B589B">
            <w:pPr>
              <w:rPr>
                <w:szCs w:val="18"/>
                <w:lang w:val="fr-FR"/>
              </w:rPr>
            </w:pPr>
            <w:r>
              <w:rPr>
                <w:szCs w:val="18"/>
                <w:lang w:val="fr-FR"/>
              </w:rPr>
              <w:t>Les prix unitaires HT et TTC de l’annexe financière</w:t>
            </w:r>
          </w:p>
        </w:tc>
      </w:tr>
      <w:tr w:rsidR="001B30FD">
        <w:trPr>
          <w:trHeight w:val="407"/>
          <w:jc w:val="center"/>
        </w:trPr>
        <w:tc>
          <w:tcPr>
            <w:tcW w:w="5102" w:type="dxa"/>
            <w:shd w:val="clear" w:color="auto" w:fill="FFFFFF"/>
            <w:vAlign w:val="center"/>
          </w:tcPr>
          <w:p w:rsidR="001B30FD" w:rsidRDefault="008B589B">
            <w:pPr>
              <w:rPr>
                <w:szCs w:val="18"/>
                <w:lang w:val="fr-FR"/>
              </w:rPr>
            </w:pPr>
            <w:r>
              <w:rPr>
                <w:szCs w:val="18"/>
                <w:lang w:val="fr-FR"/>
              </w:rPr>
              <w:t>Le code du service exécutant (mentionné au bon de commande)</w:t>
            </w:r>
          </w:p>
        </w:tc>
        <w:tc>
          <w:tcPr>
            <w:tcW w:w="4449" w:type="dxa"/>
            <w:shd w:val="clear" w:color="auto" w:fill="FFFFFF"/>
            <w:vAlign w:val="center"/>
          </w:tcPr>
          <w:p w:rsidR="001B30FD" w:rsidRDefault="008B589B">
            <w:pPr>
              <w:rPr>
                <w:szCs w:val="18"/>
                <w:lang w:val="fr-FR"/>
              </w:rPr>
            </w:pPr>
            <w:r>
              <w:rPr>
                <w:szCs w:val="18"/>
                <w:lang w:val="fr-FR"/>
              </w:rPr>
              <w:t>Le taux de TVA</w:t>
            </w:r>
          </w:p>
        </w:tc>
      </w:tr>
      <w:tr w:rsidR="001B30FD" w:rsidRPr="009837D7">
        <w:trPr>
          <w:trHeight w:val="336"/>
          <w:jc w:val="center"/>
        </w:trPr>
        <w:tc>
          <w:tcPr>
            <w:tcW w:w="5102" w:type="dxa"/>
            <w:shd w:val="clear" w:color="auto" w:fill="94A5D0"/>
            <w:vAlign w:val="center"/>
          </w:tcPr>
          <w:p w:rsidR="001B30FD" w:rsidRDefault="008B589B">
            <w:pPr>
              <w:rPr>
                <w:szCs w:val="18"/>
                <w:lang w:val="fr-FR"/>
              </w:rPr>
            </w:pPr>
            <w:r>
              <w:rPr>
                <w:szCs w:val="18"/>
                <w:lang w:val="fr-FR"/>
              </w:rPr>
              <w:t>Les modalités de règlement</w:t>
            </w:r>
          </w:p>
        </w:tc>
        <w:tc>
          <w:tcPr>
            <w:tcW w:w="4449" w:type="dxa"/>
            <w:shd w:val="clear" w:color="auto" w:fill="94A5D0"/>
            <w:vAlign w:val="center"/>
          </w:tcPr>
          <w:p w:rsidR="001B30FD" w:rsidRDefault="008B589B">
            <w:pPr>
              <w:rPr>
                <w:szCs w:val="18"/>
                <w:lang w:val="fr-FR"/>
              </w:rPr>
            </w:pPr>
            <w:r>
              <w:rPr>
                <w:szCs w:val="18"/>
                <w:lang w:val="fr-FR"/>
              </w:rPr>
              <w:t>Le prix total HT et TTC de la prestation</w:t>
            </w:r>
          </w:p>
        </w:tc>
      </w:tr>
      <w:tr w:rsidR="001B30FD" w:rsidRPr="009837D7">
        <w:trPr>
          <w:trHeight w:val="539"/>
          <w:jc w:val="center"/>
        </w:trPr>
        <w:tc>
          <w:tcPr>
            <w:tcW w:w="5102" w:type="dxa"/>
            <w:shd w:val="clear" w:color="auto" w:fill="FFFFFF"/>
            <w:vAlign w:val="center"/>
          </w:tcPr>
          <w:p w:rsidR="001B30FD" w:rsidRDefault="001B30FD">
            <w:pPr>
              <w:rPr>
                <w:szCs w:val="18"/>
                <w:lang w:val="fr-FR"/>
              </w:rPr>
            </w:pPr>
          </w:p>
        </w:tc>
        <w:tc>
          <w:tcPr>
            <w:tcW w:w="4449" w:type="dxa"/>
            <w:shd w:val="clear" w:color="auto" w:fill="FFFFFF"/>
            <w:vAlign w:val="center"/>
          </w:tcPr>
          <w:p w:rsidR="001B30FD" w:rsidRDefault="008B589B">
            <w:pPr>
              <w:rPr>
                <w:szCs w:val="18"/>
                <w:lang w:val="fr-FR"/>
              </w:rPr>
            </w:pPr>
            <w:r>
              <w:rPr>
                <w:szCs w:val="18"/>
                <w:lang w:val="fr-FR"/>
              </w:rPr>
              <w:t>Le montant de l’avance forfaitaire ou déduction ou versement complémentaire</w:t>
            </w:r>
          </w:p>
        </w:tc>
      </w:tr>
    </w:tbl>
    <w:p w:rsidR="001B30FD" w:rsidRDefault="001B30FD">
      <w:pPr>
        <w:ind w:left="426"/>
        <w:rPr>
          <w:color w:val="auto"/>
          <w:szCs w:val="18"/>
          <w:lang w:val="fr-FR"/>
        </w:rPr>
      </w:pPr>
    </w:p>
    <w:p w:rsidR="001B30FD" w:rsidRDefault="008B589B">
      <w:pPr>
        <w:jc w:val="both"/>
        <w:rPr>
          <w:color w:val="auto"/>
          <w:szCs w:val="18"/>
          <w:highlight w:val="white"/>
          <w:lang w:val="fr-FR"/>
        </w:rPr>
      </w:pPr>
      <w:r>
        <w:rPr>
          <w:color w:val="auto"/>
          <w:szCs w:val="18"/>
          <w:lang w:val="fr-FR"/>
        </w:rPr>
        <w:t>Les factures comportent en outre les numéros d'identité de l'émetteur et du destinataire de la facture, attribués à chaque établissement concerné ou, à défaut, à chaque personne en application de l'article R.123-221 du code de commerce.</w:t>
      </w:r>
    </w:p>
    <w:p w:rsidR="001B30FD" w:rsidRDefault="001B30FD">
      <w:pPr>
        <w:jc w:val="both"/>
        <w:rPr>
          <w:color w:val="auto"/>
          <w:szCs w:val="18"/>
          <w:lang w:val="fr-FR"/>
        </w:rPr>
      </w:pPr>
    </w:p>
    <w:p w:rsidR="001B30FD" w:rsidRDefault="008B589B">
      <w:pPr>
        <w:jc w:val="both"/>
        <w:rPr>
          <w:color w:val="auto"/>
          <w:szCs w:val="18"/>
          <w:highlight w:val="white"/>
          <w:lang w:val="fr-FR"/>
        </w:rPr>
      </w:pPr>
      <w:r>
        <w:rPr>
          <w:color w:val="auto"/>
          <w:szCs w:val="18"/>
          <w:lang w:val="fr-FR"/>
        </w:rPr>
        <w:t>Pour les émetteurs</w:t>
      </w:r>
      <w:r>
        <w:rPr>
          <w:color w:val="auto"/>
          <w:szCs w:val="18"/>
          <w:lang w:val="fr-FR"/>
        </w:rPr>
        <w:t xml:space="preserve"> ne disposant pas du numéro d'identité mentionné à l'alinéa précédent, un arrêté du ministre chargé du budget, annexé au présent code, fixe l'identifiant qui doit être porté sur les factures.</w:t>
      </w:r>
    </w:p>
    <w:p w:rsidR="001B30FD" w:rsidRDefault="008B589B">
      <w:pPr>
        <w:jc w:val="both"/>
        <w:rPr>
          <w:color w:val="auto"/>
          <w:lang w:val="fr-FR"/>
        </w:rPr>
      </w:pPr>
      <w:r>
        <w:rPr>
          <w:color w:val="auto"/>
          <w:szCs w:val="18"/>
          <w:lang w:val="fr-FR"/>
        </w:rPr>
        <w:t>En cas de changement de RIB en cours d’exécution du marché, celu</w:t>
      </w:r>
      <w:r>
        <w:rPr>
          <w:color w:val="auto"/>
          <w:szCs w:val="18"/>
          <w:lang w:val="fr-FR"/>
        </w:rPr>
        <w:t>i-ci doit être transmis sans délai à l’Acheteur afin d’éviter toute rupture dans les paiements.</w:t>
      </w:r>
    </w:p>
    <w:p w:rsidR="001B30FD" w:rsidRDefault="001B30FD">
      <w:pPr>
        <w:jc w:val="both"/>
        <w:rPr>
          <w:color w:val="auto"/>
          <w:lang w:val="fr-FR"/>
        </w:rPr>
      </w:pPr>
    </w:p>
    <w:p w:rsidR="001B30FD" w:rsidRDefault="008B589B">
      <w:pPr>
        <w:jc w:val="both"/>
        <w:rPr>
          <w:color w:val="000000" w:themeColor="text1"/>
          <w:lang w:val="fr-FR"/>
        </w:rPr>
      </w:pPr>
      <w:r>
        <w:rPr>
          <w:color w:val="000000" w:themeColor="text1"/>
          <w:szCs w:val="18"/>
          <w:lang w:val="fr-FR" w:bidi="fr-FR"/>
        </w:rPr>
        <w:t>Un modèle de facture, conformément aux exigences du comptable public sera proposé au titulaire du marché.</w:t>
      </w:r>
    </w:p>
    <w:p w:rsidR="001B30FD" w:rsidRDefault="001B30FD">
      <w:pPr>
        <w:jc w:val="both"/>
        <w:rPr>
          <w:color w:val="000000" w:themeColor="text1"/>
          <w:lang w:val="fr-FR"/>
        </w:rPr>
      </w:pP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bidi="fr-FR"/>
        </w:rPr>
      </w:pPr>
      <w:bookmarkStart w:id="64" w:name="_Toc64"/>
      <w:r>
        <w:rPr>
          <w:rFonts w:ascii="Marianne ExtraBold" w:eastAsiaTheme="majorEastAsia" w:hAnsi="Marianne ExtraBold" w:cstheme="majorBidi"/>
          <w:caps/>
          <w:color w:val="465F9D"/>
          <w:sz w:val="22"/>
          <w:szCs w:val="22"/>
          <w:lang w:val="fr-FR" w:bidi="fr-FR"/>
        </w:rPr>
        <w:lastRenderedPageBreak/>
        <w:t>MODALITES DE PAIEMENT</w:t>
      </w:r>
      <w:bookmarkEnd w:id="64"/>
    </w:p>
    <w:p w:rsidR="001B30FD" w:rsidRDefault="001B30FD">
      <w:pPr>
        <w:rPr>
          <w:lang w:val="fr-FR"/>
        </w:rPr>
      </w:pPr>
    </w:p>
    <w:p w:rsidR="001B30FD" w:rsidRDefault="008B589B">
      <w:pPr>
        <w:jc w:val="both"/>
        <w:rPr>
          <w:lang w:val="fr-FR"/>
        </w:rPr>
      </w:pPr>
      <w:r>
        <w:rPr>
          <w:lang w:val="fr-FR"/>
        </w:rPr>
        <w:t>Les prestations sont réglées par application des prix figurant aux annexes financières à l’acte d’engagement.</w:t>
      </w:r>
    </w:p>
    <w:p w:rsidR="001B30FD" w:rsidRDefault="001B30FD">
      <w:pPr>
        <w:jc w:val="both"/>
        <w:rPr>
          <w:lang w:val="fr-FR"/>
        </w:rPr>
      </w:pPr>
    </w:p>
    <w:p w:rsidR="001B30FD" w:rsidRDefault="008B589B">
      <w:pPr>
        <w:jc w:val="both"/>
        <w:rPr>
          <w:lang w:val="fr-FR"/>
        </w:rPr>
      </w:pPr>
      <w:r>
        <w:rPr>
          <w:lang w:val="fr-FR"/>
        </w:rPr>
        <w:t>Le paiement des prestations afférentes aux bons de commande ou au marchés subséquents est à la charge de chaque service bénéficiaire. Le paiement</w:t>
      </w:r>
      <w:r>
        <w:rPr>
          <w:lang w:val="fr-FR"/>
        </w:rPr>
        <w:t xml:space="preserve"> est effectué sur facture émise par le titulaire, et après certification du service fait par le service bénéficiaire, selon les modalités prévues à l’article 12.4.2 du présent CCAP. </w:t>
      </w:r>
    </w:p>
    <w:p w:rsidR="001B30FD" w:rsidRDefault="001B30FD">
      <w:pPr>
        <w:jc w:val="both"/>
        <w:rPr>
          <w:lang w:val="fr-FR"/>
        </w:rPr>
      </w:pPr>
    </w:p>
    <w:p w:rsidR="001B30FD" w:rsidRDefault="008B589B">
      <w:pPr>
        <w:jc w:val="both"/>
        <w:rPr>
          <w:lang w:val="fr-FR"/>
        </w:rPr>
      </w:pPr>
      <w:r>
        <w:rPr>
          <w:lang w:val="fr-FR"/>
        </w:rPr>
        <w:t>Le service bénéficiaire accepte ou rectifie la facture émise par le titu</w:t>
      </w:r>
      <w:r>
        <w:rPr>
          <w:lang w:val="fr-FR"/>
        </w:rPr>
        <w:t xml:space="preserve">laire, et la complète éventuellement en faisant apparaître les réfactions et pénalités imposées. Il est précisé qu’en cas d’ajout comme de suppression de site, tout mois commencé est dû. </w:t>
      </w:r>
    </w:p>
    <w:p w:rsidR="001B30FD" w:rsidRDefault="001B30FD">
      <w:pPr>
        <w:jc w:val="both"/>
        <w:rPr>
          <w:lang w:val="fr-FR"/>
        </w:rPr>
      </w:pPr>
    </w:p>
    <w:p w:rsidR="001B30FD" w:rsidRDefault="008B589B">
      <w:pPr>
        <w:jc w:val="both"/>
        <w:rPr>
          <w:lang w:val="fr-FR"/>
        </w:rPr>
      </w:pPr>
      <w:r>
        <w:rPr>
          <w:lang w:val="fr-FR"/>
        </w:rPr>
        <w:t>Le montant de la somme à régler au titulaire est arrêté par le serv</w:t>
      </w:r>
      <w:r>
        <w:rPr>
          <w:lang w:val="fr-FR"/>
        </w:rPr>
        <w:t>ice bénéficiaire. Il est notifié au titulaire si la facture a été modifiée ou si elle a été complétée. Passé un délai de trente (30) jours à compter de cette notification, le titulaire est réputé, par son silence, avoir accepté ce montant.</w:t>
      </w:r>
    </w:p>
    <w:p w:rsidR="001B30FD" w:rsidRDefault="001B30FD">
      <w:pPr>
        <w:jc w:val="both"/>
        <w:rPr>
          <w:lang w:val="fr-FR"/>
        </w:rPr>
      </w:pPr>
    </w:p>
    <w:p w:rsidR="001B30FD" w:rsidRDefault="008B589B">
      <w:pPr>
        <w:jc w:val="both"/>
        <w:rPr>
          <w:lang w:val="fr-FR"/>
        </w:rPr>
      </w:pPr>
      <w:r>
        <w:rPr>
          <w:lang w:val="fr-FR"/>
        </w:rPr>
        <w:t>Les paiements s</w:t>
      </w:r>
      <w:r>
        <w:rPr>
          <w:lang w:val="fr-FR"/>
        </w:rPr>
        <w:t>ont effectués par virement bancaire sur le compte du titulaire.</w:t>
      </w:r>
    </w:p>
    <w:p w:rsidR="001B30FD" w:rsidRDefault="001B30FD">
      <w:pPr>
        <w:jc w:val="both"/>
        <w:rPr>
          <w:lang w:val="fr-FR"/>
        </w:rPr>
      </w:pPr>
    </w:p>
    <w:p w:rsidR="001B30FD" w:rsidRDefault="008B589B">
      <w:pPr>
        <w:jc w:val="both"/>
        <w:rPr>
          <w:color w:val="000000" w:themeColor="text1"/>
        </w:rPr>
      </w:pPr>
      <w:r>
        <w:rPr>
          <w:szCs w:val="18"/>
          <w:lang w:val="fr-FR"/>
        </w:rPr>
        <w:t>S</w:t>
      </w:r>
      <w:r>
        <w:rPr>
          <w:color w:val="000000" w:themeColor="text1"/>
          <w:szCs w:val="18"/>
          <w:lang w:val="fr-FR"/>
        </w:rPr>
        <w:t>ont applicables les taux de TVA en vigueur lors du fait générateur de la taxe au sens de l'article 269 du code général des impôts. Il est actuellement de 20%.</w:t>
      </w:r>
    </w:p>
    <w:p w:rsidR="001B30FD" w:rsidRDefault="001B30FD">
      <w:pPr>
        <w:jc w:val="both"/>
        <w:rPr>
          <w:color w:val="000000" w:themeColor="text1"/>
        </w:rPr>
      </w:pPr>
    </w:p>
    <w:p w:rsidR="001B30FD" w:rsidRDefault="001B30FD">
      <w:pPr>
        <w:jc w:val="both"/>
        <w:rPr>
          <w:color w:val="000000" w:themeColor="text1"/>
        </w:rPr>
      </w:pP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65" w:name="_Toc65"/>
      <w:r>
        <w:rPr>
          <w:rFonts w:ascii="Marianne ExtraBold" w:eastAsiaTheme="majorEastAsia" w:hAnsi="Marianne ExtraBold" w:cstheme="majorBidi"/>
          <w:caps/>
          <w:color w:val="465F9D"/>
          <w:sz w:val="22"/>
          <w:szCs w:val="22"/>
          <w:lang w:val="fr-FR"/>
        </w:rPr>
        <w:t>MODALITES DE FACTURATION</w:t>
      </w:r>
      <w:bookmarkEnd w:id="65"/>
    </w:p>
    <w:p w:rsidR="001B30FD" w:rsidRDefault="001B30FD">
      <w:pPr>
        <w:jc w:val="both"/>
        <w:rPr>
          <w:color w:val="000000" w:themeColor="text1"/>
          <w:lang w:val="fr-FR"/>
        </w:rPr>
      </w:pPr>
    </w:p>
    <w:p w:rsidR="001B30FD" w:rsidRDefault="008B589B">
      <w:pPr>
        <w:jc w:val="both"/>
        <w:rPr>
          <w:lang w:val="fr-FR"/>
        </w:rPr>
      </w:pPr>
      <w:r>
        <w:rPr>
          <w:szCs w:val="18"/>
          <w:lang w:val="fr-FR"/>
        </w:rPr>
        <w:t>Les</w:t>
      </w:r>
      <w:r>
        <w:rPr>
          <w:szCs w:val="18"/>
          <w:lang w:val="fr-FR"/>
        </w:rPr>
        <w:t xml:space="preserve"> bons de commandes sont établis sur la base d’un estimatif de services réalisés pour l’année en cours.</w:t>
      </w:r>
    </w:p>
    <w:p w:rsidR="001B30FD" w:rsidRDefault="001B30FD">
      <w:pPr>
        <w:jc w:val="both"/>
        <w:rPr>
          <w:lang w:val="fr-FR"/>
        </w:rPr>
      </w:pPr>
    </w:p>
    <w:p w:rsidR="001B30FD" w:rsidRDefault="008B589B">
      <w:pPr>
        <w:jc w:val="both"/>
        <w:rPr>
          <w:szCs w:val="18"/>
          <w:lang w:val="fr-FR"/>
        </w:rPr>
      </w:pPr>
      <w:r>
        <w:rPr>
          <w:szCs w:val="18"/>
          <w:lang w:val="fr-FR"/>
        </w:rPr>
        <w:t>Le bon de commande permet d’ouvrir une ligne de dépense avec le titulaire, il ne vaut pas engagement de dépense sur la totalité du bon de commande. Seul</w:t>
      </w:r>
      <w:r>
        <w:rPr>
          <w:szCs w:val="18"/>
          <w:lang w:val="fr-FR"/>
        </w:rPr>
        <w:t xml:space="preserve">s les </w:t>
      </w:r>
      <w:r>
        <w:rPr>
          <w:szCs w:val="18"/>
          <w:u w:val="single"/>
          <w:lang w:val="fr-FR"/>
        </w:rPr>
        <w:t>services réellement exécutés</w:t>
      </w:r>
      <w:r>
        <w:rPr>
          <w:szCs w:val="18"/>
          <w:lang w:val="fr-FR"/>
        </w:rPr>
        <w:t xml:space="preserve"> seront facturés par le titulaire aux prix mentionnés à l’annexe financière.</w:t>
      </w:r>
    </w:p>
    <w:p w:rsidR="001B30FD" w:rsidRDefault="001B30FD">
      <w:pPr>
        <w:jc w:val="both"/>
        <w:rPr>
          <w:szCs w:val="18"/>
          <w:lang w:val="fr-FR"/>
        </w:rPr>
      </w:pPr>
    </w:p>
    <w:p w:rsidR="001B30FD" w:rsidRDefault="008B589B">
      <w:pPr>
        <w:jc w:val="both"/>
        <w:rPr>
          <w:szCs w:val="18"/>
          <w:lang w:val="fr-FR"/>
        </w:rPr>
      </w:pPr>
      <w:r>
        <w:rPr>
          <w:szCs w:val="18"/>
          <w:lang w:val="fr-FR"/>
        </w:rPr>
        <w:t xml:space="preserve">A la fin de l’exercice annuel la part du bon de commande non consommée est soldée. Le titulaire ne peut prétendre à percevoir tout ou partie du </w:t>
      </w:r>
      <w:r>
        <w:rPr>
          <w:szCs w:val="18"/>
          <w:lang w:val="fr-FR"/>
        </w:rPr>
        <w:t>volume non consommé.</w:t>
      </w:r>
    </w:p>
    <w:p w:rsidR="001B30FD" w:rsidRDefault="001B30FD">
      <w:pPr>
        <w:jc w:val="both"/>
        <w:rPr>
          <w:szCs w:val="18"/>
          <w:lang w:val="fr-FR"/>
        </w:rPr>
      </w:pPr>
    </w:p>
    <w:p w:rsidR="001B30FD" w:rsidRDefault="008B589B">
      <w:pPr>
        <w:jc w:val="both"/>
        <w:rPr>
          <w:szCs w:val="18"/>
          <w:lang w:val="fr-FR"/>
        </w:rPr>
      </w:pPr>
      <w:r>
        <w:rPr>
          <w:szCs w:val="18"/>
          <w:lang w:val="fr-FR"/>
        </w:rPr>
        <w:t>Si en cours d’exercice le montant total du bon de commande devait être atteint, le service bénéficiaire (la DDETS) procédera à l’émission d’un nouveau bon de commande ou à la modification à la hausse du bon de commande initial.</w:t>
      </w:r>
    </w:p>
    <w:p w:rsidR="001B30FD" w:rsidRDefault="008B589B">
      <w:pPr>
        <w:jc w:val="both"/>
        <w:rPr>
          <w:szCs w:val="18"/>
          <w:lang w:val="fr-FR"/>
        </w:rPr>
      </w:pPr>
      <w:r>
        <w:rPr>
          <w:szCs w:val="18"/>
          <w:lang w:val="fr-FR"/>
        </w:rPr>
        <w:t xml:space="preserve">Selon </w:t>
      </w:r>
      <w:r>
        <w:rPr>
          <w:szCs w:val="18"/>
          <w:lang w:val="fr-FR"/>
        </w:rPr>
        <w:t>les dispositions de l’article 3.7 du CCAG-FCS, la réception du bon de commande vaut lancement des prestations au titre de l’année concernée.</w:t>
      </w:r>
    </w:p>
    <w:p w:rsidR="001B30FD" w:rsidRDefault="001B30FD">
      <w:pPr>
        <w:jc w:val="both"/>
        <w:rPr>
          <w:color w:val="000000" w:themeColor="text1"/>
          <w:lang w:val="fr-FR"/>
        </w:rPr>
      </w:pP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66" w:name="_Toc66"/>
      <w:r>
        <w:rPr>
          <w:rFonts w:ascii="Marianne ExtraBold" w:eastAsiaTheme="majorEastAsia" w:hAnsi="Marianne ExtraBold" w:cstheme="majorBidi"/>
          <w:caps/>
          <w:color w:val="465F9D"/>
          <w:sz w:val="22"/>
          <w:szCs w:val="26"/>
          <w:lang w:val="fr-FR" w:eastAsia="en-US"/>
        </w:rPr>
        <w:t>Modalit</w:t>
      </w:r>
      <w:r>
        <w:rPr>
          <w:rFonts w:ascii="Marianne ExtraBold" w:eastAsiaTheme="majorEastAsia" w:hAnsi="Marianne ExtraBold" w:cstheme="majorBidi" w:hint="eastAsia"/>
          <w:caps/>
          <w:color w:val="465F9D"/>
          <w:sz w:val="22"/>
          <w:szCs w:val="26"/>
          <w:lang w:val="fr-FR" w:eastAsia="en-US"/>
        </w:rPr>
        <w:t>é</w:t>
      </w:r>
      <w:r>
        <w:rPr>
          <w:rFonts w:ascii="Marianne ExtraBold" w:eastAsiaTheme="majorEastAsia" w:hAnsi="Marianne ExtraBold" w:cstheme="majorBidi"/>
          <w:caps/>
          <w:color w:val="465F9D"/>
          <w:sz w:val="22"/>
          <w:szCs w:val="26"/>
          <w:lang w:val="fr-FR" w:eastAsia="en-US"/>
        </w:rPr>
        <w:t>s d</w:t>
      </w:r>
      <w:r>
        <w:rPr>
          <w:rFonts w:ascii="Marianne ExtraBold" w:eastAsiaTheme="majorEastAsia" w:hAnsi="Marianne ExtraBold" w:cstheme="majorBidi" w:hint="eastAsia"/>
          <w:caps/>
          <w:color w:val="465F9D"/>
          <w:sz w:val="22"/>
          <w:szCs w:val="26"/>
          <w:lang w:val="fr-FR" w:eastAsia="en-US"/>
        </w:rPr>
        <w:t>’</w:t>
      </w:r>
      <w:r>
        <w:rPr>
          <w:rFonts w:ascii="Marianne ExtraBold" w:eastAsiaTheme="majorEastAsia" w:hAnsi="Marianne ExtraBold" w:cstheme="majorBidi"/>
          <w:caps/>
          <w:color w:val="465F9D"/>
          <w:sz w:val="22"/>
          <w:szCs w:val="26"/>
          <w:lang w:val="fr-FR" w:eastAsia="en-US"/>
        </w:rPr>
        <w:t>envoi</w:t>
      </w:r>
      <w:bookmarkEnd w:id="66"/>
    </w:p>
    <w:p w:rsidR="001B30FD" w:rsidRDefault="008B589B">
      <w:pPr>
        <w:jc w:val="both"/>
        <w:rPr>
          <w:szCs w:val="18"/>
          <w:lang w:val="fr-FR"/>
        </w:rPr>
      </w:pPr>
      <w:bookmarkStart w:id="67" w:name="__DdeLink__1655_3247053033"/>
      <w:r>
        <w:rPr>
          <w:szCs w:val="18"/>
          <w:lang w:val="fr-FR"/>
        </w:rPr>
        <w:t>Après notification du marché, le titulaire indiquera aux hôteliers les modalités de transmission des factures ainsi que la procédure à suivre pour en recevoir le paiement</w:t>
      </w:r>
      <w:bookmarkEnd w:id="67"/>
      <w:r>
        <w:rPr>
          <w:szCs w:val="18"/>
          <w:lang w:val="fr-FR"/>
        </w:rPr>
        <w:t>.</w:t>
      </w:r>
    </w:p>
    <w:p w:rsidR="001B30FD" w:rsidRDefault="001B30FD">
      <w:pPr>
        <w:jc w:val="both"/>
        <w:rPr>
          <w:szCs w:val="18"/>
          <w:lang w:val="fr-FR"/>
        </w:rPr>
      </w:pPr>
    </w:p>
    <w:p w:rsidR="001B30FD" w:rsidRDefault="008B589B">
      <w:pPr>
        <w:jc w:val="both"/>
        <w:rPr>
          <w:color w:val="000000" w:themeColor="text1"/>
          <w:szCs w:val="18"/>
          <w:lang w:val="fr-FR"/>
        </w:rPr>
      </w:pPr>
      <w:r>
        <w:rPr>
          <w:szCs w:val="18"/>
          <w:lang w:val="fr-FR"/>
        </w:rPr>
        <w:lastRenderedPageBreak/>
        <w:t>Sur la base des états mensuels communiqués par les hôteliers au titulaire. Et après</w:t>
      </w:r>
      <w:r>
        <w:rPr>
          <w:szCs w:val="18"/>
          <w:lang w:val="fr-FR"/>
        </w:rPr>
        <w:t xml:space="preserve"> vérification, ce dernier transmet les documents à la DDETS qui valide à son tour et atteste du service fait. </w:t>
      </w:r>
      <w:r>
        <w:rPr>
          <w:color w:val="000000" w:themeColor="text1"/>
          <w:szCs w:val="18"/>
          <w:lang w:val="fr-FR"/>
        </w:rPr>
        <w:t>Le titulaire envoie ensuite mensuellement sa facture correspondant aux prestations réalisées dans le mois écoulé.</w:t>
      </w:r>
    </w:p>
    <w:p w:rsidR="001B30FD" w:rsidRDefault="001B30FD">
      <w:pPr>
        <w:pBdr>
          <w:top w:val="none" w:sz="4" w:space="0" w:color="000000"/>
          <w:left w:val="none" w:sz="4" w:space="0" w:color="000000"/>
          <w:bottom w:val="none" w:sz="4" w:space="0" w:color="000000"/>
          <w:right w:val="none" w:sz="4" w:space="0" w:color="000000"/>
        </w:pBdr>
        <w:jc w:val="both"/>
        <w:rPr>
          <w:color w:val="000000" w:themeColor="text1"/>
          <w:szCs w:val="18"/>
          <w:lang w:val="fr-FR"/>
        </w:rPr>
      </w:pPr>
    </w:p>
    <w:p w:rsidR="001B30FD" w:rsidRDefault="008B589B">
      <w:p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Dans un délai de dix (10) jours</w:t>
      </w:r>
      <w:r>
        <w:rPr>
          <w:color w:val="000000" w:themeColor="text1"/>
          <w:szCs w:val="18"/>
          <w:lang w:val="fr-FR"/>
        </w:rPr>
        <w:t xml:space="preserve"> à compter du 1er du mois M, le titulaire transmettra les documents suivants pour les prestations du mois précédent (M-1) :</w:t>
      </w:r>
    </w:p>
    <w:p w:rsidR="001B30FD" w:rsidRDefault="008B589B">
      <w:pPr>
        <w:pStyle w:val="Paragraphedeliste"/>
        <w:numPr>
          <w:ilvl w:val="0"/>
          <w:numId w:val="21"/>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La facture mensuelle,</w:t>
      </w:r>
    </w:p>
    <w:p w:rsidR="001B30FD" w:rsidRDefault="008B589B">
      <w:pPr>
        <w:pStyle w:val="Paragraphedeliste"/>
        <w:numPr>
          <w:ilvl w:val="0"/>
          <w:numId w:val="21"/>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La liste mensuelle des entrées, renouvellements et sorties par établissement hôtelier,</w:t>
      </w:r>
    </w:p>
    <w:p w:rsidR="001B30FD" w:rsidRDefault="008B589B">
      <w:pPr>
        <w:pStyle w:val="Paragraphedeliste"/>
        <w:numPr>
          <w:ilvl w:val="0"/>
          <w:numId w:val="21"/>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Un relevé des incidents</w:t>
      </w:r>
      <w:r>
        <w:rPr>
          <w:color w:val="000000" w:themeColor="text1"/>
          <w:szCs w:val="18"/>
          <w:lang w:val="fr-FR"/>
        </w:rPr>
        <w:t xml:space="preserve"> le cas échéant,</w:t>
      </w:r>
    </w:p>
    <w:p w:rsidR="001B30FD" w:rsidRDefault="008B589B">
      <w:pPr>
        <w:pStyle w:val="Paragraphedeliste"/>
        <w:numPr>
          <w:ilvl w:val="0"/>
          <w:numId w:val="21"/>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Le calendrier des visites de contrôle effectuées auprès de chaque établissement hôtelier le cas échéant,</w:t>
      </w:r>
    </w:p>
    <w:p w:rsidR="001B30FD" w:rsidRDefault="008B589B">
      <w:pPr>
        <w:pStyle w:val="Paragraphedeliste"/>
        <w:numPr>
          <w:ilvl w:val="0"/>
          <w:numId w:val="21"/>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Le procès-verbal de la visite effectuée ou « grille » le cas échéant, avec signature de l’hôtelier visité.</w:t>
      </w:r>
    </w:p>
    <w:p w:rsidR="001B30FD" w:rsidRDefault="001B30FD">
      <w:pPr>
        <w:pStyle w:val="Paragraphedeliste"/>
        <w:pBdr>
          <w:top w:val="none" w:sz="4" w:space="0" w:color="000000"/>
          <w:left w:val="none" w:sz="4" w:space="0" w:color="000000"/>
          <w:bottom w:val="none" w:sz="4" w:space="0" w:color="000000"/>
          <w:right w:val="none" w:sz="4" w:space="0" w:color="000000"/>
        </w:pBdr>
        <w:jc w:val="both"/>
        <w:rPr>
          <w:color w:val="000000" w:themeColor="text1"/>
          <w:szCs w:val="18"/>
          <w:lang w:val="fr-FR"/>
        </w:rPr>
      </w:pPr>
    </w:p>
    <w:p w:rsidR="001B30FD" w:rsidRDefault="008B589B">
      <w:pPr>
        <w:jc w:val="both"/>
        <w:rPr>
          <w:rFonts w:eastAsia="Times New Roman" w:cs="Times New Roman"/>
          <w:color w:val="000000" w:themeColor="text1"/>
          <w:szCs w:val="18"/>
          <w:lang w:val="fr-FR"/>
        </w:rPr>
      </w:pPr>
      <w:r>
        <w:rPr>
          <w:b/>
          <w:color w:val="000000" w:themeColor="text1"/>
          <w:szCs w:val="18"/>
          <w:lang w:val="fr-FR"/>
        </w:rPr>
        <w:t>Aucun paiement ne pourra être effectué par l’acheteur en l’absence de ces documents.</w:t>
      </w:r>
      <w:r>
        <w:rPr>
          <w:rFonts w:eastAsia="Times New Roman" w:cs="Times New Roman"/>
          <w:color w:val="000000" w:themeColor="text1"/>
          <w:szCs w:val="18"/>
          <w:lang w:val="fr-FR"/>
        </w:rPr>
        <w:t xml:space="preserve"> </w:t>
      </w:r>
    </w:p>
    <w:p w:rsidR="001B30FD" w:rsidRDefault="001B30FD">
      <w:pPr>
        <w:jc w:val="both"/>
        <w:rPr>
          <w:szCs w:val="18"/>
          <w:lang w:val="fr-FR"/>
        </w:rPr>
      </w:pPr>
    </w:p>
    <w:p w:rsidR="001B30FD" w:rsidRDefault="008B589B">
      <w:pPr>
        <w:jc w:val="both"/>
        <w:rPr>
          <w:szCs w:val="18"/>
          <w:lang w:val="fr-FR"/>
        </w:rPr>
      </w:pPr>
      <w:r>
        <w:rPr>
          <w:szCs w:val="18"/>
          <w:lang w:val="fr-FR"/>
        </w:rPr>
        <w:t>La transmission des factures s’effectue conformément aux dispositions :</w:t>
      </w:r>
    </w:p>
    <w:p w:rsidR="001B30FD" w:rsidRDefault="008B589B">
      <w:pPr>
        <w:pStyle w:val="Paragraphedeliste"/>
        <w:numPr>
          <w:ilvl w:val="0"/>
          <w:numId w:val="11"/>
        </w:numPr>
        <w:spacing w:after="160" w:line="259" w:lineRule="auto"/>
        <w:ind w:left="567"/>
        <w:jc w:val="both"/>
        <w:rPr>
          <w:szCs w:val="18"/>
          <w:lang w:val="fr-FR"/>
        </w:rPr>
      </w:pPr>
      <w:r>
        <w:rPr>
          <w:szCs w:val="18"/>
          <w:lang w:val="fr-FR"/>
        </w:rPr>
        <w:t>De l’ordonnance n°2014-697 du 26 juin 2014 relative au développement de la facturation électroniq</w:t>
      </w:r>
      <w:r>
        <w:rPr>
          <w:szCs w:val="18"/>
          <w:lang w:val="fr-FR"/>
        </w:rPr>
        <w:t>ue</w:t>
      </w:r>
    </w:p>
    <w:p w:rsidR="001B30FD" w:rsidRDefault="008B589B">
      <w:pPr>
        <w:pStyle w:val="Paragraphedeliste"/>
        <w:numPr>
          <w:ilvl w:val="0"/>
          <w:numId w:val="11"/>
        </w:numPr>
        <w:spacing w:after="160" w:line="259" w:lineRule="auto"/>
        <w:ind w:left="567"/>
        <w:jc w:val="both"/>
        <w:rPr>
          <w:szCs w:val="18"/>
          <w:lang w:val="fr-FR"/>
        </w:rPr>
      </w:pPr>
      <w:r>
        <w:rPr>
          <w:szCs w:val="18"/>
          <w:lang w:val="fr-FR"/>
        </w:rPr>
        <w:t>Du décret n°2019-748 du 18 juillet 2019 relatif à la facturation électronique dans la commande publique codifiant dans le code de la commande publique le décret n°2016-1478 du 02 novembre 2016 relatif à la facturation électronique</w:t>
      </w:r>
    </w:p>
    <w:p w:rsidR="001B30FD" w:rsidRDefault="008B589B">
      <w:pPr>
        <w:pStyle w:val="Paragraphedeliste"/>
        <w:numPr>
          <w:ilvl w:val="0"/>
          <w:numId w:val="11"/>
        </w:numPr>
        <w:spacing w:after="160" w:line="259" w:lineRule="auto"/>
        <w:ind w:left="567"/>
        <w:jc w:val="both"/>
        <w:rPr>
          <w:szCs w:val="18"/>
          <w:lang w:val="fr-FR"/>
        </w:rPr>
      </w:pPr>
      <w:r>
        <w:rPr>
          <w:szCs w:val="18"/>
          <w:lang w:val="fr-FR"/>
        </w:rPr>
        <w:t>De l’arrêté du 14 déce</w:t>
      </w:r>
      <w:r>
        <w:rPr>
          <w:szCs w:val="18"/>
          <w:lang w:val="fr-FR"/>
        </w:rPr>
        <w:t>mbre 2021 modifiant l’arrêté du 09 décembre 2016 relatif au développement de la facturation électronique.</w:t>
      </w:r>
    </w:p>
    <w:p w:rsidR="001B30FD" w:rsidRDefault="008B589B">
      <w:pPr>
        <w:jc w:val="both"/>
        <w:rPr>
          <w:szCs w:val="18"/>
          <w:lang w:val="fr-FR"/>
        </w:rPr>
      </w:pPr>
      <w:r>
        <w:rPr>
          <w:szCs w:val="18"/>
          <w:lang w:val="fr-FR"/>
        </w:rPr>
        <w:t>Le titulaire a le choix entre plusieurs modes de transmission électronique des factures :</w:t>
      </w:r>
    </w:p>
    <w:p w:rsidR="001B30FD" w:rsidRDefault="008B589B">
      <w:pPr>
        <w:pStyle w:val="Paragraphedeliste"/>
        <w:numPr>
          <w:ilvl w:val="0"/>
          <w:numId w:val="10"/>
        </w:numPr>
        <w:spacing w:after="160" w:line="259" w:lineRule="auto"/>
        <w:ind w:left="0"/>
        <w:jc w:val="both"/>
        <w:rPr>
          <w:szCs w:val="18"/>
          <w:u w:val="single"/>
          <w:lang w:val="fr-FR"/>
        </w:rPr>
      </w:pPr>
      <w:r>
        <w:rPr>
          <w:szCs w:val="18"/>
          <w:u w:val="single"/>
          <w:lang w:val="fr-FR"/>
        </w:rPr>
        <w:t>Raccordement direct à la solution mutualisée ou à partir d’u</w:t>
      </w:r>
      <w:r>
        <w:rPr>
          <w:szCs w:val="18"/>
          <w:u w:val="single"/>
          <w:lang w:val="fr-FR"/>
        </w:rPr>
        <w:t>n système</w:t>
      </w:r>
    </w:p>
    <w:p w:rsidR="001B30FD" w:rsidRDefault="008B589B">
      <w:pPr>
        <w:jc w:val="both"/>
        <w:rPr>
          <w:szCs w:val="18"/>
          <w:lang w:val="fr-FR"/>
        </w:rPr>
      </w:pPr>
      <w:r>
        <w:rPr>
          <w:szCs w:val="18"/>
          <w:lang w:val="fr-FR"/>
        </w:rPr>
        <w:t>Par transfert de fichier (en mode EDI-Echange de Données Informatisées) : Chorus Pro permet des échanges d’informations par des flux issus des système d’information des fournisseurs. L’émetteur de facture adresse ses flux soit directement à Choru</w:t>
      </w:r>
      <w:r>
        <w:rPr>
          <w:szCs w:val="18"/>
          <w:lang w:val="fr-FR"/>
        </w:rPr>
        <w:t>s Pro soit par l’intermédiaire d’un opérateur de dématérialisation.</w:t>
      </w:r>
    </w:p>
    <w:p w:rsidR="001B30FD" w:rsidRDefault="008B589B">
      <w:pPr>
        <w:jc w:val="both"/>
        <w:rPr>
          <w:szCs w:val="18"/>
          <w:lang w:val="fr-FR"/>
        </w:rPr>
      </w:pPr>
      <w:r>
        <w:rPr>
          <w:szCs w:val="18"/>
          <w:lang w:val="fr-FR"/>
        </w:rPr>
        <w:t>En utilisant des web services (en mode API- Application Programming Interface) : Chorus Pro offre l’ensemble de ses fonctionnalités sous forme de services intégrés dans un portail tiers (A</w:t>
      </w:r>
      <w:r>
        <w:rPr>
          <w:szCs w:val="18"/>
          <w:lang w:val="fr-FR"/>
        </w:rPr>
        <w:t>PI/web service). L’émetteur de facture s’identifie via les API, et accède à l’ensemble des services de Chorus Pro comme par exemple le dépôt ou saisir de factures, le suivi du traitement de factures, l’adjonction et téléchargement de pièces complémentaires</w:t>
      </w:r>
      <w:r>
        <w:rPr>
          <w:szCs w:val="18"/>
          <w:lang w:val="fr-FR"/>
        </w:rPr>
        <w:t>, etc.</w:t>
      </w:r>
    </w:p>
    <w:p w:rsidR="001B30FD" w:rsidRDefault="008B589B">
      <w:pPr>
        <w:pStyle w:val="Paragraphedeliste"/>
        <w:numPr>
          <w:ilvl w:val="0"/>
          <w:numId w:val="10"/>
        </w:numPr>
        <w:spacing w:after="160" w:line="259" w:lineRule="auto"/>
        <w:ind w:left="0"/>
        <w:jc w:val="both"/>
        <w:rPr>
          <w:szCs w:val="18"/>
          <w:u w:val="single"/>
          <w:lang w:val="fr-FR"/>
        </w:rPr>
      </w:pPr>
      <w:r>
        <w:rPr>
          <w:szCs w:val="18"/>
          <w:u w:val="single"/>
          <w:lang w:val="fr-FR"/>
        </w:rPr>
        <w:t>Utiliser le portail CHORUS Pro accessible par internet</w:t>
      </w:r>
    </w:p>
    <w:p w:rsidR="001B30FD" w:rsidRDefault="008B589B">
      <w:pPr>
        <w:jc w:val="both"/>
        <w:rPr>
          <w:rStyle w:val="Lienhypertexte"/>
          <w:szCs w:val="18"/>
          <w:lang w:val="fr-FR"/>
        </w:rPr>
      </w:pPr>
      <w:r>
        <w:rPr>
          <w:szCs w:val="18"/>
          <w:lang w:val="fr-FR"/>
        </w:rPr>
        <w:t xml:space="preserve">Adresse de connexion : </w:t>
      </w:r>
      <w:hyperlink r:id="rId20" w:tooltip="https://chorus-pro.gouv.fr" w:history="1">
        <w:r>
          <w:rPr>
            <w:rStyle w:val="Lienhypertexte"/>
            <w:szCs w:val="18"/>
            <w:lang w:val="fr-FR"/>
          </w:rPr>
          <w:t>https://chorus-pro.gouv.fr</w:t>
        </w:r>
      </w:hyperlink>
    </w:p>
    <w:p w:rsidR="001B30FD" w:rsidRDefault="008B589B">
      <w:pPr>
        <w:jc w:val="both"/>
        <w:rPr>
          <w:rStyle w:val="Lienhypertexte"/>
          <w:color w:val="auto"/>
          <w:szCs w:val="18"/>
          <w:lang w:val="fr-FR"/>
        </w:rPr>
      </w:pPr>
      <w:r>
        <w:rPr>
          <w:rStyle w:val="Lienhypertexte"/>
          <w:color w:val="auto"/>
          <w:szCs w:val="18"/>
          <w:lang w:val="fr-FR"/>
        </w:rPr>
        <w:t>Le portail Chorus Pro permet de :</w:t>
      </w:r>
    </w:p>
    <w:p w:rsidR="001B30FD" w:rsidRDefault="008B589B">
      <w:pPr>
        <w:pStyle w:val="Paragraphedeliste"/>
        <w:numPr>
          <w:ilvl w:val="0"/>
          <w:numId w:val="9"/>
        </w:numPr>
        <w:spacing w:after="160" w:line="259" w:lineRule="auto"/>
        <w:ind w:left="0"/>
        <w:jc w:val="both"/>
        <w:rPr>
          <w:szCs w:val="18"/>
          <w:lang w:val="fr-FR"/>
        </w:rPr>
      </w:pPr>
      <w:r>
        <w:rPr>
          <w:szCs w:val="18"/>
          <w:lang w:val="fr-FR"/>
        </w:rPr>
        <w:t>Déposer ses factures sur le portail</w:t>
      </w:r>
    </w:p>
    <w:p w:rsidR="001B30FD" w:rsidRDefault="008B589B">
      <w:pPr>
        <w:pStyle w:val="Paragraphedeliste"/>
        <w:numPr>
          <w:ilvl w:val="0"/>
          <w:numId w:val="9"/>
        </w:numPr>
        <w:spacing w:after="160" w:line="259" w:lineRule="auto"/>
        <w:ind w:left="0"/>
        <w:jc w:val="both"/>
        <w:rPr>
          <w:szCs w:val="18"/>
          <w:lang w:val="fr-FR"/>
        </w:rPr>
      </w:pPr>
      <w:r>
        <w:rPr>
          <w:szCs w:val="18"/>
          <w:lang w:val="fr-FR"/>
        </w:rPr>
        <w:t>Saisir directement ses factures</w:t>
      </w:r>
    </w:p>
    <w:p w:rsidR="001B30FD" w:rsidRDefault="008B589B">
      <w:pPr>
        <w:jc w:val="both"/>
        <w:rPr>
          <w:szCs w:val="18"/>
          <w:lang w:val="fr-FR"/>
        </w:rPr>
      </w:pPr>
      <w:r>
        <w:rPr>
          <w:szCs w:val="18"/>
          <w:lang w:val="fr-FR"/>
        </w:rPr>
        <w:t>Pour connaître les conditions techniques (guide utilisateurs du portail, kit de raccordement technique et spécifications du format normalisé d’échange) et réglementaires dans lesquelles s’opère la dématérialisation des fact</w:t>
      </w:r>
      <w:r>
        <w:rPr>
          <w:szCs w:val="18"/>
          <w:lang w:val="fr-FR"/>
        </w:rPr>
        <w:t>ures, le titulaire est invité à consulter le portail internet à l’adresse ci-dessous :</w:t>
      </w:r>
    </w:p>
    <w:p w:rsidR="001B30FD" w:rsidRDefault="008B589B">
      <w:pPr>
        <w:jc w:val="both"/>
        <w:rPr>
          <w:szCs w:val="18"/>
          <w:u w:val="single"/>
          <w:lang w:val="fr-FR"/>
        </w:rPr>
      </w:pPr>
      <w:hyperlink r:id="rId21" w:tooltip="https://communaute-chorus-pro.finances.gouv.fr/?action=publicPage&amp;uri=intranetOnePage/4003" w:history="1">
        <w:r>
          <w:rPr>
            <w:rStyle w:val="Lienhypertexte"/>
            <w:szCs w:val="18"/>
            <w:lang w:val="fr-FR"/>
          </w:rPr>
          <w:t>https://communaute-chorus-pro.finances.gouv.fr/?action=</w:t>
        </w:r>
        <w:r>
          <w:rPr>
            <w:rStyle w:val="Lienhypertexte"/>
            <w:szCs w:val="18"/>
            <w:lang w:val="fr-FR"/>
          </w:rPr>
          <w:t>publicPage&amp;uri=intranetOnePage/4003</w:t>
        </w:r>
      </w:hyperlink>
      <w:r>
        <w:rPr>
          <w:szCs w:val="18"/>
          <w:u w:val="single"/>
          <w:lang w:val="fr-FR"/>
        </w:rPr>
        <w:t xml:space="preserve"> </w:t>
      </w:r>
    </w:p>
    <w:p w:rsidR="001B30FD" w:rsidRDefault="008B589B">
      <w:pPr>
        <w:jc w:val="both"/>
        <w:rPr>
          <w:szCs w:val="18"/>
          <w:u w:val="single"/>
          <w:lang w:val="fr-FR"/>
        </w:rPr>
      </w:pPr>
      <w:hyperlink r:id="rId22" w:tooltip="https://communaute-chorus-pro.finances.gouv.fr/?action=publicPage&amp;uri=intranetOnePage/4210" w:history="1">
        <w:r>
          <w:rPr>
            <w:rStyle w:val="Lienhypertexte"/>
            <w:szCs w:val="18"/>
            <w:lang w:val="fr-FR"/>
          </w:rPr>
          <w:t>https://communau</w:t>
        </w:r>
        <w:r>
          <w:rPr>
            <w:rStyle w:val="Lienhypertexte"/>
            <w:szCs w:val="18"/>
            <w:lang w:val="fr-FR"/>
          </w:rPr>
          <w:t>te-chorus-pro.finances.gouv.fr/?action=publicPage&amp;uri=intranetOnePage/4210</w:t>
        </w:r>
      </w:hyperlink>
    </w:p>
    <w:p w:rsidR="001B30FD" w:rsidRDefault="008B589B">
      <w:pPr>
        <w:jc w:val="both"/>
        <w:rPr>
          <w:szCs w:val="18"/>
          <w:lang w:val="fr-FR"/>
        </w:rPr>
      </w:pPr>
      <w:r>
        <w:rPr>
          <w:szCs w:val="18"/>
          <w:lang w:val="fr-FR"/>
        </w:rPr>
        <w:t>Pour tout renseignement, le titulaire peut s'adresser à :</w:t>
      </w:r>
    </w:p>
    <w:p w:rsidR="001B30FD" w:rsidRDefault="008B589B">
      <w:pPr>
        <w:pStyle w:val="Sansinterligne"/>
        <w:jc w:val="both"/>
        <w:rPr>
          <w:rFonts w:ascii="Marianne" w:hAnsi="Marianne"/>
          <w:sz w:val="18"/>
          <w:szCs w:val="18"/>
          <w:lang w:val="fr-FR"/>
        </w:rPr>
      </w:pPr>
      <w:hyperlink r:id="rId23" w:tooltip="https://chorus-pro.gouv.fr/cpp/utilisateur?execution=e3s1/" w:history="1">
        <w:r>
          <w:rPr>
            <w:rStyle w:val="Lienhypertexte"/>
            <w:rFonts w:ascii="Marianne" w:hAnsi="Marianne" w:cs="Arial"/>
            <w:sz w:val="18"/>
            <w:szCs w:val="18"/>
            <w:lang w:val="fr-FR"/>
          </w:rPr>
          <w:t>https://chorus-pro.gouv.fr/cpp/utilisateur?execution=e3s1/</w:t>
        </w:r>
      </w:hyperlink>
      <w:r>
        <w:rPr>
          <w:rFonts w:ascii="Marianne" w:hAnsi="Marianne"/>
          <w:sz w:val="18"/>
          <w:szCs w:val="18"/>
          <w:lang w:val="fr-FR"/>
        </w:rPr>
        <w:t xml:space="preserve">  rubrique « nous contacter »</w:t>
      </w:r>
    </w:p>
    <w:p w:rsidR="001B30FD" w:rsidRDefault="008B589B">
      <w:pPr>
        <w:jc w:val="both"/>
        <w:rPr>
          <w:szCs w:val="18"/>
          <w:lang w:val="fr-FR"/>
        </w:rPr>
      </w:pPr>
      <w:r>
        <w:rPr>
          <w:szCs w:val="18"/>
          <w:lang w:val="fr-FR"/>
        </w:rPr>
        <w:t>Les paiements sont effectués par virement bancaire direct au compte du titulaire.</w:t>
      </w:r>
    </w:p>
    <w:p w:rsidR="001B30FD" w:rsidRDefault="001B30FD">
      <w:pPr>
        <w:jc w:val="both"/>
        <w:rPr>
          <w:szCs w:val="18"/>
          <w:lang w:val="fr-FR"/>
        </w:rPr>
      </w:pPr>
    </w:p>
    <w:p w:rsidR="001B30FD" w:rsidRDefault="008B589B">
      <w:pPr>
        <w:pStyle w:val="Titre2"/>
        <w:ind w:left="576"/>
        <w:rPr>
          <w:rFonts w:ascii="Marianne ExtraBold" w:hAnsi="Marianne ExtraBold"/>
          <w:lang w:val="fr-FR"/>
        </w:rPr>
      </w:pPr>
      <w:bookmarkStart w:id="68" w:name="_Toc67"/>
      <w:r>
        <w:rPr>
          <w:rFonts w:ascii="Marianne ExtraBold" w:hAnsi="Marianne ExtraBold"/>
          <w:lang w:val="fr-FR"/>
        </w:rPr>
        <w:lastRenderedPageBreak/>
        <w:t>PAIEMENT DES COTRAITANTS</w:t>
      </w:r>
      <w:bookmarkEnd w:id="68"/>
    </w:p>
    <w:p w:rsidR="001B30FD" w:rsidRDefault="001B30FD">
      <w:pPr>
        <w:pBdr>
          <w:top w:val="none" w:sz="4" w:space="0" w:color="000000"/>
          <w:left w:val="none" w:sz="4" w:space="0" w:color="000000"/>
          <w:bottom w:val="none" w:sz="4" w:space="0" w:color="000000"/>
          <w:right w:val="none" w:sz="4" w:space="0" w:color="000000"/>
        </w:pBdr>
        <w:jc w:val="both"/>
        <w:rPr>
          <w:rFonts w:eastAsia="Marianne" w:cs="Marianne"/>
          <w:lang w:val="fr-FR"/>
        </w:rPr>
      </w:pP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En cas de groupement conjoint, chaque membre du groupement perçoit directement les sommes se rapportant à l'exécution de ses propres prestations. En cas de groupement solidaire, le paiement est effectué sur un compte unique, ouvert au nom du mandataire, sa</w:t>
      </w:r>
      <w:r>
        <w:rPr>
          <w:rFonts w:eastAsia="Marianne" w:cs="Marianne"/>
          <w:lang w:val="fr-FR"/>
        </w:rPr>
        <w:t>uf stipulation contraire prévue à l'acte d'engagement.</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autres dispositions relatives à la cotraitance s'appliquent selon l'article 12.1 du CCAG-FCS.</w:t>
      </w:r>
    </w:p>
    <w:p w:rsidR="001B30FD" w:rsidRDefault="001B30FD">
      <w:pPr>
        <w:rPr>
          <w:lang w:val="fr-FR"/>
        </w:rPr>
      </w:pPr>
    </w:p>
    <w:p w:rsidR="001B30FD" w:rsidRDefault="008B589B">
      <w:pPr>
        <w:pStyle w:val="Titre2"/>
        <w:ind w:left="576"/>
        <w:rPr>
          <w:rFonts w:ascii="Marianne ExtraBold" w:hAnsi="Marianne ExtraBold"/>
          <w:lang w:val="fr-FR"/>
        </w:rPr>
      </w:pPr>
      <w:bookmarkStart w:id="69" w:name="_Toc68"/>
      <w:r>
        <w:rPr>
          <w:rFonts w:ascii="Marianne ExtraBold" w:hAnsi="Marianne ExtraBold"/>
          <w:lang w:val="fr-FR"/>
        </w:rPr>
        <w:t>INT</w:t>
      </w:r>
      <w:r>
        <w:rPr>
          <w:rFonts w:ascii="Marianne ExtraBold" w:hAnsi="Marianne ExtraBold" w:hint="eastAsia"/>
          <w:lang w:val="fr-FR"/>
        </w:rPr>
        <w:t>É</w:t>
      </w:r>
      <w:r>
        <w:rPr>
          <w:rFonts w:ascii="Marianne ExtraBold" w:hAnsi="Marianne ExtraBold"/>
          <w:lang w:val="fr-FR"/>
        </w:rPr>
        <w:t>R</w:t>
      </w:r>
      <w:r>
        <w:rPr>
          <w:rFonts w:ascii="Marianne ExtraBold" w:hAnsi="Marianne ExtraBold" w:hint="eastAsia"/>
          <w:lang w:val="fr-FR"/>
        </w:rPr>
        <w:t>Ê</w:t>
      </w:r>
      <w:r>
        <w:rPr>
          <w:rFonts w:ascii="Marianne ExtraBold" w:hAnsi="Marianne ExtraBold"/>
          <w:lang w:val="fr-FR"/>
        </w:rPr>
        <w:t>TS MORATOIRES, INDEMNIT</w:t>
      </w:r>
      <w:r>
        <w:rPr>
          <w:rFonts w:ascii="Marianne ExtraBold" w:hAnsi="Marianne ExtraBold" w:hint="eastAsia"/>
          <w:lang w:val="fr-FR"/>
        </w:rPr>
        <w:t>É</w:t>
      </w:r>
      <w:r>
        <w:rPr>
          <w:rFonts w:ascii="Marianne ExtraBold" w:hAnsi="Marianne ExtraBold"/>
          <w:lang w:val="fr-FR"/>
        </w:rPr>
        <w:t>S FORFAITAIRES ET COMPL</w:t>
      </w:r>
      <w:r>
        <w:rPr>
          <w:rFonts w:ascii="Marianne ExtraBold" w:hAnsi="Marianne ExtraBold" w:hint="eastAsia"/>
          <w:lang w:val="fr-FR"/>
        </w:rPr>
        <w:t>É</w:t>
      </w:r>
      <w:r>
        <w:rPr>
          <w:rFonts w:ascii="Marianne ExtraBold" w:hAnsi="Marianne ExtraBold"/>
          <w:lang w:val="fr-FR"/>
        </w:rPr>
        <w:t>MENT POUR FRAIS DE RECOUVREMENT</w:t>
      </w:r>
      <w:bookmarkEnd w:id="69"/>
    </w:p>
    <w:p w:rsidR="001B30FD" w:rsidRDefault="001B30FD">
      <w:pPr>
        <w:pBdr>
          <w:top w:val="none" w:sz="4" w:space="0" w:color="000000"/>
          <w:left w:val="none" w:sz="4" w:space="0" w:color="000000"/>
          <w:bottom w:val="none" w:sz="4" w:space="0" w:color="000000"/>
          <w:right w:val="none" w:sz="4" w:space="0" w:color="000000"/>
        </w:pBdr>
        <w:jc w:val="both"/>
        <w:rPr>
          <w:rFonts w:eastAsia="Marianne" w:cs="Marianne"/>
          <w:lang w:val="fr-FR"/>
        </w:rPr>
      </w:pP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Lorsque les s</w:t>
      </w:r>
      <w:r>
        <w:rPr>
          <w:rFonts w:eastAsia="Marianne" w:cs="Marianne"/>
          <w:lang w:val="fr-FR"/>
        </w:rPr>
        <w:t>ommes dues ne sont pas mises en paiement à l’expiration du délai de paiement, le titulaire à droit, sans qu’il ait à les demander, au versement des intérêts moratoires et de l’indemnité forfaitaire pour frais de recouvrement conformément aux articles L2192</w:t>
      </w:r>
      <w:r>
        <w:rPr>
          <w:rFonts w:eastAsia="Marianne" w:cs="Marianne"/>
          <w:lang w:val="fr-FR"/>
        </w:rPr>
        <w:t>-12 et suivants, R2192-31 à R2192-36 du code de la commande publique.</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Le taux des intérêts moratoires est égal au taux d’intérêt appliquée par </w:t>
      </w:r>
      <w:r>
        <w:rPr>
          <w:rFonts w:eastAsia="Marianne" w:cs="Marianne"/>
          <w:lang w:val="fr-FR"/>
        </w:rPr>
        <w:t>la Banque centrale européenne à ses opérations principales de refinancement les plus récentes, en vigueur au premier jour du semestre de l’année civile au cours duquel les intérêts moratoires ont commencé à courir, majoré de huit (8) points de pourcentage.</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intérêts moratoires courent à compter du lendemain de l’expiration du délai de paiement ou de l’échéance prévue par le marché jusqu’à la date de mise en paiement du principal inclus.</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intérêts moratoires appliqués aux acomptes ou au solde sont ca</w:t>
      </w:r>
      <w:r>
        <w:rPr>
          <w:rFonts w:eastAsia="Marianne" w:cs="Marianne"/>
          <w:lang w:val="fr-FR"/>
        </w:rPr>
        <w:t>lculés sur le montant total du paiement toutes taxes comprises, diminué des éventuelles retenue de garantie, et après application des clause d’actualisation, de révision et de pénalisation.</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 montant de l’indemnité forfaitaire pour frais de recouvrement</w:t>
      </w:r>
      <w:r>
        <w:rPr>
          <w:rFonts w:eastAsia="Marianne" w:cs="Marianne"/>
          <w:lang w:val="fr-FR"/>
        </w:rPr>
        <w:t xml:space="preserve"> est fixé à 40 euros.</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intérêts moratoires et l’indemnité forfaitaire pour frais de recouvrement sont payés dans un délai de quarante-cinq jours suivant la mise en paiement du principal.</w:t>
      </w: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1B30FD" w:rsidRDefault="008B589B">
      <w:pPr>
        <w:rPr>
          <w:rStyle w:val="Titre3Car"/>
          <w:rFonts w:ascii="Marianne" w:eastAsia="Times New Roman" w:hAnsi="Marianne"/>
          <w:color w:val="465F9D"/>
          <w:lang w:val="fr-FR"/>
        </w:rPr>
      </w:pPr>
      <w:r>
        <w:rPr>
          <w:rFonts w:eastAsia="Marianne" w:cs="Marianne"/>
          <w:lang w:val="fr-FR"/>
        </w:rPr>
        <w:t>Il est également précisé que les retards de paiement éventuels</w:t>
      </w:r>
      <w:r>
        <w:rPr>
          <w:rFonts w:eastAsia="Marianne" w:cs="Marianne"/>
          <w:lang w:val="fr-FR"/>
        </w:rPr>
        <w:t xml:space="preserve"> ne constituent pas une clause licite d’interruption ou de modification de service. </w:t>
      </w:r>
    </w:p>
    <w:p w:rsidR="001B30FD" w:rsidRDefault="001B30FD">
      <w:pPr>
        <w:rPr>
          <w:lang w:val="fr-FR"/>
        </w:rPr>
      </w:pPr>
    </w:p>
    <w:p w:rsidR="001B30FD" w:rsidRDefault="008B589B">
      <w:pPr>
        <w:pStyle w:val="Titre2"/>
        <w:ind w:left="576"/>
        <w:rPr>
          <w:rFonts w:ascii="Marianne ExtraBold" w:hAnsi="Marianne ExtraBold"/>
        </w:rPr>
      </w:pPr>
      <w:bookmarkStart w:id="70" w:name="_Toc69"/>
      <w:r>
        <w:rPr>
          <w:rFonts w:ascii="Marianne ExtraBold" w:hAnsi="Marianne ExtraBold"/>
        </w:rPr>
        <w:t>CESSION OU NANTISSEMENT DES CR</w:t>
      </w:r>
      <w:r>
        <w:rPr>
          <w:rFonts w:ascii="Marianne ExtraBold" w:hAnsi="Marianne ExtraBold" w:hint="eastAsia"/>
        </w:rPr>
        <w:t>É</w:t>
      </w:r>
      <w:r>
        <w:rPr>
          <w:rFonts w:ascii="Marianne ExtraBold" w:hAnsi="Marianne ExtraBold"/>
        </w:rPr>
        <w:t>ANCES</w:t>
      </w:r>
      <w:bookmarkEnd w:id="70"/>
    </w:p>
    <w:p w:rsidR="001B30FD" w:rsidRDefault="001B30FD">
      <w:pPr>
        <w:rPr>
          <w:lang w:val="fr-FR"/>
        </w:rPr>
      </w:pP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créances nées ou à naître concernant le présent marché peuvent être cédées ou nanties conformément aux dispositions des articles</w:t>
      </w:r>
      <w:r>
        <w:rPr>
          <w:rFonts w:eastAsia="Marianne" w:cs="Marianne"/>
          <w:lang w:val="fr-FR"/>
        </w:rPr>
        <w:t xml:space="preserve"> R.2191-45 et suivants du code de la commande publique.</w:t>
      </w:r>
    </w:p>
    <w:p w:rsidR="001B30FD" w:rsidRDefault="001B30FD">
      <w:pPr>
        <w:rPr>
          <w:lang w:val="fr-FR"/>
        </w:rPr>
      </w:pPr>
    </w:p>
    <w:p w:rsidR="001B30FD" w:rsidRDefault="008B589B">
      <w:pPr>
        <w:pStyle w:val="Titre2"/>
        <w:ind w:left="576"/>
        <w:rPr>
          <w:rFonts w:ascii="Marianne ExtraBold" w:hAnsi="Marianne ExtraBold"/>
        </w:rPr>
      </w:pPr>
      <w:bookmarkStart w:id="71" w:name="_Toc70"/>
      <w:r>
        <w:rPr>
          <w:rFonts w:ascii="Marianne ExtraBold" w:hAnsi="Marianne ExtraBold"/>
        </w:rPr>
        <w:t>MONNAIE</w:t>
      </w:r>
      <w:bookmarkEnd w:id="71"/>
    </w:p>
    <w:p w:rsidR="001B30FD" w:rsidRDefault="001B30FD">
      <w:pPr>
        <w:pBdr>
          <w:top w:val="none" w:sz="4" w:space="0" w:color="000000"/>
          <w:left w:val="none" w:sz="4" w:space="0" w:color="000000"/>
          <w:bottom w:val="none" w:sz="4" w:space="0" w:color="000000"/>
          <w:right w:val="none" w:sz="4" w:space="0" w:color="000000"/>
        </w:pBdr>
        <w:jc w:val="both"/>
        <w:rPr>
          <w:rFonts w:eastAsia="Marianne" w:cs="Marianne"/>
          <w:lang w:val="fr-FR"/>
        </w:rPr>
      </w:pP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 titulaire est informé que le marché est conclu dans l’unité monétaire de l’euro. Les commandes et les factures sont libellées dans l’unité monétaire susmentionnée.</w:t>
      </w:r>
    </w:p>
    <w:p w:rsidR="001B30FD" w:rsidRDefault="001B30FD">
      <w:pPr>
        <w:jc w:val="both"/>
        <w:rPr>
          <w:lang w:val="fr-FR"/>
        </w:rPr>
      </w:pPr>
    </w:p>
    <w:p w:rsidR="001B30FD" w:rsidRDefault="008B589B">
      <w:pPr>
        <w:pStyle w:val="Titre1"/>
        <w:rPr>
          <w:lang w:val="fr-FR"/>
        </w:rPr>
      </w:pPr>
      <w:bookmarkStart w:id="72" w:name="_Toc71"/>
      <w:r>
        <w:rPr>
          <w:lang w:val="fr-FR"/>
        </w:rPr>
        <w:lastRenderedPageBreak/>
        <w:t>PÉNALITÉS</w:t>
      </w:r>
      <w:bookmarkEnd w:id="72"/>
    </w:p>
    <w:p w:rsidR="001B30FD" w:rsidRDefault="001B30FD">
      <w:pPr>
        <w:pStyle w:val="Sansinterligne"/>
        <w:jc w:val="both"/>
        <w:rPr>
          <w:rFonts w:ascii="Marianne" w:hAnsi="Marianne"/>
          <w:lang w:val="fr-FR"/>
        </w:rPr>
      </w:pPr>
    </w:p>
    <w:p w:rsidR="001B30FD" w:rsidRDefault="008B589B">
      <w:pPr>
        <w:jc w:val="both"/>
        <w:rPr>
          <w:lang w:val="fr-FR"/>
        </w:rPr>
      </w:pPr>
      <w:r>
        <w:rPr>
          <w:lang w:val="fr-FR"/>
        </w:rPr>
        <w:t xml:space="preserve">Tout manquement du titulaire à ses obligations peut donner lieu à pénalité. </w:t>
      </w:r>
    </w:p>
    <w:p w:rsidR="001B30FD" w:rsidRDefault="001B30FD">
      <w:pPr>
        <w:jc w:val="both"/>
        <w:rPr>
          <w:lang w:val="fr-FR"/>
        </w:rPr>
      </w:pPr>
    </w:p>
    <w:p w:rsidR="001B30FD" w:rsidRDefault="008B589B">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pénalités prévues au CCAG-FCS s’appliquent, sauf dérogation</w:t>
      </w:r>
      <w:r>
        <w:rPr>
          <w:lang w:val="fr-FR"/>
        </w:rPr>
        <w:t xml:space="preserve">. Les pénalités et réfactions sont applicables de plein droit, sans mise en demeure préalable. </w:t>
      </w:r>
    </w:p>
    <w:p w:rsidR="001B30FD" w:rsidRDefault="001B30FD">
      <w:pPr>
        <w:pBdr>
          <w:top w:val="none" w:sz="4" w:space="0" w:color="000000"/>
          <w:left w:val="none" w:sz="4" w:space="0" w:color="000000"/>
          <w:bottom w:val="none" w:sz="4" w:space="0" w:color="000000"/>
          <w:right w:val="none" w:sz="4" w:space="0" w:color="000000"/>
        </w:pBdr>
        <w:jc w:val="both"/>
        <w:rPr>
          <w:rFonts w:eastAsia="Marianne" w:cs="Marianne"/>
          <w:szCs w:val="18"/>
          <w:lang w:val="fr-FR"/>
        </w:rPr>
      </w:pPr>
    </w:p>
    <w:p w:rsidR="001B30FD" w:rsidRDefault="008B589B">
      <w:pPr>
        <w:jc w:val="both"/>
        <w:rPr>
          <w:lang w:val="fr-FR"/>
        </w:rPr>
      </w:pPr>
      <w:r>
        <w:rPr>
          <w:lang w:val="fr-FR"/>
        </w:rPr>
        <w:t>Les pénalités ne p</w:t>
      </w:r>
      <w:r>
        <w:rPr>
          <w:lang w:val="fr-FR"/>
        </w:rPr>
        <w:t>résentent aucun caractère libératoire. Le titulaire est donc intégralement redevable de ses obligations contractuelles et notamment des prestations dont l'inexécution a donné lieu à l'application de pénalités. Il ne saurait se considérer comme libéré de so</w:t>
      </w:r>
      <w:r>
        <w:rPr>
          <w:lang w:val="fr-FR"/>
        </w:rPr>
        <w:t>n obligation, du fait du paiement desdites pénalités.</w:t>
      </w:r>
    </w:p>
    <w:p w:rsidR="001B30FD" w:rsidRDefault="001B30FD">
      <w:pPr>
        <w:jc w:val="both"/>
        <w:rPr>
          <w:lang w:val="fr-FR"/>
        </w:rPr>
      </w:pPr>
    </w:p>
    <w:p w:rsidR="001B30FD" w:rsidRDefault="008B589B">
      <w:pPr>
        <w:jc w:val="both"/>
        <w:rPr>
          <w:lang w:val="fr-FR"/>
        </w:rPr>
      </w:pPr>
      <w:r>
        <w:rPr>
          <w:lang w:val="fr-FR"/>
        </w:rPr>
        <w:t>L'application de pénalités est effectuée sans préjudice de la faculté de la personne publique de prononcer toute autre sanction contractuelle et notamment de faire réaliser tout ou partie du marché aux</w:t>
      </w:r>
      <w:r>
        <w:rPr>
          <w:lang w:val="fr-FR"/>
        </w:rPr>
        <w:t xml:space="preserve"> frais et risques du titulaire.</w:t>
      </w:r>
    </w:p>
    <w:p w:rsidR="001B30FD" w:rsidRDefault="001B30FD">
      <w:pPr>
        <w:jc w:val="both"/>
        <w:rPr>
          <w:lang w:val="fr-FR"/>
        </w:rPr>
      </w:pPr>
    </w:p>
    <w:p w:rsidR="001B30FD" w:rsidRDefault="001B30FD">
      <w:pPr>
        <w:jc w:val="both"/>
        <w:rPr>
          <w:lang w:val="fr-FR"/>
        </w:rPr>
      </w:pPr>
    </w:p>
    <w:p w:rsidR="001B30FD" w:rsidRDefault="008B589B">
      <w:pPr>
        <w:pStyle w:val="Titre2"/>
        <w:ind w:left="576"/>
        <w:rPr>
          <w:rFonts w:ascii="Marianne ExtraBold" w:hAnsi="Marianne ExtraBold"/>
          <w:lang w:val="fr-FR"/>
        </w:rPr>
      </w:pPr>
      <w:bookmarkStart w:id="73" w:name="_PÉNALITÉS_POUR_NON-RESPECT"/>
      <w:bookmarkStart w:id="74" w:name="_Toc72"/>
      <w:bookmarkEnd w:id="73"/>
      <w:r>
        <w:rPr>
          <w:rFonts w:ascii="Marianne ExtraBold" w:hAnsi="Marianne ExtraBold"/>
          <w:lang w:val="fr-FR"/>
        </w:rPr>
        <w:t>P</w:t>
      </w:r>
      <w:r>
        <w:rPr>
          <w:rFonts w:ascii="Marianne ExtraBold" w:hAnsi="Marianne ExtraBold" w:hint="cs"/>
          <w:lang w:val="fr-FR"/>
        </w:rPr>
        <w:t>É</w:t>
      </w:r>
      <w:r>
        <w:rPr>
          <w:rFonts w:ascii="Marianne ExtraBold" w:hAnsi="Marianne ExtraBold"/>
          <w:lang w:val="fr-FR"/>
        </w:rPr>
        <w:t>NALIT</w:t>
      </w:r>
      <w:r>
        <w:rPr>
          <w:rFonts w:ascii="Marianne ExtraBold" w:hAnsi="Marianne ExtraBold" w:hint="cs"/>
          <w:lang w:val="fr-FR"/>
        </w:rPr>
        <w:t>É</w:t>
      </w:r>
      <w:r>
        <w:rPr>
          <w:rFonts w:ascii="Marianne ExtraBold" w:hAnsi="Marianne ExtraBold"/>
          <w:lang w:val="fr-FR"/>
        </w:rPr>
        <w:t>S POUR NON-RESPECT DES ENGAGEMENTS</w:t>
      </w:r>
      <w:bookmarkEnd w:id="74"/>
    </w:p>
    <w:p w:rsidR="001B30FD" w:rsidRDefault="001B30FD">
      <w:pPr>
        <w:jc w:val="both"/>
        <w:rPr>
          <w:szCs w:val="18"/>
          <w:lang w:val="fr-FR"/>
        </w:rPr>
      </w:pPr>
    </w:p>
    <w:p w:rsidR="001B30FD" w:rsidRDefault="008B589B">
      <w:pPr>
        <w:jc w:val="both"/>
        <w:rPr>
          <w:szCs w:val="18"/>
          <w:lang w:val="fr-FR"/>
        </w:rPr>
      </w:pPr>
      <w:r>
        <w:rPr>
          <w:szCs w:val="18"/>
          <w:lang w:val="fr-FR"/>
        </w:rPr>
        <w:t>En cas de non-respect attendues et décrites au CCTP, le titulaire encourt sans mise en demeure préalable, les pénalités suivantes :</w:t>
      </w:r>
    </w:p>
    <w:p w:rsidR="001B30FD" w:rsidRDefault="001B30FD">
      <w:pPr>
        <w:rPr>
          <w:szCs w:val="18"/>
          <w:lang w:val="fr-FR"/>
        </w:rPr>
      </w:pPr>
    </w:p>
    <w:tbl>
      <w:tblPr>
        <w:tblStyle w:val="Grilledutableau"/>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4054"/>
        <w:gridCol w:w="2384"/>
      </w:tblGrid>
      <w:tr w:rsidR="001B30FD">
        <w:trPr>
          <w:trHeight w:val="423"/>
          <w:jc w:val="center"/>
        </w:trPr>
        <w:tc>
          <w:tcPr>
            <w:tcW w:w="1841" w:type="pct"/>
            <w:shd w:val="clear" w:color="auto" w:fill="465F9D"/>
            <w:vAlign w:val="center"/>
          </w:tcPr>
          <w:p w:rsidR="001B30FD" w:rsidRDefault="008B589B">
            <w:pPr>
              <w:jc w:val="center"/>
              <w:rPr>
                <w:rFonts w:eastAsia="Times New Roman"/>
                <w:b/>
                <w:bCs/>
                <w:iCs/>
                <w:color w:val="FFFFFF" w:themeColor="background1"/>
                <w:sz w:val="20"/>
                <w:szCs w:val="18"/>
                <w:lang w:val="fr-FR"/>
              </w:rPr>
            </w:pPr>
            <w:r>
              <w:rPr>
                <w:rFonts w:eastAsia="Times New Roman"/>
                <w:b/>
                <w:bCs/>
                <w:iCs/>
                <w:color w:val="FFFFFF" w:themeColor="background1"/>
                <w:sz w:val="20"/>
                <w:szCs w:val="18"/>
                <w:lang w:val="fr-FR" w:eastAsia="fr-FR"/>
              </w:rPr>
              <w:t>Niveau de service attendu</w:t>
            </w:r>
          </w:p>
        </w:tc>
        <w:tc>
          <w:tcPr>
            <w:tcW w:w="1989" w:type="pct"/>
            <w:shd w:val="clear" w:color="auto" w:fill="465F9D"/>
            <w:vAlign w:val="center"/>
          </w:tcPr>
          <w:p w:rsidR="001B30FD" w:rsidRDefault="008B589B">
            <w:pPr>
              <w:jc w:val="center"/>
              <w:rPr>
                <w:rFonts w:eastAsia="Times New Roman"/>
                <w:b/>
                <w:bCs/>
                <w:iCs/>
                <w:color w:val="FFFFFF" w:themeColor="background1"/>
                <w:sz w:val="20"/>
                <w:szCs w:val="18"/>
                <w:lang w:val="fr-FR"/>
              </w:rPr>
            </w:pPr>
            <w:r>
              <w:rPr>
                <w:rFonts w:eastAsia="Times New Roman"/>
                <w:b/>
                <w:bCs/>
                <w:iCs/>
                <w:color w:val="FFFFFF" w:themeColor="background1"/>
                <w:sz w:val="20"/>
                <w:szCs w:val="18"/>
                <w:lang w:val="fr-FR" w:eastAsia="fr-FR"/>
              </w:rPr>
              <w:t>D</w:t>
            </w:r>
            <w:r>
              <w:rPr>
                <w:rFonts w:eastAsia="Times New Roman" w:hint="eastAsia"/>
                <w:b/>
                <w:bCs/>
                <w:iCs/>
                <w:color w:val="FFFFFF" w:themeColor="background1"/>
                <w:sz w:val="20"/>
                <w:szCs w:val="18"/>
                <w:lang w:val="fr-FR" w:eastAsia="fr-FR"/>
              </w:rPr>
              <w:t>é</w:t>
            </w:r>
            <w:r>
              <w:rPr>
                <w:rFonts w:eastAsia="Times New Roman"/>
                <w:b/>
                <w:bCs/>
                <w:iCs/>
                <w:color w:val="FFFFFF" w:themeColor="background1"/>
                <w:sz w:val="20"/>
                <w:szCs w:val="18"/>
                <w:lang w:val="fr-FR" w:eastAsia="fr-FR"/>
              </w:rPr>
              <w:t xml:space="preserve">lais </w:t>
            </w:r>
          </w:p>
        </w:tc>
        <w:tc>
          <w:tcPr>
            <w:tcW w:w="1170" w:type="pct"/>
            <w:shd w:val="clear" w:color="auto" w:fill="465F9D"/>
            <w:vAlign w:val="center"/>
          </w:tcPr>
          <w:p w:rsidR="001B30FD" w:rsidRDefault="008B589B">
            <w:pPr>
              <w:jc w:val="center"/>
              <w:rPr>
                <w:rFonts w:eastAsia="Times New Roman"/>
                <w:b/>
                <w:bCs/>
                <w:iCs/>
                <w:color w:val="FFFFFF" w:themeColor="background1"/>
                <w:sz w:val="20"/>
                <w:szCs w:val="18"/>
                <w:lang w:val="fr-FR"/>
              </w:rPr>
            </w:pPr>
            <w:r>
              <w:rPr>
                <w:rFonts w:eastAsia="Times New Roman"/>
                <w:b/>
                <w:bCs/>
                <w:iCs/>
                <w:color w:val="FFFFFF" w:themeColor="background1"/>
                <w:sz w:val="20"/>
                <w:szCs w:val="18"/>
                <w:lang w:val="fr-FR" w:eastAsia="fr-FR"/>
              </w:rPr>
              <w:t>P</w:t>
            </w:r>
            <w:r>
              <w:rPr>
                <w:rFonts w:eastAsia="Times New Roman" w:hint="eastAsia"/>
                <w:b/>
                <w:bCs/>
                <w:iCs/>
                <w:color w:val="FFFFFF" w:themeColor="background1"/>
                <w:sz w:val="20"/>
                <w:szCs w:val="18"/>
                <w:lang w:val="fr-FR" w:eastAsia="fr-FR"/>
              </w:rPr>
              <w:t>é</w:t>
            </w:r>
            <w:r>
              <w:rPr>
                <w:rFonts w:eastAsia="Times New Roman"/>
                <w:b/>
                <w:bCs/>
                <w:iCs/>
                <w:color w:val="FFFFFF" w:themeColor="background1"/>
                <w:sz w:val="20"/>
                <w:szCs w:val="18"/>
                <w:lang w:val="fr-FR" w:eastAsia="fr-FR"/>
              </w:rPr>
              <w:t>nalit</w:t>
            </w:r>
            <w:r>
              <w:rPr>
                <w:rFonts w:eastAsia="Times New Roman" w:hint="eastAsia"/>
                <w:b/>
                <w:bCs/>
                <w:iCs/>
                <w:color w:val="FFFFFF" w:themeColor="background1"/>
                <w:sz w:val="20"/>
                <w:szCs w:val="18"/>
                <w:lang w:val="fr-FR" w:eastAsia="fr-FR"/>
              </w:rPr>
              <w:t>é</w:t>
            </w:r>
            <w:r>
              <w:rPr>
                <w:rFonts w:eastAsia="Times New Roman"/>
                <w:b/>
                <w:bCs/>
                <w:iCs/>
                <w:color w:val="FFFFFF" w:themeColor="background1"/>
                <w:sz w:val="20"/>
                <w:szCs w:val="18"/>
                <w:lang w:val="fr-FR" w:eastAsia="fr-FR"/>
              </w:rPr>
              <w:t>s</w:t>
            </w:r>
          </w:p>
        </w:tc>
      </w:tr>
      <w:tr w:rsidR="001B30FD" w:rsidRPr="009837D7">
        <w:trPr>
          <w:trHeight w:val="548"/>
          <w:jc w:val="center"/>
        </w:trPr>
        <w:tc>
          <w:tcPr>
            <w:tcW w:w="1841" w:type="pct"/>
            <w:vAlign w:val="center"/>
          </w:tcPr>
          <w:p w:rsidR="001B30FD" w:rsidRDefault="008B589B">
            <w:pPr>
              <w:rPr>
                <w:rFonts w:eastAsia="Times New Roman"/>
                <w:szCs w:val="18"/>
                <w:lang w:val="fr-FR"/>
              </w:rPr>
            </w:pPr>
            <w:r>
              <w:rPr>
                <w:rFonts w:eastAsia="Times New Roman"/>
                <w:szCs w:val="18"/>
                <w:lang w:val="fr-FR" w:eastAsia="fr-FR"/>
              </w:rPr>
              <w:t>Non-respect des délais de placement (bon de réservation, retour SIAO…)</w:t>
            </w:r>
          </w:p>
        </w:tc>
        <w:tc>
          <w:tcPr>
            <w:tcW w:w="1989" w:type="pct"/>
            <w:vAlign w:val="center"/>
          </w:tcPr>
          <w:p w:rsidR="001B30FD" w:rsidRDefault="008B589B">
            <w:pPr>
              <w:jc w:val="center"/>
              <w:rPr>
                <w:rFonts w:eastAsia="Times New Roman"/>
                <w:szCs w:val="18"/>
                <w:lang w:val="fr-FR"/>
              </w:rPr>
            </w:pPr>
            <w:r>
              <w:rPr>
                <w:rFonts w:eastAsia="Times New Roman" w:cs="Mangal"/>
                <w:szCs w:val="18"/>
                <w:lang w:val="fr-FR" w:eastAsia="fr-FR"/>
              </w:rPr>
              <w:t>Action corrective attendue sous 12 h à compter du constat ou de l’expiration du délai contractuel prévu au CCTP</w:t>
            </w:r>
          </w:p>
        </w:tc>
        <w:tc>
          <w:tcPr>
            <w:tcW w:w="1170" w:type="pct"/>
            <w:vAlign w:val="center"/>
          </w:tcPr>
          <w:p w:rsidR="001B30FD" w:rsidRDefault="008B589B">
            <w:pPr>
              <w:jc w:val="center"/>
              <w:rPr>
                <w:rFonts w:eastAsia="Times New Roman"/>
                <w:szCs w:val="18"/>
                <w:lang w:val="fr-FR"/>
              </w:rPr>
            </w:pPr>
            <w:r>
              <w:rPr>
                <w:rFonts w:eastAsia="Times New Roman" w:cs="Mangal"/>
                <w:szCs w:val="18"/>
                <w:lang w:val="fr-FR" w:eastAsia="fr-FR"/>
              </w:rPr>
              <w:t xml:space="preserve">50 € HT / jour de retard / demande concernée — plafonné à 30 jours, soit </w:t>
            </w:r>
            <w:r>
              <w:rPr>
                <w:rFonts w:eastAsia="Times New Roman" w:cs="Mangal"/>
                <w:szCs w:val="18"/>
                <w:lang w:val="fr-FR" w:eastAsia="fr-FR"/>
              </w:rPr>
              <w:t>1 500 € HT maximum par demande</w:t>
            </w:r>
          </w:p>
        </w:tc>
      </w:tr>
      <w:tr w:rsidR="001B30FD" w:rsidRPr="009837D7">
        <w:trPr>
          <w:trHeight w:val="548"/>
          <w:jc w:val="center"/>
        </w:trPr>
        <w:tc>
          <w:tcPr>
            <w:tcW w:w="1841" w:type="pct"/>
            <w:vAlign w:val="center"/>
          </w:tcPr>
          <w:p w:rsidR="001B30FD" w:rsidRDefault="008B589B">
            <w:pPr>
              <w:rPr>
                <w:rFonts w:eastAsia="Times New Roman"/>
                <w:szCs w:val="18"/>
                <w:lang w:val="fr-FR"/>
              </w:rPr>
            </w:pPr>
            <w:r>
              <w:rPr>
                <w:rFonts w:eastAsia="Times New Roman"/>
                <w:szCs w:val="18"/>
                <w:lang w:val="fr-FR" w:eastAsia="fr-FR"/>
              </w:rPr>
              <w:t>Défaut d’information de la DDETS en cas de non présentation</w:t>
            </w:r>
          </w:p>
        </w:tc>
        <w:tc>
          <w:tcPr>
            <w:tcW w:w="1989" w:type="pct"/>
            <w:vAlign w:val="center"/>
          </w:tcPr>
          <w:p w:rsidR="001B30FD" w:rsidRDefault="008B589B">
            <w:pPr>
              <w:jc w:val="center"/>
              <w:rPr>
                <w:rFonts w:eastAsia="Times New Roman"/>
                <w:szCs w:val="18"/>
                <w:lang w:val="fr-FR"/>
              </w:rPr>
            </w:pPr>
            <w:r>
              <w:rPr>
                <w:rFonts w:eastAsia="Times New Roman" w:cs="Mangal"/>
                <w:szCs w:val="18"/>
                <w:lang w:val="fr-FR" w:eastAsia="fr-FR"/>
              </w:rPr>
              <w:t>Action corrective maximum à J+1 à compter du constat</w:t>
            </w:r>
          </w:p>
        </w:tc>
        <w:tc>
          <w:tcPr>
            <w:tcW w:w="1170" w:type="pct"/>
            <w:vAlign w:val="center"/>
          </w:tcPr>
          <w:p w:rsidR="001B30FD" w:rsidRDefault="008B589B">
            <w:pPr>
              <w:jc w:val="center"/>
              <w:rPr>
                <w:rFonts w:eastAsia="Times New Roman"/>
                <w:szCs w:val="18"/>
                <w:lang w:val="fr-FR"/>
              </w:rPr>
            </w:pPr>
            <w:r>
              <w:rPr>
                <w:rFonts w:eastAsia="Times New Roman" w:cs="Mangal"/>
                <w:szCs w:val="18"/>
                <w:lang w:val="fr-FR" w:eastAsia="fr-FR"/>
              </w:rPr>
              <w:t>20 € HT / manquement / jour de retard — plafonné à 30 jours, soit 600 € HT maximum par manquement</w:t>
            </w:r>
          </w:p>
        </w:tc>
      </w:tr>
      <w:tr w:rsidR="001B30FD" w:rsidRPr="009837D7">
        <w:trPr>
          <w:trHeight w:val="548"/>
          <w:jc w:val="center"/>
        </w:trPr>
        <w:tc>
          <w:tcPr>
            <w:tcW w:w="1841" w:type="pct"/>
            <w:vAlign w:val="center"/>
          </w:tcPr>
          <w:p w:rsidR="001B30FD" w:rsidRDefault="008B589B">
            <w:pPr>
              <w:rPr>
                <w:rFonts w:eastAsia="Times New Roman"/>
                <w:szCs w:val="18"/>
                <w:lang w:val="fr-FR"/>
              </w:rPr>
            </w:pPr>
            <w:r>
              <w:rPr>
                <w:rFonts w:eastAsia="Times New Roman"/>
                <w:szCs w:val="18"/>
                <w:lang w:val="fr-FR" w:eastAsia="fr-FR"/>
              </w:rPr>
              <w:t xml:space="preserve">Non-respect des conditions de visite de contrôle périodique des hôteliers (fréquence ; nombre ) </w:t>
            </w:r>
          </w:p>
        </w:tc>
        <w:tc>
          <w:tcPr>
            <w:tcW w:w="1989" w:type="pct"/>
            <w:vAlign w:val="center"/>
          </w:tcPr>
          <w:p w:rsidR="001B30FD" w:rsidRDefault="008B589B">
            <w:pPr>
              <w:jc w:val="center"/>
              <w:rPr>
                <w:rFonts w:eastAsia="Times New Roman"/>
                <w:szCs w:val="18"/>
                <w:lang w:val="fr-FR"/>
              </w:rPr>
            </w:pPr>
            <w:r>
              <w:rPr>
                <w:rFonts w:eastAsia="Times New Roman" w:cs="Mangal"/>
                <w:szCs w:val="18"/>
                <w:lang w:val="fr-FR" w:eastAsia="fr-FR"/>
              </w:rPr>
              <w:t>Action corrective maximum à J+15 à compter du constat</w:t>
            </w:r>
          </w:p>
        </w:tc>
        <w:tc>
          <w:tcPr>
            <w:tcW w:w="1170" w:type="pct"/>
            <w:vAlign w:val="center"/>
          </w:tcPr>
          <w:p w:rsidR="001B30FD" w:rsidRDefault="008B589B">
            <w:pPr>
              <w:jc w:val="center"/>
              <w:rPr>
                <w:rFonts w:eastAsia="Times New Roman"/>
                <w:szCs w:val="18"/>
                <w:lang w:val="fr-FR"/>
              </w:rPr>
            </w:pPr>
            <w:r>
              <w:rPr>
                <w:rFonts w:eastAsia="Times New Roman" w:cs="Mangal"/>
                <w:szCs w:val="18"/>
                <w:lang w:val="fr-FR" w:eastAsia="fr-FR"/>
              </w:rPr>
              <w:t>500 € HT / visite périodique non réalisée ou non conforme — plafonné à 2 000 € HT / période de contrôle</w:t>
            </w:r>
          </w:p>
        </w:tc>
      </w:tr>
      <w:tr w:rsidR="001B30FD" w:rsidRPr="009837D7">
        <w:trPr>
          <w:trHeight w:val="548"/>
          <w:jc w:val="center"/>
        </w:trPr>
        <w:tc>
          <w:tcPr>
            <w:tcW w:w="1841" w:type="pct"/>
            <w:vAlign w:val="center"/>
          </w:tcPr>
          <w:p w:rsidR="001B30FD" w:rsidRDefault="008B589B">
            <w:pPr>
              <w:rPr>
                <w:rFonts w:eastAsia="Times New Roman"/>
                <w:szCs w:val="18"/>
                <w:lang w:val="fr-FR"/>
              </w:rPr>
            </w:pPr>
            <w:r>
              <w:rPr>
                <w:rFonts w:eastAsia="Times New Roman"/>
                <w:szCs w:val="18"/>
                <w:lang w:val="fr-FR" w:eastAsia="fr-FR"/>
              </w:rPr>
              <w:t>Non-respect des conditions de visite de contrôle des hôteliers  (délai contractuel pour les visites supplémentaires)</w:t>
            </w:r>
          </w:p>
        </w:tc>
        <w:tc>
          <w:tcPr>
            <w:tcW w:w="1989" w:type="pct"/>
            <w:vAlign w:val="center"/>
          </w:tcPr>
          <w:p w:rsidR="001B30FD" w:rsidRDefault="008B589B">
            <w:pPr>
              <w:jc w:val="center"/>
              <w:rPr>
                <w:rFonts w:eastAsia="Times New Roman"/>
                <w:szCs w:val="18"/>
                <w:lang w:val="fr-FR"/>
              </w:rPr>
            </w:pPr>
            <w:r>
              <w:rPr>
                <w:rFonts w:eastAsia="Times New Roman" w:cs="Mangal"/>
                <w:szCs w:val="18"/>
                <w:lang w:val="fr-FR" w:eastAsia="fr-FR"/>
              </w:rPr>
              <w:t>Dès l’expiration du délai contractuel de 10 jours prévu au CCTP</w:t>
            </w:r>
          </w:p>
        </w:tc>
        <w:tc>
          <w:tcPr>
            <w:tcW w:w="1170" w:type="pct"/>
            <w:vAlign w:val="center"/>
          </w:tcPr>
          <w:p w:rsidR="001B30FD" w:rsidRDefault="008B589B">
            <w:pPr>
              <w:jc w:val="center"/>
              <w:rPr>
                <w:rFonts w:eastAsia="Times New Roman"/>
                <w:szCs w:val="18"/>
                <w:lang w:val="fr-FR"/>
              </w:rPr>
            </w:pPr>
            <w:r>
              <w:rPr>
                <w:rFonts w:eastAsia="Times New Roman" w:cs="Mangal"/>
                <w:szCs w:val="18"/>
                <w:lang w:val="fr-FR" w:eastAsia="fr-FR"/>
              </w:rPr>
              <w:t>250 € HT / jour de retard — plafonné à 10 jours, soit 2 500 € HT maximum pa</w:t>
            </w:r>
            <w:r>
              <w:rPr>
                <w:rFonts w:eastAsia="Times New Roman" w:cs="Mangal"/>
                <w:szCs w:val="18"/>
                <w:lang w:val="fr-FR" w:eastAsia="fr-FR"/>
              </w:rPr>
              <w:t>r visite supplémentaire</w:t>
            </w:r>
          </w:p>
        </w:tc>
      </w:tr>
      <w:tr w:rsidR="001B30FD" w:rsidRPr="009837D7">
        <w:trPr>
          <w:trHeight w:val="548"/>
          <w:jc w:val="center"/>
        </w:trPr>
        <w:tc>
          <w:tcPr>
            <w:tcW w:w="1841" w:type="pct"/>
            <w:vAlign w:val="center"/>
          </w:tcPr>
          <w:p w:rsidR="001B30FD" w:rsidRDefault="008B589B">
            <w:pPr>
              <w:rPr>
                <w:rFonts w:eastAsia="Times New Roman"/>
                <w:szCs w:val="18"/>
                <w:lang w:val="fr-FR"/>
              </w:rPr>
            </w:pPr>
            <w:r>
              <w:rPr>
                <w:rFonts w:eastAsia="Times New Roman"/>
                <w:szCs w:val="18"/>
                <w:lang w:val="fr-FR" w:eastAsia="fr-FR"/>
              </w:rPr>
              <w:lastRenderedPageBreak/>
              <w:t>Vérification et validation des factures mensuelles manquante ou non conforme</w:t>
            </w:r>
          </w:p>
        </w:tc>
        <w:tc>
          <w:tcPr>
            <w:tcW w:w="1989" w:type="pct"/>
            <w:vAlign w:val="center"/>
          </w:tcPr>
          <w:p w:rsidR="001B30FD" w:rsidRDefault="008B589B">
            <w:pPr>
              <w:jc w:val="center"/>
              <w:rPr>
                <w:rFonts w:eastAsia="Times New Roman"/>
                <w:szCs w:val="18"/>
                <w:lang w:val="fr-FR"/>
              </w:rPr>
            </w:pPr>
            <w:r>
              <w:rPr>
                <w:rFonts w:eastAsia="Times New Roman" w:cs="Mangal"/>
                <w:szCs w:val="18"/>
                <w:lang w:val="fr-FR" w:eastAsia="fr-FR"/>
              </w:rPr>
              <w:t>Dès l’expiration du délai contractuel de 10 jours prévu au CCTP</w:t>
            </w:r>
          </w:p>
        </w:tc>
        <w:tc>
          <w:tcPr>
            <w:tcW w:w="1170" w:type="pct"/>
            <w:vAlign w:val="center"/>
          </w:tcPr>
          <w:p w:rsidR="001B30FD" w:rsidRDefault="008B589B">
            <w:pPr>
              <w:jc w:val="center"/>
              <w:rPr>
                <w:rFonts w:eastAsia="Times New Roman"/>
                <w:szCs w:val="18"/>
                <w:lang w:val="fr-FR"/>
              </w:rPr>
            </w:pPr>
            <w:r>
              <w:rPr>
                <w:rFonts w:eastAsia="Times New Roman" w:cs="Mangal"/>
                <w:szCs w:val="18"/>
                <w:lang w:val="fr-FR" w:eastAsia="fr-FR"/>
              </w:rPr>
              <w:t>30 € HT / jour de retard / facture — plafonné à 30 jours, soit 900 € HT maximum par facture</w:t>
            </w:r>
          </w:p>
        </w:tc>
      </w:tr>
      <w:tr w:rsidR="001B30FD" w:rsidRPr="009837D7">
        <w:trPr>
          <w:trHeight w:val="570"/>
          <w:jc w:val="center"/>
        </w:trPr>
        <w:tc>
          <w:tcPr>
            <w:tcW w:w="1841" w:type="pct"/>
            <w:vAlign w:val="center"/>
          </w:tcPr>
          <w:p w:rsidR="001B30FD" w:rsidRDefault="008B589B">
            <w:pPr>
              <w:rPr>
                <w:rFonts w:eastAsia="Times New Roman"/>
                <w:szCs w:val="18"/>
                <w:lang w:val="fr-FR"/>
              </w:rPr>
            </w:pPr>
            <w:r>
              <w:rPr>
                <w:rFonts w:eastAsia="Times New Roman"/>
                <w:szCs w:val="18"/>
                <w:lang w:val="fr-FR" w:eastAsia="fr-FR"/>
              </w:rPr>
              <w:t>Suivi d'activité et budgétaire manquant ou non conforme</w:t>
            </w:r>
          </w:p>
        </w:tc>
        <w:tc>
          <w:tcPr>
            <w:tcW w:w="1989" w:type="pct"/>
            <w:vAlign w:val="center"/>
          </w:tcPr>
          <w:p w:rsidR="001B30FD" w:rsidRDefault="008B589B">
            <w:pPr>
              <w:jc w:val="center"/>
              <w:rPr>
                <w:rFonts w:eastAsia="Times New Roman"/>
                <w:szCs w:val="18"/>
                <w:lang w:val="fr-FR"/>
              </w:rPr>
            </w:pPr>
            <w:r>
              <w:rPr>
                <w:rFonts w:eastAsia="Times New Roman" w:cs="Mangal"/>
                <w:szCs w:val="18"/>
                <w:lang w:val="fr-FR" w:eastAsia="fr-FR"/>
              </w:rPr>
              <w:t>Action corrective maximum à J+1 à compter du constat ou de la demande de correction</w:t>
            </w:r>
          </w:p>
        </w:tc>
        <w:tc>
          <w:tcPr>
            <w:tcW w:w="1170" w:type="pct"/>
            <w:vAlign w:val="center"/>
          </w:tcPr>
          <w:p w:rsidR="001B30FD" w:rsidRDefault="008B589B">
            <w:pPr>
              <w:jc w:val="center"/>
              <w:rPr>
                <w:rFonts w:eastAsia="Times New Roman"/>
                <w:szCs w:val="18"/>
                <w:lang w:val="fr-FR"/>
              </w:rPr>
            </w:pPr>
            <w:r>
              <w:rPr>
                <w:rFonts w:eastAsia="Times New Roman" w:cs="Mangal"/>
                <w:szCs w:val="18"/>
                <w:lang w:val="fr-FR" w:eastAsia="fr-FR"/>
              </w:rPr>
              <w:t>30 € HT / jour de retard / livrable — plafonné à 30 jours, soit 900 € HT maximum par livrable</w:t>
            </w:r>
          </w:p>
        </w:tc>
      </w:tr>
      <w:tr w:rsidR="001B30FD" w:rsidRPr="009837D7">
        <w:trPr>
          <w:trHeight w:val="570"/>
          <w:jc w:val="center"/>
        </w:trPr>
        <w:tc>
          <w:tcPr>
            <w:tcW w:w="1841" w:type="pct"/>
            <w:vMerge w:val="restart"/>
            <w:vAlign w:val="center"/>
          </w:tcPr>
          <w:p w:rsidR="001B30FD" w:rsidRDefault="008B589B">
            <w:pPr>
              <w:rPr>
                <w:rFonts w:eastAsia="Times New Roman"/>
                <w:szCs w:val="18"/>
                <w:highlight w:val="yellow"/>
                <w:lang w:val="fr-FR"/>
              </w:rPr>
            </w:pPr>
            <w:r>
              <w:rPr>
                <w:rFonts w:eastAsia="Times New Roman"/>
                <w:szCs w:val="18"/>
                <w:lang w:val="fr-FR" w:eastAsia="fr-FR"/>
              </w:rPr>
              <w:t>Non signalement par écrit(mail)à la DDETS34 et/ou au SIAO34 sous 24h d’un évènement indésirable grave (EIG) signalé par un établissement hôtelier</w:t>
            </w:r>
          </w:p>
        </w:tc>
        <w:tc>
          <w:tcPr>
            <w:tcW w:w="1989" w:type="pct"/>
            <w:vMerge w:val="restart"/>
            <w:vAlign w:val="center"/>
          </w:tcPr>
          <w:p w:rsidR="001B30FD" w:rsidRDefault="008B589B">
            <w:pPr>
              <w:jc w:val="center"/>
              <w:rPr>
                <w:rFonts w:eastAsia="Times New Roman"/>
                <w:szCs w:val="18"/>
                <w:highlight w:val="yellow"/>
                <w:lang w:val="fr-FR"/>
              </w:rPr>
            </w:pPr>
            <w:r>
              <w:rPr>
                <w:rFonts w:eastAsia="Times New Roman" w:cs="Mangal"/>
                <w:szCs w:val="18"/>
                <w:lang w:val="fr-FR" w:eastAsia="fr-FR"/>
              </w:rPr>
              <w:t>Action correcti</w:t>
            </w:r>
            <w:r>
              <w:rPr>
                <w:rFonts w:eastAsia="Times New Roman" w:cs="Mangal"/>
                <w:szCs w:val="18"/>
                <w:lang w:val="fr-FR" w:eastAsia="fr-FR"/>
              </w:rPr>
              <w:t>ve sous 24 h à compter du constat</w:t>
            </w:r>
          </w:p>
        </w:tc>
        <w:tc>
          <w:tcPr>
            <w:tcW w:w="1170" w:type="pct"/>
            <w:vMerge w:val="restart"/>
            <w:vAlign w:val="center"/>
          </w:tcPr>
          <w:p w:rsidR="001B30FD" w:rsidRDefault="008B589B">
            <w:pPr>
              <w:jc w:val="center"/>
              <w:rPr>
                <w:rFonts w:eastAsia="Times New Roman"/>
                <w:szCs w:val="18"/>
                <w:highlight w:val="yellow"/>
                <w:lang w:val="fr-FR"/>
              </w:rPr>
            </w:pPr>
            <w:r>
              <w:rPr>
                <w:rFonts w:eastAsia="Times New Roman" w:cs="Mangal"/>
                <w:szCs w:val="18"/>
                <w:lang w:val="fr-FR" w:eastAsia="fr-FR"/>
              </w:rPr>
              <w:t>100 € HT / jour de retard / EIG — plafonné à 10 jours, soit 1 000 € HT maximum par EIG</w:t>
            </w:r>
          </w:p>
        </w:tc>
      </w:tr>
      <w:tr w:rsidR="001B30FD" w:rsidRPr="009837D7">
        <w:trPr>
          <w:trHeight w:val="570"/>
          <w:jc w:val="center"/>
        </w:trPr>
        <w:tc>
          <w:tcPr>
            <w:tcW w:w="1841" w:type="pct"/>
            <w:vAlign w:val="center"/>
          </w:tcPr>
          <w:p w:rsidR="001B30FD" w:rsidRDefault="008B589B">
            <w:pPr>
              <w:rPr>
                <w:rFonts w:eastAsia="Times New Roman"/>
                <w:szCs w:val="18"/>
                <w:lang w:val="fr-FR"/>
              </w:rPr>
            </w:pPr>
            <w:r>
              <w:rPr>
                <w:lang w:val="fr-FR"/>
              </w:rPr>
              <w:t>Non-transmission, transmission tardive, incomplète ou inexploitable d’un livrable prévu au CCTP : justificatif, compte rendu, tableau de bord, attestation, bilan, suivi d’activité ou suivi budgétaire</w:t>
            </w:r>
          </w:p>
        </w:tc>
        <w:tc>
          <w:tcPr>
            <w:tcW w:w="1989" w:type="pct"/>
            <w:vAlign w:val="center"/>
          </w:tcPr>
          <w:p w:rsidR="001B30FD" w:rsidRDefault="008B589B">
            <w:pPr>
              <w:jc w:val="center"/>
              <w:rPr>
                <w:rFonts w:eastAsia="Times New Roman" w:cs="Mangal"/>
                <w:szCs w:val="18"/>
                <w:lang w:val="fr-FR"/>
              </w:rPr>
            </w:pPr>
            <w:r>
              <w:rPr>
                <w:lang w:val="fr-FR"/>
              </w:rPr>
              <w:t>Dès l’expiration du délai de transmission prévu au CCTP.</w:t>
            </w:r>
            <w:r>
              <w:rPr>
                <w:lang w:val="fr-FR"/>
              </w:rPr>
              <w:t xml:space="preserve"> Action corrective attendue à </w:t>
            </w:r>
            <w:r>
              <w:rPr>
                <w:rStyle w:val="lev"/>
                <w:lang w:val="fr-FR"/>
              </w:rPr>
              <w:t>J+1</w:t>
            </w:r>
            <w:r>
              <w:rPr>
                <w:lang w:val="fr-FR"/>
              </w:rPr>
              <w:t xml:space="preserve"> après constat ou demande de correction</w:t>
            </w:r>
          </w:p>
        </w:tc>
        <w:tc>
          <w:tcPr>
            <w:tcW w:w="1170" w:type="pct"/>
            <w:vAlign w:val="center"/>
          </w:tcPr>
          <w:p w:rsidR="001B30FD" w:rsidRDefault="008B589B">
            <w:pPr>
              <w:jc w:val="center"/>
              <w:rPr>
                <w:rFonts w:eastAsia="Times New Roman" w:cs="Mangal"/>
                <w:b/>
                <w:szCs w:val="18"/>
                <w:lang w:val="fr-FR"/>
              </w:rPr>
            </w:pPr>
            <w:r>
              <w:rPr>
                <w:rStyle w:val="lev"/>
                <w:b w:val="0"/>
                <w:lang w:val="fr-FR"/>
              </w:rPr>
              <w:t>100 € HT / jour ouvré de retard / livrable</w:t>
            </w:r>
            <w:r>
              <w:rPr>
                <w:b/>
                <w:lang w:val="fr-FR"/>
              </w:rPr>
              <w:t xml:space="preserve">, </w:t>
            </w:r>
            <w:r>
              <w:rPr>
                <w:lang w:val="fr-FR"/>
              </w:rPr>
              <w:t>plafonné</w:t>
            </w:r>
            <w:r>
              <w:rPr>
                <w:b/>
                <w:lang w:val="fr-FR"/>
              </w:rPr>
              <w:t xml:space="preserve"> à </w:t>
            </w:r>
            <w:r>
              <w:rPr>
                <w:rStyle w:val="lev"/>
                <w:b w:val="0"/>
                <w:lang w:val="fr-FR"/>
              </w:rPr>
              <w:t>10 jours ouvrés</w:t>
            </w:r>
            <w:r>
              <w:rPr>
                <w:b/>
                <w:lang w:val="fr-FR"/>
              </w:rPr>
              <w:t xml:space="preserve">, </w:t>
            </w:r>
            <w:r>
              <w:rPr>
                <w:lang w:val="fr-FR"/>
              </w:rPr>
              <w:t>soit</w:t>
            </w:r>
            <w:r>
              <w:rPr>
                <w:b/>
                <w:lang w:val="fr-FR"/>
              </w:rPr>
              <w:t xml:space="preserve"> </w:t>
            </w:r>
            <w:r>
              <w:rPr>
                <w:rStyle w:val="lev"/>
                <w:b w:val="0"/>
                <w:lang w:val="fr-FR"/>
              </w:rPr>
              <w:t>1 000 € HT maximum par livrable</w:t>
            </w:r>
          </w:p>
        </w:tc>
      </w:tr>
    </w:tbl>
    <w:p w:rsidR="001B30FD" w:rsidRDefault="001B30FD">
      <w:pPr>
        <w:jc w:val="both"/>
        <w:rPr>
          <w:lang w:val="fr-FR"/>
        </w:rPr>
      </w:pPr>
    </w:p>
    <w:p w:rsidR="001B30FD" w:rsidRDefault="001B30FD">
      <w:pPr>
        <w:jc w:val="both"/>
        <w:rPr>
          <w:lang w:val="fr-FR"/>
        </w:rPr>
      </w:pPr>
    </w:p>
    <w:p w:rsidR="001B30FD" w:rsidRDefault="001B30FD">
      <w:pPr>
        <w:pageBreakBefore/>
        <w:pBdr>
          <w:top w:val="none" w:sz="4" w:space="0" w:color="000000"/>
          <w:left w:val="none" w:sz="4" w:space="0" w:color="000000"/>
          <w:bottom w:val="none" w:sz="4" w:space="0" w:color="000000"/>
          <w:right w:val="none" w:sz="4" w:space="0" w:color="000000"/>
        </w:pBdr>
        <w:spacing w:line="207" w:lineRule="atLeast"/>
        <w:jc w:val="both"/>
        <w:rPr>
          <w:rFonts w:eastAsia="Marianne" w:cs="Marianne"/>
          <w:szCs w:val="18"/>
          <w:lang w:val="fr-FR"/>
        </w:rPr>
      </w:pPr>
    </w:p>
    <w:p w:rsidR="001B30FD" w:rsidRDefault="008B589B">
      <w:pPr>
        <w:pStyle w:val="Titre2"/>
        <w:ind w:left="567"/>
        <w:rPr>
          <w:rStyle w:val="Titre2Car"/>
          <w:rFonts w:ascii="Marianne ExtraBold" w:hAnsi="Marianne ExtraBold" w:cs="Marianne ExtraBold"/>
          <w:lang w:val="fr-FR"/>
        </w:rPr>
      </w:pPr>
      <w:bookmarkStart w:id="75" w:name="_Toc73"/>
      <w:r>
        <w:rPr>
          <w:rStyle w:val="Titre2Car"/>
          <w:rFonts w:ascii="Marianne ExtraBold" w:eastAsia="Marianne ExtraBold" w:hAnsi="Marianne ExtraBold" w:cs="Marianne ExtraBold"/>
          <w:lang w:val="fr-FR"/>
        </w:rPr>
        <w:t>PENALITES RELATIVES AUX OBLIGATIONS DE VIGILANCE ET A LA PREVENTION DU TRAVAIL DISSIMULE</w:t>
      </w:r>
      <w:bookmarkEnd w:id="75"/>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rFonts w:eastAsia="Marianne" w:cs="Marianne"/>
          <w:szCs w:val="18"/>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Le titulaire est tenu de respecter, pendant toute la durée d’exécution du marché, les obligations légales et réglementaires relatives à la lutte contre le travail dissimulé.</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À ce titre, il transmet à l’acheteur, lors de la notification du marché puis tou</w:t>
      </w:r>
      <w:r>
        <w:rPr>
          <w:rFonts w:eastAsia="Marianne" w:cs="Marianne"/>
          <w:lang w:val="fr-FR"/>
        </w:rPr>
        <w:t>s les six mois jusqu’à la fin de son exécution, les documents permettant de vérifier qu’il s’acquitte des formalités prévues par le Code du travail, notamment les documents mentionnés aux articles D. 8222-5, D. 8222-7 et D. 8222-8 du Code du travail, selon</w:t>
      </w:r>
      <w:r>
        <w:rPr>
          <w:rFonts w:eastAsia="Marianne" w:cs="Marianne"/>
          <w:lang w:val="fr-FR"/>
        </w:rPr>
        <w:t xml:space="preserve"> que le titulaire est établi en France ou à l’étranger.</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En cas de non-transmission, de transmission incomplète, inexploitable ou non actualisée des documents exigés, l’acheteur met le titulaire en demeure de régulariser sa situation dans un délai de quin</w:t>
      </w:r>
      <w:r>
        <w:rPr>
          <w:rFonts w:eastAsia="Marianne" w:cs="Marianne"/>
          <w:lang w:val="fr-FR"/>
        </w:rPr>
        <w:t>ze jours calendaires à compter de la notification de la demande.</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À défaut de régularisation complète dans ce délai, il est appliqué au titulaire une pénalité de 100 € par jour calendaire de retard, par lot concerné, jusqu’à la transmission complète des d</w:t>
      </w:r>
      <w:r>
        <w:rPr>
          <w:rFonts w:eastAsia="Marianne" w:cs="Marianne"/>
          <w:lang w:val="fr-FR"/>
        </w:rPr>
        <w:t>ocuments exigés.</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Le montant de cette pénalité est plafonné à 3 000 € par période de vérification semestrielle et par lot concerné.</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xml:space="preserve">Lorsque l’acheteur est informé par écrit par un agent de contrôle d’une situation irrégulière du titulaire au regard des </w:t>
      </w:r>
      <w:r>
        <w:rPr>
          <w:rFonts w:eastAsia="Marianne" w:cs="Marianne"/>
          <w:lang w:val="fr-FR"/>
        </w:rPr>
        <w:t>formalités mentionnées aux articles L. 8221-3 et L. 8221-5 du Code du travail, il enjoint le titulaire de faire cesser sans délai cette situation.</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xml:space="preserve">Le titulaire doit apporter à l’acheteur, dans un délai de deux mois à compter de cette mise en demeure, la </w:t>
      </w:r>
      <w:r>
        <w:rPr>
          <w:rFonts w:eastAsia="Marianne" w:cs="Marianne"/>
          <w:lang w:val="fr-FR"/>
        </w:rPr>
        <w:t>preuve qu’il a mis fin à la situation signalée.</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À défaut de production de cette preuve dans le délai précité, l’acheteur peut résilier le marché, sans indemnité, aux frais et risques du titulaire, dans les conditions prévues par le Code du travail, le Co</w:t>
      </w:r>
      <w:r>
        <w:rPr>
          <w:rFonts w:eastAsia="Marianne" w:cs="Marianne"/>
          <w:lang w:val="fr-FR"/>
        </w:rPr>
        <w:t>de de la commande publique, le CCAG-FCS et les stipulations du présent marché.</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1B30FD" w:rsidRDefault="008B589B">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Les pénalités prévues au présent article ne sont pas libératoires. Leur application ne fait pas obstacle à la mise en œuvre des</w:t>
      </w:r>
      <w:r>
        <w:rPr>
          <w:rFonts w:eastAsia="Marianne" w:cs="Marianne"/>
          <w:lang w:val="fr-FR"/>
        </w:rPr>
        <w:t xml:space="preserve"> autres mesures prévues par le marché, notamment la suspension des paiements dans les conditions applicables, la résiliation pour faute, la résiliation liée à un motif d’exclusion en cours d’exécution ou toute autre mesure prévue par les textes en vigueur.</w:t>
      </w:r>
    </w:p>
    <w:p w:rsidR="001B30FD" w:rsidRDefault="001B30FD">
      <w:pPr>
        <w:jc w:val="both"/>
        <w:rPr>
          <w:lang w:val="fr-FR"/>
        </w:rPr>
      </w:pPr>
    </w:p>
    <w:p w:rsidR="001B30FD" w:rsidRDefault="008B589B">
      <w:pPr>
        <w:pStyle w:val="Titre2"/>
        <w:ind w:left="576"/>
        <w:rPr>
          <w:rFonts w:ascii="Marianne ExtraBold" w:hAnsi="Marianne ExtraBold"/>
        </w:rPr>
      </w:pPr>
      <w:bookmarkStart w:id="76" w:name="_Toc74"/>
      <w:r>
        <w:rPr>
          <w:rFonts w:ascii="Marianne ExtraBold" w:hAnsi="Marianne ExtraBold"/>
        </w:rPr>
        <w:t>MODALIT</w:t>
      </w:r>
      <w:r>
        <w:rPr>
          <w:rFonts w:ascii="Marianne ExtraBold" w:hAnsi="Marianne ExtraBold" w:hint="eastAsia"/>
        </w:rPr>
        <w:t>É</w:t>
      </w:r>
      <w:r>
        <w:rPr>
          <w:rFonts w:ascii="Marianne ExtraBold" w:hAnsi="Marianne ExtraBold"/>
        </w:rPr>
        <w:t>S D</w:t>
      </w:r>
      <w:r>
        <w:rPr>
          <w:rFonts w:ascii="Marianne ExtraBold" w:hAnsi="Marianne ExtraBold" w:hint="eastAsia"/>
        </w:rPr>
        <w:t>’</w:t>
      </w:r>
      <w:r>
        <w:rPr>
          <w:rFonts w:ascii="Marianne ExtraBold" w:hAnsi="Marianne ExtraBold"/>
        </w:rPr>
        <w:t>APPLICATION DES P</w:t>
      </w:r>
      <w:r>
        <w:rPr>
          <w:rFonts w:ascii="Marianne ExtraBold" w:hAnsi="Marianne ExtraBold" w:hint="eastAsia"/>
        </w:rPr>
        <w:t>É</w:t>
      </w:r>
      <w:r>
        <w:rPr>
          <w:rFonts w:ascii="Marianne ExtraBold" w:hAnsi="Marianne ExtraBold"/>
        </w:rPr>
        <w:t>NALIT</w:t>
      </w:r>
      <w:r>
        <w:rPr>
          <w:rFonts w:ascii="Marianne ExtraBold" w:hAnsi="Marianne ExtraBold" w:hint="eastAsia"/>
        </w:rPr>
        <w:t>É</w:t>
      </w:r>
      <w:r>
        <w:rPr>
          <w:rFonts w:ascii="Marianne ExtraBold" w:hAnsi="Marianne ExtraBold"/>
        </w:rPr>
        <w:t>S</w:t>
      </w:r>
      <w:bookmarkEnd w:id="76"/>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77" w:name="_Toc75"/>
      <w:r>
        <w:rPr>
          <w:rFonts w:ascii="Marianne ExtraBold" w:eastAsiaTheme="majorEastAsia" w:hAnsi="Marianne ExtraBold" w:cstheme="majorBidi"/>
          <w:caps/>
          <w:color w:val="465F9D"/>
          <w:sz w:val="22"/>
          <w:szCs w:val="26"/>
          <w:lang w:val="fr-FR" w:eastAsia="en-US"/>
        </w:rPr>
        <w:t>Montant plancher</w:t>
      </w:r>
      <w:bookmarkEnd w:id="77"/>
    </w:p>
    <w:p w:rsidR="001B30FD" w:rsidRDefault="008B589B">
      <w:pPr>
        <w:pStyle w:val="Sansinterligne"/>
        <w:jc w:val="both"/>
        <w:rPr>
          <w:rFonts w:ascii="Marianne" w:hAnsi="Marianne" w:cs="Arial"/>
          <w:sz w:val="18"/>
          <w:szCs w:val="18"/>
          <w:lang w:val="fr-FR"/>
        </w:rPr>
      </w:pPr>
      <w:r>
        <w:rPr>
          <w:rFonts w:ascii="Marianne" w:hAnsi="Marianne" w:cs="Arial"/>
          <w:sz w:val="18"/>
          <w:lang w:val="fr-FR"/>
        </w:rPr>
        <w:t>Par dérogation à l’article 14.1.3 du CCAG-FCS, les pénalités sont dues par le titulaire sans considération du montant desdites pénalités, tel qu’issu des articles 12.1 du présent CCAP, et dans la lim</w:t>
      </w:r>
      <w:r>
        <w:rPr>
          <w:rFonts w:ascii="Marianne" w:hAnsi="Marianne" w:cs="Arial"/>
          <w:sz w:val="18"/>
          <w:lang w:val="fr-FR"/>
        </w:rPr>
        <w:t xml:space="preserve">ite du plafond fixé à l’article suivant. </w:t>
      </w:r>
    </w:p>
    <w:p w:rsidR="001B30FD" w:rsidRDefault="001B30FD">
      <w:pPr>
        <w:pStyle w:val="Sansinterligne"/>
        <w:jc w:val="both"/>
        <w:rPr>
          <w:rFonts w:ascii="Marianne" w:hAnsi="Marianne" w:cs="Arial"/>
          <w:color w:val="000000" w:themeColor="text1"/>
          <w:sz w:val="18"/>
          <w:lang w:val="fr-FR" w:bidi="fr-FR"/>
        </w:rPr>
      </w:pPr>
    </w:p>
    <w:p w:rsidR="001B30FD" w:rsidRDefault="008B589B">
      <w:pPr>
        <w:pStyle w:val="Sansinterligne"/>
        <w:jc w:val="both"/>
        <w:rPr>
          <w:rFonts w:ascii="Marianne" w:hAnsi="Marianne" w:cs="Arial"/>
          <w:color w:val="000000" w:themeColor="text1"/>
          <w:sz w:val="18"/>
          <w:szCs w:val="18"/>
          <w:lang w:val="fr-FR"/>
        </w:rPr>
      </w:pPr>
      <w:r>
        <w:rPr>
          <w:rFonts w:ascii="Marianne" w:hAnsi="Marianne" w:cs="Arial"/>
          <w:color w:val="000000" w:themeColor="text1"/>
          <w:sz w:val="18"/>
          <w:lang w:val="fr-FR" w:bidi="fr-FR"/>
        </w:rPr>
        <w:t>Les pénalités seront appliquées par déduction de leur montant sur la facture du mois M+1 de la date de notification de la pénalité.</w:t>
      </w:r>
    </w:p>
    <w:p w:rsidR="001B30FD" w:rsidRDefault="008B589B">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78" w:name="_Toc76"/>
      <w:r>
        <w:rPr>
          <w:rFonts w:ascii="Marianne ExtraBold" w:eastAsiaTheme="majorEastAsia" w:hAnsi="Marianne ExtraBold" w:cstheme="majorBidi"/>
          <w:caps/>
          <w:color w:val="465F9D"/>
          <w:sz w:val="22"/>
          <w:szCs w:val="26"/>
          <w:lang w:val="fr-FR" w:eastAsia="en-US"/>
        </w:rPr>
        <w:t>Montant plafond</w:t>
      </w:r>
      <w:bookmarkEnd w:id="78"/>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Les pénalités sont cumulables entre elles.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lastRenderedPageBreak/>
        <w:t>Par dérogation à l’article 14.1.2 du CCAG-FCS, les pénalités de retard sont plafonnées à 30% du montant total hors taxe du bon de commande de la prestation pour laquelle le manquement a été constaté (où des bons de commandes si la prestation a fait l’objet</w:t>
      </w:r>
      <w:r>
        <w:rPr>
          <w:rFonts w:ascii="Marianne" w:hAnsi="Marianne" w:cs="Arial"/>
          <w:sz w:val="18"/>
          <w:lang w:val="fr-FR"/>
        </w:rPr>
        <w:t xml:space="preserve"> de plusieurs bons de commande). </w:t>
      </w:r>
    </w:p>
    <w:p w:rsidR="001B30FD" w:rsidRDefault="001B30FD">
      <w:pPr>
        <w:rPr>
          <w:lang w:val="fr-FR"/>
        </w:rPr>
      </w:pPr>
    </w:p>
    <w:p w:rsidR="001B30FD" w:rsidRDefault="008B589B">
      <w:pPr>
        <w:jc w:val="both"/>
        <w:rPr>
          <w:lang w:val="fr-FR"/>
        </w:rPr>
      </w:pPr>
      <w:r>
        <w:rPr>
          <w:lang w:val="fr-FR"/>
        </w:rPr>
        <w:t>Si le montant des pénalités excède 30% du montant annuel du marché, l’acheteur se réserve le droit de résilier le présent marché dans les conditions prévues à l’article 14 du présent document.</w:t>
      </w:r>
    </w:p>
    <w:p w:rsidR="001B30FD" w:rsidRDefault="001B30FD">
      <w:pPr>
        <w:rPr>
          <w:lang w:val="fr-FR"/>
        </w:rPr>
      </w:pPr>
    </w:p>
    <w:p w:rsidR="001B30FD" w:rsidRDefault="001B30FD">
      <w:pPr>
        <w:pStyle w:val="Textedebulles"/>
        <w:rPr>
          <w:lang w:val="fr-FR"/>
        </w:rPr>
      </w:pPr>
    </w:p>
    <w:p w:rsidR="001B30FD" w:rsidRDefault="001B30FD">
      <w:pPr>
        <w:pStyle w:val="Textedebulles"/>
        <w:rPr>
          <w:rFonts w:ascii="Marianne ExtraBold" w:hAnsi="Marianne ExtraBold" w:cs="Arial"/>
          <w:lang w:val="fr-FR"/>
        </w:rPr>
      </w:pPr>
    </w:p>
    <w:p w:rsidR="001B30FD" w:rsidRDefault="008B589B">
      <w:pPr>
        <w:pStyle w:val="Titre1"/>
        <w:rPr>
          <w:lang w:val="fr-FR"/>
        </w:rPr>
      </w:pPr>
      <w:bookmarkStart w:id="79" w:name="_Toc77"/>
      <w:r>
        <w:rPr>
          <w:lang w:val="fr-FR"/>
        </w:rPr>
        <w:t xml:space="preserve">TRAITEMENT DES DONNÉES À </w:t>
      </w:r>
      <w:r>
        <w:rPr>
          <w:lang w:val="fr-FR"/>
        </w:rPr>
        <w:t>CARACTÈRE PERSONNEL</w:t>
      </w:r>
      <w:bookmarkEnd w:id="79"/>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Conformément à l’article 5.2 du CCAG-FCS, chaque partie au marché est tenue au respect des règles, européennes et françaises, applicables au traitement des données à caractère personnel éventuellement mis en œuvre aux fins de l’exécuti</w:t>
      </w:r>
      <w:r>
        <w:rPr>
          <w:rFonts w:ascii="Marianne" w:hAnsi="Marianne" w:cs="Arial"/>
          <w:sz w:val="18"/>
          <w:lang w:val="fr-FR"/>
        </w:rPr>
        <w:t>on du marché. A ce titre, toute transmission de données à des tiers, y compris au bénéfice d’entités établies hors de l’Union européenne, qui ne serait pas strictement conforme à la réglementation en vigueur est formellement prohibée.</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En cas d’évolution de la réglementation sur la protection des données à caractère personnel en cours d’exécution du marché, les modifications nécessaires pour se conformer aux règles nouvelles, donnent lieu à la signature d’un avenant par les parties au ma</w:t>
      </w:r>
      <w:r>
        <w:rPr>
          <w:rFonts w:ascii="Marianne" w:hAnsi="Marianne" w:cs="Arial"/>
          <w:sz w:val="18"/>
          <w:lang w:val="fr-FR"/>
        </w:rPr>
        <w:t>rché ou, en l’absence d’accord entre les parties, à une modification unilatérale par l’acheteur.</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Lorsque le titulaire met en œuvre un traitement de données à caractère personnel pour le compte de l’acheteur, pour que ce traitement réponde aux exigences de</w:t>
      </w:r>
      <w:r>
        <w:rPr>
          <w:rFonts w:ascii="Marianne" w:hAnsi="Marianne" w:cs="Arial"/>
          <w:sz w:val="18"/>
          <w:lang w:val="fr-FR"/>
        </w:rPr>
        <w:t xml:space="preserve"> la réglementation et garantisse en particulier la protection des droits des personnes physiques identifiées ou identifiables qu’il concerne, les documents particuliers du marché précisent notamment :</w:t>
      </w:r>
    </w:p>
    <w:p w:rsidR="001B30FD" w:rsidRDefault="008B589B">
      <w:pPr>
        <w:pStyle w:val="Sansinterligne"/>
        <w:numPr>
          <w:ilvl w:val="0"/>
          <w:numId w:val="22"/>
        </w:numPr>
        <w:jc w:val="both"/>
        <w:rPr>
          <w:rFonts w:ascii="Marianne" w:hAnsi="Marianne" w:cs="Arial"/>
          <w:sz w:val="18"/>
          <w:lang w:val="fr-FR"/>
        </w:rPr>
      </w:pPr>
      <w:r>
        <w:rPr>
          <w:rFonts w:ascii="Marianne" w:hAnsi="Marianne" w:cs="Arial"/>
          <w:sz w:val="18"/>
          <w:lang w:val="fr-FR"/>
        </w:rPr>
        <w:t>la finalité, la description et la durée du traitement d</w:t>
      </w:r>
      <w:r>
        <w:rPr>
          <w:rFonts w:ascii="Marianne" w:hAnsi="Marianne" w:cs="Arial"/>
          <w:sz w:val="18"/>
          <w:lang w:val="fr-FR"/>
        </w:rPr>
        <w:t>ans le strict respect des instructions documentées de l’acheteur ;</w:t>
      </w:r>
    </w:p>
    <w:p w:rsidR="001B30FD" w:rsidRDefault="008B589B">
      <w:pPr>
        <w:pStyle w:val="Sansinterligne"/>
        <w:numPr>
          <w:ilvl w:val="0"/>
          <w:numId w:val="22"/>
        </w:numPr>
        <w:jc w:val="both"/>
        <w:rPr>
          <w:rFonts w:ascii="Marianne" w:hAnsi="Marianne" w:cs="Arial"/>
          <w:sz w:val="18"/>
          <w:lang w:val="fr-FR"/>
        </w:rPr>
      </w:pPr>
      <w:r>
        <w:rPr>
          <w:rFonts w:ascii="Marianne" w:hAnsi="Marianne" w:cs="Arial"/>
          <w:sz w:val="18"/>
          <w:lang w:val="fr-FR"/>
        </w:rPr>
        <w:t xml:space="preserve">les obligations de l’acheteur et celles du titulaire vis-à-vis de ce dernier, en particulier l’obligation de l’informer de toute difficulté dans l’application de la réglementation, de tout </w:t>
      </w:r>
      <w:r>
        <w:rPr>
          <w:rFonts w:ascii="Marianne" w:hAnsi="Marianne" w:cs="Arial"/>
          <w:sz w:val="18"/>
          <w:lang w:val="fr-FR"/>
        </w:rPr>
        <w:t>projet de recours à un tiers pour la mise en œuvre du traitement, ou encore de toute demande de communication de données qui lui serait adressée, ainsi que, lorsque celle-ci serait contraire à la réglementation française et européenne, des mesures adoptées</w:t>
      </w:r>
      <w:r>
        <w:rPr>
          <w:rFonts w:ascii="Marianne" w:hAnsi="Marianne" w:cs="Arial"/>
          <w:sz w:val="18"/>
          <w:lang w:val="fr-FR"/>
        </w:rPr>
        <w:t xml:space="preserve"> pour s’y opposer ;</w:t>
      </w:r>
    </w:p>
    <w:p w:rsidR="001B30FD" w:rsidRDefault="008B589B">
      <w:pPr>
        <w:pStyle w:val="Sansinterligne"/>
        <w:numPr>
          <w:ilvl w:val="0"/>
          <w:numId w:val="22"/>
        </w:numPr>
        <w:jc w:val="both"/>
        <w:rPr>
          <w:rFonts w:ascii="Marianne" w:hAnsi="Marianne" w:cs="Arial"/>
          <w:sz w:val="18"/>
          <w:lang w:val="fr-FR"/>
        </w:rPr>
      </w:pPr>
      <w:r>
        <w:rPr>
          <w:rFonts w:ascii="Marianne" w:hAnsi="Marianne" w:cs="Arial"/>
          <w:sz w:val="18"/>
          <w:lang w:val="fr-FR"/>
        </w:rPr>
        <w:t>les modalités de prise en compte du droit à l’information et des autres droits des personnes concernées, dont l’exercice doit être garanti ;</w:t>
      </w:r>
    </w:p>
    <w:p w:rsidR="001B30FD" w:rsidRDefault="008B589B">
      <w:pPr>
        <w:pStyle w:val="Sansinterligne"/>
        <w:numPr>
          <w:ilvl w:val="0"/>
          <w:numId w:val="22"/>
        </w:numPr>
        <w:jc w:val="both"/>
        <w:rPr>
          <w:rFonts w:ascii="Marianne" w:hAnsi="Marianne" w:cs="Arial"/>
          <w:sz w:val="18"/>
          <w:lang w:val="fr-FR"/>
        </w:rPr>
      </w:pPr>
      <w:r>
        <w:rPr>
          <w:rFonts w:ascii="Marianne" w:hAnsi="Marianne" w:cs="Arial"/>
          <w:sz w:val="18"/>
          <w:lang w:val="fr-FR"/>
        </w:rPr>
        <w:t>les mesures de sécurité mises en œuvre pour garantir l’intégrité, la confidentialité et la disp</w:t>
      </w:r>
      <w:r>
        <w:rPr>
          <w:rFonts w:ascii="Marianne" w:hAnsi="Marianne" w:cs="Arial"/>
          <w:sz w:val="18"/>
          <w:lang w:val="fr-FR"/>
        </w:rPr>
        <w:t>onibilité des données, ainsi que les conditions de notification des violations de données à caractère personnel ;</w:t>
      </w:r>
    </w:p>
    <w:p w:rsidR="001B30FD" w:rsidRDefault="008B589B">
      <w:pPr>
        <w:pStyle w:val="Sansinterligne"/>
        <w:numPr>
          <w:ilvl w:val="0"/>
          <w:numId w:val="22"/>
        </w:numPr>
        <w:jc w:val="both"/>
        <w:rPr>
          <w:rFonts w:ascii="Marianne" w:hAnsi="Marianne" w:cs="Arial"/>
          <w:sz w:val="18"/>
          <w:lang w:val="fr-FR"/>
        </w:rPr>
      </w:pPr>
      <w:r>
        <w:rPr>
          <w:rFonts w:ascii="Marianne" w:hAnsi="Marianne" w:cs="Arial"/>
          <w:sz w:val="18"/>
          <w:lang w:val="fr-FR"/>
        </w:rPr>
        <w:t>la durée et les modalités de conservation des données et le sort de celles-ci au terme de l’exécution du marché.</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lang w:val="fr-FR"/>
        </w:rPr>
        <w:t>En cas de manquement par le titulaire ou son sous-traitant à ses obligations légales et contractuelles relatives à la protection des données personnelles, le marché peut être résilié pour faute en application de l’article 41 du CCAG-FCS.</w:t>
      </w:r>
    </w:p>
    <w:p w:rsidR="001B30FD" w:rsidRDefault="001B30FD">
      <w:pPr>
        <w:pStyle w:val="Sansinterligne"/>
        <w:jc w:val="both"/>
        <w:rPr>
          <w:rFonts w:ascii="Marianne" w:hAnsi="Marianne" w:cs="Arial"/>
          <w:sz w:val="18"/>
          <w:szCs w:val="18"/>
          <w:lang w:val="fr-FR"/>
        </w:rPr>
      </w:pPr>
    </w:p>
    <w:p w:rsidR="001B30FD" w:rsidRDefault="008B589B">
      <w:pPr>
        <w:pStyle w:val="Titre1"/>
        <w:rPr>
          <w:lang w:val="fr-FR"/>
        </w:rPr>
      </w:pPr>
      <w:bookmarkStart w:id="80" w:name="_Toc78"/>
      <w:r>
        <w:rPr>
          <w:lang w:val="fr-FR"/>
        </w:rPr>
        <w:t>RÉSILIATION</w:t>
      </w:r>
      <w:bookmarkEnd w:id="80"/>
    </w:p>
    <w:p w:rsidR="001B30FD" w:rsidRDefault="001B30FD">
      <w:pPr>
        <w:pStyle w:val="Textedemacro"/>
        <w:spacing w:after="0"/>
        <w:rPr>
          <w:rStyle w:val="Titre2Car"/>
          <w:rFonts w:eastAsia="MS Mincho;Yu Gothic UI"/>
          <w:b w:val="0"/>
          <w:bCs/>
          <w:lang w:val="fr-FR"/>
        </w:rPr>
      </w:pPr>
    </w:p>
    <w:p w:rsidR="001B30FD" w:rsidRDefault="008B589B">
      <w:pPr>
        <w:pStyle w:val="Titre2"/>
        <w:ind w:left="576"/>
        <w:rPr>
          <w:rFonts w:ascii="Marianne ExtraBold" w:hAnsi="Marianne ExtraBold"/>
        </w:rPr>
      </w:pPr>
      <w:bookmarkStart w:id="81" w:name="_Toc79"/>
      <w:r>
        <w:rPr>
          <w:rFonts w:ascii="Marianne ExtraBold" w:hAnsi="Marianne ExtraBold"/>
        </w:rPr>
        <w:t>COND</w:t>
      </w:r>
      <w:r>
        <w:rPr>
          <w:rFonts w:ascii="Marianne ExtraBold" w:hAnsi="Marianne ExtraBold"/>
        </w:rPr>
        <w:t>ITIONS DE R</w:t>
      </w:r>
      <w:r>
        <w:rPr>
          <w:rFonts w:ascii="Marianne ExtraBold" w:hAnsi="Marianne ExtraBold" w:hint="eastAsia"/>
        </w:rPr>
        <w:t>É</w:t>
      </w:r>
      <w:r>
        <w:rPr>
          <w:rFonts w:ascii="Marianne ExtraBold" w:hAnsi="Marianne ExtraBold"/>
        </w:rPr>
        <w:t>SILIATION DU MARCHE</w:t>
      </w:r>
      <w:bookmarkEnd w:id="81"/>
    </w:p>
    <w:p w:rsidR="001B30FD" w:rsidRDefault="001B30FD">
      <w:pPr>
        <w:jc w:val="both"/>
        <w:rPr>
          <w:lang w:val="fr-FR"/>
        </w:rPr>
      </w:pPr>
    </w:p>
    <w:p w:rsidR="001B30FD" w:rsidRDefault="008B589B">
      <w:pPr>
        <w:jc w:val="both"/>
        <w:rPr>
          <w:highlight w:val="yellow"/>
          <w:lang w:val="fr-FR"/>
        </w:rPr>
      </w:pPr>
      <w:r>
        <w:rPr>
          <w:lang w:val="fr-FR"/>
        </w:rPr>
        <w:t>Les conditions de résiliation de l’accord-cadre sont définies aux articles 38 à 45 du CCAG-FCS. Ainsi, la PFRA peut procéder à la résiliation partielle (d’un ou plusieurs lots) ou totale de l’accord-cadre dans les cas suiva</w:t>
      </w:r>
      <w:r>
        <w:rPr>
          <w:lang w:val="fr-FR"/>
        </w:rPr>
        <w:t>nt :</w:t>
      </w:r>
    </w:p>
    <w:p w:rsidR="001B30FD" w:rsidRDefault="008B589B">
      <w:pPr>
        <w:pStyle w:val="Paragraphedeliste"/>
        <w:numPr>
          <w:ilvl w:val="0"/>
          <w:numId w:val="28"/>
        </w:numPr>
        <w:jc w:val="both"/>
        <w:rPr>
          <w:lang w:val="fr-FR"/>
        </w:rPr>
      </w:pPr>
      <w:r>
        <w:rPr>
          <w:lang w:val="fr-FR"/>
        </w:rPr>
        <w:lastRenderedPageBreak/>
        <w:t>pour faute du titulaire, dans les conditions de l’article 41 du CCAG-FCS, par décision notifiée par lettre recommandée avec accusé de réception, sans indemnisation ;</w:t>
      </w:r>
    </w:p>
    <w:p w:rsidR="001B30FD" w:rsidRDefault="008B589B">
      <w:pPr>
        <w:pStyle w:val="Paragraphedeliste"/>
        <w:numPr>
          <w:ilvl w:val="0"/>
          <w:numId w:val="28"/>
        </w:numPr>
        <w:jc w:val="both"/>
        <w:rPr>
          <w:lang w:val="fr-FR"/>
        </w:rPr>
      </w:pPr>
      <w:r>
        <w:rPr>
          <w:lang w:val="fr-FR"/>
        </w:rPr>
        <w:t>pour motif d’intérêt général, dans les conditions de l’article 42 du CCAG-FCS, par dé</w:t>
      </w:r>
      <w:r>
        <w:rPr>
          <w:lang w:val="fr-FR"/>
        </w:rPr>
        <w:t>cision unilatérale de l’acheteur notifiée par lettre recommandé avec accusé de réception ;</w:t>
      </w:r>
    </w:p>
    <w:p w:rsidR="001B30FD" w:rsidRDefault="008B589B">
      <w:pPr>
        <w:pStyle w:val="Paragraphedeliste"/>
        <w:numPr>
          <w:ilvl w:val="0"/>
          <w:numId w:val="28"/>
        </w:numPr>
        <w:jc w:val="both"/>
        <w:rPr>
          <w:lang w:val="fr-FR"/>
        </w:rPr>
      </w:pPr>
      <w:r>
        <w:rPr>
          <w:lang w:val="fr-FR"/>
        </w:rPr>
        <w:t>en cas de difficulté d’exécution du marché, au titre de l’article 40.1 du CCAG-FCS ;</w:t>
      </w:r>
    </w:p>
    <w:p w:rsidR="001B30FD" w:rsidRDefault="008B589B">
      <w:pPr>
        <w:pStyle w:val="Paragraphedeliste"/>
        <w:numPr>
          <w:ilvl w:val="0"/>
          <w:numId w:val="28"/>
        </w:numPr>
        <w:jc w:val="both"/>
        <w:rPr>
          <w:lang w:val="fr-FR"/>
        </w:rPr>
      </w:pPr>
      <w:r>
        <w:rPr>
          <w:lang w:val="fr-FR"/>
        </w:rPr>
        <w:t>aux torts du titulaire, au titre de l’article 41 du CCAG-FCS, l’acheteur se rése</w:t>
      </w:r>
      <w:r>
        <w:rPr>
          <w:lang w:val="fr-FR"/>
        </w:rPr>
        <w:t>rvant le droit de faire exécuter par un tiers les prestations prévues aux frais et risques du titulaire défaillant, conformément aux dispositions de l’article 42 du CCAG-FCS, et précisées ci-après.</w:t>
      </w:r>
    </w:p>
    <w:p w:rsidR="001B30FD" w:rsidRDefault="001B30FD">
      <w:pPr>
        <w:jc w:val="both"/>
        <w:rPr>
          <w:lang w:val="fr-FR"/>
        </w:rPr>
      </w:pPr>
    </w:p>
    <w:p w:rsidR="001B30FD" w:rsidRDefault="008B589B">
      <w:pPr>
        <w:jc w:val="both"/>
        <w:rPr>
          <w:lang w:val="fr-FR"/>
        </w:rPr>
      </w:pPr>
      <w:r>
        <w:rPr>
          <w:lang w:val="fr-FR"/>
        </w:rPr>
        <w:t>En cas de résiliation partielle ou totale, il sera fait a</w:t>
      </w:r>
      <w:r>
        <w:rPr>
          <w:lang w:val="fr-FR"/>
        </w:rPr>
        <w:t>pplication de l’article R. 2191-30 du Code de la Commande Publique.</w:t>
      </w:r>
    </w:p>
    <w:p w:rsidR="001B30FD" w:rsidRDefault="001B30FD">
      <w:pPr>
        <w:jc w:val="both"/>
        <w:rPr>
          <w:lang w:val="fr-FR"/>
        </w:rPr>
      </w:pPr>
    </w:p>
    <w:p w:rsidR="001B30FD" w:rsidRDefault="008B589B">
      <w:pPr>
        <w:jc w:val="both"/>
        <w:rPr>
          <w:lang w:val="fr-FR"/>
        </w:rPr>
      </w:pPr>
      <w:r>
        <w:rPr>
          <w:lang w:val="fr-FR"/>
        </w:rPr>
        <w:t xml:space="preserve">Après signature du marché, en cas d'inexactitude des documents et des renseignements prévus, ou de refus de produire les pièces prévues aux articles D8222-5 ou D8222-7 et D8222-8 du Code </w:t>
      </w:r>
      <w:r>
        <w:rPr>
          <w:lang w:val="fr-FR"/>
        </w:rPr>
        <w:t xml:space="preserve">du travail, le marché peut être résilié, après mise en demeure restée infructueuse, aux torts du titulaire selon les dispositions du CCAG de référence. </w:t>
      </w:r>
    </w:p>
    <w:p w:rsidR="001B30FD" w:rsidRDefault="001B30FD">
      <w:pPr>
        <w:jc w:val="both"/>
        <w:rPr>
          <w:lang w:val="fr-FR"/>
        </w:rPr>
      </w:pPr>
    </w:p>
    <w:p w:rsidR="001B30FD" w:rsidRDefault="008B589B">
      <w:pPr>
        <w:jc w:val="both"/>
        <w:rPr>
          <w:lang w:val="fr-FR"/>
        </w:rPr>
      </w:pPr>
      <w:r>
        <w:rPr>
          <w:lang w:val="fr-FR"/>
        </w:rPr>
        <w:t>La décision de résiliation du marché est notifiée au titulaire. La résiliation prend effet à la date fixée dans la décision de résiliation ou, à défaut, à la date de sa notification.</w:t>
      </w:r>
    </w:p>
    <w:p w:rsidR="001B30FD" w:rsidRDefault="001B30FD">
      <w:pPr>
        <w:ind w:left="426"/>
        <w:rPr>
          <w:color w:val="000000" w:themeColor="text1"/>
          <w:lang w:val="fr-FR"/>
        </w:rPr>
      </w:pPr>
    </w:p>
    <w:p w:rsidR="001B30FD" w:rsidRDefault="001B30FD">
      <w:pPr>
        <w:rPr>
          <w:lang w:val="fr-FR"/>
        </w:rPr>
      </w:pPr>
    </w:p>
    <w:p w:rsidR="001B30FD" w:rsidRDefault="008B589B">
      <w:pPr>
        <w:pStyle w:val="Titre2"/>
        <w:ind w:left="576"/>
        <w:rPr>
          <w:rFonts w:ascii="Marianne ExtraBold" w:hAnsi="Marianne ExtraBold"/>
        </w:rPr>
      </w:pPr>
      <w:bookmarkStart w:id="82" w:name="_Toc80"/>
      <w:r>
        <w:rPr>
          <w:rFonts w:ascii="Marianne ExtraBold" w:hAnsi="Marianne ExtraBold"/>
        </w:rPr>
        <w:t>EX</w:t>
      </w:r>
      <w:r>
        <w:rPr>
          <w:rFonts w:ascii="Marianne ExtraBold" w:hAnsi="Marianne ExtraBold" w:hint="eastAsia"/>
        </w:rPr>
        <w:t>É</w:t>
      </w:r>
      <w:r>
        <w:rPr>
          <w:rFonts w:ascii="Marianne ExtraBold" w:hAnsi="Marianne ExtraBold"/>
        </w:rPr>
        <w:t>CUTION AUX FRAIS ET RISQUES</w:t>
      </w:r>
      <w:bookmarkEnd w:id="82"/>
    </w:p>
    <w:p w:rsidR="001B30FD" w:rsidRDefault="001B30FD">
      <w:pPr>
        <w:rPr>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Suite à une résiliation prononcée aux t</w:t>
      </w:r>
      <w:r>
        <w:rPr>
          <w:rFonts w:ascii="Marianne" w:hAnsi="Marianne" w:cs="Arial"/>
          <w:sz w:val="18"/>
          <w:lang w:val="fr-FR"/>
        </w:rPr>
        <w:t>orts du titulaire, l’acheteur peut faire exécuter par un tiers les prestations prévues par le marché aux frais et risques du titulaire défaillant. Ainsi dans le cas où la prestation facturée serait supérieure au prix du marché initialement conclu, le titul</w:t>
      </w:r>
      <w:r>
        <w:rPr>
          <w:rFonts w:ascii="Marianne" w:hAnsi="Marianne" w:cs="Arial"/>
          <w:sz w:val="18"/>
          <w:lang w:val="fr-FR"/>
        </w:rPr>
        <w:t>aire devra rembourser la différence à l’acheteur.</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 titulaire du marché résilié n’est pas admis à prendre part, ni directement ni indirectement, à l’exécution des prestations effectués à ses frais et risques. Il doit, cependant, fournir toutes les inform</w:t>
      </w:r>
      <w:r>
        <w:rPr>
          <w:rFonts w:ascii="Marianne" w:hAnsi="Marianne" w:cs="Arial"/>
          <w:sz w:val="18"/>
          <w:lang w:val="fr-FR"/>
        </w:rPr>
        <w:t>ations recueillis et moyen mis en œuvre dans le cadre de l’exécution du marché initial et qui seraient nécessaire à l’exécution de ce marché par le tiers désigné par l’acheteur.</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S’il en résultait une différence de prix au détriment de l’acheteur, cette di</w:t>
      </w:r>
      <w:r>
        <w:rPr>
          <w:rFonts w:ascii="Marianne" w:hAnsi="Marianne" w:cs="Arial"/>
          <w:sz w:val="18"/>
          <w:lang w:val="fr-FR"/>
        </w:rPr>
        <w:t xml:space="preserve">fférence serait mise de plein droit à la charge du titulaire défaillant et imputé d’office sur le montant du plus prochain paiement effectué à son profit. L’augmentation des dépenses, par rapport au prix du marché, résultant de l’exécution des prestations </w:t>
      </w:r>
      <w:r>
        <w:rPr>
          <w:rFonts w:ascii="Marianne" w:hAnsi="Marianne" w:cs="Arial"/>
          <w:sz w:val="18"/>
          <w:lang w:val="fr-FR"/>
        </w:rPr>
        <w:t>aux frais et risques du titulaire, est à la charge du titulaire la diminution des dépenses ne lui profite pas.</w:t>
      </w:r>
    </w:p>
    <w:p w:rsidR="001B30FD" w:rsidRDefault="001B30FD">
      <w:pPr>
        <w:pStyle w:val="Sansinterligne"/>
        <w:jc w:val="both"/>
        <w:rPr>
          <w:rFonts w:ascii="Marianne" w:hAnsi="Marianne" w:cs="Arial"/>
          <w:sz w:val="18"/>
          <w:lang w:val="fr-FR"/>
        </w:rPr>
      </w:pPr>
    </w:p>
    <w:p w:rsidR="001B30FD" w:rsidRDefault="008B589B">
      <w:pPr>
        <w:pStyle w:val="Titre2"/>
        <w:ind w:left="576"/>
        <w:rPr>
          <w:rFonts w:ascii="Marianne ExtraBold" w:hAnsi="Marianne ExtraBold"/>
        </w:rPr>
      </w:pPr>
      <w:bookmarkStart w:id="83" w:name="_Toc81"/>
      <w:r>
        <w:rPr>
          <w:rFonts w:ascii="Marianne ExtraBold" w:hAnsi="Marianne ExtraBold"/>
        </w:rPr>
        <w:t>MODIFICATIONS RELATIVES AU TITULAIRE</w:t>
      </w:r>
      <w:bookmarkEnd w:id="83"/>
    </w:p>
    <w:p w:rsidR="001B30FD" w:rsidRDefault="001B30FD">
      <w:pPr>
        <w:pBdr>
          <w:top w:val="none" w:sz="4" w:space="0" w:color="000000"/>
          <w:left w:val="none" w:sz="4" w:space="0" w:color="000000"/>
          <w:bottom w:val="none" w:sz="4" w:space="0" w:color="000000"/>
          <w:right w:val="none" w:sz="4" w:space="0" w:color="000000"/>
        </w:pBdr>
        <w:jc w:val="both"/>
        <w:rPr>
          <w:color w:val="000000" w:themeColor="text1"/>
          <w:lang w:val="fr-FR"/>
        </w:rPr>
      </w:pPr>
    </w:p>
    <w:p w:rsidR="001B30FD" w:rsidRDefault="008B589B">
      <w:p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Le titulaire est tenu d’aviser l’acheteur, dans les plus brefs délais et au plus tard dans un délai de 1 m</w:t>
      </w:r>
      <w:r>
        <w:rPr>
          <w:color w:val="000000" w:themeColor="text1"/>
          <w:lang w:val="fr-FR"/>
        </w:rPr>
        <w:t>ois à compter de la survenance de l’évènement, par courrier en recommandé avec accusé de réception, des changements et des évènements intervenus ou à intervenir dans son entreprise et notamment pour les cas de :</w:t>
      </w:r>
    </w:p>
    <w:p w:rsidR="001B30FD" w:rsidRDefault="008B589B">
      <w:pPr>
        <w:pStyle w:val="Paragraphedeliste"/>
        <w:numPr>
          <w:ilvl w:val="0"/>
          <w:numId w:val="27"/>
        </w:num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cessation d</w:t>
      </w:r>
      <w:r>
        <w:rPr>
          <w:rFonts w:hint="eastAsia"/>
          <w:color w:val="000000" w:themeColor="text1"/>
          <w:lang w:val="fr-FR"/>
        </w:rPr>
        <w:t>’</w:t>
      </w:r>
      <w:r>
        <w:rPr>
          <w:color w:val="000000" w:themeColor="text1"/>
          <w:lang w:val="fr-FR"/>
        </w:rPr>
        <w:t>activit</w:t>
      </w:r>
      <w:r>
        <w:rPr>
          <w:rFonts w:hint="eastAsia"/>
          <w:color w:val="000000" w:themeColor="text1"/>
          <w:lang w:val="fr-FR"/>
        </w:rPr>
        <w:t>é</w:t>
      </w:r>
      <w:r>
        <w:rPr>
          <w:color w:val="000000" w:themeColor="text1"/>
          <w:lang w:val="fr-FR"/>
        </w:rPr>
        <w:t>,</w:t>
      </w:r>
    </w:p>
    <w:p w:rsidR="001B30FD" w:rsidRDefault="008B589B">
      <w:pPr>
        <w:pStyle w:val="Paragraphedeliste"/>
        <w:numPr>
          <w:ilvl w:val="0"/>
          <w:numId w:val="27"/>
        </w:num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cession de l</w:t>
      </w:r>
      <w:r>
        <w:rPr>
          <w:rFonts w:hint="eastAsia"/>
          <w:color w:val="000000" w:themeColor="text1"/>
          <w:lang w:val="fr-FR"/>
        </w:rPr>
        <w:t>’</w:t>
      </w:r>
      <w:r>
        <w:rPr>
          <w:color w:val="000000" w:themeColor="text1"/>
          <w:lang w:val="fr-FR"/>
        </w:rPr>
        <w:t>entreprise,</w:t>
      </w:r>
    </w:p>
    <w:p w:rsidR="001B30FD" w:rsidRDefault="008B589B">
      <w:pPr>
        <w:pStyle w:val="Paragraphedeliste"/>
        <w:numPr>
          <w:ilvl w:val="0"/>
          <w:numId w:val="27"/>
        </w:num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modification de quelque ordre que ce soit dans la structure de l</w:t>
      </w:r>
      <w:r>
        <w:rPr>
          <w:rFonts w:hint="eastAsia"/>
          <w:color w:val="000000" w:themeColor="text1"/>
          <w:lang w:val="fr-FR"/>
        </w:rPr>
        <w:t>’</w:t>
      </w:r>
      <w:r>
        <w:rPr>
          <w:color w:val="000000" w:themeColor="text1"/>
          <w:lang w:val="fr-FR"/>
        </w:rPr>
        <w:t>entreprise pouvant avoir des cons</w:t>
      </w:r>
      <w:r>
        <w:rPr>
          <w:rFonts w:hint="eastAsia"/>
          <w:color w:val="000000" w:themeColor="text1"/>
          <w:lang w:val="fr-FR"/>
        </w:rPr>
        <w:t>é</w:t>
      </w:r>
      <w:r>
        <w:rPr>
          <w:color w:val="000000" w:themeColor="text1"/>
          <w:lang w:val="fr-FR"/>
        </w:rPr>
        <w:t>quences sur la raison sociale de celle-ci (changement de RIB, de SIRET, d</w:t>
      </w:r>
      <w:r>
        <w:rPr>
          <w:rFonts w:hint="eastAsia"/>
          <w:color w:val="000000" w:themeColor="text1"/>
          <w:lang w:val="fr-FR"/>
        </w:rPr>
        <w:t>’</w:t>
      </w:r>
      <w:r>
        <w:rPr>
          <w:color w:val="000000" w:themeColor="text1"/>
          <w:lang w:val="fr-FR"/>
        </w:rPr>
        <w:t>adresse, de statuts</w:t>
      </w:r>
      <w:r>
        <w:rPr>
          <w:rFonts w:hint="eastAsia"/>
          <w:color w:val="000000" w:themeColor="text1"/>
          <w:lang w:val="fr-FR"/>
        </w:rPr>
        <w:t>…</w:t>
      </w:r>
      <w:r>
        <w:rPr>
          <w:color w:val="000000" w:themeColor="text1"/>
          <w:lang w:val="fr-FR"/>
        </w:rPr>
        <w:t>etc.).</w:t>
      </w:r>
    </w:p>
    <w:p w:rsidR="001B30FD" w:rsidRDefault="001B30FD">
      <w:pPr>
        <w:pBdr>
          <w:top w:val="none" w:sz="4" w:space="0" w:color="000000"/>
          <w:left w:val="none" w:sz="4" w:space="0" w:color="000000"/>
          <w:bottom w:val="none" w:sz="4" w:space="0" w:color="000000"/>
          <w:right w:val="none" w:sz="4" w:space="0" w:color="000000"/>
        </w:pBdr>
        <w:jc w:val="both"/>
        <w:rPr>
          <w:color w:val="000000" w:themeColor="text1"/>
          <w:lang w:val="fr-FR"/>
        </w:rPr>
      </w:pPr>
    </w:p>
    <w:p w:rsidR="001B30FD" w:rsidRDefault="008B589B">
      <w:p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lastRenderedPageBreak/>
        <w:t xml:space="preserve">En cas de cession, l’acheteur se </w:t>
      </w:r>
      <w:r>
        <w:rPr>
          <w:color w:val="000000" w:themeColor="text1"/>
          <w:lang w:val="fr-FR"/>
        </w:rPr>
        <w:t>prononcera sur l’agrément éventuel du repreneur après examen de ses capacités professionnelles au regard des critères de sélection établis initialement lors de la consultation et sous réserve que cela n’entraîne pas de modification substantielle du marché.</w:t>
      </w:r>
    </w:p>
    <w:p w:rsidR="001B30FD" w:rsidRDefault="001B30FD">
      <w:pPr>
        <w:pBdr>
          <w:top w:val="none" w:sz="4" w:space="0" w:color="000000"/>
          <w:left w:val="none" w:sz="4" w:space="0" w:color="000000"/>
          <w:bottom w:val="none" w:sz="4" w:space="0" w:color="000000"/>
          <w:right w:val="none" w:sz="4" w:space="0" w:color="000000"/>
        </w:pBdr>
        <w:jc w:val="both"/>
        <w:rPr>
          <w:color w:val="000000" w:themeColor="text1"/>
          <w:lang w:val="fr-FR"/>
        </w:rPr>
      </w:pPr>
    </w:p>
    <w:p w:rsidR="001B30FD" w:rsidRDefault="008B589B">
      <w:p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 xml:space="preserve">En cas d’agrément, le nouveau titulaire pourra se substituer à l’ancien titulaire conformément aux dispositions de l’article R2194-6 du code de la commande publique et un avenant de transfert sera établi. </w:t>
      </w:r>
    </w:p>
    <w:p w:rsidR="001B30FD" w:rsidRDefault="008B589B">
      <w:p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 xml:space="preserve">Dans le cas contraire, le marché prendra fin de </w:t>
      </w:r>
      <w:r>
        <w:rPr>
          <w:color w:val="000000" w:themeColor="text1"/>
          <w:lang w:val="fr-FR"/>
        </w:rPr>
        <w:t xml:space="preserve">plein droit pour disparition du co-contractant </w:t>
      </w:r>
    </w:p>
    <w:p w:rsidR="001B30FD" w:rsidRDefault="001B30FD">
      <w:pPr>
        <w:rPr>
          <w:lang w:val="fr-FR"/>
        </w:rPr>
      </w:pPr>
    </w:p>
    <w:p w:rsidR="001B30FD" w:rsidRDefault="008B589B">
      <w:pPr>
        <w:pStyle w:val="Titre2"/>
        <w:ind w:left="576"/>
        <w:rPr>
          <w:rFonts w:ascii="Marianne ExtraBold" w:hAnsi="Marianne ExtraBold"/>
        </w:rPr>
      </w:pPr>
      <w:bookmarkStart w:id="84" w:name="_Toc82"/>
      <w:r>
        <w:rPr>
          <w:rFonts w:ascii="Marianne ExtraBold" w:hAnsi="Marianne ExtraBold"/>
        </w:rPr>
        <w:t>REDRESSEMENT OU LIQUIDATION JUDICIAIRE</w:t>
      </w:r>
      <w:bookmarkEnd w:id="84"/>
    </w:p>
    <w:p w:rsidR="001B30FD" w:rsidRDefault="001B30FD">
      <w:pPr>
        <w:jc w:val="both"/>
        <w:rPr>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 jugement instituant le redressement ou la liquidation judiciaire est notifié immédiatement à l’acheteur par le titulaire du marché. Il en va de même de tout jugemen</w:t>
      </w:r>
      <w:r>
        <w:rPr>
          <w:rFonts w:ascii="Marianne" w:hAnsi="Marianne" w:cs="Arial"/>
          <w:sz w:val="18"/>
          <w:lang w:val="fr-FR"/>
        </w:rPr>
        <w:t>t ou décision susceptible d'avoir un effet sur l'exécution du marché.</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L’acheteur adresse à l'administrateur ou au liquidateur une mise en demeure lui demandant s'il entend exiger l'exécution du marché. En cas de redressement judiciaire, cette mise en deme</w:t>
      </w:r>
      <w:r>
        <w:rPr>
          <w:rFonts w:ascii="Marianne" w:hAnsi="Marianne" w:cs="Arial"/>
          <w:sz w:val="18"/>
          <w:lang w:val="fr-FR"/>
        </w:rPr>
        <w:t>ure est adressée au titulaire dans le cas d'une procédure simplifiée sans administrateur si, en application de l'article L627-2 du Code de commerce, le juge commissaire a expressément autorisé celui-ci à exercer la faculté ouverte à l'article L622-13 du Co</w:t>
      </w:r>
      <w:r>
        <w:rPr>
          <w:rFonts w:ascii="Marianne" w:hAnsi="Marianne" w:cs="Arial"/>
          <w:sz w:val="18"/>
          <w:lang w:val="fr-FR"/>
        </w:rPr>
        <w:t>de de commerce.</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En cas de réponse négative ou de l'absence de réponse dans le délai d'un (1) mois à compter de l'envoi de la mise en demeure, la résiliation du marché est prononcée. Ce délai d'un mois peut être prolongé ou raccourci si, avant l'expiration</w:t>
      </w:r>
      <w:r>
        <w:rPr>
          <w:rFonts w:ascii="Marianne" w:hAnsi="Marianne" w:cs="Arial"/>
          <w:sz w:val="18"/>
          <w:lang w:val="fr-FR"/>
        </w:rPr>
        <w:t xml:space="preserve"> dudit délai, le juge commissaire a accordé à l'administrateur ou au liquidateur une prolongation, ou lui a imparti un délai plus court.</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La résiliation prend effet à la date de décision de l'administrateur, du liquidateur ou du titulaire de renoncer à pou</w:t>
      </w:r>
      <w:r>
        <w:rPr>
          <w:rFonts w:ascii="Marianne" w:hAnsi="Marianne" w:cs="Arial"/>
          <w:sz w:val="18"/>
          <w:lang w:val="fr-FR"/>
        </w:rPr>
        <w:t>rsuivre l'exécution du marché, ou à l'expiration du délai d'un (1) mois ci-dessus. Elle n'ouvre droit, pour le titulaire, à aucune indemnité.</w:t>
      </w:r>
    </w:p>
    <w:p w:rsidR="001B30FD" w:rsidRDefault="001B30FD">
      <w:pPr>
        <w:jc w:val="both"/>
        <w:rPr>
          <w:lang w:val="fr-FR"/>
        </w:rPr>
      </w:pPr>
    </w:p>
    <w:p w:rsidR="001B30FD" w:rsidRDefault="008B589B">
      <w:pPr>
        <w:pStyle w:val="Titre1"/>
        <w:rPr>
          <w:lang w:val="fr-FR"/>
        </w:rPr>
      </w:pPr>
      <w:bookmarkStart w:id="85" w:name="_Toc83"/>
      <w:r>
        <w:rPr>
          <w:lang w:val="fr-FR"/>
        </w:rPr>
        <w:t>DIFFÉRENDS ET LITIGES</w:t>
      </w:r>
      <w:bookmarkEnd w:id="85"/>
    </w:p>
    <w:p w:rsidR="001B30FD" w:rsidRDefault="001B30FD">
      <w:pPr>
        <w:ind w:left="426"/>
        <w:jc w:val="both"/>
        <w:rPr>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 marché est conclu et exécuté de bonne foi par les parties qui s’engagent à examiner ensemble dans le plus grand esprit de concertation tout différend qui pourrait survenir quant à l’existence, l’interprétation ou l’exécution de ce contrat.</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En cas d’éch</w:t>
      </w:r>
      <w:r>
        <w:rPr>
          <w:rFonts w:ascii="Marianne" w:hAnsi="Marianne" w:cs="Arial"/>
          <w:sz w:val="18"/>
          <w:lang w:val="fr-FR"/>
        </w:rPr>
        <w:t xml:space="preserve">ec des échanges direct et avant toute saisine des juridictions compétentes l’acheteur et le titulaire peuvent recourir au médiateur de la Préfecture de région Occitanie. Il est une tierce partie sans pouvoir décisionnel sur la procédure, il a pour mission </w:t>
      </w:r>
      <w:r>
        <w:rPr>
          <w:rFonts w:ascii="Marianne" w:hAnsi="Marianne" w:cs="Arial"/>
          <w:sz w:val="18"/>
          <w:lang w:val="fr-FR"/>
        </w:rPr>
        <w:t xml:space="preserve">d’aider les parties qui ont en exprimé la volonté de trouver une solution mutuellement acceptable à leur différend. </w:t>
      </w:r>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 xml:space="preserve">Le médiateur interne peut être saisi par courrier : </w:t>
      </w:r>
      <w:hyperlink r:id="rId24" w:tooltip="mailto:mediateur-sgar-achats@occitanie.gouv.fr" w:history="1">
        <w:r>
          <w:rPr>
            <w:rStyle w:val="Lienhypertexte"/>
            <w:rFonts w:ascii="Marianne" w:hAnsi="Marianne"/>
            <w:sz w:val="18"/>
            <w:lang w:val="fr-FR"/>
          </w:rPr>
          <w:t>mediateur-sgar-achats@occitanie.gouv.fr</w:t>
        </w:r>
      </w:hyperlink>
    </w:p>
    <w:p w:rsidR="001B30FD" w:rsidRDefault="001B30FD">
      <w:pPr>
        <w:pStyle w:val="Sansinterligne"/>
        <w:jc w:val="both"/>
        <w:rPr>
          <w:rFonts w:ascii="Marianne" w:hAnsi="Marianne" w:cs="Arial"/>
          <w:sz w:val="18"/>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En cas de contentieux né de l’attribution ou de l’exécution du présent marché, le juge du tribunal administratif de Toulouse, territorialement compétent, est seul saisi du litige juridic</w:t>
      </w:r>
      <w:r>
        <w:rPr>
          <w:rFonts w:ascii="Marianne" w:hAnsi="Marianne" w:cs="Arial"/>
          <w:sz w:val="18"/>
          <w:lang w:val="fr-FR"/>
        </w:rPr>
        <w:t>tionnel.</w:t>
      </w:r>
    </w:p>
    <w:p w:rsidR="001B30FD" w:rsidRDefault="001B30FD">
      <w:pPr>
        <w:pStyle w:val="Sansinterligne"/>
        <w:jc w:val="both"/>
        <w:rPr>
          <w:rFonts w:ascii="Marianne" w:hAnsi="Marianne" w:cs="Arial"/>
          <w:sz w:val="18"/>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678"/>
      </w:tblGrid>
      <w:tr w:rsidR="001B30FD">
        <w:trPr>
          <w:jc w:val="center"/>
        </w:trPr>
        <w:tc>
          <w:tcPr>
            <w:tcW w:w="3685" w:type="dxa"/>
            <w:shd w:val="clear" w:color="auto" w:fill="465F9D"/>
          </w:tcPr>
          <w:p w:rsidR="001B30FD" w:rsidRDefault="008B589B">
            <w:pPr>
              <w:pStyle w:val="Sansinterligne"/>
              <w:jc w:val="center"/>
              <w:rPr>
                <w:rFonts w:ascii="Marianne" w:hAnsi="Marianne" w:cs="Arial"/>
                <w:color w:val="FFFFFF" w:themeColor="background1"/>
                <w:sz w:val="20"/>
                <w:lang w:val="fr-FR"/>
              </w:rPr>
            </w:pPr>
            <w:r>
              <w:rPr>
                <w:rFonts w:ascii="Marianne" w:hAnsi="Marianne" w:cs="Arial"/>
                <w:color w:val="FFFFFF" w:themeColor="background1"/>
                <w:sz w:val="20"/>
                <w:lang w:val="fr-FR"/>
              </w:rPr>
              <w:t>ADRESSE</w:t>
            </w:r>
          </w:p>
        </w:tc>
        <w:tc>
          <w:tcPr>
            <w:tcW w:w="4678" w:type="dxa"/>
            <w:shd w:val="clear" w:color="auto" w:fill="465F9D"/>
          </w:tcPr>
          <w:p w:rsidR="001B30FD" w:rsidRDefault="008B589B">
            <w:pPr>
              <w:pStyle w:val="Sansinterligne"/>
              <w:jc w:val="center"/>
              <w:rPr>
                <w:rFonts w:ascii="Marianne" w:hAnsi="Marianne" w:cs="Arial"/>
                <w:color w:val="FFFFFF" w:themeColor="background1"/>
                <w:sz w:val="20"/>
                <w:lang w:val="fr-FR"/>
              </w:rPr>
            </w:pPr>
            <w:r>
              <w:rPr>
                <w:rFonts w:ascii="Marianne" w:hAnsi="Marianne" w:cs="Arial"/>
                <w:color w:val="FFFFFF" w:themeColor="background1"/>
                <w:sz w:val="20"/>
                <w:lang w:val="fr-FR"/>
              </w:rPr>
              <w:t>CONTACT</w:t>
            </w:r>
          </w:p>
        </w:tc>
      </w:tr>
      <w:tr w:rsidR="001B30FD">
        <w:trPr>
          <w:jc w:val="center"/>
        </w:trPr>
        <w:tc>
          <w:tcPr>
            <w:tcW w:w="3685" w:type="dxa"/>
            <w:vAlign w:val="center"/>
          </w:tcPr>
          <w:p w:rsidR="001B30FD" w:rsidRDefault="008B589B">
            <w:pPr>
              <w:pStyle w:val="Sansinterligne"/>
              <w:rPr>
                <w:rFonts w:ascii="Marianne" w:hAnsi="Marianne" w:cs="Arial"/>
                <w:b/>
                <w:sz w:val="18"/>
                <w:lang w:val="fr-FR"/>
              </w:rPr>
            </w:pPr>
            <w:r>
              <w:rPr>
                <w:rFonts w:ascii="Marianne" w:hAnsi="Marianne" w:cs="Arial"/>
                <w:b/>
                <w:sz w:val="18"/>
                <w:lang w:val="fr-FR"/>
              </w:rPr>
              <w:t>Tribunal Administratif de Montpellier</w:t>
            </w:r>
          </w:p>
          <w:p w:rsidR="001B30FD" w:rsidRDefault="008B589B">
            <w:pPr>
              <w:pStyle w:val="Sansinterligne"/>
              <w:rPr>
                <w:rFonts w:ascii="Marianne" w:hAnsi="Marianne" w:cs="Arial"/>
                <w:sz w:val="18"/>
                <w:lang w:val="fr-FR"/>
              </w:rPr>
            </w:pPr>
            <w:r>
              <w:rPr>
                <w:rFonts w:ascii="Marianne" w:hAnsi="Marianne" w:cs="Arial"/>
                <w:sz w:val="18"/>
                <w:lang w:val="fr-FR"/>
              </w:rPr>
              <w:t>6 Rue Pitot</w:t>
            </w:r>
          </w:p>
          <w:p w:rsidR="001B30FD" w:rsidRDefault="008B589B">
            <w:pPr>
              <w:pStyle w:val="Sansinterligne"/>
              <w:rPr>
                <w:rFonts w:ascii="Marianne" w:hAnsi="Marianne" w:cs="Arial"/>
                <w:sz w:val="18"/>
                <w:lang w:val="fr-FR"/>
              </w:rPr>
            </w:pPr>
            <w:r>
              <w:rPr>
                <w:rFonts w:ascii="Marianne" w:hAnsi="Marianne" w:cs="Arial"/>
                <w:sz w:val="18"/>
                <w:lang w:val="fr-FR"/>
              </w:rPr>
              <w:t>34063 Montpellier</w:t>
            </w:r>
          </w:p>
        </w:tc>
        <w:tc>
          <w:tcPr>
            <w:tcW w:w="4678"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Tel : 04 67 54 81 00</w:t>
            </w:r>
          </w:p>
          <w:p w:rsidR="001B30FD" w:rsidRDefault="008B589B">
            <w:pPr>
              <w:pStyle w:val="Sansinterligne"/>
              <w:rPr>
                <w:rFonts w:ascii="Marianne" w:hAnsi="Marianne" w:cs="Arial"/>
                <w:sz w:val="18"/>
                <w:lang w:val="fr-FR"/>
              </w:rPr>
            </w:pPr>
            <w:r>
              <w:rPr>
                <w:rFonts w:ascii="Marianne" w:hAnsi="Marianne" w:cs="Arial"/>
                <w:sz w:val="18"/>
                <w:lang w:val="fr-FR"/>
              </w:rPr>
              <w:t xml:space="preserve">Site : </w:t>
            </w:r>
            <w:hyperlink r:id="rId25" w:tooltip="http://toulouse.tribunal-administratif.fr/" w:history="1">
              <w:r>
                <w:rPr>
                  <w:rStyle w:val="Lienhypertexte"/>
                  <w:rFonts w:ascii="Marianne" w:hAnsi="Marianne" w:cs="Arial"/>
                  <w:sz w:val="18"/>
                  <w:lang w:val="fr-FR"/>
                </w:rPr>
                <w:t>https://montpellier.tribunal-administratif.fr/</w:t>
              </w:r>
            </w:hyperlink>
          </w:p>
        </w:tc>
      </w:tr>
    </w:tbl>
    <w:p w:rsidR="001B30FD" w:rsidRDefault="001B30FD">
      <w:pPr>
        <w:pStyle w:val="Sansinterligne"/>
        <w:jc w:val="both"/>
        <w:rPr>
          <w:rFonts w:ascii="Marianne" w:hAnsi="Marianne" w:cs="Arial"/>
          <w:sz w:val="18"/>
          <w:lang w:val="fr-FR"/>
        </w:rPr>
      </w:pPr>
    </w:p>
    <w:p w:rsidR="001B30FD" w:rsidRDefault="001B30FD">
      <w:pPr>
        <w:pStyle w:val="Sansinterligne"/>
        <w:jc w:val="both"/>
        <w:rPr>
          <w:rFonts w:ascii="Marianne" w:hAnsi="Marianne" w:cs="Arial"/>
          <w:sz w:val="18"/>
          <w:lang w:val="fr-FR"/>
        </w:rPr>
      </w:pPr>
    </w:p>
    <w:p w:rsidR="001B30FD" w:rsidRDefault="008B589B">
      <w:pPr>
        <w:pStyle w:val="Titre1"/>
        <w:rPr>
          <w:lang w:val="fr-FR"/>
        </w:rPr>
      </w:pPr>
      <w:bookmarkStart w:id="86" w:name="_Toc84"/>
      <w:r>
        <w:rPr>
          <w:lang w:val="fr-FR"/>
        </w:rPr>
        <w:lastRenderedPageBreak/>
        <w:t>DISPOSITIONS DIVERSES</w:t>
      </w:r>
      <w:bookmarkEnd w:id="86"/>
    </w:p>
    <w:p w:rsidR="001B30FD" w:rsidRDefault="001B30FD">
      <w:pPr>
        <w:pStyle w:val="Textedebulles"/>
        <w:rPr>
          <w:lang w:val="fr-FR"/>
        </w:rPr>
      </w:pPr>
    </w:p>
    <w:p w:rsidR="001B30FD" w:rsidRDefault="008B589B">
      <w:pPr>
        <w:pStyle w:val="Titre2"/>
        <w:rPr>
          <w:lang w:val="fr-FR"/>
        </w:rPr>
      </w:pPr>
      <w:bookmarkStart w:id="87" w:name="_Toc85"/>
      <w:r>
        <w:rPr>
          <w:lang w:val="fr-FR"/>
        </w:rPr>
        <w:t>LANGUE</w:t>
      </w:r>
      <w:bookmarkEnd w:id="87"/>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Tous les documents écrits remis par le titulaire doivent être rédigés en langue française.</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Dans le cas où le titulaire ne peut délivrer un document en langue française, il de</w:t>
      </w:r>
      <w:r>
        <w:rPr>
          <w:rFonts w:ascii="Marianne" w:hAnsi="Marianne" w:cs="Arial"/>
          <w:sz w:val="18"/>
          <w:szCs w:val="18"/>
          <w:lang w:val="fr-FR"/>
        </w:rPr>
        <w:t>vra fournir, à sa charge, ce document accompagné d'une traduction en français.</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De plus, l'ensemble des communications écrites ou orales durant la phase d'exécution s'effectuera en français.</w:t>
      </w:r>
    </w:p>
    <w:p w:rsidR="001B30FD" w:rsidRDefault="001B30FD">
      <w:pPr>
        <w:pStyle w:val="Sansinterligne"/>
        <w:jc w:val="both"/>
        <w:rPr>
          <w:rFonts w:ascii="Marianne" w:hAnsi="Marianne" w:cs="Arial"/>
          <w:sz w:val="18"/>
          <w:szCs w:val="18"/>
          <w:lang w:val="fr-FR"/>
        </w:rPr>
      </w:pPr>
    </w:p>
    <w:p w:rsidR="001B30FD" w:rsidRDefault="008B589B">
      <w:pPr>
        <w:pStyle w:val="Titre2"/>
        <w:rPr>
          <w:lang w:val="fr-FR"/>
        </w:rPr>
      </w:pPr>
      <w:bookmarkStart w:id="88" w:name="_Toc86"/>
      <w:r>
        <w:rPr>
          <w:lang w:val="fr-FR"/>
        </w:rPr>
        <w:t>ASSURANCE</w:t>
      </w:r>
      <w:bookmarkEnd w:id="88"/>
    </w:p>
    <w:p w:rsidR="001B30FD" w:rsidRDefault="001B30FD">
      <w:pPr>
        <w:jc w:val="both"/>
        <w:rPr>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Le titulaire assume la responsabilité de l'exécution des prestations et des dommages qu'il cause à l'acheteur en cas d'inexécution. Dans un délai de quinze jours à compter de la notification du marché et avant tout commencement d'exécution, le titulaire de</w:t>
      </w:r>
      <w:r>
        <w:rPr>
          <w:rFonts w:ascii="Marianne" w:hAnsi="Marianne" w:cs="Arial"/>
          <w:sz w:val="18"/>
          <w:szCs w:val="18"/>
          <w:lang w:val="fr-FR"/>
        </w:rPr>
        <w:t>vra justifier être en possession d'une police d'assurances.</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Il est responsable des dommages que l'exécution des prestations peut engendrer : à son personnel, aux agents de l'acheteur ou à des tiers, à ses biens, aux biens appartenant à l'acheteur ou à des</w:t>
      </w:r>
      <w:r>
        <w:rPr>
          <w:rFonts w:ascii="Marianne" w:hAnsi="Marianne" w:cs="Arial"/>
          <w:sz w:val="18"/>
          <w:szCs w:val="18"/>
          <w:lang w:val="fr-FR"/>
        </w:rPr>
        <w:t xml:space="preserve"> tiers.</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Le titulaire doit être couvert par un contrat d'assurance en cours de validité garantissant les conséquences pécuniaires de la responsabilité civile qu'il pourrait encourir en cas de dommages corporels et/ou matériels engendrés lors de l'exécution</w:t>
      </w:r>
      <w:r>
        <w:rPr>
          <w:rFonts w:ascii="Marianne" w:hAnsi="Marianne" w:cs="Arial"/>
          <w:sz w:val="18"/>
          <w:szCs w:val="18"/>
          <w:lang w:val="fr-FR"/>
        </w:rPr>
        <w:t xml:space="preserve"> des prestations.</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Il s'engage à remettre, sur simple demande écrite, à l'acheteur, une attestation de son assureur indiquant la nature, le montant et la durée de la garantie.</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Le titulaire s'engage à informer expressément l'acheteur de toute modification de son contrat d'assurance.</w:t>
      </w:r>
    </w:p>
    <w:p w:rsidR="001B30FD" w:rsidRDefault="001B30FD">
      <w:pPr>
        <w:pStyle w:val="Sansinterligne"/>
        <w:jc w:val="both"/>
        <w:rPr>
          <w:rFonts w:ascii="Marianne" w:hAnsi="Marianne" w:cs="Arial"/>
          <w:sz w:val="18"/>
          <w:szCs w:val="18"/>
          <w:lang w:val="fr-FR"/>
        </w:rPr>
      </w:pPr>
    </w:p>
    <w:p w:rsidR="001B30FD" w:rsidRDefault="008B589B">
      <w:pPr>
        <w:pStyle w:val="Sansinterligne"/>
        <w:jc w:val="both"/>
        <w:rPr>
          <w:rFonts w:ascii="Marianne" w:hAnsi="Marianne" w:cs="Arial"/>
          <w:sz w:val="18"/>
          <w:szCs w:val="18"/>
          <w:lang w:val="fr-FR"/>
        </w:rPr>
      </w:pPr>
      <w:r>
        <w:rPr>
          <w:rFonts w:ascii="Marianne" w:hAnsi="Marianne" w:cs="Arial"/>
          <w:sz w:val="18"/>
          <w:szCs w:val="18"/>
          <w:lang w:val="fr-FR"/>
        </w:rPr>
        <w:t>Les sous-traitants doivent fournir les mêmes documents que le titulaire.</w:t>
      </w:r>
    </w:p>
    <w:p w:rsidR="001B30FD" w:rsidRDefault="001B30FD">
      <w:pPr>
        <w:jc w:val="both"/>
        <w:rPr>
          <w:lang w:val="fr-FR"/>
        </w:rPr>
      </w:pPr>
    </w:p>
    <w:p w:rsidR="001B30FD" w:rsidRDefault="001B30FD">
      <w:pPr>
        <w:jc w:val="both"/>
        <w:rPr>
          <w:lang w:val="fr-FR"/>
        </w:rPr>
      </w:pPr>
    </w:p>
    <w:p w:rsidR="001B30FD" w:rsidRDefault="008B589B">
      <w:pPr>
        <w:pStyle w:val="Titre1"/>
        <w:rPr>
          <w:lang w:val="fr-FR"/>
        </w:rPr>
      </w:pPr>
      <w:bookmarkStart w:id="89" w:name="_Toc87"/>
      <w:r>
        <w:rPr>
          <w:lang w:val="fr-FR"/>
        </w:rPr>
        <w:t>DISPOSITIF DE VIGILANCE</w:t>
      </w:r>
      <w:bookmarkEnd w:id="89"/>
    </w:p>
    <w:p w:rsidR="001B30FD" w:rsidRDefault="001B30FD">
      <w:pPr>
        <w:ind w:left="426"/>
        <w:jc w:val="both"/>
        <w:rPr>
          <w:lang w:val="fr-FR"/>
        </w:rPr>
      </w:pPr>
    </w:p>
    <w:p w:rsidR="001B30FD" w:rsidRDefault="008B589B">
      <w:pPr>
        <w:jc w:val="both"/>
        <w:rPr>
          <w:lang w:val="fr-FR"/>
        </w:rPr>
      </w:pPr>
      <w:r>
        <w:rPr>
          <w:lang w:val="fr-FR"/>
        </w:rPr>
        <w:t xml:space="preserve">Afin de simplifier et sécuriser la transmission </w:t>
      </w:r>
      <w:r>
        <w:rPr>
          <w:lang w:val="fr-FR"/>
        </w:rPr>
        <w:t xml:space="preserve">des documents, les documents mentionnés aux article R.2143-3 et R.2143-6 à R.2143-10 du code de la commande publique et aux articles D-8222-5 et suivants du code du travail sont à déposer sur la plateforme : </w:t>
      </w:r>
      <w:hyperlink r:id="rId26" w:tooltip="http://www.e-attestations.com/" w:history="1">
        <w:r>
          <w:rPr>
            <w:rStyle w:val="LienInternet"/>
            <w:lang w:val="fr-FR"/>
          </w:rPr>
          <w:t>http://www.e-attestations.com</w:t>
        </w:r>
      </w:hyperlink>
      <w:r>
        <w:rPr>
          <w:lang w:val="fr-FR"/>
        </w:rPr>
        <w:t>.</w:t>
      </w:r>
    </w:p>
    <w:p w:rsidR="001B30FD" w:rsidRDefault="008B589B">
      <w:pPr>
        <w:jc w:val="both"/>
        <w:rPr>
          <w:u w:val="single"/>
          <w:lang w:val="fr-FR"/>
        </w:rPr>
      </w:pPr>
      <w:r>
        <w:rPr>
          <w:u w:val="single"/>
          <w:lang w:val="fr-FR"/>
        </w:rPr>
        <w:t>Le service de dépôt des documents est gratuit.</w:t>
      </w:r>
    </w:p>
    <w:p w:rsidR="001B30FD" w:rsidRDefault="008B589B">
      <w:pPr>
        <w:jc w:val="both"/>
        <w:rPr>
          <w:lang w:val="fr-FR"/>
        </w:rPr>
      </w:pPr>
      <w:r>
        <w:rPr>
          <w:lang w:val="fr-FR"/>
        </w:rPr>
        <w:t>Ces documents seront à déposer dans un délai de sept (7) jours à compter de la réception du courrier d’attribution, et tous les six (6) mois po</w:t>
      </w:r>
      <w:r>
        <w:rPr>
          <w:lang w:val="fr-FR"/>
        </w:rPr>
        <w:t>ur les documents le nécessitant. Il s’agit des documents suivants :</w:t>
      </w:r>
    </w:p>
    <w:p w:rsidR="001B30FD" w:rsidRDefault="008B589B">
      <w:pPr>
        <w:pStyle w:val="Paragraphedeliste"/>
        <w:numPr>
          <w:ilvl w:val="0"/>
          <w:numId w:val="12"/>
        </w:numPr>
        <w:spacing w:after="160" w:line="259" w:lineRule="auto"/>
        <w:ind w:left="709"/>
        <w:jc w:val="both"/>
        <w:rPr>
          <w:lang w:val="fr-FR"/>
        </w:rPr>
      </w:pPr>
      <w:r>
        <w:rPr>
          <w:lang w:val="fr-FR"/>
        </w:rPr>
        <w:t>La liste nominative des salariés étrangers soumis à autorisation de travail et travaillant directement ou indirectement pour ce marché</w:t>
      </w:r>
    </w:p>
    <w:p w:rsidR="001B30FD" w:rsidRDefault="008B589B">
      <w:pPr>
        <w:pStyle w:val="Paragraphedeliste"/>
        <w:numPr>
          <w:ilvl w:val="0"/>
          <w:numId w:val="12"/>
        </w:numPr>
        <w:spacing w:after="160" w:line="259" w:lineRule="auto"/>
        <w:ind w:left="709"/>
        <w:jc w:val="both"/>
        <w:rPr>
          <w:lang w:val="fr-FR"/>
        </w:rPr>
      </w:pPr>
      <w:r>
        <w:rPr>
          <w:lang w:val="fr-FR"/>
        </w:rPr>
        <w:t>Les certificats annuels attestant du paiement des cot</w:t>
      </w:r>
      <w:r>
        <w:rPr>
          <w:lang w:val="fr-FR"/>
        </w:rPr>
        <w:t>isations fiscales et sociales</w:t>
      </w:r>
    </w:p>
    <w:p w:rsidR="001B30FD" w:rsidRDefault="008B589B">
      <w:pPr>
        <w:pStyle w:val="Paragraphedeliste"/>
        <w:numPr>
          <w:ilvl w:val="0"/>
          <w:numId w:val="12"/>
        </w:numPr>
        <w:spacing w:after="160" w:line="259" w:lineRule="auto"/>
        <w:ind w:left="709"/>
        <w:jc w:val="both"/>
        <w:rPr>
          <w:lang w:val="fr-FR"/>
        </w:rPr>
      </w:pPr>
      <w:r>
        <w:rPr>
          <w:lang w:val="fr-FR"/>
        </w:rPr>
        <w:t>L’attestation d’assurance Responsabilité Civile et Professionnelle</w:t>
      </w:r>
    </w:p>
    <w:p w:rsidR="001B30FD" w:rsidRDefault="008B589B">
      <w:pPr>
        <w:jc w:val="both"/>
        <w:rPr>
          <w:lang w:val="fr-FR"/>
        </w:rPr>
      </w:pPr>
      <w:r>
        <w:rPr>
          <w:lang w:val="fr-FR"/>
        </w:rPr>
        <w:t>Cette demande vaut aussi pour les sous-traitants.</w:t>
      </w:r>
    </w:p>
    <w:p w:rsidR="001B30FD" w:rsidRDefault="008B589B">
      <w:pPr>
        <w:jc w:val="both"/>
        <w:rPr>
          <w:lang w:val="fr-FR"/>
        </w:rPr>
      </w:pPr>
      <w:r>
        <w:rPr>
          <w:lang w:val="fr-FR"/>
        </w:rPr>
        <w:lastRenderedPageBreak/>
        <w:t>Si le titulaire est déjà inscrit, certaines attestations, issues des organismes émetteurs (DGFIP, URSSAF,), p</w:t>
      </w:r>
      <w:r>
        <w:rPr>
          <w:lang w:val="fr-FR"/>
        </w:rPr>
        <w:t>ourraient déjà être déposées sur le compte.</w:t>
      </w:r>
    </w:p>
    <w:p w:rsidR="001B30FD" w:rsidRDefault="008B589B">
      <w:pPr>
        <w:jc w:val="both"/>
        <w:rPr>
          <w:lang w:val="fr-FR"/>
        </w:rPr>
      </w:pPr>
      <w:r>
        <w:rPr>
          <w:lang w:val="fr-FR"/>
        </w:rPr>
        <w:t xml:space="preserve">Pendant toutes la durée d’exécution du présent marché, le titulaire est responsable des dommages qui pourraient être causé soit aux personnes, aux biens ou aux installations dans le cadre des prestations qui lui </w:t>
      </w:r>
      <w:r>
        <w:rPr>
          <w:lang w:val="fr-FR"/>
        </w:rPr>
        <w:t>sont confiées. En conséquences, il s’engage à souscrire une assurance dont les garanties sont en rapport avec l’importance de la prestation et couvrant les conséquences pécuniaires des risques et responsabilités découlant de ses prestations.</w:t>
      </w:r>
    </w:p>
    <w:p w:rsidR="001B30FD" w:rsidRDefault="001B30FD">
      <w:pPr>
        <w:jc w:val="both"/>
        <w:rPr>
          <w:lang w:val="fr-FR"/>
        </w:rPr>
      </w:pPr>
    </w:p>
    <w:p w:rsidR="001B30FD" w:rsidRDefault="008B589B">
      <w:pPr>
        <w:jc w:val="both"/>
        <w:rPr>
          <w:lang w:val="fr-FR"/>
        </w:rPr>
      </w:pPr>
      <w:r>
        <w:rPr>
          <w:lang w:val="fr-FR"/>
        </w:rPr>
        <w:t>Le titulaire devra communiquer au réservataire tout changement dans ces contrats d’assurance.</w:t>
      </w:r>
    </w:p>
    <w:p w:rsidR="001B30FD" w:rsidRDefault="001B30FD">
      <w:pPr>
        <w:jc w:val="both"/>
        <w:rPr>
          <w:lang w:val="fr-FR"/>
        </w:rPr>
      </w:pPr>
    </w:p>
    <w:p w:rsidR="001B30FD" w:rsidRDefault="008B589B">
      <w:pPr>
        <w:jc w:val="both"/>
        <w:rPr>
          <w:lang w:val="fr-FR"/>
        </w:rPr>
      </w:pPr>
      <w:r>
        <w:rPr>
          <w:lang w:val="fr-FR"/>
        </w:rPr>
        <w:t>Le marché peut être résilié de plein droit à défaut de réception desdits documents dans les délais fixés.</w:t>
      </w:r>
    </w:p>
    <w:p w:rsidR="001B30FD" w:rsidRDefault="001B30FD">
      <w:pPr>
        <w:jc w:val="both"/>
        <w:rPr>
          <w:lang w:val="fr-FR"/>
        </w:rPr>
      </w:pPr>
    </w:p>
    <w:p w:rsidR="001B30FD" w:rsidRDefault="008B589B">
      <w:pPr>
        <w:pStyle w:val="Titre1"/>
        <w:rPr>
          <w:lang w:val="fr-FR"/>
        </w:rPr>
      </w:pPr>
      <w:bookmarkStart w:id="90" w:name="_Toc88"/>
      <w:r>
        <w:rPr>
          <w:lang w:val="fr-FR"/>
        </w:rPr>
        <w:t>DÉROGATIONS AU CCAG</w:t>
      </w:r>
      <w:bookmarkEnd w:id="90"/>
    </w:p>
    <w:p w:rsidR="001B30FD" w:rsidRDefault="001B30FD">
      <w:pPr>
        <w:ind w:left="567"/>
        <w:jc w:val="both"/>
        <w:rPr>
          <w:lang w:val="fr-FR"/>
        </w:rPr>
      </w:pPr>
    </w:p>
    <w:p w:rsidR="001B30FD" w:rsidRDefault="008B589B">
      <w:pPr>
        <w:pStyle w:val="Sansinterligne"/>
        <w:jc w:val="both"/>
        <w:rPr>
          <w:rFonts w:ascii="Marianne" w:hAnsi="Marianne" w:cs="Arial"/>
          <w:sz w:val="18"/>
          <w:lang w:val="fr-FR"/>
        </w:rPr>
      </w:pPr>
      <w:r>
        <w:rPr>
          <w:rFonts w:ascii="Marianne" w:hAnsi="Marianne" w:cs="Arial"/>
          <w:sz w:val="18"/>
          <w:lang w:val="fr-FR"/>
        </w:rPr>
        <w:t>Le présent CCAP déroge aux articl</w:t>
      </w:r>
      <w:r>
        <w:rPr>
          <w:rFonts w:ascii="Marianne" w:hAnsi="Marianne" w:cs="Arial"/>
          <w:sz w:val="18"/>
          <w:lang w:val="fr-FR"/>
        </w:rPr>
        <w:t xml:space="preserve">es suivants du CCAG-FCS : </w:t>
      </w:r>
    </w:p>
    <w:p w:rsidR="001B30FD" w:rsidRDefault="001B30FD">
      <w:pPr>
        <w:pStyle w:val="Sansinterligne"/>
        <w:ind w:left="927"/>
        <w:jc w:val="both"/>
        <w:rPr>
          <w:rFonts w:ascii="Marianne" w:hAnsi="Marianne" w:cs="Arial"/>
          <w:sz w:val="18"/>
          <w:lang w:val="fr-FR"/>
        </w:rPr>
      </w:pPr>
    </w:p>
    <w:tbl>
      <w:tblPr>
        <w:tblStyle w:val="Grilledutableau"/>
        <w:tblW w:w="0" w:type="auto"/>
        <w:jc w:val="center"/>
        <w:tblLook w:val="04A0" w:firstRow="1" w:lastRow="0" w:firstColumn="1" w:lastColumn="0" w:noHBand="0" w:noVBand="1"/>
      </w:tblPr>
      <w:tblGrid>
        <w:gridCol w:w="4531"/>
        <w:gridCol w:w="4531"/>
      </w:tblGrid>
      <w:tr w:rsidR="001B30FD" w:rsidRPr="009837D7">
        <w:trPr>
          <w:jc w:val="center"/>
        </w:trPr>
        <w:tc>
          <w:tcPr>
            <w:tcW w:w="4531" w:type="dxa"/>
            <w:shd w:val="clear" w:color="auto" w:fill="465F9D"/>
            <w:vAlign w:val="center"/>
          </w:tcPr>
          <w:p w:rsidR="001B30FD" w:rsidRDefault="008B589B">
            <w:pPr>
              <w:pStyle w:val="Sansinterligne"/>
              <w:jc w:val="center"/>
              <w:rPr>
                <w:rFonts w:ascii="Marianne" w:hAnsi="Marianne" w:cs="Arial"/>
                <w:color w:val="FFFFFF" w:themeColor="background1"/>
                <w:sz w:val="20"/>
                <w:lang w:val="fr-FR"/>
              </w:rPr>
            </w:pPr>
            <w:r>
              <w:rPr>
                <w:rFonts w:ascii="Marianne" w:hAnsi="Marianne" w:cs="Arial"/>
                <w:color w:val="FFFFFF" w:themeColor="background1"/>
                <w:sz w:val="20"/>
                <w:lang w:val="fr-FR"/>
              </w:rPr>
              <w:t>ARTICLES DU CCAP CONCERNÉS PAR UNE DÉROGATION</w:t>
            </w:r>
          </w:p>
        </w:tc>
        <w:tc>
          <w:tcPr>
            <w:tcW w:w="4531" w:type="dxa"/>
            <w:shd w:val="clear" w:color="auto" w:fill="465F9D"/>
            <w:vAlign w:val="center"/>
          </w:tcPr>
          <w:p w:rsidR="001B30FD" w:rsidRDefault="008B589B">
            <w:pPr>
              <w:pStyle w:val="Sansinterligne"/>
              <w:jc w:val="center"/>
              <w:rPr>
                <w:rFonts w:ascii="Marianne" w:hAnsi="Marianne" w:cs="Arial"/>
                <w:color w:val="FFFFFF" w:themeColor="background1"/>
                <w:sz w:val="20"/>
                <w:lang w:val="fr-FR"/>
              </w:rPr>
            </w:pPr>
            <w:r>
              <w:rPr>
                <w:rFonts w:ascii="Marianne" w:hAnsi="Marianne" w:cs="Arial"/>
                <w:color w:val="FFFFFF" w:themeColor="background1"/>
                <w:sz w:val="20"/>
                <w:lang w:val="fr-FR"/>
              </w:rPr>
              <w:t>ARTICLES DU CCAG AUXQUELS IL EST DÉROGÉ</w:t>
            </w:r>
          </w:p>
        </w:tc>
      </w:tr>
      <w:tr w:rsidR="001B30FD">
        <w:trPr>
          <w:jc w:val="center"/>
        </w:trPr>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13.1</w:t>
            </w:r>
          </w:p>
        </w:tc>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14.1.1</w:t>
            </w:r>
          </w:p>
        </w:tc>
      </w:tr>
      <w:tr w:rsidR="001B30FD">
        <w:trPr>
          <w:jc w:val="center"/>
        </w:trPr>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13.1</w:t>
            </w:r>
          </w:p>
        </w:tc>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14.1</w:t>
            </w:r>
          </w:p>
        </w:tc>
      </w:tr>
      <w:tr w:rsidR="001B30FD">
        <w:trPr>
          <w:jc w:val="center"/>
        </w:trPr>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13.1</w:t>
            </w:r>
          </w:p>
        </w:tc>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14.2</w:t>
            </w:r>
          </w:p>
        </w:tc>
      </w:tr>
      <w:tr w:rsidR="001B30FD">
        <w:trPr>
          <w:jc w:val="center"/>
        </w:trPr>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13.4.1</w:t>
            </w:r>
          </w:p>
        </w:tc>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14.1.3</w:t>
            </w:r>
          </w:p>
        </w:tc>
      </w:tr>
      <w:tr w:rsidR="001B30FD">
        <w:trPr>
          <w:jc w:val="center"/>
        </w:trPr>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12</w:t>
            </w:r>
          </w:p>
        </w:tc>
        <w:tc>
          <w:tcPr>
            <w:tcW w:w="4531" w:type="dxa"/>
            <w:vAlign w:val="center"/>
          </w:tcPr>
          <w:p w:rsidR="001B30FD" w:rsidRDefault="008B589B">
            <w:pPr>
              <w:pStyle w:val="Sansinterligne"/>
              <w:rPr>
                <w:rFonts w:ascii="Marianne" w:hAnsi="Marianne" w:cs="Arial"/>
                <w:sz w:val="18"/>
                <w:lang w:val="fr-FR"/>
              </w:rPr>
            </w:pPr>
            <w:r>
              <w:rPr>
                <w:rFonts w:ascii="Marianne" w:hAnsi="Marianne" w:cs="Arial"/>
                <w:sz w:val="18"/>
                <w:lang w:val="fr-FR"/>
              </w:rPr>
              <w:t>Article 14.1.2</w:t>
            </w:r>
          </w:p>
        </w:tc>
      </w:tr>
    </w:tbl>
    <w:p w:rsidR="001B30FD" w:rsidRDefault="001B30FD">
      <w:pPr>
        <w:jc w:val="both"/>
        <w:rPr>
          <w:lang w:val="fr-FR"/>
        </w:rPr>
      </w:pPr>
    </w:p>
    <w:p w:rsidR="001B30FD" w:rsidRDefault="001B30FD">
      <w:pPr>
        <w:jc w:val="both"/>
        <w:rPr>
          <w:rFonts w:cs="Marianne"/>
          <w:lang w:val="fr-FR"/>
        </w:rPr>
      </w:pPr>
    </w:p>
    <w:p w:rsidR="001B30FD" w:rsidRDefault="001B30FD">
      <w:pPr>
        <w:jc w:val="both"/>
        <w:rPr>
          <w:rFonts w:cs="Marianne"/>
          <w:lang w:val="fr-FR"/>
        </w:rPr>
      </w:pPr>
    </w:p>
    <w:sectPr w:rsidR="001B30FD">
      <w:headerReference w:type="default" r:id="rId27"/>
      <w:footerReference w:type="default" r:id="rId28"/>
      <w:headerReference w:type="first" r:id="rId29"/>
      <w:footerReference w:type="first" r:id="rId30"/>
      <w:pgSz w:w="12240" w:h="15840"/>
      <w:pgMar w:top="850" w:right="1020" w:bottom="794" w:left="1020" w:header="397" w:footer="3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89B" w:rsidRDefault="008B589B">
      <w:pPr>
        <w:spacing w:line="240" w:lineRule="auto"/>
      </w:pPr>
      <w:r>
        <w:separator/>
      </w:r>
    </w:p>
  </w:endnote>
  <w:endnote w:type="continuationSeparator" w:id="0">
    <w:p w:rsidR="008B589B" w:rsidRDefault="008B58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oto Serif CJK SC">
    <w:charset w:val="00"/>
    <w:family w:val="auto"/>
    <w:pitch w:val="default"/>
  </w:font>
  <w:font w:name="Lohit Devanagari">
    <w:altName w:val="Times New Roman"/>
    <w:charset w:val="00"/>
    <w:family w:val="auto"/>
    <w:pitch w:val="default"/>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MS Gothic;ＭＳ ゴシック">
    <w:charset w:val="00"/>
    <w:family w:val="auto"/>
    <w:pitch w:val="default"/>
  </w:font>
  <w:font w:name="Courier">
    <w:panose1 w:val="02070409020205020404"/>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Yu Gothic U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0"/>
    <w:family w:val="auto"/>
    <w:pitch w:val="default"/>
  </w:font>
  <w:font w:name="Marianne ExtraBold">
    <w:panose1 w:val="02000000000000000000"/>
    <w:charset w:val="00"/>
    <w:family w:val="modern"/>
    <w:notTrueType/>
    <w:pitch w:val="variable"/>
    <w:sig w:usb0="0000000F" w:usb1="00000000" w:usb2="00000000" w:usb3="00000000" w:csb0="00000003" w:csb1="00000000"/>
  </w:font>
  <w:font w:name="DejaVu Sans">
    <w:panose1 w:val="020B0603030804020204"/>
    <w:charset w:val="00"/>
    <w:family w:val="swiss"/>
    <w:pitch w:val="variable"/>
    <w:sig w:usb0="E7002EFF" w:usb1="D200FDFF" w:usb2="0A246029" w:usb3="00000000" w:csb0="000001FF" w:csb1="00000000"/>
  </w:font>
  <w:font w:name="font407">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0FD" w:rsidRDefault="001B30FD">
    <w:pPr>
      <w:pStyle w:val="Pieddepage"/>
    </w:pPr>
  </w:p>
  <w:p w:rsidR="001B30FD" w:rsidRDefault="001B30FD">
    <w:pPr>
      <w:pStyle w:val="PFRAFooter"/>
    </w:pPr>
  </w:p>
  <w:tbl>
    <w:tblPr>
      <w:tblW w:w="0" w:type="auto"/>
      <w:jc w:val="center"/>
      <w:tblLayout w:type="fixed"/>
      <w:tblCellMar>
        <w:left w:w="10" w:type="dxa"/>
        <w:right w:w="10" w:type="dxa"/>
      </w:tblCellMar>
      <w:tblLook w:val="04A0" w:firstRow="1" w:lastRow="0" w:firstColumn="1" w:lastColumn="0" w:noHBand="0" w:noVBand="1"/>
    </w:tblPr>
    <w:tblGrid>
      <w:gridCol w:w="2016"/>
      <w:gridCol w:w="4176"/>
      <w:gridCol w:w="3168"/>
    </w:tblGrid>
    <w:tr w:rsidR="001B30FD">
      <w:trPr>
        <w:jc w:val="center"/>
      </w:trPr>
      <w:tc>
        <w:tcPr>
          <w:tcW w:w="2016" w:type="dxa"/>
          <w:vAlign w:val="center"/>
        </w:tcPr>
        <w:p w:rsidR="001B30FD" w:rsidRDefault="008B589B">
          <w:pPr>
            <w:pStyle w:val="Pieddepage"/>
          </w:pPr>
          <w:r>
            <w:rPr>
              <w:b/>
              <w:i/>
              <w:color w:val="808080"/>
              <w:sz w:val="16"/>
            </w:rPr>
            <w:t>CCAP</w:t>
          </w:r>
        </w:p>
      </w:tc>
      <w:tc>
        <w:tcPr>
          <w:tcW w:w="4176" w:type="dxa"/>
          <w:vAlign w:val="center"/>
        </w:tcPr>
        <w:p w:rsidR="001B30FD" w:rsidRDefault="008B589B">
          <w:pPr>
            <w:pStyle w:val="Pieddepage"/>
            <w:jc w:val="center"/>
          </w:pPr>
          <w:r>
            <w:rPr>
              <w:b/>
              <w:i/>
              <w:color w:val="808080"/>
              <w:sz w:val="16"/>
            </w:rPr>
            <w:fldChar w:fldCharType="begin"/>
          </w:r>
          <w:r>
            <w:rPr>
              <w:b/>
              <w:i/>
              <w:color w:val="808080"/>
              <w:sz w:val="16"/>
            </w:rPr>
            <w:instrText xml:space="preserve"> STYLEREF  "PFRA Cover Market Title" </w:instrText>
          </w:r>
          <w:r>
            <w:rPr>
              <w:b/>
              <w:i/>
              <w:color w:val="808080"/>
              <w:sz w:val="16"/>
            </w:rPr>
            <w:fldChar w:fldCharType="separate"/>
          </w:r>
          <w:r w:rsidR="009837D7">
            <w:rPr>
              <w:b/>
              <w:i/>
              <w:noProof/>
              <w:color w:val="808080"/>
              <w:sz w:val="16"/>
            </w:rPr>
            <w:t>GESTION DE NUITÉES HÔTELIÈRES D’HÉBERGEMENT D’URGENCE_LOT2</w:t>
          </w:r>
          <w:r>
            <w:rPr>
              <w:b/>
              <w:i/>
              <w:color w:val="808080"/>
              <w:sz w:val="16"/>
            </w:rPr>
            <w:fldChar w:fldCharType="end"/>
          </w:r>
        </w:p>
      </w:tc>
      <w:tc>
        <w:tcPr>
          <w:tcW w:w="3168" w:type="dxa"/>
          <w:vAlign w:val="center"/>
        </w:tcPr>
        <w:p w:rsidR="001B30FD" w:rsidRDefault="008B589B">
          <w:pPr>
            <w:pStyle w:val="Pieddepage"/>
            <w:jc w:val="right"/>
          </w:pPr>
          <w:r>
            <w:rPr>
              <w:i/>
              <w:color w:val="808080"/>
              <w:sz w:val="16"/>
            </w:rPr>
            <w:fldChar w:fldCharType="begin"/>
          </w:r>
          <w:r>
            <w:rPr>
              <w:i/>
              <w:color w:val="808080"/>
              <w:sz w:val="16"/>
            </w:rPr>
            <w:instrText xml:space="preserve"> STYLEREF  "PFRA Cover Market Reference" </w:instrText>
          </w:r>
          <w:r>
            <w:rPr>
              <w:i/>
              <w:color w:val="808080"/>
              <w:sz w:val="16"/>
            </w:rPr>
            <w:fldChar w:fldCharType="separate"/>
          </w:r>
          <w:r w:rsidR="009837D7">
            <w:rPr>
              <w:i/>
              <w:noProof/>
              <w:color w:val="808080"/>
              <w:sz w:val="16"/>
            </w:rPr>
            <w:t>2026PFRAOCC005_LOT2</w:t>
          </w:r>
          <w:r>
            <w:rPr>
              <w:i/>
              <w:color w:val="808080"/>
              <w:sz w:val="16"/>
            </w:rPr>
            <w:fldChar w:fldCharType="end"/>
          </w:r>
          <w:r>
            <w:rPr>
              <w:i/>
              <w:color w:val="808080"/>
              <w:sz w:val="16"/>
            </w:rPr>
            <w:t xml:space="preserve">  |  Page </w:t>
          </w:r>
          <w:r>
            <w:rPr>
              <w:i/>
              <w:color w:val="808080"/>
              <w:sz w:val="16"/>
            </w:rPr>
            <w:fldChar w:fldCharType="begin"/>
          </w:r>
          <w:r>
            <w:rPr>
              <w:i/>
              <w:color w:val="808080"/>
              <w:sz w:val="16"/>
            </w:rPr>
            <w:instrText xml:space="preserve"> PAGE </w:instrText>
          </w:r>
          <w:r>
            <w:rPr>
              <w:i/>
              <w:color w:val="808080"/>
              <w:sz w:val="16"/>
            </w:rPr>
            <w:fldChar w:fldCharType="separate"/>
          </w:r>
          <w:r w:rsidR="009837D7">
            <w:rPr>
              <w:i/>
              <w:noProof/>
              <w:color w:val="808080"/>
              <w:sz w:val="16"/>
            </w:rPr>
            <w:t>2</w:t>
          </w:r>
          <w:r>
            <w:rPr>
              <w:i/>
              <w:color w:val="808080"/>
              <w:sz w:val="16"/>
            </w:rPr>
            <w:fldChar w:fldCharType="end"/>
          </w:r>
          <w:r>
            <w:rPr>
              <w:i/>
              <w:color w:val="808080"/>
              <w:sz w:val="16"/>
            </w:rPr>
            <w:t xml:space="preserve"> sur </w:t>
          </w:r>
          <w:r>
            <w:rPr>
              <w:i/>
              <w:color w:val="808080"/>
              <w:sz w:val="16"/>
            </w:rPr>
            <w:fldChar w:fldCharType="begin"/>
          </w:r>
          <w:r>
            <w:rPr>
              <w:i/>
              <w:color w:val="808080"/>
              <w:sz w:val="16"/>
            </w:rPr>
            <w:instrText xml:space="preserve"> NUMPAGES </w:instrText>
          </w:r>
          <w:r>
            <w:rPr>
              <w:i/>
              <w:color w:val="808080"/>
              <w:sz w:val="16"/>
            </w:rPr>
            <w:fldChar w:fldCharType="separate"/>
          </w:r>
          <w:r w:rsidR="009837D7">
            <w:rPr>
              <w:i/>
              <w:noProof/>
              <w:color w:val="808080"/>
              <w:sz w:val="16"/>
            </w:rPr>
            <w:t>33</w:t>
          </w:r>
          <w:r>
            <w:rPr>
              <w:i/>
              <w:color w:val="808080"/>
              <w:sz w:val="16"/>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ayout w:type="fixed"/>
      <w:tblCellMar>
        <w:left w:w="10" w:type="dxa"/>
        <w:right w:w="10" w:type="dxa"/>
      </w:tblCellMar>
      <w:tblLook w:val="04A0" w:firstRow="1" w:lastRow="0" w:firstColumn="1" w:lastColumn="0" w:noHBand="0" w:noVBand="1"/>
    </w:tblPr>
    <w:tblGrid>
      <w:gridCol w:w="2016"/>
      <w:gridCol w:w="4176"/>
      <w:gridCol w:w="3168"/>
    </w:tblGrid>
    <w:tr w:rsidR="001B30FD">
      <w:trPr>
        <w:jc w:val="center"/>
      </w:trPr>
      <w:tc>
        <w:tcPr>
          <w:tcW w:w="2016" w:type="dxa"/>
          <w:vAlign w:val="center"/>
        </w:tcPr>
        <w:p w:rsidR="001B30FD" w:rsidRDefault="008B589B">
          <w:pPr>
            <w:pStyle w:val="Pieddepage"/>
          </w:pPr>
          <w:r>
            <w:rPr>
              <w:b/>
              <w:i/>
              <w:color w:val="808080"/>
              <w:sz w:val="16"/>
            </w:rPr>
            <w:t>CCAP</w:t>
          </w:r>
        </w:p>
      </w:tc>
      <w:tc>
        <w:tcPr>
          <w:tcW w:w="4176" w:type="dxa"/>
          <w:vAlign w:val="center"/>
        </w:tcPr>
        <w:p w:rsidR="001B30FD" w:rsidRDefault="008B589B">
          <w:pPr>
            <w:pStyle w:val="Pieddepage"/>
            <w:jc w:val="center"/>
          </w:pPr>
          <w:r>
            <w:rPr>
              <w:b/>
              <w:i/>
              <w:color w:val="808080"/>
              <w:sz w:val="16"/>
            </w:rPr>
            <w:fldChar w:fldCharType="begin"/>
          </w:r>
          <w:r>
            <w:rPr>
              <w:b/>
              <w:i/>
              <w:color w:val="808080"/>
              <w:sz w:val="16"/>
            </w:rPr>
            <w:instrText xml:space="preserve"> STYLEREF  "PFRA Cover Market Title" </w:instrText>
          </w:r>
          <w:r>
            <w:rPr>
              <w:b/>
              <w:i/>
              <w:color w:val="808080"/>
              <w:sz w:val="16"/>
            </w:rPr>
            <w:fldChar w:fldCharType="separate"/>
          </w:r>
          <w:r w:rsidR="009837D7">
            <w:rPr>
              <w:b/>
              <w:i/>
              <w:noProof/>
              <w:color w:val="808080"/>
              <w:sz w:val="16"/>
            </w:rPr>
            <w:t>GESTION DE NUITÉES HÔTELIÈRES D’HÉBERGEMENT D’URGENCE_LOT2</w:t>
          </w:r>
          <w:r>
            <w:rPr>
              <w:b/>
              <w:i/>
              <w:color w:val="808080"/>
              <w:sz w:val="16"/>
            </w:rPr>
            <w:fldChar w:fldCharType="end"/>
          </w:r>
        </w:p>
      </w:tc>
      <w:tc>
        <w:tcPr>
          <w:tcW w:w="3168" w:type="dxa"/>
          <w:vAlign w:val="center"/>
        </w:tcPr>
        <w:p w:rsidR="001B30FD" w:rsidRDefault="008B589B">
          <w:pPr>
            <w:pStyle w:val="Pieddepage"/>
            <w:jc w:val="right"/>
          </w:pPr>
          <w:r>
            <w:rPr>
              <w:i/>
              <w:color w:val="808080"/>
              <w:sz w:val="16"/>
            </w:rPr>
            <w:fldChar w:fldCharType="begin"/>
          </w:r>
          <w:r>
            <w:rPr>
              <w:i/>
              <w:color w:val="808080"/>
              <w:sz w:val="16"/>
            </w:rPr>
            <w:instrText xml:space="preserve"> STYLEREF  "PFRA Cover Market Reference" </w:instrText>
          </w:r>
          <w:r>
            <w:rPr>
              <w:i/>
              <w:color w:val="808080"/>
              <w:sz w:val="16"/>
            </w:rPr>
            <w:fldChar w:fldCharType="separate"/>
          </w:r>
          <w:r w:rsidR="009837D7">
            <w:rPr>
              <w:i/>
              <w:noProof/>
              <w:color w:val="808080"/>
              <w:sz w:val="16"/>
            </w:rPr>
            <w:t>2026PFRAOCC005_LOT2</w:t>
          </w:r>
          <w:r>
            <w:rPr>
              <w:i/>
              <w:color w:val="808080"/>
              <w:sz w:val="16"/>
            </w:rPr>
            <w:fldChar w:fldCharType="end"/>
          </w:r>
          <w:r>
            <w:rPr>
              <w:i/>
              <w:color w:val="808080"/>
              <w:sz w:val="16"/>
            </w:rPr>
            <w:t xml:space="preserve">  |  Page </w:t>
          </w:r>
          <w:r>
            <w:rPr>
              <w:i/>
              <w:color w:val="808080"/>
              <w:sz w:val="16"/>
            </w:rPr>
            <w:fldChar w:fldCharType="begin"/>
          </w:r>
          <w:r>
            <w:rPr>
              <w:i/>
              <w:color w:val="808080"/>
              <w:sz w:val="16"/>
            </w:rPr>
            <w:instrText xml:space="preserve"> PAGE </w:instrText>
          </w:r>
          <w:r>
            <w:rPr>
              <w:i/>
              <w:color w:val="808080"/>
              <w:sz w:val="16"/>
            </w:rPr>
            <w:fldChar w:fldCharType="separate"/>
          </w:r>
          <w:r w:rsidR="009837D7">
            <w:rPr>
              <w:i/>
              <w:noProof/>
              <w:color w:val="808080"/>
              <w:sz w:val="16"/>
            </w:rPr>
            <w:t>1</w:t>
          </w:r>
          <w:r>
            <w:rPr>
              <w:i/>
              <w:color w:val="808080"/>
              <w:sz w:val="16"/>
            </w:rPr>
            <w:fldChar w:fldCharType="end"/>
          </w:r>
          <w:r>
            <w:rPr>
              <w:i/>
              <w:color w:val="808080"/>
              <w:sz w:val="16"/>
            </w:rPr>
            <w:t xml:space="preserve"> sur </w:t>
          </w:r>
          <w:r>
            <w:rPr>
              <w:i/>
              <w:color w:val="808080"/>
              <w:sz w:val="16"/>
            </w:rPr>
            <w:fldChar w:fldCharType="begin"/>
          </w:r>
          <w:r>
            <w:rPr>
              <w:i/>
              <w:color w:val="808080"/>
              <w:sz w:val="16"/>
            </w:rPr>
            <w:instrText xml:space="preserve"> NUMPAGES </w:instrText>
          </w:r>
          <w:r>
            <w:rPr>
              <w:i/>
              <w:color w:val="808080"/>
              <w:sz w:val="16"/>
            </w:rPr>
            <w:fldChar w:fldCharType="separate"/>
          </w:r>
          <w:r w:rsidR="009837D7">
            <w:rPr>
              <w:i/>
              <w:noProof/>
              <w:color w:val="808080"/>
              <w:sz w:val="16"/>
            </w:rPr>
            <w:t>33</w:t>
          </w:r>
          <w:r>
            <w:rPr>
              <w:i/>
              <w:color w:val="808080"/>
              <w:sz w:val="16"/>
            </w:rPr>
            <w:fldChar w:fldCharType="end"/>
          </w:r>
        </w:p>
      </w:tc>
    </w:tr>
  </w:tbl>
  <w:p w:rsidR="001B30FD" w:rsidRDefault="001B30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89B" w:rsidRDefault="008B589B">
      <w:pPr>
        <w:spacing w:line="240" w:lineRule="auto"/>
      </w:pPr>
      <w:r>
        <w:separator/>
      </w:r>
    </w:p>
  </w:footnote>
  <w:footnote w:type="continuationSeparator" w:id="0">
    <w:p w:rsidR="008B589B" w:rsidRDefault="008B58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0FD" w:rsidRDefault="001B30FD">
    <w:pPr>
      <w:pStyle w:val="En-tte"/>
      <w:rPr>
        <w:lang w:val="en-GB" w:eastAsia="en-GB"/>
      </w:rPr>
    </w:pPr>
  </w:p>
  <w:p w:rsidR="001B30FD" w:rsidRDefault="001B30FD">
    <w:pPr>
      <w:pStyle w:val="En-tte"/>
      <w:rPr>
        <w:lang w:val="en-GB" w:eastAsia="en-GB"/>
      </w:rPr>
    </w:pPr>
  </w:p>
  <w:p w:rsidR="001B30FD" w:rsidRDefault="001B30FD">
    <w:pPr>
      <w:pStyle w:val="En-tte"/>
      <w:rPr>
        <w:lang w:val="en-GB" w:eastAsia="en-GB"/>
      </w:rPr>
    </w:pPr>
  </w:p>
  <w:p w:rsidR="001B30FD" w:rsidRDefault="001B30FD">
    <w:pPr>
      <w:pStyle w:val="En-tte"/>
      <w:rPr>
        <w:color w:val="404040"/>
        <w:sz w:val="16"/>
        <w:lang w:val="fr-F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0FD" w:rsidRDefault="001B30FD">
    <w:pPr>
      <w:pStyle w:val="En-tte"/>
      <w:rPr>
        <w:lang w:val="en-GB" w:eastAsia="en-GB"/>
      </w:rPr>
    </w:pPr>
  </w:p>
  <w:p w:rsidR="001B30FD" w:rsidRDefault="001B30FD">
    <w:pPr>
      <w:pStyle w:val="En-tte"/>
      <w:rPr>
        <w:lang w:val="en-GB" w:eastAsia="en-GB"/>
      </w:rPr>
    </w:pPr>
  </w:p>
  <w:p w:rsidR="001B30FD" w:rsidRDefault="001B30FD">
    <w:pPr>
      <w:pStyle w:val="En-tte"/>
      <w:rPr>
        <w:lang w:val="en-GB" w:eastAsia="en-GB"/>
      </w:rPr>
    </w:pPr>
  </w:p>
  <w:p w:rsidR="001B30FD" w:rsidRDefault="008B589B">
    <w:pPr>
      <w:pStyle w:val="En-tte"/>
    </w:pPr>
    <w:r>
      <w:rPr>
        <w:noProof/>
        <w:lang w:val="en-GB" w:eastAsia="en-GB"/>
      </w:rPr>
      <mc:AlternateContent>
        <mc:Choice Requires="wpg">
          <w:drawing>
            <wp:anchor distT="45720" distB="45720" distL="114300" distR="114300" simplePos="0" relativeHeight="251657728" behindDoc="0" locked="0" layoutInCell="1" allowOverlap="1">
              <wp:simplePos x="0" y="0"/>
              <wp:positionH relativeFrom="column">
                <wp:posOffset>4696460</wp:posOffset>
              </wp:positionH>
              <wp:positionV relativeFrom="paragraph">
                <wp:posOffset>287655</wp:posOffset>
              </wp:positionV>
              <wp:extent cx="1933575" cy="1038225"/>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rsidR="001B30FD" w:rsidRDefault="008B589B">
                          <w:pPr>
                            <w:pStyle w:val="En-tte"/>
                            <w:tabs>
                              <w:tab w:val="left" w:pos="6885"/>
                            </w:tabs>
                            <w:jc w:val="right"/>
                            <w:rPr>
                              <w:b/>
                              <w:sz w:val="28"/>
                              <w:lang w:val="fr-FR" w:eastAsia="fr-FR"/>
                            </w:rPr>
                          </w:pPr>
                          <w:r>
                            <w:rPr>
                              <w:b/>
                              <w:sz w:val="28"/>
                              <w:lang w:val="fr-FR" w:eastAsia="fr-FR"/>
                            </w:rPr>
                            <w:t>Secrétariat Général pour les Affaires Régionales</w:t>
                          </w:r>
                        </w:p>
                        <w:p w:rsidR="001B30FD" w:rsidRDefault="001B30FD">
                          <w:pPr>
                            <w:jc w:val="right"/>
                            <w:rPr>
                              <w:lang w:val="fr-FR"/>
                            </w:rPr>
                          </w:pPr>
                        </w:p>
                        <w:p w:rsidR="001B30FD" w:rsidRDefault="001B30FD">
                          <w:pPr>
                            <w:rPr>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0" o:spid="_x0000_s0" o:spt="202" type="#_x0000_t202" style="position:absolute;z-index:251657728;o:allowoverlap:true;o:allowincell:true;mso-position-horizontal-relative:text;margin-left:369.80pt;mso-position-horizontal:absolute;mso-position-vertical-relative:text;margin-top:22.65pt;mso-position-vertical:absolute;width:152.25pt;height:81.75pt;mso-wrap-distance-left:9.00pt;mso-wrap-distance-top:3.60pt;mso-wrap-distance-right:9.00pt;mso-wrap-distance-bottom:3.60pt;v-text-anchor:top;visibility:visible;" filled="f" stroked="f" strokeweight="0.75pt">
              <w10:wrap type="square"/>
              <v:textbox inset="0,0,0,0">
                <w:txbxContent>
                  <w:p w14:paraId="703941F8" w14:textId="77777777">
                    <w:pPr>
                      <w:pStyle w:val="1206"/>
                      <w:pBdr/>
                      <w:tabs>
                        <w:tab w:val="left" w:leader="none" w:pos="6885"/>
                      </w:tabs>
                      <w:spacing/>
                      <w:ind/>
                      <w:jc w:val="right"/>
                      <w:rPr>
                        <w:b/>
                        <w:sz w:val="28"/>
                        <w:lang w:val="fr-FR" w:eastAsia="fr-FR"/>
                      </w:rPr>
                    </w:pPr>
                    <w:r>
                      <w:rPr>
                        <w:b/>
                        <w:sz w:val="28"/>
                        <w:lang w:val="fr-FR" w:eastAsia="fr-FR"/>
                      </w:rPr>
                      <w:t xml:space="preserve">Secrétariat Général pour les Affaires Régionales</w:t>
                    </w:r>
                    <w:r>
                      <w:rPr>
                        <w:b/>
                        <w:sz w:val="28"/>
                        <w:lang w:val="fr-FR" w:eastAsia="fr-FR"/>
                      </w:rPr>
                    </w:r>
                    <w:r>
                      <w:rPr>
                        <w:b/>
                        <w:sz w:val="28"/>
                        <w:lang w:val="fr-FR" w:eastAsia="fr-FR"/>
                      </w:rPr>
                    </w:r>
                  </w:p>
                  <w:p w14:paraId="5FA4C858" w14:textId="77777777">
                    <w:pPr>
                      <w:pBdr/>
                      <w:spacing/>
                      <w:ind/>
                      <w:jc w:val="right"/>
                      <w:rPr>
                        <w:lang w:val="fr-FR"/>
                      </w:rPr>
                    </w:pPr>
                    <w:r>
                      <w:rPr>
                        <w:lang w:val="fr-FR"/>
                      </w:rPr>
                    </w:r>
                    <w:r>
                      <w:rPr>
                        <w:lang w:val="fr-FR"/>
                      </w:rPr>
                    </w:r>
                    <w:r>
                      <w:rPr>
                        <w:lang w:val="fr-FR"/>
                      </w:rPr>
                    </w:r>
                  </w:p>
                  <w:p w14:paraId="4FA6BE8C" w14:textId="77777777">
                    <w:pPr>
                      <w:pBdr/>
                      <w:spacing/>
                      <w:ind/>
                      <w:rPr>
                        <w:lang w:val="fr-FR"/>
                      </w:rPr>
                    </w:pPr>
                    <w:r>
                      <w:rPr>
                        <w:lang w:val="fr-FR"/>
                      </w:rPr>
                    </w:r>
                    <w:r>
                      <w:rPr>
                        <w:lang w:val="fr-FR"/>
                      </w:rPr>
                    </w:r>
                    <w:r>
                      <w:rPr>
                        <w:lang w:val="fr-FR"/>
                      </w:rPr>
                    </w:r>
                  </w:p>
                </w:txbxContent>
              </v:textbox>
            </v:shape>
          </w:pict>
        </mc:Fallback>
      </mc:AlternateContent>
    </w:r>
    <w:r>
      <w:rPr>
        <w:noProof/>
        <w:lang w:val="en-GB" w:eastAsia="en-GB"/>
      </w:rPr>
      <mc:AlternateContent>
        <mc:Choice Requires="wpg">
          <w:drawing>
            <wp:inline distT="0" distB="0" distL="0" distR="0">
              <wp:extent cx="1553845" cy="1390015"/>
              <wp:effectExtent l="0" t="0" r="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pic:cNvPicPr>
                    </pic:nvPicPr>
                    <pic:blipFill rotWithShape="1">
                      <a:blip r:embed="rId1"/>
                      <a:stretch/>
                    </pic:blipFill>
                    <pic:spPr bwMode="auto">
                      <a:xfrm>
                        <a:off x="0" y="0"/>
                        <a:ext cx="1553845" cy="139001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2.35pt;height:109.45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38FB"/>
    <w:multiLevelType w:val="multilevel"/>
    <w:tmpl w:val="F0C69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070A"/>
    <w:multiLevelType w:val="multilevel"/>
    <w:tmpl w:val="434C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9F196F"/>
    <w:multiLevelType w:val="multilevel"/>
    <w:tmpl w:val="E73C95B2"/>
    <w:lvl w:ilvl="0">
      <w:start w:val="1"/>
      <w:numFmt w:val="bullet"/>
      <w:pStyle w:val="Listepuces3"/>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630CDD"/>
    <w:multiLevelType w:val="multilevel"/>
    <w:tmpl w:val="75FE0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027FE2"/>
    <w:multiLevelType w:val="multilevel"/>
    <w:tmpl w:val="4738B348"/>
    <w:lvl w:ilvl="0">
      <w:start w:val="1"/>
      <w:numFmt w:val="decimal"/>
      <w:pStyle w:val="Listenumros"/>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3A4095"/>
    <w:multiLevelType w:val="multilevel"/>
    <w:tmpl w:val="5C324588"/>
    <w:lvl w:ilvl="0">
      <w:start w:val="1"/>
      <w:numFmt w:val="bullet"/>
      <w:pStyle w:val="Listepuces"/>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DE6430"/>
    <w:multiLevelType w:val="multilevel"/>
    <w:tmpl w:val="E24E4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F4097D"/>
    <w:multiLevelType w:val="multilevel"/>
    <w:tmpl w:val="986E19E0"/>
    <w:lvl w:ilvl="0">
      <w:start w:val="1"/>
      <w:numFmt w:val="decimal"/>
      <w:pStyle w:val="Listenumros3"/>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DE1F82"/>
    <w:multiLevelType w:val="multilevel"/>
    <w:tmpl w:val="2D209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63B5A45"/>
    <w:multiLevelType w:val="multilevel"/>
    <w:tmpl w:val="5416505E"/>
    <w:lvl w:ilvl="0">
      <w:start w:val="1"/>
      <w:numFmt w:val="bullet"/>
      <w:pStyle w:val="Listepuces2"/>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CD5CDD"/>
    <w:multiLevelType w:val="multilevel"/>
    <w:tmpl w:val="8038852A"/>
    <w:lvl w:ilvl="0">
      <w:start w:val="1"/>
      <w:numFmt w:val="decimal"/>
      <w:lvlText w:val="%1."/>
      <w:lvlJc w:val="left"/>
      <w:pPr>
        <w:ind w:left="2084" w:hanging="360"/>
      </w:pPr>
    </w:lvl>
    <w:lvl w:ilvl="1">
      <w:start w:val="1"/>
      <w:numFmt w:val="lowerLetter"/>
      <w:lvlText w:val="%2."/>
      <w:lvlJc w:val="left"/>
      <w:pPr>
        <w:ind w:left="2804" w:hanging="360"/>
      </w:pPr>
    </w:lvl>
    <w:lvl w:ilvl="2">
      <w:start w:val="1"/>
      <w:numFmt w:val="lowerRoman"/>
      <w:lvlText w:val="%3."/>
      <w:lvlJc w:val="right"/>
      <w:pPr>
        <w:ind w:left="3524" w:hanging="180"/>
      </w:pPr>
    </w:lvl>
    <w:lvl w:ilvl="3">
      <w:start w:val="1"/>
      <w:numFmt w:val="decimal"/>
      <w:lvlText w:val="%4."/>
      <w:lvlJc w:val="left"/>
      <w:pPr>
        <w:ind w:left="4244" w:hanging="360"/>
      </w:pPr>
    </w:lvl>
    <w:lvl w:ilvl="4">
      <w:start w:val="1"/>
      <w:numFmt w:val="lowerLetter"/>
      <w:lvlText w:val="%5."/>
      <w:lvlJc w:val="left"/>
      <w:pPr>
        <w:ind w:left="4964" w:hanging="360"/>
      </w:pPr>
    </w:lvl>
    <w:lvl w:ilvl="5">
      <w:start w:val="1"/>
      <w:numFmt w:val="lowerRoman"/>
      <w:lvlText w:val="%6."/>
      <w:lvlJc w:val="right"/>
      <w:pPr>
        <w:ind w:left="5684" w:hanging="180"/>
      </w:pPr>
    </w:lvl>
    <w:lvl w:ilvl="6">
      <w:start w:val="1"/>
      <w:numFmt w:val="decimal"/>
      <w:lvlText w:val="%7."/>
      <w:lvlJc w:val="left"/>
      <w:pPr>
        <w:ind w:left="6404" w:hanging="360"/>
      </w:pPr>
    </w:lvl>
    <w:lvl w:ilvl="7">
      <w:start w:val="1"/>
      <w:numFmt w:val="lowerLetter"/>
      <w:lvlText w:val="%8."/>
      <w:lvlJc w:val="left"/>
      <w:pPr>
        <w:ind w:left="7124" w:hanging="360"/>
      </w:pPr>
    </w:lvl>
    <w:lvl w:ilvl="8">
      <w:start w:val="1"/>
      <w:numFmt w:val="lowerRoman"/>
      <w:lvlText w:val="%9."/>
      <w:lvlJc w:val="right"/>
      <w:pPr>
        <w:ind w:left="7844" w:hanging="180"/>
      </w:pPr>
    </w:lvl>
  </w:abstractNum>
  <w:abstractNum w:abstractNumId="11" w15:restartNumberingAfterBreak="0">
    <w:nsid w:val="29EB5017"/>
    <w:multiLevelType w:val="multilevel"/>
    <w:tmpl w:val="43E0386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D165C23"/>
    <w:multiLevelType w:val="multilevel"/>
    <w:tmpl w:val="FC060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A476D"/>
    <w:multiLevelType w:val="multilevel"/>
    <w:tmpl w:val="D9728806"/>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5B1FA1"/>
    <w:multiLevelType w:val="multilevel"/>
    <w:tmpl w:val="C284C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04ED7"/>
    <w:multiLevelType w:val="multilevel"/>
    <w:tmpl w:val="4BFC8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C5736"/>
    <w:multiLevelType w:val="multilevel"/>
    <w:tmpl w:val="C952D6F0"/>
    <w:lvl w:ilvl="0">
      <w:start w:val="3"/>
      <w:numFmt w:val="bullet"/>
      <w:lvlText w:val=""/>
      <w:lvlJc w:val="left"/>
      <w:pPr>
        <w:ind w:left="1440" w:hanging="360"/>
      </w:pPr>
      <w:rPr>
        <w:rFonts w:ascii="Symbol" w:eastAsiaTheme="minorHAnsi" w:hAnsi="Symbo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34BB351A"/>
    <w:multiLevelType w:val="multilevel"/>
    <w:tmpl w:val="48FEA62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CD67C9"/>
    <w:multiLevelType w:val="multilevel"/>
    <w:tmpl w:val="AA8EA7E0"/>
    <w:lvl w:ilvl="0">
      <w:start w:val="1"/>
      <w:numFmt w:val="decimal"/>
      <w:pStyle w:val="Listenumros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AA6853"/>
    <w:multiLevelType w:val="multilevel"/>
    <w:tmpl w:val="D6D0915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44233F01"/>
    <w:multiLevelType w:val="multilevel"/>
    <w:tmpl w:val="30A6D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1654CE"/>
    <w:multiLevelType w:val="multilevel"/>
    <w:tmpl w:val="F4167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A05782"/>
    <w:multiLevelType w:val="multilevel"/>
    <w:tmpl w:val="4C40B5B4"/>
    <w:lvl w:ilvl="0">
      <w:start w:val="1"/>
      <w:numFmt w:val="decimal"/>
      <w:pStyle w:val="Titre1"/>
      <w:suff w:val="space"/>
      <w:lvlText w:val="ARTICLE %1."/>
      <w:lvlJc w:val="left"/>
      <w:pPr>
        <w:ind w:left="284" w:hanging="284"/>
      </w:pPr>
      <w:rPr>
        <w:rFonts w:hint="default"/>
      </w:rPr>
    </w:lvl>
    <w:lvl w:ilvl="1">
      <w:start w:val="1"/>
      <w:numFmt w:val="decimal"/>
      <w:pStyle w:val="Titre2"/>
      <w:lvlText w:val="%1.%2"/>
      <w:lvlJc w:val="left"/>
      <w:pPr>
        <w:ind w:left="1144" w:hanging="576"/>
      </w:pPr>
      <w:rPr>
        <w:rFonts w:hint="default"/>
      </w:rPr>
    </w:lvl>
    <w:lvl w:ilvl="2">
      <w:start w:val="1"/>
      <w:numFmt w:val="decimal"/>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3" w15:restartNumberingAfterBreak="0">
    <w:nsid w:val="51690281"/>
    <w:multiLevelType w:val="multilevel"/>
    <w:tmpl w:val="359E7390"/>
    <w:lvl w:ilvl="0">
      <w:start w:val="1"/>
      <w:numFmt w:val="bullet"/>
      <w:lvlText w:val=""/>
      <w:lvlJc w:val="left"/>
      <w:pPr>
        <w:ind w:left="720" w:hanging="360"/>
      </w:pPr>
      <w:rPr>
        <w:rFonts w:ascii="Symbol" w:hAnsi="Symbol" w:hint="default"/>
        <w:b/>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05BC7E"/>
    <w:multiLevelType w:val="multilevel"/>
    <w:tmpl w:val="B60EE73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Wingdings" w:eastAsia="Wingdings" w:hAnsi="Wingdings" w:cs="Wingdings" w:hint="default"/>
      </w:rPr>
    </w:lvl>
    <w:lvl w:ilvl="4">
      <w:start w:val="1"/>
      <w:numFmt w:val="bullet"/>
      <w:lvlText w:val=""/>
      <w:lvlJc w:val="left"/>
      <w:pPr>
        <w:ind w:left="3600" w:hanging="360"/>
      </w:pPr>
      <w:rPr>
        <w:rFonts w:ascii="Wingdings" w:eastAsia="Wingdings" w:hAnsi="Wingdings" w:cs="Wingdings"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Wingdings" w:eastAsia="Wingdings" w:hAnsi="Wingdings" w:cs="Wingdings" w:hint="default"/>
      </w:rPr>
    </w:lvl>
    <w:lvl w:ilvl="7">
      <w:start w:val="1"/>
      <w:numFmt w:val="bullet"/>
      <w:lvlText w:val=""/>
      <w:lvlJc w:val="left"/>
      <w:pPr>
        <w:ind w:left="5760" w:hanging="360"/>
      </w:pPr>
      <w:rPr>
        <w:rFonts w:ascii="Wingdings" w:eastAsia="Wingdings" w:hAnsi="Wingdings" w:cs="Wingdings" w:hint="default"/>
      </w:rPr>
    </w:lvl>
    <w:lvl w:ilvl="8">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64776FFD"/>
    <w:multiLevelType w:val="multilevel"/>
    <w:tmpl w:val="67B88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86521C"/>
    <w:multiLevelType w:val="multilevel"/>
    <w:tmpl w:val="0A86F1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815D52"/>
    <w:multiLevelType w:val="multilevel"/>
    <w:tmpl w:val="655E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B038C5"/>
    <w:multiLevelType w:val="multilevel"/>
    <w:tmpl w:val="C332F5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8"/>
  </w:num>
  <w:num w:numId="3">
    <w:abstractNumId w:val="2"/>
  </w:num>
  <w:num w:numId="4">
    <w:abstractNumId w:val="9"/>
  </w:num>
  <w:num w:numId="5">
    <w:abstractNumId w:val="4"/>
  </w:num>
  <w:num w:numId="6">
    <w:abstractNumId w:val="5"/>
  </w:num>
  <w:num w:numId="7">
    <w:abstractNumId w:val="10"/>
  </w:num>
  <w:num w:numId="8">
    <w:abstractNumId w:val="23"/>
  </w:num>
  <w:num w:numId="9">
    <w:abstractNumId w:val="13"/>
  </w:num>
  <w:num w:numId="10">
    <w:abstractNumId w:val="28"/>
  </w:num>
  <w:num w:numId="11">
    <w:abstractNumId w:val="11"/>
  </w:num>
  <w:num w:numId="12">
    <w:abstractNumId w:val="17"/>
  </w:num>
  <w:num w:numId="13">
    <w:abstractNumId w:val="22"/>
  </w:num>
  <w:num w:numId="14">
    <w:abstractNumId w:val="14"/>
  </w:num>
  <w:num w:numId="15">
    <w:abstractNumId w:val="12"/>
  </w:num>
  <w:num w:numId="16">
    <w:abstractNumId w:val="20"/>
  </w:num>
  <w:num w:numId="17">
    <w:abstractNumId w:val="25"/>
  </w:num>
  <w:num w:numId="18">
    <w:abstractNumId w:val="26"/>
  </w:num>
  <w:num w:numId="19">
    <w:abstractNumId w:val="21"/>
  </w:num>
  <w:num w:numId="20">
    <w:abstractNumId w:val="1"/>
  </w:num>
  <w:num w:numId="21">
    <w:abstractNumId w:val="3"/>
  </w:num>
  <w:num w:numId="22">
    <w:abstractNumId w:val="0"/>
  </w:num>
  <w:num w:numId="23">
    <w:abstractNumId w:val="27"/>
  </w:num>
  <w:num w:numId="24">
    <w:abstractNumId w:val="19"/>
  </w:num>
  <w:num w:numId="25">
    <w:abstractNumId w:val="24"/>
  </w:num>
  <w:num w:numId="26">
    <w:abstractNumId w:val="16"/>
  </w:num>
  <w:num w:numId="27">
    <w:abstractNumId w:val="6"/>
  </w:num>
  <w:num w:numId="28">
    <w:abstractNumId w:val="15"/>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0FD"/>
    <w:rsid w:val="001B30FD"/>
    <w:rsid w:val="008B589B"/>
    <w:rsid w:val="00983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0F01F-A3DA-496E-9A9C-EAC2BC3DF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rFonts w:ascii="Marianne" w:eastAsia="Arial" w:hAnsi="Marianne" w:cs="Arial"/>
      <w:color w:val="000000"/>
      <w:sz w:val="18"/>
      <w:szCs w:val="22"/>
      <w:lang w:val="en-US" w:eastAsia="zh-CN"/>
    </w:rPr>
  </w:style>
  <w:style w:type="paragraph" w:styleId="Titre1">
    <w:name w:val="heading 1"/>
    <w:basedOn w:val="Normal"/>
    <w:next w:val="Normal"/>
    <w:link w:val="Titre1Car"/>
    <w:qFormat/>
    <w:pPr>
      <w:keepNext/>
      <w:keepLines/>
      <w:numPr>
        <w:numId w:val="13"/>
      </w:numPr>
      <w:pBdr>
        <w:bottom w:val="single" w:sz="12" w:space="1" w:color="305F91"/>
      </w:pBdr>
      <w:shd w:val="clear" w:color="auto" w:fill="465F9D"/>
      <w:jc w:val="both"/>
      <w:outlineLvl w:val="0"/>
    </w:pPr>
    <w:rPr>
      <w:rFonts w:eastAsia="Times New Roman"/>
      <w:b/>
      <w:color w:val="FFFFFF"/>
      <w:sz w:val="28"/>
      <w:szCs w:val="36"/>
    </w:rPr>
  </w:style>
  <w:style w:type="paragraph" w:styleId="Titre2">
    <w:name w:val="heading 2"/>
    <w:basedOn w:val="Normal"/>
    <w:next w:val="Normal"/>
    <w:link w:val="Titre2Car"/>
    <w:unhideWhenUsed/>
    <w:qFormat/>
    <w:pPr>
      <w:keepNext/>
      <w:keepLines/>
      <w:numPr>
        <w:ilvl w:val="1"/>
        <w:numId w:val="13"/>
      </w:numPr>
      <w:jc w:val="both"/>
      <w:outlineLvl w:val="1"/>
    </w:pPr>
    <w:rPr>
      <w:rFonts w:eastAsia="Times New Roman" w:cs="Times New Roman"/>
      <w:b/>
      <w:color w:val="465F9D"/>
      <w:sz w:val="26"/>
      <w:szCs w:val="26"/>
    </w:rPr>
  </w:style>
  <w:style w:type="paragraph" w:styleId="Titre3">
    <w:name w:val="heading 3"/>
    <w:basedOn w:val="Normal"/>
    <w:next w:val="Normal"/>
    <w:link w:val="Titre3Car"/>
    <w:uiPriority w:val="9"/>
    <w:unhideWhenUsed/>
    <w:qFormat/>
    <w:pPr>
      <w:keepNext/>
      <w:keepLines/>
      <w:spacing w:before="40"/>
      <w:outlineLvl w:val="2"/>
    </w:pPr>
    <w:rPr>
      <w:rFonts w:eastAsia="Times New Roman" w:cs="Times New Roman"/>
      <w:color w:val="1F4D78"/>
      <w:sz w:val="24"/>
      <w:szCs w:val="24"/>
    </w:rPr>
  </w:style>
  <w:style w:type="paragraph" w:styleId="Titre4">
    <w:name w:val="heading 4"/>
    <w:basedOn w:val="Normal"/>
    <w:next w:val="Normal"/>
    <w:link w:val="Titre4Car1"/>
    <w:qFormat/>
    <w:pPr>
      <w:keepNext/>
      <w:keepLines/>
      <w:numPr>
        <w:ilvl w:val="3"/>
        <w:numId w:val="13"/>
      </w:numPr>
      <w:spacing w:before="200"/>
      <w:outlineLvl w:val="3"/>
    </w:pPr>
    <w:rPr>
      <w:rFonts w:ascii="Calibri" w:eastAsia="MS Gothic;ＭＳ ゴシック" w:hAnsi="Calibri" w:cs="Times New Roman"/>
      <w:b/>
      <w:bCs/>
      <w:i/>
      <w:iCs/>
      <w:color w:val="4F81BD"/>
    </w:rPr>
  </w:style>
  <w:style w:type="paragraph" w:styleId="Titre5">
    <w:name w:val="heading 5"/>
    <w:basedOn w:val="Normal"/>
    <w:next w:val="Normal"/>
    <w:link w:val="Titre5Car1"/>
    <w:qFormat/>
    <w:pPr>
      <w:keepNext/>
      <w:keepLines/>
      <w:numPr>
        <w:ilvl w:val="4"/>
        <w:numId w:val="13"/>
      </w:numPr>
      <w:spacing w:before="200"/>
      <w:outlineLvl w:val="4"/>
    </w:pPr>
    <w:rPr>
      <w:rFonts w:ascii="Calibri" w:eastAsia="MS Gothic;ＭＳ ゴシック" w:hAnsi="Calibri" w:cs="Times New Roman"/>
      <w:color w:val="243F60"/>
    </w:rPr>
  </w:style>
  <w:style w:type="paragraph" w:styleId="Titre6">
    <w:name w:val="heading 6"/>
    <w:basedOn w:val="Normal"/>
    <w:next w:val="Normal"/>
    <w:link w:val="Titre6Car1"/>
    <w:qFormat/>
    <w:pPr>
      <w:keepNext/>
      <w:keepLines/>
      <w:numPr>
        <w:ilvl w:val="5"/>
        <w:numId w:val="13"/>
      </w:numPr>
      <w:spacing w:before="200"/>
      <w:outlineLvl w:val="5"/>
    </w:pPr>
    <w:rPr>
      <w:rFonts w:ascii="Calibri" w:eastAsia="MS Gothic;ＭＳ ゴシック" w:hAnsi="Calibri" w:cs="Times New Roman"/>
      <w:i/>
      <w:iCs/>
      <w:color w:val="243F60"/>
    </w:rPr>
  </w:style>
  <w:style w:type="paragraph" w:styleId="Titre7">
    <w:name w:val="heading 7"/>
    <w:basedOn w:val="Normal"/>
    <w:next w:val="Normal"/>
    <w:link w:val="Titre7Car1"/>
    <w:qFormat/>
    <w:pPr>
      <w:keepNext/>
      <w:keepLines/>
      <w:numPr>
        <w:ilvl w:val="6"/>
        <w:numId w:val="13"/>
      </w:numPr>
      <w:spacing w:before="200"/>
      <w:outlineLvl w:val="6"/>
    </w:pPr>
    <w:rPr>
      <w:rFonts w:ascii="Calibri" w:eastAsia="MS Gothic;ＭＳ ゴシック" w:hAnsi="Calibri" w:cs="Times New Roman"/>
      <w:i/>
      <w:iCs/>
      <w:color w:val="404040"/>
    </w:rPr>
  </w:style>
  <w:style w:type="paragraph" w:styleId="Titre8">
    <w:name w:val="heading 8"/>
    <w:basedOn w:val="Normal"/>
    <w:next w:val="Normal"/>
    <w:link w:val="Titre8Car1"/>
    <w:qFormat/>
    <w:pPr>
      <w:keepNext/>
      <w:keepLines/>
      <w:numPr>
        <w:ilvl w:val="7"/>
        <w:numId w:val="13"/>
      </w:numPr>
      <w:spacing w:before="200"/>
      <w:outlineLvl w:val="7"/>
    </w:pPr>
    <w:rPr>
      <w:rFonts w:ascii="Calibri" w:eastAsia="MS Gothic;ＭＳ ゴシック" w:hAnsi="Calibri" w:cs="Times New Roman"/>
      <w:color w:val="4F81BD"/>
      <w:szCs w:val="20"/>
    </w:rPr>
  </w:style>
  <w:style w:type="paragraph" w:styleId="Titre9">
    <w:name w:val="heading 9"/>
    <w:basedOn w:val="Normal"/>
    <w:next w:val="Normal"/>
    <w:link w:val="Titre9Car1"/>
    <w:qFormat/>
    <w:pPr>
      <w:keepNext/>
      <w:keepLines/>
      <w:numPr>
        <w:ilvl w:val="8"/>
        <w:numId w:val="13"/>
      </w:numPr>
      <w:spacing w:before="200"/>
      <w:outlineLvl w:val="8"/>
    </w:pPr>
    <w:rPr>
      <w:rFonts w:ascii="Calibri" w:eastAsia="MS Gothic;ＭＳ ゴシック" w:hAnsi="Calibri" w:cs="Times New Roman"/>
      <w:i/>
      <w:iCs/>
      <w:color w:val="40404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4Char">
    <w:name w:val="Heading 4 Char"/>
    <w:basedOn w:val="Policepardfaut"/>
    <w:uiPriority w:val="9"/>
    <w:rPr>
      <w:rFonts w:ascii="Arial" w:eastAsia="Arial" w:hAnsi="Arial" w:cs="Arial"/>
      <w:i/>
      <w:iCs/>
      <w:color w:val="117A02" w:themeColor="accent1" w:themeShade="BF"/>
    </w:rPr>
  </w:style>
  <w:style w:type="character" w:customStyle="1" w:styleId="Heading5Char">
    <w:name w:val="Heading 5 Char"/>
    <w:basedOn w:val="Policepardfaut"/>
    <w:uiPriority w:val="9"/>
    <w:rPr>
      <w:rFonts w:ascii="Arial" w:eastAsia="Arial" w:hAnsi="Arial" w:cs="Arial"/>
      <w:color w:val="117A02"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117A02" w:themeColor="accent1" w:themeShade="BF"/>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Pr>
    <w:tblStylePr w:type="firstRow">
      <w:rPr>
        <w:b/>
        <w:color w:val="404040"/>
      </w:rPr>
      <w:tblPr/>
      <w:tcPr>
        <w:tcBorders>
          <w:bottom w:val="single" w:sz="12" w:space="0" w:color="52FB39"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Pr>
    <w:tblStylePr w:type="firstRow">
      <w:rPr>
        <w:b/>
        <w:color w:val="404040"/>
      </w:rPr>
      <w:tblPr/>
      <w:tcPr>
        <w:tcBorders>
          <w:bottom w:val="single" w:sz="12" w:space="0" w:color="39B4FB"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Pr>
    <w:tblStylePr w:type="firstRow">
      <w:rPr>
        <w:b/>
        <w:color w:val="404040"/>
      </w:rPr>
      <w:tblPr/>
      <w:tcPr>
        <w:tcBorders>
          <w:bottom w:val="single" w:sz="12" w:space="0" w:color="FB8039"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Pr>
    <w:tblStylePr w:type="firstRow">
      <w:rPr>
        <w:b/>
        <w:color w:val="404040"/>
      </w:rPr>
      <w:tblPr/>
      <w:tcPr>
        <w:tcBorders>
          <w:bottom w:val="single" w:sz="12" w:space="0" w:color="E139FB"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Pr>
    <w:tblStylePr w:type="firstRow">
      <w:rPr>
        <w:b/>
        <w:color w:val="404040"/>
      </w:rPr>
      <w:tblPr/>
      <w:tcPr>
        <w:tcBorders>
          <w:bottom w:val="single" w:sz="12" w:space="0" w:color="FFD54A"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Pr>
    <w:tblStylePr w:type="firstRow">
      <w:rPr>
        <w:b/>
        <w:color w:val="404040"/>
      </w:rPr>
      <w:tblPr/>
      <w:tcPr>
        <w:tcBorders>
          <w:bottom w:val="single" w:sz="12" w:space="0" w:color="E9727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1BBE03" w:themeColor="accent1" w:themeTint="EA"/>
        <w:insideH w:val="single" w:sz="4" w:space="0" w:color="1BBE03" w:themeColor="accent1" w:themeTint="EA"/>
        <w:insideV w:val="single" w:sz="4" w:space="0" w:color="1BBE03" w:themeColor="accent1" w:themeTint="EA"/>
      </w:tblBorders>
    </w:tblPr>
    <w:tblStylePr w:type="firstRow">
      <w:rPr>
        <w:b/>
        <w:color w:val="404040"/>
      </w:rPr>
      <w:tblPr/>
      <w:tcPr>
        <w:tcBorders>
          <w:top w:val="none" w:sz="4" w:space="0" w:color="000000"/>
          <w:left w:val="none" w:sz="4" w:space="0" w:color="000000"/>
          <w:bottom w:val="single" w:sz="12" w:space="0" w:color="1BBE03" w:themeColor="accent1" w:themeTint="EA"/>
          <w:right w:val="none" w:sz="4" w:space="0" w:color="000000"/>
        </w:tcBorders>
        <w:shd w:val="clear" w:color="FFFFFF" w:fill="auto"/>
      </w:tcPr>
    </w:tblStylePr>
    <w:tblStylePr w:type="lastRow">
      <w:rPr>
        <w:b/>
        <w:color w:val="404040"/>
      </w:rPr>
      <w:tblPr/>
      <w:tcPr>
        <w:tcBorders>
          <w:top w:val="single" w:sz="4" w:space="0" w:color="1BBE03"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FDB9" w:themeColor="accent1" w:themeTint="34" w:fill="C2FDB9" w:themeFill="accent1" w:themeFillTint="34"/>
      </w:tcPr>
    </w:tblStylePr>
    <w:tblStylePr w:type="band1Horz">
      <w:rPr>
        <w:rFonts w:ascii="Arial" w:hAnsi="Arial"/>
        <w:color w:val="404040"/>
        <w:sz w:val="22"/>
      </w:rPr>
      <w:tblPr/>
      <w:tcPr>
        <w:shd w:val="clear" w:color="C2FDB9" w:themeColor="accent1" w:themeTint="34" w:fill="C2FDB9"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color w:val="404040"/>
      </w:rPr>
      <w:tblPr/>
      <w:tcPr>
        <w:tcBorders>
          <w:top w:val="none" w:sz="4" w:space="0" w:color="000000"/>
          <w:left w:val="none" w:sz="4" w:space="0" w:color="000000"/>
          <w:bottom w:val="single" w:sz="12" w:space="0" w:color="36B3FB" w:themeColor="accent2" w:themeTint="97"/>
          <w:right w:val="none" w:sz="4" w:space="0" w:color="000000"/>
        </w:tcBorders>
        <w:shd w:val="clear" w:color="FFFFFF" w:fill="auto"/>
      </w:tcPr>
    </w:tblStylePr>
    <w:tblStylePr w:type="lastRow">
      <w:rPr>
        <w:b/>
        <w:color w:val="404040"/>
      </w:rPr>
      <w:tblPr/>
      <w:tcPr>
        <w:tcBorders>
          <w:top w:val="single" w:sz="4" w:space="0" w:color="36B3FB"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color w:val="404040"/>
      </w:rPr>
      <w:tblPr/>
      <w:tcPr>
        <w:tcBorders>
          <w:top w:val="none" w:sz="4" w:space="0" w:color="000000"/>
          <w:left w:val="none" w:sz="4" w:space="0" w:color="000000"/>
          <w:bottom w:val="single" w:sz="12" w:space="0" w:color="A43E03" w:themeColor="accent3" w:themeTint="FE"/>
          <w:right w:val="none" w:sz="4" w:space="0" w:color="000000"/>
        </w:tcBorders>
        <w:shd w:val="clear" w:color="FFFFFF" w:fill="auto"/>
      </w:tcPr>
    </w:tblStylePr>
    <w:tblStylePr w:type="lastRow">
      <w:rPr>
        <w:b/>
        <w:color w:val="404040"/>
      </w:rPr>
      <w:tblPr/>
      <w:tcPr>
        <w:tcBorders>
          <w:top w:val="single" w:sz="4" w:space="0" w:color="A43E03"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color w:val="404040"/>
      </w:rPr>
      <w:tblPr/>
      <w:tcPr>
        <w:tcBorders>
          <w:top w:val="none" w:sz="4" w:space="0" w:color="000000"/>
          <w:left w:val="none" w:sz="4" w:space="0" w:color="000000"/>
          <w:bottom w:val="single" w:sz="12" w:space="0" w:color="E032FB" w:themeColor="accent4" w:themeTint="9A"/>
          <w:right w:val="none" w:sz="4" w:space="0" w:color="000000"/>
        </w:tcBorders>
        <w:shd w:val="clear" w:color="FFFFFF" w:fill="auto"/>
      </w:tcPr>
    </w:tblStylePr>
    <w:tblStylePr w:type="lastRow">
      <w:rPr>
        <w:b/>
        <w:color w:val="404040"/>
      </w:rPr>
      <w:tblPr/>
      <w:tcPr>
        <w:tcBorders>
          <w:top w:val="single" w:sz="4" w:space="0" w:color="E032FB"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C99C00" w:themeColor="accent5"/>
        <w:insideH w:val="single" w:sz="4" w:space="0" w:color="C99C00" w:themeColor="accent5"/>
        <w:insideV w:val="single" w:sz="4" w:space="0" w:color="C99C00" w:themeColor="accent5"/>
      </w:tblBorders>
    </w:tblPr>
    <w:tblStylePr w:type="firstRow">
      <w:rPr>
        <w:b/>
        <w:color w:val="404040"/>
      </w:rPr>
      <w:tblPr/>
      <w:tcPr>
        <w:tcBorders>
          <w:top w:val="none" w:sz="4" w:space="0" w:color="000000"/>
          <w:left w:val="none" w:sz="4" w:space="0" w:color="000000"/>
          <w:bottom w:val="single" w:sz="12" w:space="0" w:color="C99C00" w:themeColor="accent5"/>
          <w:right w:val="none" w:sz="4" w:space="0" w:color="000000"/>
        </w:tcBorders>
        <w:shd w:val="clear" w:color="FFFFFF" w:fill="auto"/>
      </w:tcPr>
    </w:tblStylePr>
    <w:tblStylePr w:type="lastRow">
      <w:rPr>
        <w:b/>
        <w:color w:val="404040"/>
      </w:rPr>
      <w:tblPr/>
      <w:tcPr>
        <w:tcBorders>
          <w:top w:val="single" w:sz="4" w:space="0" w:color="C99C00"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C9211E" w:themeColor="accent6"/>
        <w:insideH w:val="single" w:sz="4" w:space="0" w:color="C9211E" w:themeColor="accent6"/>
        <w:insideV w:val="single" w:sz="4" w:space="0" w:color="C9211E" w:themeColor="accent6"/>
      </w:tblBorders>
    </w:tblPr>
    <w:tblStylePr w:type="firstRow">
      <w:rPr>
        <w:b/>
        <w:color w:val="404040"/>
      </w:rPr>
      <w:tblPr/>
      <w:tcPr>
        <w:tcBorders>
          <w:top w:val="none" w:sz="4" w:space="0" w:color="000000"/>
          <w:left w:val="none" w:sz="4" w:space="0" w:color="000000"/>
          <w:bottom w:val="single" w:sz="12" w:space="0" w:color="C9211E" w:themeColor="accent6"/>
          <w:right w:val="none" w:sz="4" w:space="0" w:color="000000"/>
        </w:tcBorders>
        <w:shd w:val="clear" w:color="FFFFFF" w:fill="auto"/>
      </w:tcPr>
    </w:tblStylePr>
    <w:tblStylePr w:type="lastRow">
      <w:rPr>
        <w:b/>
        <w:color w:val="404040"/>
      </w:rPr>
      <w:tblPr/>
      <w:tcPr>
        <w:tcBorders>
          <w:top w:val="single" w:sz="4" w:space="0" w:color="C9211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1BBE03" w:themeColor="accent1" w:themeTint="EA"/>
        <w:insideH w:val="single" w:sz="4" w:space="0" w:color="1BBE03" w:themeColor="accent1" w:themeTint="EA"/>
        <w:insideV w:val="single" w:sz="4" w:space="0" w:color="1BBE03"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2FDB9" w:themeColor="accent1" w:themeTint="34" w:fill="C2FDB9" w:themeFill="accent1" w:themeFillTint="34"/>
      </w:tcPr>
    </w:tblStylePr>
    <w:tblStylePr w:type="band1Horz">
      <w:rPr>
        <w:rFonts w:ascii="Arial" w:hAnsi="Arial"/>
        <w:color w:val="404040"/>
        <w:sz w:val="22"/>
      </w:rPr>
      <w:tblPr/>
      <w:tcPr>
        <w:shd w:val="clear" w:color="C2FDB9" w:themeColor="accent1" w:themeTint="34" w:fill="C2FDB9"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C99C00" w:themeColor="accent5"/>
        <w:insideH w:val="single" w:sz="4" w:space="0" w:color="C99C00" w:themeColor="accent5"/>
        <w:insideV w:val="single" w:sz="4" w:space="0" w:color="C99C00"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C9211E" w:themeColor="accent6"/>
        <w:insideH w:val="single" w:sz="4" w:space="0" w:color="C9211E" w:themeColor="accent6"/>
        <w:insideV w:val="single" w:sz="4" w:space="0" w:color="C9211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insideV w:val="single" w:sz="4" w:space="0" w:color="58FB40" w:themeColor="accent1" w:themeTint="90"/>
      </w:tblBorders>
    </w:tblPr>
    <w:tblStylePr w:type="firstRow">
      <w:rPr>
        <w:rFonts w:ascii="Arial" w:hAnsi="Arial"/>
        <w:b/>
        <w:color w:val="FFFFFF"/>
        <w:sz w:val="22"/>
      </w:rPr>
      <w:tblPr/>
      <w:tcPr>
        <w:tcBorders>
          <w:top w:val="single" w:sz="4" w:space="0" w:color="1BBE03" w:themeColor="accent1" w:themeTint="EA"/>
          <w:left w:val="single" w:sz="4" w:space="0" w:color="1BBE03" w:themeColor="accent1" w:themeTint="EA"/>
          <w:bottom w:val="single" w:sz="4" w:space="0" w:color="1BBE03" w:themeColor="accent1" w:themeTint="EA"/>
          <w:right w:val="single" w:sz="4" w:space="0" w:color="1BBE03" w:themeColor="accent1" w:themeTint="EA"/>
        </w:tcBorders>
        <w:shd w:val="clear" w:color="1BBE03" w:themeColor="accent1" w:themeTint="EA" w:fill="1BBE03" w:themeFill="accent1" w:themeFillTint="EA"/>
      </w:tcPr>
    </w:tblStylePr>
    <w:tblStylePr w:type="lastRow">
      <w:rPr>
        <w:b/>
        <w:color w:val="404040"/>
      </w:rPr>
      <w:tblPr/>
      <w:tcPr>
        <w:tcBorders>
          <w:top w:val="single" w:sz="4" w:space="0" w:color="1BBE03"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4FDBC" w:themeColor="accent1" w:themeTint="32" w:fill="C4FDBC" w:themeFill="accent1" w:themeFillTint="32"/>
      </w:tcPr>
    </w:tblStylePr>
    <w:tblStylePr w:type="band1Horz">
      <w:rPr>
        <w:rFonts w:ascii="Arial" w:hAnsi="Arial"/>
        <w:color w:val="404040"/>
        <w:sz w:val="22"/>
      </w:rPr>
      <w:tblPr/>
      <w:tcPr>
        <w:shd w:val="clear" w:color="C4FDBC" w:themeColor="accent1" w:themeTint="32" w:fill="C4FDBC"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insideV w:val="single" w:sz="4" w:space="0" w:color="40B7FB" w:themeColor="accent2" w:themeTint="90"/>
      </w:tblBorders>
    </w:tblPr>
    <w:tblStylePr w:type="firstRow">
      <w:rPr>
        <w:rFonts w:ascii="Arial" w:hAnsi="Arial"/>
        <w:b/>
        <w:color w:val="FFFFFF"/>
        <w:sz w:val="22"/>
      </w:rPr>
      <w:tblPr/>
      <w:tcPr>
        <w:tc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tcBorders>
        <w:shd w:val="clear" w:color="36B3FB" w:themeColor="accent2" w:themeTint="97" w:fill="36B3FB" w:themeFill="accent2" w:themeFillTint="97"/>
      </w:tcPr>
    </w:tblStylePr>
    <w:tblStylePr w:type="lastRow">
      <w:rPr>
        <w:b/>
        <w:color w:val="404040"/>
      </w:rPr>
      <w:tblPr/>
      <w:tcPr>
        <w:tcBorders>
          <w:top w:val="single" w:sz="4" w:space="0" w:color="36B3FB"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insideV w:val="single" w:sz="4" w:space="0" w:color="FB8540" w:themeColor="accent3" w:themeTint="90"/>
      </w:tblBorders>
    </w:tblPr>
    <w:tblStylePr w:type="firstRow">
      <w:rPr>
        <w:rFonts w:ascii="Arial" w:hAnsi="Arial"/>
        <w:b/>
        <w:color w:val="FFFFFF"/>
        <w:sz w:val="22"/>
      </w:rPr>
      <w:tblPr/>
      <w:tcPr>
        <w:tcBorders>
          <w:top w:val="single" w:sz="4" w:space="0" w:color="A43E03" w:themeColor="accent3" w:themeTint="FE"/>
          <w:left w:val="single" w:sz="4" w:space="0" w:color="A43E03" w:themeColor="accent3" w:themeTint="FE"/>
          <w:bottom w:val="single" w:sz="4" w:space="0" w:color="A43E03" w:themeColor="accent3" w:themeTint="FE"/>
          <w:right w:val="single" w:sz="4" w:space="0" w:color="A43E03" w:themeColor="accent3" w:themeTint="FE"/>
        </w:tcBorders>
        <w:shd w:val="clear" w:color="A43E03" w:themeColor="accent3" w:themeTint="FE" w:fill="A43E03" w:themeFill="accent3" w:themeFillTint="FE"/>
      </w:tcPr>
    </w:tblStylePr>
    <w:tblStylePr w:type="lastRow">
      <w:rPr>
        <w:b/>
        <w:color w:val="404040"/>
      </w:rPr>
      <w:tblPr/>
      <w:tcPr>
        <w:tcBorders>
          <w:top w:val="single" w:sz="4" w:space="0" w:color="A43E03"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insideV w:val="single" w:sz="4" w:space="0" w:color="E240FB" w:themeColor="accent4" w:themeTint="90"/>
      </w:tblBorders>
    </w:tblPr>
    <w:tblStylePr w:type="firstRow">
      <w:rPr>
        <w:rFonts w:ascii="Arial" w:hAnsi="Arial"/>
        <w:b/>
        <w:color w:val="FFFFFF"/>
        <w:sz w:val="22"/>
      </w:rPr>
      <w:tblPr/>
      <w:tcPr>
        <w:tc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tcBorders>
        <w:shd w:val="clear" w:color="E032FB" w:themeColor="accent4" w:themeTint="9A" w:fill="E032FB" w:themeFill="accent4" w:themeFillTint="9A"/>
      </w:tcPr>
    </w:tblStylePr>
    <w:tblStylePr w:type="lastRow">
      <w:rPr>
        <w:b/>
        <w:color w:val="404040"/>
      </w:rPr>
      <w:tblPr/>
      <w:tcPr>
        <w:tcBorders>
          <w:top w:val="single" w:sz="4" w:space="0" w:color="E032FB"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Pr>
    <w:tblStylePr w:type="firstRow">
      <w:rPr>
        <w:rFonts w:ascii="Arial" w:hAnsi="Arial"/>
        <w:b/>
        <w:color w:val="FFFFFF"/>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shd w:val="clear" w:color="C99C00" w:themeColor="accent5" w:fill="C99C00" w:themeFill="accent5"/>
      </w:tcPr>
    </w:tblStylePr>
    <w:tblStylePr w:type="lastRow">
      <w:rPr>
        <w:b/>
        <w:color w:val="404040"/>
      </w:rPr>
      <w:tblPr/>
      <w:tcPr>
        <w:tcBorders>
          <w:top w:val="single" w:sz="4" w:space="0" w:color="C99C00"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Pr>
    <w:tblStylePr w:type="firstRow">
      <w:rPr>
        <w:rFonts w:ascii="Arial" w:hAnsi="Arial"/>
        <w:b/>
        <w:color w:val="FFFFFF"/>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shd w:val="clear" w:color="C9211E" w:themeColor="accent6" w:fill="C9211E" w:themeFill="accent6"/>
      </w:tcPr>
    </w:tblStylePr>
    <w:tblStylePr w:type="lastRow">
      <w:rPr>
        <w:b/>
        <w:color w:val="404040"/>
      </w:rPr>
      <w:tblPr/>
      <w:tcPr>
        <w:tcBorders>
          <w:top w:val="single" w:sz="4" w:space="0" w:color="C9211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2FDB9" w:themeColor="accent1" w:themeTint="34" w:fill="C2FDB9" w:themeFill="accent1" w:themeFillTint="34"/>
    </w:tblPr>
    <w:tblStylePr w:type="firstRow">
      <w:rPr>
        <w:rFonts w:ascii="Arial" w:hAnsi="Arial"/>
        <w:b/>
        <w:color w:val="FFFFFF"/>
        <w:sz w:val="22"/>
      </w:rPr>
      <w:tblPr/>
      <w:tcPr>
        <w:shd w:val="clear" w:color="18A303" w:themeColor="accent1" w:fill="18A303" w:themeFill="accent1"/>
      </w:tcPr>
    </w:tblStylePr>
    <w:tblStylePr w:type="lastRow">
      <w:rPr>
        <w:rFonts w:ascii="Arial" w:hAnsi="Arial"/>
        <w:b/>
        <w:color w:val="FFFFFF"/>
        <w:sz w:val="22"/>
      </w:rPr>
      <w:tblPr/>
      <w:tcPr>
        <w:tcBorders>
          <w:top w:val="single" w:sz="4" w:space="0" w:color="FFFFFF" w:themeColor="light1"/>
        </w:tcBorders>
        <w:shd w:val="clear" w:color="18A303" w:themeColor="accent1" w:fill="18A303" w:themeFill="accent1"/>
      </w:tcPr>
    </w:tblStylePr>
    <w:tblStylePr w:type="firstCol">
      <w:rPr>
        <w:rFonts w:ascii="Arial" w:hAnsi="Arial"/>
        <w:b/>
        <w:color w:val="FFFFFF"/>
        <w:sz w:val="22"/>
      </w:rPr>
      <w:tblPr/>
      <w:tcPr>
        <w:shd w:val="clear" w:color="18A303" w:themeColor="accent1" w:fill="18A303" w:themeFill="accent1"/>
      </w:tcPr>
    </w:tblStylePr>
    <w:tblStylePr w:type="lastCol">
      <w:rPr>
        <w:rFonts w:ascii="Arial" w:hAnsi="Arial"/>
        <w:b/>
        <w:color w:val="FFFFFF"/>
        <w:sz w:val="22"/>
      </w:rPr>
      <w:tblPr/>
      <w:tcPr>
        <w:shd w:val="clear" w:color="18A303" w:themeColor="accent1" w:fill="18A303" w:themeFill="accent1"/>
      </w:tcPr>
    </w:tblStylePr>
    <w:tblStylePr w:type="band1Vert">
      <w:tblPr/>
      <w:tcPr>
        <w:shd w:val="clear" w:color="77FC63" w:themeColor="accent1" w:themeTint="75" w:fill="77FC63" w:themeFill="accent1" w:themeFillTint="75"/>
      </w:tcPr>
    </w:tblStylePr>
    <w:tblStylePr w:type="band1Horz">
      <w:tblPr/>
      <w:tcPr>
        <w:shd w:val="clear" w:color="77FC63" w:themeColor="accent1" w:themeTint="75" w:fill="77FC63"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6FD" w:themeColor="accent2" w:themeTint="32" w:fill="BCE6FD" w:themeFill="accent2" w:themeFillTint="32"/>
    </w:tblPr>
    <w:tblStylePr w:type="firstRow">
      <w:rPr>
        <w:rFonts w:ascii="Arial" w:hAnsi="Arial"/>
        <w:b/>
        <w:color w:val="FFFFFF"/>
        <w:sz w:val="22"/>
      </w:rPr>
      <w:tblPr/>
      <w:tcPr>
        <w:shd w:val="clear" w:color="0369A3" w:themeColor="accent2" w:fill="0369A3" w:themeFill="accent2"/>
      </w:tcPr>
    </w:tblStylePr>
    <w:tblStylePr w:type="lastRow">
      <w:rPr>
        <w:rFonts w:ascii="Arial" w:hAnsi="Arial"/>
        <w:b/>
        <w:color w:val="FFFFFF"/>
        <w:sz w:val="22"/>
      </w:rPr>
      <w:tblPr/>
      <w:tcPr>
        <w:tcBorders>
          <w:top w:val="single" w:sz="4" w:space="0" w:color="FFFFFF" w:themeColor="light1"/>
        </w:tcBorders>
        <w:shd w:val="clear" w:color="0369A3" w:themeColor="accent2" w:fill="0369A3" w:themeFill="accent2"/>
      </w:tcPr>
    </w:tblStylePr>
    <w:tblStylePr w:type="firstCol">
      <w:rPr>
        <w:rFonts w:ascii="Arial" w:hAnsi="Arial"/>
        <w:b/>
        <w:color w:val="FFFFFF"/>
        <w:sz w:val="22"/>
      </w:rPr>
      <w:tblPr/>
      <w:tcPr>
        <w:shd w:val="clear" w:color="0369A3" w:themeColor="accent2" w:fill="0369A3" w:themeFill="accent2"/>
      </w:tcPr>
    </w:tblStylePr>
    <w:tblStylePr w:type="lastCol">
      <w:rPr>
        <w:rFonts w:ascii="Arial" w:hAnsi="Arial"/>
        <w:b/>
        <w:color w:val="FFFFFF"/>
        <w:sz w:val="22"/>
      </w:rPr>
      <w:tblPr/>
      <w:tcPr>
        <w:shd w:val="clear" w:color="0369A3" w:themeColor="accent2" w:fill="0369A3" w:themeFill="accent2"/>
      </w:tcPr>
    </w:tblStylePr>
    <w:tblStylePr w:type="band1Vert">
      <w:tblPr/>
      <w:tcPr>
        <w:shd w:val="clear" w:color="63C4FC" w:themeColor="accent2" w:themeTint="75" w:fill="63C4FC" w:themeFill="accent2" w:themeFillTint="75"/>
      </w:tcPr>
    </w:tblStylePr>
    <w:tblStylePr w:type="band1Horz">
      <w:tblPr/>
      <w:tcPr>
        <w:shd w:val="clear" w:color="63C4FC" w:themeColor="accent2" w:themeTint="75" w:fill="63C4FC"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D2B9" w:themeColor="accent3" w:themeTint="34" w:fill="FDD2B9" w:themeFill="accent3" w:themeFillTint="34"/>
    </w:tblPr>
    <w:tblStylePr w:type="firstRow">
      <w:rPr>
        <w:rFonts w:ascii="Arial" w:hAnsi="Arial"/>
        <w:b/>
        <w:color w:val="FFFFFF"/>
        <w:sz w:val="22"/>
      </w:rPr>
      <w:tblPr/>
      <w:tcPr>
        <w:shd w:val="clear" w:color="A33E03" w:themeColor="accent3" w:fill="A33E03" w:themeFill="accent3"/>
      </w:tcPr>
    </w:tblStylePr>
    <w:tblStylePr w:type="lastRow">
      <w:rPr>
        <w:rFonts w:ascii="Arial" w:hAnsi="Arial"/>
        <w:b/>
        <w:color w:val="FFFFFF"/>
        <w:sz w:val="22"/>
      </w:rPr>
      <w:tblPr/>
      <w:tcPr>
        <w:tcBorders>
          <w:top w:val="single" w:sz="4" w:space="0" w:color="FFFFFF" w:themeColor="light1"/>
        </w:tcBorders>
        <w:shd w:val="clear" w:color="A33E03" w:themeColor="accent3" w:fill="A33E03" w:themeFill="accent3"/>
      </w:tcPr>
    </w:tblStylePr>
    <w:tblStylePr w:type="firstCol">
      <w:rPr>
        <w:rFonts w:ascii="Arial" w:hAnsi="Arial"/>
        <w:b/>
        <w:color w:val="FFFFFF"/>
        <w:sz w:val="22"/>
      </w:rPr>
      <w:tblPr/>
      <w:tcPr>
        <w:shd w:val="clear" w:color="A33E03" w:themeColor="accent3" w:fill="A33E03" w:themeFill="accent3"/>
      </w:tcPr>
    </w:tblStylePr>
    <w:tblStylePr w:type="lastCol">
      <w:rPr>
        <w:rFonts w:ascii="Arial" w:hAnsi="Arial"/>
        <w:b/>
        <w:color w:val="FFFFFF"/>
        <w:sz w:val="22"/>
      </w:rPr>
      <w:tblPr/>
      <w:tcPr>
        <w:shd w:val="clear" w:color="A33E03" w:themeColor="accent3" w:fill="A33E03" w:themeFill="accent3"/>
      </w:tcPr>
    </w:tblStylePr>
    <w:tblStylePr w:type="band1Vert">
      <w:tblPr/>
      <w:tcPr>
        <w:shd w:val="clear" w:color="FC9B63" w:themeColor="accent3" w:themeTint="75" w:fill="FC9B63" w:themeFill="accent3" w:themeFillTint="75"/>
      </w:tcPr>
    </w:tblStylePr>
    <w:tblStylePr w:type="band1Horz">
      <w:tblPr/>
      <w:tcPr>
        <w:shd w:val="clear" w:color="FC9B63" w:themeColor="accent3" w:themeTint="75" w:fill="FC9B63"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B9FD" w:themeColor="accent4" w:themeTint="34" w:fill="F4B9FD" w:themeFill="accent4" w:themeFillTint="34"/>
    </w:tblPr>
    <w:tblStylePr w:type="firstRow">
      <w:rPr>
        <w:rFonts w:ascii="Arial" w:hAnsi="Arial"/>
        <w:b/>
        <w:color w:val="FFFFFF"/>
        <w:sz w:val="22"/>
      </w:rPr>
      <w:tblPr/>
      <w:tcPr>
        <w:shd w:val="clear" w:color="8E03A3" w:themeColor="accent4" w:fill="8E03A3" w:themeFill="accent4"/>
      </w:tcPr>
    </w:tblStylePr>
    <w:tblStylePr w:type="lastRow">
      <w:rPr>
        <w:rFonts w:ascii="Arial" w:hAnsi="Arial"/>
        <w:b/>
        <w:color w:val="FFFFFF"/>
        <w:sz w:val="22"/>
      </w:rPr>
      <w:tblPr/>
      <w:tcPr>
        <w:tcBorders>
          <w:top w:val="single" w:sz="4" w:space="0" w:color="FFFFFF" w:themeColor="light1"/>
        </w:tcBorders>
        <w:shd w:val="clear" w:color="8E03A3" w:themeColor="accent4" w:fill="8E03A3" w:themeFill="accent4"/>
      </w:tcPr>
    </w:tblStylePr>
    <w:tblStylePr w:type="firstCol">
      <w:rPr>
        <w:rFonts w:ascii="Arial" w:hAnsi="Arial"/>
        <w:b/>
        <w:color w:val="FFFFFF"/>
        <w:sz w:val="22"/>
      </w:rPr>
      <w:tblPr/>
      <w:tcPr>
        <w:shd w:val="clear" w:color="8E03A3" w:themeColor="accent4" w:fill="8E03A3" w:themeFill="accent4"/>
      </w:tcPr>
    </w:tblStylePr>
    <w:tblStylePr w:type="lastCol">
      <w:rPr>
        <w:rFonts w:ascii="Arial" w:hAnsi="Arial"/>
        <w:b/>
        <w:color w:val="FFFFFF"/>
        <w:sz w:val="22"/>
      </w:rPr>
      <w:tblPr/>
      <w:tcPr>
        <w:shd w:val="clear" w:color="8E03A3" w:themeColor="accent4" w:fill="8E03A3" w:themeFill="accent4"/>
      </w:tcPr>
    </w:tblStylePr>
    <w:tblStylePr w:type="band1Vert">
      <w:tblPr/>
      <w:tcPr>
        <w:shd w:val="clear" w:color="E763FC" w:themeColor="accent4" w:themeTint="75" w:fill="E763FC" w:themeFill="accent4" w:themeFillTint="75"/>
      </w:tcPr>
    </w:tblStylePr>
    <w:tblStylePr w:type="band1Horz">
      <w:tblPr/>
      <w:tcPr>
        <w:shd w:val="clear" w:color="E763FC" w:themeColor="accent4" w:themeTint="75" w:fill="E763FC"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0BF" w:themeColor="accent5" w:themeTint="34" w:fill="FFF0BF" w:themeFill="accent5" w:themeFillTint="34"/>
    </w:tblPr>
    <w:tblStylePr w:type="firstRow">
      <w:rPr>
        <w:rFonts w:ascii="Arial" w:hAnsi="Arial"/>
        <w:b/>
        <w:color w:val="FFFFFF"/>
        <w:sz w:val="22"/>
      </w:rPr>
      <w:tblPr/>
      <w:tcPr>
        <w:shd w:val="clear" w:color="C99C00" w:themeColor="accent5" w:fill="C99C00" w:themeFill="accent5"/>
      </w:tcPr>
    </w:tblStylePr>
    <w:tblStylePr w:type="lastRow">
      <w:rPr>
        <w:rFonts w:ascii="Arial" w:hAnsi="Arial"/>
        <w:b/>
        <w:color w:val="FFFFFF"/>
        <w:sz w:val="22"/>
      </w:rPr>
      <w:tblPr/>
      <w:tcPr>
        <w:tcBorders>
          <w:top w:val="single" w:sz="4" w:space="0" w:color="FFFFFF" w:themeColor="light1"/>
        </w:tcBorders>
        <w:shd w:val="clear" w:color="C99C00" w:themeColor="accent5" w:fill="C99C00" w:themeFill="accent5"/>
      </w:tcPr>
    </w:tblStylePr>
    <w:tblStylePr w:type="firstCol">
      <w:rPr>
        <w:rFonts w:ascii="Arial" w:hAnsi="Arial"/>
        <w:b/>
        <w:color w:val="FFFFFF"/>
        <w:sz w:val="22"/>
      </w:rPr>
      <w:tblPr/>
      <w:tcPr>
        <w:shd w:val="clear" w:color="C99C00" w:themeColor="accent5" w:fill="C99C00" w:themeFill="accent5"/>
      </w:tcPr>
    </w:tblStylePr>
    <w:tblStylePr w:type="lastCol">
      <w:rPr>
        <w:rFonts w:ascii="Arial" w:hAnsi="Arial"/>
        <w:b/>
        <w:color w:val="FFFFFF"/>
        <w:sz w:val="22"/>
      </w:rPr>
      <w:tblPr/>
      <w:tcPr>
        <w:shd w:val="clear" w:color="C99C00" w:themeColor="accent5" w:fill="C99C00" w:themeFill="accent5"/>
      </w:tcPr>
    </w:tblStylePr>
    <w:tblStylePr w:type="band1Vert">
      <w:tblPr/>
      <w:tcPr>
        <w:shd w:val="clear" w:color="FFDE71" w:themeColor="accent5" w:themeTint="75" w:fill="FFDE71" w:themeFill="accent5" w:themeFillTint="75"/>
      </w:tcPr>
    </w:tblStylePr>
    <w:tblStylePr w:type="band1Horz">
      <w:tblPr/>
      <w:tcPr>
        <w:shd w:val="clear" w:color="FFDE71" w:themeColor="accent5" w:themeTint="75" w:fill="FFDE71"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CDCD" w:themeColor="accent6" w:themeTint="34" w:fill="F7CDCD" w:themeFill="accent6" w:themeFillTint="34"/>
    </w:tblPr>
    <w:tblStylePr w:type="firstRow">
      <w:rPr>
        <w:rFonts w:ascii="Arial" w:hAnsi="Arial"/>
        <w:b/>
        <w:color w:val="FFFFFF"/>
        <w:sz w:val="22"/>
      </w:rPr>
      <w:tblPr/>
      <w:tcPr>
        <w:shd w:val="clear" w:color="C9211E" w:themeColor="accent6" w:fill="C9211E" w:themeFill="accent6"/>
      </w:tcPr>
    </w:tblStylePr>
    <w:tblStylePr w:type="lastRow">
      <w:rPr>
        <w:rFonts w:ascii="Arial" w:hAnsi="Arial"/>
        <w:b/>
        <w:color w:val="FFFFFF"/>
        <w:sz w:val="22"/>
      </w:rPr>
      <w:tblPr/>
      <w:tcPr>
        <w:tcBorders>
          <w:top w:val="single" w:sz="4" w:space="0" w:color="FFFFFF" w:themeColor="light1"/>
        </w:tcBorders>
        <w:shd w:val="clear" w:color="C9211E" w:themeColor="accent6" w:fill="C9211E" w:themeFill="accent6"/>
      </w:tcPr>
    </w:tblStylePr>
    <w:tblStylePr w:type="firstCol">
      <w:rPr>
        <w:rFonts w:ascii="Arial" w:hAnsi="Arial"/>
        <w:b/>
        <w:color w:val="FFFFFF"/>
        <w:sz w:val="22"/>
      </w:rPr>
      <w:tblPr/>
      <w:tcPr>
        <w:shd w:val="clear" w:color="C9211E" w:themeColor="accent6" w:fill="C9211E" w:themeFill="accent6"/>
      </w:tcPr>
    </w:tblStylePr>
    <w:tblStylePr w:type="lastCol">
      <w:rPr>
        <w:rFonts w:ascii="Arial" w:hAnsi="Arial"/>
        <w:b/>
        <w:color w:val="FFFFFF"/>
        <w:sz w:val="22"/>
      </w:rPr>
      <w:tblPr/>
      <w:tcPr>
        <w:shd w:val="clear" w:color="C9211E" w:themeColor="accent6" w:fill="C9211E" w:themeFill="accent6"/>
      </w:tcPr>
    </w:tblStylePr>
    <w:tblStylePr w:type="band1Vert">
      <w:tblPr/>
      <w:tcPr>
        <w:shd w:val="clear" w:color="EE908F" w:themeColor="accent6" w:themeTint="75" w:fill="EE908F" w:themeFill="accent6" w:themeFillTint="75"/>
      </w:tcPr>
    </w:tblStylePr>
    <w:tblStylePr w:type="band1Horz">
      <w:tblPr/>
      <w:tcPr>
        <w:shd w:val="clear" w:color="EE908F" w:themeColor="accent6" w:themeTint="75" w:fill="EE908F"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6AFC55" w:themeColor="accent1" w:themeTint="80"/>
        <w:left w:val="single" w:sz="4" w:space="0" w:color="6AFC55" w:themeColor="accent1" w:themeTint="80"/>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Pr>
    <w:tblStylePr w:type="firstRow">
      <w:rPr>
        <w:b/>
        <w:color w:val="6AFC55" w:themeColor="accent1" w:themeTint="80" w:themeShade="95"/>
      </w:rPr>
      <w:tblPr/>
      <w:tcPr>
        <w:tcBorders>
          <w:bottom w:val="single" w:sz="12" w:space="0" w:color="6AFC55" w:themeColor="accent1" w:themeTint="80"/>
        </w:tcBorders>
      </w:tcPr>
    </w:tblStylePr>
    <w:tblStylePr w:type="lastRow">
      <w:rPr>
        <w:b/>
        <w:color w:val="6AFC55" w:themeColor="accent1" w:themeTint="80" w:themeShade="95"/>
      </w:rPr>
    </w:tblStylePr>
    <w:tblStylePr w:type="firstCol">
      <w:rPr>
        <w:b/>
        <w:color w:val="6AFC55" w:themeColor="accent1" w:themeTint="80" w:themeShade="95"/>
      </w:rPr>
    </w:tblStylePr>
    <w:tblStylePr w:type="lastCol">
      <w:rPr>
        <w:b/>
        <w:color w:val="6AFC55" w:themeColor="accent1" w:themeTint="80" w:themeShade="95"/>
      </w:rPr>
    </w:tblStylePr>
    <w:tblStylePr w:type="band1Vert">
      <w:tblPr/>
      <w:tcPr>
        <w:shd w:val="clear" w:color="C2FDB9" w:themeColor="accent1" w:themeTint="34" w:fill="C2FDB9" w:themeFill="accent1" w:themeFillTint="34"/>
      </w:tcPr>
    </w:tblStylePr>
    <w:tblStylePr w:type="band1Horz">
      <w:rPr>
        <w:rFonts w:ascii="Arial" w:hAnsi="Arial"/>
        <w:color w:val="6AFC55" w:themeColor="accent1" w:themeTint="80" w:themeShade="95"/>
        <w:sz w:val="22"/>
      </w:rPr>
      <w:tblPr/>
      <w:tcPr>
        <w:shd w:val="clear" w:color="C2FDB9" w:themeColor="accent1" w:themeTint="34" w:fill="C2FDB9" w:themeFill="accent1" w:themeFillTint="34"/>
      </w:tcPr>
    </w:tblStylePr>
    <w:tblStylePr w:type="band2Horz">
      <w:rPr>
        <w:rFonts w:ascii="Arial" w:hAnsi="Arial"/>
        <w:color w:val="6AFC55"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color w:val="36B3FB" w:themeColor="accent2" w:themeTint="97" w:themeShade="95"/>
      </w:rPr>
      <w:tblPr/>
      <w:tcPr>
        <w:tcBorders>
          <w:bottom w:val="single" w:sz="12" w:space="0" w:color="36B3FB" w:themeColor="accent2" w:themeTint="97"/>
        </w:tcBorders>
      </w:tcPr>
    </w:tblStylePr>
    <w:tblStylePr w:type="lastRow">
      <w:rPr>
        <w:b/>
        <w:color w:val="36B3FB" w:themeColor="accent2" w:themeTint="97" w:themeShade="95"/>
      </w:r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BCE6FD" w:themeColor="accent2" w:themeTint="32" w:fill="BCE6FD" w:themeFill="accent2" w:themeFillTint="32"/>
      </w:tcPr>
    </w:tblStylePr>
    <w:tblStylePr w:type="band1Horz">
      <w:rPr>
        <w:rFonts w:ascii="Arial" w:hAnsi="Arial"/>
        <w:color w:val="36B3FB" w:themeColor="accent2" w:themeTint="97" w:themeShade="95"/>
        <w:sz w:val="22"/>
      </w:rPr>
      <w:tblPr/>
      <w:tcPr>
        <w:shd w:val="clear" w:color="BCE6FD" w:themeColor="accent2" w:themeTint="32" w:fill="BCE6FD" w:themeFill="accent2" w:themeFillTint="32"/>
      </w:tcPr>
    </w:tblStylePr>
    <w:tblStylePr w:type="band2Horz">
      <w:rPr>
        <w:rFonts w:ascii="Arial" w:hAnsi="Arial"/>
        <w:color w:val="36B3FB"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43E03" w:themeColor="accent3" w:themeTint="FE"/>
        <w:left w:val="single" w:sz="4" w:space="0" w:color="A43E03" w:themeColor="accent3" w:themeTint="FE"/>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color w:val="A43E03" w:themeColor="accent3" w:themeTint="FE" w:themeShade="95"/>
      </w:rPr>
      <w:tblPr/>
      <w:tcPr>
        <w:tcBorders>
          <w:bottom w:val="single" w:sz="12" w:space="0" w:color="A43E03" w:themeColor="accent3" w:themeTint="FE"/>
        </w:tcBorders>
      </w:tcPr>
    </w:tblStylePr>
    <w:tblStylePr w:type="lastRow">
      <w:rPr>
        <w:b/>
        <w:color w:val="A43E03" w:themeColor="accent3" w:themeTint="FE" w:themeShade="95"/>
      </w:rPr>
    </w:tblStylePr>
    <w:tblStylePr w:type="firstCol">
      <w:rPr>
        <w:b/>
        <w:color w:val="A43E03" w:themeColor="accent3" w:themeTint="FE" w:themeShade="95"/>
      </w:rPr>
    </w:tblStylePr>
    <w:tblStylePr w:type="lastCol">
      <w:rPr>
        <w:b/>
        <w:color w:val="A43E03" w:themeColor="accent3" w:themeTint="FE" w:themeShade="95"/>
      </w:rPr>
    </w:tblStylePr>
    <w:tblStylePr w:type="band1Vert">
      <w:tblPr/>
      <w:tcPr>
        <w:shd w:val="clear" w:color="FDD2B9" w:themeColor="accent3" w:themeTint="34" w:fill="FDD2B9" w:themeFill="accent3" w:themeFillTint="34"/>
      </w:tcPr>
    </w:tblStylePr>
    <w:tblStylePr w:type="band1Horz">
      <w:rPr>
        <w:rFonts w:ascii="Arial" w:hAnsi="Arial"/>
        <w:color w:val="A43E03" w:themeColor="accent3" w:themeTint="FE" w:themeShade="95"/>
        <w:sz w:val="22"/>
      </w:rPr>
      <w:tblPr/>
      <w:tcPr>
        <w:shd w:val="clear" w:color="FDD2B9" w:themeColor="accent3" w:themeTint="34" w:fill="FDD2B9" w:themeFill="accent3" w:themeFillTint="34"/>
      </w:tcPr>
    </w:tblStylePr>
    <w:tblStylePr w:type="band2Horz">
      <w:rPr>
        <w:rFonts w:ascii="Arial" w:hAnsi="Arial"/>
        <w:color w:val="A43E03"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color w:val="E032FB" w:themeColor="accent4" w:themeTint="9A" w:themeShade="95"/>
      </w:rPr>
      <w:tblPr/>
      <w:tcPr>
        <w:tcBorders>
          <w:bottom w:val="single" w:sz="12" w:space="0" w:color="E032FB" w:themeColor="accent4" w:themeTint="9A"/>
        </w:tcBorders>
      </w:tcPr>
    </w:tblStylePr>
    <w:tblStylePr w:type="lastRow">
      <w:rPr>
        <w:b/>
        <w:color w:val="E032FB" w:themeColor="accent4" w:themeTint="9A" w:themeShade="95"/>
      </w:r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F4B9FD" w:themeColor="accent4" w:themeTint="34" w:fill="F4B9FD" w:themeFill="accent4" w:themeFillTint="34"/>
      </w:tcPr>
    </w:tblStylePr>
    <w:tblStylePr w:type="band1Horz">
      <w:rPr>
        <w:rFonts w:ascii="Arial" w:hAnsi="Arial"/>
        <w:color w:val="E032FB" w:themeColor="accent4" w:themeTint="9A" w:themeShade="95"/>
        <w:sz w:val="22"/>
      </w:rPr>
      <w:tblPr/>
      <w:tcPr>
        <w:shd w:val="clear" w:color="F4B9FD" w:themeColor="accent4" w:themeTint="34" w:fill="F4B9FD" w:themeFill="accent4" w:themeFillTint="34"/>
      </w:tcPr>
    </w:tblStylePr>
    <w:tblStylePr w:type="band2Horz">
      <w:rPr>
        <w:rFonts w:ascii="Arial" w:hAnsi="Arial"/>
        <w:color w:val="E032FB"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C99C00" w:themeColor="accent5"/>
        <w:left w:val="single" w:sz="4" w:space="0" w:color="C99C00" w:themeColor="accent5"/>
        <w:bottom w:val="single" w:sz="4" w:space="0" w:color="C99C00" w:themeColor="accent5"/>
        <w:right w:val="single" w:sz="4" w:space="0" w:color="C99C00" w:themeColor="accent5"/>
        <w:insideH w:val="single" w:sz="4" w:space="0" w:color="C99C00" w:themeColor="accent5"/>
        <w:insideV w:val="single" w:sz="4" w:space="0" w:color="C99C00" w:themeColor="accent5"/>
      </w:tblBorders>
    </w:tblPr>
    <w:tblStylePr w:type="firstRow">
      <w:rPr>
        <w:b/>
        <w:color w:val="755A00" w:themeColor="accent5" w:themeShade="95"/>
      </w:rPr>
      <w:tblPr/>
      <w:tcPr>
        <w:tcBorders>
          <w:bottom w:val="single" w:sz="12" w:space="0" w:color="C99C00" w:themeColor="accent5"/>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FFF0BF" w:themeColor="accent5" w:themeTint="34" w:fill="FFF0BF" w:themeFill="accent5" w:themeFillTint="34"/>
      </w:tcPr>
    </w:tblStylePr>
    <w:tblStylePr w:type="band1Horz">
      <w:rPr>
        <w:rFonts w:ascii="Arial" w:hAnsi="Arial"/>
        <w:color w:val="755A00" w:themeColor="accent5" w:themeShade="95"/>
        <w:sz w:val="22"/>
      </w:rPr>
      <w:tblPr/>
      <w:tcPr>
        <w:shd w:val="clear" w:color="FFF0BF" w:themeColor="accent5" w:themeTint="34" w:fill="FFF0BF" w:themeFill="accent5" w:themeFillTint="34"/>
      </w:tcPr>
    </w:tblStylePr>
    <w:tblStylePr w:type="band2Horz">
      <w:rPr>
        <w:rFonts w:ascii="Arial" w:hAnsi="Arial"/>
        <w:color w:val="755A00"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C9211E" w:themeColor="accent6"/>
        <w:left w:val="single" w:sz="4" w:space="0" w:color="C9211E" w:themeColor="accent6"/>
        <w:bottom w:val="single" w:sz="4" w:space="0" w:color="C9211E" w:themeColor="accent6"/>
        <w:right w:val="single" w:sz="4" w:space="0" w:color="C9211E" w:themeColor="accent6"/>
        <w:insideH w:val="single" w:sz="4" w:space="0" w:color="C9211E" w:themeColor="accent6"/>
        <w:insideV w:val="single" w:sz="4" w:space="0" w:color="C9211E" w:themeColor="accent6"/>
      </w:tblBorders>
    </w:tblPr>
    <w:tblStylePr w:type="firstRow">
      <w:rPr>
        <w:b/>
        <w:color w:val="755A00" w:themeColor="accent5" w:themeShade="95"/>
      </w:rPr>
      <w:tblPr/>
      <w:tcPr>
        <w:tcBorders>
          <w:bottom w:val="single" w:sz="12" w:space="0" w:color="C9211E" w:themeColor="accent6"/>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F7CDCD" w:themeColor="accent6" w:themeTint="34" w:fill="F7CDCD" w:themeFill="accent6" w:themeFillTint="34"/>
      </w:tcPr>
    </w:tblStylePr>
    <w:tblStylePr w:type="band1Horz">
      <w:rPr>
        <w:rFonts w:ascii="Arial" w:hAnsi="Arial"/>
        <w:color w:val="755A00" w:themeColor="accent5" w:themeShade="95"/>
        <w:sz w:val="22"/>
      </w:rPr>
      <w:tblPr/>
      <w:tcPr>
        <w:shd w:val="clear" w:color="F7CDCD" w:themeColor="accent6" w:themeTint="34" w:fill="F7CDCD" w:themeFill="accent6" w:themeFillTint="34"/>
      </w:tcPr>
    </w:tblStylePr>
    <w:tblStylePr w:type="band2Horz">
      <w:rPr>
        <w:rFonts w:ascii="Arial" w:hAnsi="Arial"/>
        <w:color w:val="755A00"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Pr>
    <w:tblStylePr w:type="firstRow">
      <w:rPr>
        <w:rFonts w:ascii="Arial" w:hAnsi="Arial"/>
        <w:b/>
        <w:color w:val="6AFC55" w:themeColor="accent1" w:themeTint="80" w:themeShade="95"/>
        <w:sz w:val="22"/>
      </w:rPr>
      <w:tblPr/>
      <w:tcPr>
        <w:tcBorders>
          <w:top w:val="none" w:sz="4" w:space="0" w:color="000000"/>
          <w:left w:val="none" w:sz="4" w:space="0" w:color="000000"/>
          <w:bottom w:val="single" w:sz="4" w:space="0" w:color="6AFC55" w:themeColor="accent1" w:themeTint="80"/>
          <w:right w:val="none" w:sz="4" w:space="0" w:color="000000"/>
        </w:tcBorders>
        <w:shd w:val="clear" w:color="FFFFFF" w:themeColor="light1" w:fill="FFFFFF" w:themeFill="light1"/>
      </w:tcPr>
    </w:tblStylePr>
    <w:tblStylePr w:type="lastRow">
      <w:rPr>
        <w:rFonts w:ascii="Arial" w:hAnsi="Arial"/>
        <w:b/>
        <w:color w:val="6AFC55" w:themeColor="accent1" w:themeTint="80" w:themeShade="95"/>
        <w:sz w:val="22"/>
      </w:rPr>
      <w:tblPr/>
      <w:tcPr>
        <w:tcBorders>
          <w:top w:val="single" w:sz="4" w:space="0" w:color="6AFC55"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AFC55" w:themeColor="accent1" w:themeTint="80" w:themeShade="95"/>
        <w:sz w:val="22"/>
      </w:rPr>
      <w:tblPr/>
      <w:tcPr>
        <w:tcBorders>
          <w:top w:val="none" w:sz="4" w:space="0" w:color="000000"/>
          <w:left w:val="none" w:sz="4" w:space="0" w:color="000000"/>
          <w:bottom w:val="none" w:sz="4" w:space="0" w:color="000000"/>
          <w:right w:val="single" w:sz="4" w:space="0" w:color="6AFC55" w:themeColor="accent1" w:themeTint="80"/>
        </w:tcBorders>
        <w:shd w:val="clear" w:color="FFFFFF" w:fill="auto"/>
      </w:tcPr>
    </w:tblStylePr>
    <w:tblStylePr w:type="lastCol">
      <w:rPr>
        <w:rFonts w:ascii="Arial" w:hAnsi="Arial"/>
        <w:i/>
        <w:color w:val="6AFC55" w:themeColor="accent1" w:themeTint="80" w:themeShade="95"/>
        <w:sz w:val="22"/>
      </w:rPr>
      <w:tblPr/>
      <w:tcPr>
        <w:tcBorders>
          <w:top w:val="none" w:sz="4" w:space="0" w:color="000000"/>
          <w:left w:val="single" w:sz="4" w:space="0" w:color="6AFC55" w:themeColor="accent1" w:themeTint="80"/>
          <w:bottom w:val="none" w:sz="4" w:space="0" w:color="000000"/>
          <w:right w:val="none" w:sz="4" w:space="0" w:color="000000"/>
        </w:tcBorders>
        <w:shd w:val="clear" w:color="FFFFFF" w:fill="auto"/>
      </w:tcPr>
    </w:tblStylePr>
    <w:tblStylePr w:type="band1Vert">
      <w:tblPr/>
      <w:tcPr>
        <w:shd w:val="clear" w:color="C2FDB9" w:themeColor="accent1" w:themeTint="34" w:fill="C2FDB9" w:themeFill="accent1" w:themeFillTint="34"/>
      </w:tcPr>
    </w:tblStylePr>
    <w:tblStylePr w:type="band1Horz">
      <w:rPr>
        <w:rFonts w:ascii="Arial" w:hAnsi="Arial"/>
        <w:color w:val="6AFC55" w:themeColor="accent1" w:themeTint="80" w:themeShade="95"/>
        <w:sz w:val="22"/>
      </w:rPr>
      <w:tblPr/>
      <w:tcPr>
        <w:shd w:val="clear" w:color="C2FDB9" w:themeColor="accent1" w:themeTint="34" w:fill="C2FDB9" w:themeFill="accent1" w:themeFillTint="34"/>
      </w:tcPr>
    </w:tblStylePr>
    <w:tblStylePr w:type="band2Horz">
      <w:rPr>
        <w:rFonts w:ascii="Arial" w:hAnsi="Arial"/>
        <w:color w:val="6AFC55"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Pr>
    <w:tblStylePr w:type="firstRow">
      <w:rPr>
        <w:rFonts w:ascii="Arial" w:hAnsi="Arial"/>
        <w:b/>
        <w:color w:val="36B3FB" w:themeColor="accent2" w:themeTint="97" w:themeShade="95"/>
        <w:sz w:val="22"/>
      </w:rPr>
      <w:tblPr/>
      <w:tcPr>
        <w:tcBorders>
          <w:top w:val="none" w:sz="4" w:space="0" w:color="000000"/>
          <w:left w:val="none" w:sz="4" w:space="0" w:color="000000"/>
          <w:bottom w:val="single" w:sz="4" w:space="0" w:color="36B3FB" w:themeColor="accent2" w:themeTint="97"/>
          <w:right w:val="none" w:sz="4" w:space="0" w:color="000000"/>
        </w:tcBorders>
        <w:shd w:val="clear" w:color="FFFFFF" w:themeColor="light1" w:fill="FFFFFF" w:themeFill="light1"/>
      </w:tcPr>
    </w:tblStylePr>
    <w:tblStylePr w:type="lastRow">
      <w:rPr>
        <w:rFonts w:ascii="Arial" w:hAnsi="Arial"/>
        <w:b/>
        <w:color w:val="36B3FB" w:themeColor="accent2" w:themeTint="97" w:themeShade="95"/>
        <w:sz w:val="22"/>
      </w:rPr>
      <w:tblPr/>
      <w:tcPr>
        <w:tcBorders>
          <w:top w:val="single" w:sz="4" w:space="0" w:color="36B3FB"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6B3FB" w:themeColor="accent2" w:themeTint="97" w:themeShade="95"/>
        <w:sz w:val="22"/>
      </w:rPr>
      <w:tblPr/>
      <w:tcPr>
        <w:tcBorders>
          <w:top w:val="none" w:sz="4" w:space="0" w:color="000000"/>
          <w:left w:val="none" w:sz="4" w:space="0" w:color="000000"/>
          <w:bottom w:val="none" w:sz="4" w:space="0" w:color="000000"/>
          <w:right w:val="single" w:sz="4" w:space="0" w:color="36B3FB" w:themeColor="accent2" w:themeTint="97"/>
        </w:tcBorders>
        <w:shd w:val="clear" w:color="FFFFFF" w:fill="auto"/>
      </w:tcPr>
    </w:tblStylePr>
    <w:tblStylePr w:type="lastCol">
      <w:rPr>
        <w:rFonts w:ascii="Arial" w:hAnsi="Arial"/>
        <w:i/>
        <w:color w:val="36B3FB" w:themeColor="accent2" w:themeTint="97" w:themeShade="95"/>
        <w:sz w:val="22"/>
      </w:rPr>
      <w:tblPr/>
      <w:tcPr>
        <w:tcBorders>
          <w:top w:val="none" w:sz="4" w:space="0" w:color="000000"/>
          <w:left w:val="single" w:sz="4" w:space="0" w:color="36B3FB" w:themeColor="accent2" w:themeTint="97"/>
          <w:bottom w:val="none" w:sz="4" w:space="0" w:color="000000"/>
          <w:right w:val="none" w:sz="4" w:space="0" w:color="000000"/>
        </w:tcBorders>
        <w:shd w:val="clear" w:color="FFFFFF" w:fill="auto"/>
      </w:tcPr>
    </w:tblStylePr>
    <w:tblStylePr w:type="band1Vert">
      <w:tblPr/>
      <w:tcPr>
        <w:shd w:val="clear" w:color="BCE6FD" w:themeColor="accent2" w:themeTint="32" w:fill="BCE6FD" w:themeFill="accent2" w:themeFillTint="32"/>
      </w:tcPr>
    </w:tblStylePr>
    <w:tblStylePr w:type="band1Horz">
      <w:rPr>
        <w:rFonts w:ascii="Arial" w:hAnsi="Arial"/>
        <w:color w:val="36B3FB" w:themeColor="accent2" w:themeTint="97" w:themeShade="95"/>
        <w:sz w:val="22"/>
      </w:rPr>
      <w:tblPr/>
      <w:tcPr>
        <w:shd w:val="clear" w:color="BCE6FD" w:themeColor="accent2" w:themeTint="32" w:fill="BCE6FD" w:themeFill="accent2" w:themeFillTint="32"/>
      </w:tcPr>
    </w:tblStylePr>
    <w:tblStylePr w:type="band2Horz">
      <w:rPr>
        <w:rFonts w:ascii="Arial" w:hAnsi="Arial"/>
        <w:color w:val="36B3FB"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Pr>
    <w:tblStylePr w:type="firstRow">
      <w:rPr>
        <w:rFonts w:ascii="Arial" w:hAnsi="Arial"/>
        <w:b/>
        <w:color w:val="A43E03" w:themeColor="accent3" w:themeTint="FE" w:themeShade="95"/>
        <w:sz w:val="22"/>
      </w:rPr>
      <w:tblPr/>
      <w:tcPr>
        <w:tcBorders>
          <w:top w:val="none" w:sz="4" w:space="0" w:color="000000"/>
          <w:left w:val="none" w:sz="4" w:space="0" w:color="000000"/>
          <w:bottom w:val="single" w:sz="4" w:space="0" w:color="A43E03" w:themeColor="accent3" w:themeTint="FE"/>
          <w:right w:val="none" w:sz="4" w:space="0" w:color="000000"/>
        </w:tcBorders>
        <w:shd w:val="clear" w:color="FFFFFF" w:themeColor="light1" w:fill="FFFFFF" w:themeFill="light1"/>
      </w:tcPr>
    </w:tblStylePr>
    <w:tblStylePr w:type="lastRow">
      <w:rPr>
        <w:rFonts w:ascii="Arial" w:hAnsi="Arial"/>
        <w:b/>
        <w:color w:val="A43E03" w:themeColor="accent3" w:themeTint="FE" w:themeShade="95"/>
        <w:sz w:val="22"/>
      </w:rPr>
      <w:tblPr/>
      <w:tcPr>
        <w:tcBorders>
          <w:top w:val="single" w:sz="4" w:space="0" w:color="A43E03"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43E03" w:themeColor="accent3" w:themeTint="FE" w:themeShade="95"/>
        <w:sz w:val="22"/>
      </w:rPr>
      <w:tblPr/>
      <w:tcPr>
        <w:tcBorders>
          <w:top w:val="none" w:sz="4" w:space="0" w:color="000000"/>
          <w:left w:val="none" w:sz="4" w:space="0" w:color="000000"/>
          <w:bottom w:val="none" w:sz="4" w:space="0" w:color="000000"/>
          <w:right w:val="single" w:sz="4" w:space="0" w:color="A43E03" w:themeColor="accent3" w:themeTint="FE"/>
        </w:tcBorders>
        <w:shd w:val="clear" w:color="FFFFFF" w:fill="auto"/>
      </w:tcPr>
    </w:tblStylePr>
    <w:tblStylePr w:type="lastCol">
      <w:rPr>
        <w:rFonts w:ascii="Arial" w:hAnsi="Arial"/>
        <w:i/>
        <w:color w:val="A43E03" w:themeColor="accent3" w:themeTint="FE" w:themeShade="95"/>
        <w:sz w:val="22"/>
      </w:rPr>
      <w:tblPr/>
      <w:tcPr>
        <w:tcBorders>
          <w:top w:val="none" w:sz="4" w:space="0" w:color="000000"/>
          <w:left w:val="single" w:sz="4" w:space="0" w:color="A43E03" w:themeColor="accent3" w:themeTint="FE"/>
          <w:bottom w:val="none" w:sz="4" w:space="0" w:color="000000"/>
          <w:right w:val="none" w:sz="4" w:space="0" w:color="000000"/>
        </w:tcBorders>
        <w:shd w:val="clear" w:color="FFFFFF" w:fill="auto"/>
      </w:tcPr>
    </w:tblStylePr>
    <w:tblStylePr w:type="band1Vert">
      <w:tblPr/>
      <w:tcPr>
        <w:shd w:val="clear" w:color="FDD2B9" w:themeColor="accent3" w:themeTint="34" w:fill="FDD2B9" w:themeFill="accent3" w:themeFillTint="34"/>
      </w:tcPr>
    </w:tblStylePr>
    <w:tblStylePr w:type="band1Horz">
      <w:rPr>
        <w:rFonts w:ascii="Arial" w:hAnsi="Arial"/>
        <w:color w:val="A43E03" w:themeColor="accent3" w:themeTint="FE" w:themeShade="95"/>
        <w:sz w:val="22"/>
      </w:rPr>
      <w:tblPr/>
      <w:tcPr>
        <w:shd w:val="clear" w:color="FDD2B9" w:themeColor="accent3" w:themeTint="34" w:fill="FDD2B9" w:themeFill="accent3" w:themeFillTint="34"/>
      </w:tcPr>
    </w:tblStylePr>
    <w:tblStylePr w:type="band2Horz">
      <w:rPr>
        <w:rFonts w:ascii="Arial" w:hAnsi="Arial"/>
        <w:color w:val="A43E03"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Pr>
    <w:tblStylePr w:type="firstRow">
      <w:rPr>
        <w:rFonts w:ascii="Arial" w:hAnsi="Arial"/>
        <w:b/>
        <w:color w:val="E032FB" w:themeColor="accent4" w:themeTint="9A" w:themeShade="95"/>
        <w:sz w:val="22"/>
      </w:rPr>
      <w:tblPr/>
      <w:tcPr>
        <w:tcBorders>
          <w:top w:val="none" w:sz="4" w:space="0" w:color="000000"/>
          <w:left w:val="none" w:sz="4" w:space="0" w:color="000000"/>
          <w:bottom w:val="single" w:sz="4" w:space="0" w:color="E032FB" w:themeColor="accent4" w:themeTint="9A"/>
          <w:right w:val="none" w:sz="4" w:space="0" w:color="000000"/>
        </w:tcBorders>
        <w:shd w:val="clear" w:color="FFFFFF" w:themeColor="light1" w:fill="FFFFFF" w:themeFill="light1"/>
      </w:tcPr>
    </w:tblStylePr>
    <w:tblStylePr w:type="lastRow">
      <w:rPr>
        <w:rFonts w:ascii="Arial" w:hAnsi="Arial"/>
        <w:b/>
        <w:color w:val="E032FB" w:themeColor="accent4" w:themeTint="9A" w:themeShade="95"/>
        <w:sz w:val="22"/>
      </w:rPr>
      <w:tblPr/>
      <w:tcPr>
        <w:tcBorders>
          <w:top w:val="single" w:sz="4" w:space="0" w:color="E032FB"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032FB" w:themeColor="accent4" w:themeTint="9A" w:themeShade="95"/>
        <w:sz w:val="22"/>
      </w:rPr>
      <w:tblPr/>
      <w:tcPr>
        <w:tcBorders>
          <w:top w:val="none" w:sz="4" w:space="0" w:color="000000"/>
          <w:left w:val="none" w:sz="4" w:space="0" w:color="000000"/>
          <w:bottom w:val="none" w:sz="4" w:space="0" w:color="000000"/>
          <w:right w:val="single" w:sz="4" w:space="0" w:color="E032FB" w:themeColor="accent4" w:themeTint="9A"/>
        </w:tcBorders>
        <w:shd w:val="clear" w:color="FFFFFF" w:fill="auto"/>
      </w:tcPr>
    </w:tblStylePr>
    <w:tblStylePr w:type="lastCol">
      <w:rPr>
        <w:rFonts w:ascii="Arial" w:hAnsi="Arial"/>
        <w:i/>
        <w:color w:val="E032FB" w:themeColor="accent4" w:themeTint="9A" w:themeShade="95"/>
        <w:sz w:val="22"/>
      </w:rPr>
      <w:tblPr/>
      <w:tcPr>
        <w:tcBorders>
          <w:top w:val="none" w:sz="4" w:space="0" w:color="000000"/>
          <w:left w:val="single" w:sz="4" w:space="0" w:color="E032FB" w:themeColor="accent4" w:themeTint="9A"/>
          <w:bottom w:val="none" w:sz="4" w:space="0" w:color="000000"/>
          <w:right w:val="none" w:sz="4" w:space="0" w:color="000000"/>
        </w:tcBorders>
        <w:shd w:val="clear" w:color="FFFFFF" w:fill="auto"/>
      </w:tcPr>
    </w:tblStylePr>
    <w:tblStylePr w:type="band1Vert">
      <w:tblPr/>
      <w:tcPr>
        <w:shd w:val="clear" w:color="F4B9FD" w:themeColor="accent4" w:themeTint="34" w:fill="F4B9FD" w:themeFill="accent4" w:themeFillTint="34"/>
      </w:tcPr>
    </w:tblStylePr>
    <w:tblStylePr w:type="band1Horz">
      <w:rPr>
        <w:rFonts w:ascii="Arial" w:hAnsi="Arial"/>
        <w:color w:val="E032FB" w:themeColor="accent4" w:themeTint="9A" w:themeShade="95"/>
        <w:sz w:val="22"/>
      </w:rPr>
      <w:tblPr/>
      <w:tcPr>
        <w:shd w:val="clear" w:color="F4B9FD" w:themeColor="accent4" w:themeTint="34" w:fill="F4B9FD" w:themeFill="accent4" w:themeFillTint="34"/>
      </w:tcPr>
    </w:tblStylePr>
    <w:tblStylePr w:type="band2Horz">
      <w:rPr>
        <w:rFonts w:ascii="Arial" w:hAnsi="Arial"/>
        <w:color w:val="E032FB"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Pr>
    <w:tblStylePr w:type="firstRow">
      <w:rPr>
        <w:rFonts w:ascii="Arial" w:hAnsi="Arial"/>
        <w:b/>
        <w:color w:val="755A00" w:themeColor="accent5" w:themeShade="95"/>
        <w:sz w:val="22"/>
      </w:rPr>
      <w:tblPr/>
      <w:tcPr>
        <w:tcBorders>
          <w:top w:val="none" w:sz="4" w:space="0" w:color="000000"/>
          <w:left w:val="none" w:sz="4" w:space="0" w:color="000000"/>
          <w:bottom w:val="single" w:sz="4" w:space="0" w:color="FFD750" w:themeColor="accent5" w:themeTint="90"/>
          <w:right w:val="none" w:sz="4" w:space="0" w:color="000000"/>
        </w:tcBorders>
        <w:shd w:val="clear" w:color="FFFFFF" w:themeColor="light1" w:fill="FFFFFF" w:themeFill="light1"/>
      </w:tcPr>
    </w:tblStylePr>
    <w:tblStylePr w:type="lastRow">
      <w:rPr>
        <w:rFonts w:ascii="Arial" w:hAnsi="Arial"/>
        <w:b/>
        <w:color w:val="755A00" w:themeColor="accent5" w:themeShade="95"/>
        <w:sz w:val="22"/>
      </w:rPr>
      <w:tblPr/>
      <w:tcPr>
        <w:tcBorders>
          <w:top w:val="single" w:sz="4" w:space="0" w:color="FFD750"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55A00" w:themeColor="accent5" w:themeShade="95"/>
        <w:sz w:val="22"/>
      </w:rPr>
      <w:tblPr/>
      <w:tcPr>
        <w:tcBorders>
          <w:top w:val="none" w:sz="4" w:space="0" w:color="000000"/>
          <w:left w:val="none" w:sz="4" w:space="0" w:color="000000"/>
          <w:bottom w:val="none" w:sz="4" w:space="0" w:color="000000"/>
          <w:right w:val="single" w:sz="4" w:space="0" w:color="FFD750" w:themeColor="accent5" w:themeTint="90"/>
        </w:tcBorders>
        <w:shd w:val="clear" w:color="FFFFFF" w:fill="auto"/>
      </w:tcPr>
    </w:tblStylePr>
    <w:tblStylePr w:type="lastCol">
      <w:rPr>
        <w:rFonts w:ascii="Arial" w:hAnsi="Arial"/>
        <w:i/>
        <w:color w:val="755A00" w:themeColor="accent5" w:themeShade="95"/>
        <w:sz w:val="22"/>
      </w:rPr>
      <w:tblPr/>
      <w:tcPr>
        <w:tcBorders>
          <w:top w:val="none" w:sz="4" w:space="0" w:color="000000"/>
          <w:left w:val="single" w:sz="4" w:space="0" w:color="FFD750" w:themeColor="accent5" w:themeTint="90"/>
          <w:bottom w:val="none" w:sz="4" w:space="0" w:color="000000"/>
          <w:right w:val="none" w:sz="4" w:space="0" w:color="000000"/>
        </w:tcBorders>
        <w:shd w:val="clear" w:color="FFFFFF" w:fill="auto"/>
      </w:tcPr>
    </w:tblStylePr>
    <w:tblStylePr w:type="band1Vert">
      <w:tblPr/>
      <w:tcPr>
        <w:shd w:val="clear" w:color="FFF0BF" w:themeColor="accent5" w:themeTint="34" w:fill="FFF0BF" w:themeFill="accent5" w:themeFillTint="34"/>
      </w:tcPr>
    </w:tblStylePr>
    <w:tblStylePr w:type="band1Horz">
      <w:rPr>
        <w:rFonts w:ascii="Arial" w:hAnsi="Arial"/>
        <w:color w:val="755A00" w:themeColor="accent5" w:themeShade="95"/>
        <w:sz w:val="22"/>
      </w:rPr>
      <w:tblPr/>
      <w:tcPr>
        <w:shd w:val="clear" w:color="FFF0BF" w:themeColor="accent5" w:themeTint="34" w:fill="FFF0BF" w:themeFill="accent5" w:themeFillTint="34"/>
      </w:tcPr>
    </w:tblStylePr>
    <w:tblStylePr w:type="band2Horz">
      <w:rPr>
        <w:rFonts w:ascii="Arial" w:hAnsi="Arial"/>
        <w:color w:val="755A00"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Pr>
    <w:tblStylePr w:type="firstRow">
      <w:rPr>
        <w:rFonts w:ascii="Arial" w:hAnsi="Arial"/>
        <w:b/>
        <w:color w:val="751311" w:themeColor="accent6" w:themeShade="95"/>
        <w:sz w:val="22"/>
      </w:rPr>
      <w:tblPr/>
      <w:tcPr>
        <w:tcBorders>
          <w:top w:val="none" w:sz="4" w:space="0" w:color="000000"/>
          <w:left w:val="none" w:sz="4" w:space="0" w:color="000000"/>
          <w:bottom w:val="single" w:sz="4" w:space="0" w:color="EA7775" w:themeColor="accent6" w:themeTint="90"/>
          <w:right w:val="none" w:sz="4" w:space="0" w:color="000000"/>
        </w:tcBorders>
        <w:shd w:val="clear" w:color="FFFFFF" w:themeColor="light1" w:fill="FFFFFF" w:themeFill="light1"/>
      </w:tcPr>
    </w:tblStylePr>
    <w:tblStylePr w:type="lastRow">
      <w:rPr>
        <w:rFonts w:ascii="Arial" w:hAnsi="Arial"/>
        <w:b/>
        <w:color w:val="751311" w:themeColor="accent6" w:themeShade="95"/>
        <w:sz w:val="22"/>
      </w:rPr>
      <w:tblPr/>
      <w:tcPr>
        <w:tcBorders>
          <w:top w:val="single" w:sz="4" w:space="0" w:color="EA7775"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51311" w:themeColor="accent6" w:themeShade="95"/>
        <w:sz w:val="22"/>
      </w:rPr>
      <w:tblPr/>
      <w:tcPr>
        <w:tcBorders>
          <w:top w:val="none" w:sz="4" w:space="0" w:color="000000"/>
          <w:left w:val="none" w:sz="4" w:space="0" w:color="000000"/>
          <w:bottom w:val="none" w:sz="4" w:space="0" w:color="000000"/>
          <w:right w:val="single" w:sz="4" w:space="0" w:color="EA7775" w:themeColor="accent6" w:themeTint="90"/>
        </w:tcBorders>
        <w:shd w:val="clear" w:color="FFFFFF" w:fill="auto"/>
      </w:tcPr>
    </w:tblStylePr>
    <w:tblStylePr w:type="lastCol">
      <w:rPr>
        <w:rFonts w:ascii="Arial" w:hAnsi="Arial"/>
        <w:i/>
        <w:color w:val="751311" w:themeColor="accent6" w:themeShade="95"/>
        <w:sz w:val="22"/>
      </w:rPr>
      <w:tblPr/>
      <w:tcPr>
        <w:tcBorders>
          <w:top w:val="none" w:sz="4" w:space="0" w:color="000000"/>
          <w:left w:val="single" w:sz="4" w:space="0" w:color="EA7775" w:themeColor="accent6" w:themeTint="90"/>
          <w:bottom w:val="none" w:sz="4" w:space="0" w:color="000000"/>
          <w:right w:val="none" w:sz="4" w:space="0" w:color="000000"/>
        </w:tcBorders>
        <w:shd w:val="clear" w:color="FFFFFF" w:fill="auto"/>
      </w:tcPr>
    </w:tblStylePr>
    <w:tblStylePr w:type="band1Vert">
      <w:tblPr/>
      <w:tcPr>
        <w:shd w:val="clear" w:color="F7CDCD" w:themeColor="accent6" w:themeTint="34" w:fill="F7CDCD" w:themeFill="accent6" w:themeFillTint="34"/>
      </w:tcPr>
    </w:tblStylePr>
    <w:tblStylePr w:type="band1Horz">
      <w:rPr>
        <w:rFonts w:ascii="Arial" w:hAnsi="Arial"/>
        <w:color w:val="751311" w:themeColor="accent6" w:themeShade="95"/>
        <w:sz w:val="22"/>
      </w:rPr>
      <w:tblPr/>
      <w:tcPr>
        <w:shd w:val="clear" w:color="F7CDCD" w:themeColor="accent6" w:themeTint="34" w:fill="F7CDCD" w:themeFill="accent6" w:themeFillTint="34"/>
      </w:tcPr>
    </w:tblStylePr>
    <w:tblStylePr w:type="band2Horz">
      <w:rPr>
        <w:rFonts w:ascii="Arial" w:hAnsi="Arial"/>
        <w:color w:val="751311"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8A303" w:themeColor="accent1"/>
          <w:right w:val="none" w:sz="4" w:space="0" w:color="000000"/>
        </w:tcBorders>
      </w:tcPr>
    </w:tblStylePr>
    <w:tblStylePr w:type="lastRow">
      <w:rPr>
        <w:b/>
        <w:color w:val="404040"/>
      </w:rPr>
      <w:tblPr/>
      <w:tcPr>
        <w:tcBorders>
          <w:top w:val="single" w:sz="4" w:space="0" w:color="18A303"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4FDA9" w:themeColor="accent1" w:themeTint="40" w:fill="B4FDA9" w:themeFill="accent1" w:themeFillTint="40"/>
      </w:tcPr>
    </w:tblStylePr>
    <w:tblStylePr w:type="band1Horz">
      <w:tblPr/>
      <w:tcPr>
        <w:shd w:val="clear" w:color="B4FDA9" w:themeColor="accent1" w:themeTint="40" w:fill="B4FDA9"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369A3" w:themeColor="accent2"/>
          <w:right w:val="none" w:sz="4" w:space="0" w:color="000000"/>
        </w:tcBorders>
      </w:tcPr>
    </w:tblStylePr>
    <w:tblStylePr w:type="lastRow">
      <w:rPr>
        <w:b/>
        <w:color w:val="404040"/>
      </w:rPr>
      <w:tblPr/>
      <w:tcPr>
        <w:tcBorders>
          <w:top w:val="single" w:sz="4" w:space="0" w:color="0369A3"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9DEFD" w:themeColor="accent2" w:themeTint="40" w:fill="A9DEFD" w:themeFill="accent2" w:themeFillTint="40"/>
      </w:tcPr>
    </w:tblStylePr>
    <w:tblStylePr w:type="band1Horz">
      <w:tblPr/>
      <w:tcPr>
        <w:shd w:val="clear" w:color="A9DEFD" w:themeColor="accent2" w:themeTint="40" w:fill="A9DEFD"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33E03" w:themeColor="accent3"/>
          <w:right w:val="none" w:sz="4" w:space="0" w:color="000000"/>
        </w:tcBorders>
      </w:tcPr>
    </w:tblStylePr>
    <w:tblStylePr w:type="lastRow">
      <w:rPr>
        <w:b/>
        <w:color w:val="404040"/>
      </w:rPr>
      <w:tblPr/>
      <w:tcPr>
        <w:tcBorders>
          <w:top w:val="single" w:sz="4" w:space="0" w:color="A33E03"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C8A9" w:themeColor="accent3" w:themeTint="40" w:fill="FDC8A9" w:themeFill="accent3" w:themeFillTint="40"/>
      </w:tcPr>
    </w:tblStylePr>
    <w:tblStylePr w:type="band1Horz">
      <w:tblPr/>
      <w:tcPr>
        <w:shd w:val="clear" w:color="FDC8A9" w:themeColor="accent3" w:themeTint="40" w:fill="FDC8A9"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E03A3" w:themeColor="accent4"/>
          <w:right w:val="none" w:sz="4" w:space="0" w:color="000000"/>
        </w:tcBorders>
      </w:tcPr>
    </w:tblStylePr>
    <w:tblStylePr w:type="lastRow">
      <w:rPr>
        <w:b/>
        <w:color w:val="404040"/>
      </w:rPr>
      <w:tblPr/>
      <w:tcPr>
        <w:tcBorders>
          <w:top w:val="single" w:sz="4" w:space="0" w:color="8E03A3"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A9FD" w:themeColor="accent4" w:themeTint="40" w:fill="F2A9FD" w:themeFill="accent4" w:themeFillTint="40"/>
      </w:tcPr>
    </w:tblStylePr>
    <w:tblStylePr w:type="band1Horz">
      <w:tblPr/>
      <w:tcPr>
        <w:shd w:val="clear" w:color="F2A9FD" w:themeColor="accent4" w:themeTint="40" w:fill="F2A9FD"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99C00" w:themeColor="accent5"/>
          <w:right w:val="none" w:sz="4" w:space="0" w:color="000000"/>
        </w:tcBorders>
      </w:tcPr>
    </w:tblStylePr>
    <w:tblStylePr w:type="lastRow">
      <w:rPr>
        <w:b/>
        <w:color w:val="404040"/>
      </w:rPr>
      <w:tblPr/>
      <w:tcPr>
        <w:tcBorders>
          <w:top w:val="single" w:sz="4" w:space="0" w:color="C99C00"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DB1" w:themeColor="accent5" w:themeTint="40" w:fill="FFEDB1" w:themeFill="accent5" w:themeFillTint="40"/>
      </w:tcPr>
    </w:tblStylePr>
    <w:tblStylePr w:type="band1Horz">
      <w:tblPr/>
      <w:tcPr>
        <w:shd w:val="clear" w:color="FFEDB1" w:themeColor="accent5" w:themeTint="40" w:fill="FFEDB1"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9211E" w:themeColor="accent6"/>
          <w:right w:val="none" w:sz="4" w:space="0" w:color="000000"/>
        </w:tcBorders>
      </w:tcPr>
    </w:tblStylePr>
    <w:tblStylePr w:type="lastRow">
      <w:rPr>
        <w:b/>
        <w:color w:val="404040"/>
      </w:rPr>
      <w:tblPr/>
      <w:tcPr>
        <w:tcBorders>
          <w:top w:val="single" w:sz="4" w:space="0" w:color="C9211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6C2C1" w:themeColor="accent6" w:themeTint="40" w:fill="F6C2C1" w:themeFill="accent6" w:themeFillTint="40"/>
      </w:tcPr>
    </w:tblStylePr>
    <w:tblStylePr w:type="band1Horz">
      <w:tblPr/>
      <w:tcPr>
        <w:shd w:val="clear" w:color="F6C2C1" w:themeColor="accent6" w:themeTint="40" w:fill="F6C2C1"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58FB40" w:themeColor="accent1" w:themeTint="90"/>
        <w:bottom w:val="single" w:sz="4" w:space="0" w:color="58FB40" w:themeColor="accent1" w:themeTint="90"/>
        <w:insideH w:val="single" w:sz="4" w:space="0" w:color="58FB40" w:themeColor="accent1" w:themeTint="90"/>
      </w:tblBorders>
    </w:tblPr>
    <w:tblStylePr w:type="firstRow">
      <w:rPr>
        <w:rFonts w:ascii="Arial" w:hAnsi="Arial"/>
        <w:b/>
        <w:color w:val="404040"/>
        <w:sz w:val="22"/>
      </w:rPr>
      <w:tblPr/>
      <w:tcPr>
        <w:tcBorders>
          <w:top w:val="single" w:sz="4" w:space="0" w:color="58FB40" w:themeColor="accent1" w:themeTint="90"/>
          <w:left w:val="none" w:sz="4" w:space="0" w:color="000000"/>
          <w:bottom w:val="single" w:sz="4" w:space="0" w:color="58FB40" w:themeColor="accent1" w:themeTint="90"/>
          <w:right w:val="none" w:sz="4" w:space="0" w:color="000000"/>
        </w:tcBorders>
      </w:tcPr>
    </w:tblStylePr>
    <w:tblStylePr w:type="lastRow">
      <w:rPr>
        <w:rFonts w:ascii="Arial" w:hAnsi="Arial"/>
        <w:b/>
        <w:color w:val="404040"/>
        <w:sz w:val="22"/>
      </w:rPr>
      <w:tblPr/>
      <w:tcPr>
        <w:tcBorders>
          <w:top w:val="single" w:sz="4" w:space="0" w:color="58FB40" w:themeColor="accent1" w:themeTint="90"/>
          <w:left w:val="none" w:sz="4" w:space="0" w:color="000000"/>
          <w:bottom w:val="single" w:sz="4" w:space="0" w:color="58FB40"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4FDA9" w:themeColor="accent1" w:themeTint="40" w:fill="B4FDA9" w:themeFill="accent1" w:themeFillTint="40"/>
      </w:tcPr>
    </w:tblStylePr>
    <w:tblStylePr w:type="band1Horz">
      <w:rPr>
        <w:rFonts w:ascii="Arial" w:hAnsi="Arial"/>
        <w:color w:val="404040"/>
        <w:sz w:val="22"/>
      </w:rPr>
      <w:tblPr/>
      <w:tcPr>
        <w:shd w:val="clear" w:color="B4FDA9" w:themeColor="accent1" w:themeTint="40" w:fill="B4FDA9"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40B7FB" w:themeColor="accent2" w:themeTint="90"/>
        <w:bottom w:val="single" w:sz="4" w:space="0" w:color="40B7FB" w:themeColor="accent2" w:themeTint="90"/>
        <w:insideH w:val="single" w:sz="4" w:space="0" w:color="40B7FB" w:themeColor="accent2" w:themeTint="90"/>
      </w:tblBorders>
    </w:tblPr>
    <w:tblStylePr w:type="firstRow">
      <w:rPr>
        <w:rFonts w:ascii="Arial" w:hAnsi="Arial"/>
        <w:b/>
        <w:color w:val="404040"/>
        <w:sz w:val="22"/>
      </w:rPr>
      <w:tblPr/>
      <w:tcPr>
        <w:tcBorders>
          <w:top w:val="single" w:sz="4" w:space="0" w:color="40B7FB" w:themeColor="accent2" w:themeTint="90"/>
          <w:left w:val="none" w:sz="4" w:space="0" w:color="000000"/>
          <w:bottom w:val="single" w:sz="4" w:space="0" w:color="40B7FB" w:themeColor="accent2" w:themeTint="90"/>
          <w:right w:val="none" w:sz="4" w:space="0" w:color="000000"/>
        </w:tcBorders>
      </w:tcPr>
    </w:tblStylePr>
    <w:tblStylePr w:type="lastRow">
      <w:rPr>
        <w:rFonts w:ascii="Arial" w:hAnsi="Arial"/>
        <w:b/>
        <w:color w:val="404040"/>
        <w:sz w:val="22"/>
      </w:rPr>
      <w:tblPr/>
      <w:tcPr>
        <w:tcBorders>
          <w:top w:val="single" w:sz="4" w:space="0" w:color="40B7FB" w:themeColor="accent2" w:themeTint="90"/>
          <w:left w:val="none" w:sz="4" w:space="0" w:color="000000"/>
          <w:bottom w:val="single" w:sz="4" w:space="0" w:color="40B7F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9DEFD" w:themeColor="accent2" w:themeTint="40" w:fill="A9DEFD" w:themeFill="accent2" w:themeFillTint="40"/>
      </w:tcPr>
    </w:tblStylePr>
    <w:tblStylePr w:type="band1Horz">
      <w:rPr>
        <w:rFonts w:ascii="Arial" w:hAnsi="Arial"/>
        <w:color w:val="404040"/>
        <w:sz w:val="22"/>
      </w:rPr>
      <w:tblPr/>
      <w:tcPr>
        <w:shd w:val="clear" w:color="A9DEFD" w:themeColor="accent2" w:themeTint="40" w:fill="A9DEFD"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FB8540" w:themeColor="accent3" w:themeTint="90"/>
        <w:bottom w:val="single" w:sz="4" w:space="0" w:color="FB8540" w:themeColor="accent3" w:themeTint="90"/>
        <w:insideH w:val="single" w:sz="4" w:space="0" w:color="FB8540" w:themeColor="accent3" w:themeTint="90"/>
      </w:tblBorders>
    </w:tblPr>
    <w:tblStylePr w:type="firstRow">
      <w:rPr>
        <w:rFonts w:ascii="Arial" w:hAnsi="Arial"/>
        <w:b/>
        <w:color w:val="404040"/>
        <w:sz w:val="22"/>
      </w:rPr>
      <w:tblPr/>
      <w:tcPr>
        <w:tcBorders>
          <w:top w:val="single" w:sz="4" w:space="0" w:color="FB8540" w:themeColor="accent3" w:themeTint="90"/>
          <w:left w:val="none" w:sz="4" w:space="0" w:color="000000"/>
          <w:bottom w:val="single" w:sz="4" w:space="0" w:color="FB8540" w:themeColor="accent3" w:themeTint="90"/>
          <w:right w:val="none" w:sz="4" w:space="0" w:color="000000"/>
        </w:tcBorders>
      </w:tcPr>
    </w:tblStylePr>
    <w:tblStylePr w:type="lastRow">
      <w:rPr>
        <w:rFonts w:ascii="Arial" w:hAnsi="Arial"/>
        <w:b/>
        <w:color w:val="404040"/>
        <w:sz w:val="22"/>
      </w:rPr>
      <w:tblPr/>
      <w:tcPr>
        <w:tcBorders>
          <w:top w:val="single" w:sz="4" w:space="0" w:color="FB8540" w:themeColor="accent3" w:themeTint="90"/>
          <w:left w:val="none" w:sz="4" w:space="0" w:color="000000"/>
          <w:bottom w:val="single" w:sz="4" w:space="0" w:color="FB8540"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C8A9" w:themeColor="accent3" w:themeTint="40" w:fill="FDC8A9" w:themeFill="accent3" w:themeFillTint="40"/>
      </w:tcPr>
    </w:tblStylePr>
    <w:tblStylePr w:type="band1Horz">
      <w:rPr>
        <w:rFonts w:ascii="Arial" w:hAnsi="Arial"/>
        <w:color w:val="404040"/>
        <w:sz w:val="22"/>
      </w:rPr>
      <w:tblPr/>
      <w:tcPr>
        <w:shd w:val="clear" w:color="FDC8A9" w:themeColor="accent3" w:themeTint="40" w:fill="FDC8A9"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E240FB" w:themeColor="accent4" w:themeTint="90"/>
        <w:bottom w:val="single" w:sz="4" w:space="0" w:color="E240FB" w:themeColor="accent4" w:themeTint="90"/>
        <w:insideH w:val="single" w:sz="4" w:space="0" w:color="E240FB" w:themeColor="accent4" w:themeTint="90"/>
      </w:tblBorders>
    </w:tblPr>
    <w:tblStylePr w:type="firstRow">
      <w:rPr>
        <w:rFonts w:ascii="Arial" w:hAnsi="Arial"/>
        <w:b/>
        <w:color w:val="404040"/>
        <w:sz w:val="22"/>
      </w:rPr>
      <w:tblPr/>
      <w:tcPr>
        <w:tcBorders>
          <w:top w:val="single" w:sz="4" w:space="0" w:color="E240FB" w:themeColor="accent4" w:themeTint="90"/>
          <w:left w:val="none" w:sz="4" w:space="0" w:color="000000"/>
          <w:bottom w:val="single" w:sz="4" w:space="0" w:color="E240FB" w:themeColor="accent4" w:themeTint="90"/>
          <w:right w:val="none" w:sz="4" w:space="0" w:color="000000"/>
        </w:tcBorders>
      </w:tcPr>
    </w:tblStylePr>
    <w:tblStylePr w:type="lastRow">
      <w:rPr>
        <w:rFonts w:ascii="Arial" w:hAnsi="Arial"/>
        <w:b/>
        <w:color w:val="404040"/>
        <w:sz w:val="22"/>
      </w:rPr>
      <w:tblPr/>
      <w:tcPr>
        <w:tcBorders>
          <w:top w:val="single" w:sz="4" w:space="0" w:color="E240FB" w:themeColor="accent4" w:themeTint="90"/>
          <w:left w:val="none" w:sz="4" w:space="0" w:color="000000"/>
          <w:bottom w:val="single" w:sz="4" w:space="0" w:color="E240FB"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A9FD" w:themeColor="accent4" w:themeTint="40" w:fill="F2A9FD" w:themeFill="accent4" w:themeFillTint="40"/>
      </w:tcPr>
    </w:tblStylePr>
    <w:tblStylePr w:type="band1Horz">
      <w:rPr>
        <w:rFonts w:ascii="Arial" w:hAnsi="Arial"/>
        <w:color w:val="404040"/>
        <w:sz w:val="22"/>
      </w:rPr>
      <w:tblPr/>
      <w:tcPr>
        <w:shd w:val="clear" w:color="F2A9FD" w:themeColor="accent4" w:themeTint="40" w:fill="F2A9FD"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FFD750" w:themeColor="accent5" w:themeTint="90"/>
        <w:bottom w:val="single" w:sz="4" w:space="0" w:color="FFD750" w:themeColor="accent5" w:themeTint="90"/>
        <w:insideH w:val="single" w:sz="4" w:space="0" w:color="FFD750" w:themeColor="accent5" w:themeTint="90"/>
      </w:tblBorders>
    </w:tblPr>
    <w:tblStylePr w:type="firstRow">
      <w:rPr>
        <w:rFonts w:ascii="Arial" w:hAnsi="Arial"/>
        <w:b/>
        <w:color w:val="404040"/>
        <w:sz w:val="22"/>
      </w:rPr>
      <w:tblPr/>
      <w:tcPr>
        <w:tcBorders>
          <w:top w:val="single" w:sz="4" w:space="0" w:color="FFD750" w:themeColor="accent5" w:themeTint="90"/>
          <w:left w:val="none" w:sz="4" w:space="0" w:color="000000"/>
          <w:bottom w:val="single" w:sz="4" w:space="0" w:color="FFD750" w:themeColor="accent5" w:themeTint="90"/>
          <w:right w:val="none" w:sz="4" w:space="0" w:color="000000"/>
        </w:tcBorders>
      </w:tcPr>
    </w:tblStylePr>
    <w:tblStylePr w:type="lastRow">
      <w:rPr>
        <w:rFonts w:ascii="Arial" w:hAnsi="Arial"/>
        <w:b/>
        <w:color w:val="404040"/>
        <w:sz w:val="22"/>
      </w:rPr>
      <w:tblPr/>
      <w:tcPr>
        <w:tcBorders>
          <w:top w:val="single" w:sz="4" w:space="0" w:color="FFD750" w:themeColor="accent5" w:themeTint="90"/>
          <w:left w:val="none" w:sz="4" w:space="0" w:color="000000"/>
          <w:bottom w:val="single" w:sz="4" w:space="0" w:color="FFD750"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DB1" w:themeColor="accent5" w:themeTint="40" w:fill="FFEDB1" w:themeFill="accent5" w:themeFillTint="40"/>
      </w:tcPr>
    </w:tblStylePr>
    <w:tblStylePr w:type="band1Horz">
      <w:rPr>
        <w:rFonts w:ascii="Arial" w:hAnsi="Arial"/>
        <w:color w:val="404040"/>
        <w:sz w:val="22"/>
      </w:rPr>
      <w:tblPr/>
      <w:tcPr>
        <w:shd w:val="clear" w:color="FFEDB1" w:themeColor="accent5" w:themeTint="40" w:fill="FFEDB1"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EA7775" w:themeColor="accent6" w:themeTint="90"/>
        <w:bottom w:val="single" w:sz="4" w:space="0" w:color="EA7775" w:themeColor="accent6" w:themeTint="90"/>
        <w:insideH w:val="single" w:sz="4" w:space="0" w:color="EA7775" w:themeColor="accent6" w:themeTint="90"/>
      </w:tblBorders>
    </w:tblPr>
    <w:tblStylePr w:type="firstRow">
      <w:rPr>
        <w:rFonts w:ascii="Arial" w:hAnsi="Arial"/>
        <w:b/>
        <w:color w:val="404040"/>
        <w:sz w:val="22"/>
      </w:rPr>
      <w:tblPr/>
      <w:tcPr>
        <w:tcBorders>
          <w:top w:val="single" w:sz="4" w:space="0" w:color="EA7775" w:themeColor="accent6" w:themeTint="90"/>
          <w:left w:val="none" w:sz="4" w:space="0" w:color="000000"/>
          <w:bottom w:val="single" w:sz="4" w:space="0" w:color="EA7775" w:themeColor="accent6" w:themeTint="90"/>
          <w:right w:val="none" w:sz="4" w:space="0" w:color="000000"/>
        </w:tcBorders>
      </w:tcPr>
    </w:tblStylePr>
    <w:tblStylePr w:type="lastRow">
      <w:rPr>
        <w:rFonts w:ascii="Arial" w:hAnsi="Arial"/>
        <w:b/>
        <w:color w:val="404040"/>
        <w:sz w:val="22"/>
      </w:rPr>
      <w:tblPr/>
      <w:tcPr>
        <w:tcBorders>
          <w:top w:val="single" w:sz="4" w:space="0" w:color="EA7775" w:themeColor="accent6" w:themeTint="90"/>
          <w:left w:val="none" w:sz="4" w:space="0" w:color="000000"/>
          <w:bottom w:val="single" w:sz="4" w:space="0" w:color="EA7775"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6C2C1" w:themeColor="accent6" w:themeTint="40" w:fill="F6C2C1" w:themeFill="accent6" w:themeFillTint="40"/>
      </w:tcPr>
    </w:tblStylePr>
    <w:tblStylePr w:type="band1Horz">
      <w:rPr>
        <w:rFonts w:ascii="Arial" w:hAnsi="Arial"/>
        <w:color w:val="404040"/>
        <w:sz w:val="22"/>
      </w:rPr>
      <w:tblPr/>
      <w:tcPr>
        <w:shd w:val="clear" w:color="F6C2C1" w:themeColor="accent6" w:themeTint="40" w:fill="F6C2C1"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18A303" w:themeColor="accent1"/>
        <w:left w:val="single" w:sz="4" w:space="0" w:color="18A303" w:themeColor="accent1"/>
        <w:bottom w:val="single" w:sz="4" w:space="0" w:color="18A303" w:themeColor="accent1"/>
        <w:right w:val="single" w:sz="4" w:space="0" w:color="18A303" w:themeColor="accent1"/>
      </w:tblBorders>
    </w:tblPr>
    <w:tblStylePr w:type="firstRow">
      <w:rPr>
        <w:rFonts w:ascii="Arial" w:hAnsi="Arial"/>
        <w:b/>
        <w:color w:val="FFFFFF"/>
        <w:sz w:val="22"/>
      </w:rPr>
      <w:tblPr/>
      <w:tcPr>
        <w:shd w:val="clear" w:color="18A303" w:themeColor="accent1" w:fill="18A303"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8A303" w:themeColor="accent1"/>
          <w:right w:val="single" w:sz="4" w:space="0" w:color="18A303" w:themeColor="accent1"/>
        </w:tcBorders>
      </w:tcPr>
    </w:tblStylePr>
    <w:tblStylePr w:type="band1Horz">
      <w:rPr>
        <w:rFonts w:ascii="Arial" w:hAnsi="Arial"/>
        <w:color w:val="404040"/>
        <w:sz w:val="22"/>
      </w:rPr>
      <w:tblPr/>
      <w:tcPr>
        <w:tcBorders>
          <w:top w:val="single" w:sz="4" w:space="0" w:color="18A303" w:themeColor="accent1"/>
          <w:bottom w:val="single" w:sz="4" w:space="0" w:color="18A303"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tblBorders>
    </w:tblPr>
    <w:tblStylePr w:type="firstRow">
      <w:rPr>
        <w:rFonts w:ascii="Arial" w:hAnsi="Arial"/>
        <w:b/>
        <w:color w:val="FFFFFF"/>
        <w:sz w:val="22"/>
      </w:rPr>
      <w:tblPr/>
      <w:tcPr>
        <w:shd w:val="clear" w:color="36B3FB" w:themeColor="accent2" w:themeTint="97" w:fill="36B3FB"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6B3FB" w:themeColor="accent2" w:themeTint="97"/>
          <w:right w:val="single" w:sz="4" w:space="0" w:color="36B3FB" w:themeColor="accent2" w:themeTint="97"/>
        </w:tcBorders>
      </w:tcPr>
    </w:tblStylePr>
    <w:tblStylePr w:type="band1Horz">
      <w:rPr>
        <w:rFonts w:ascii="Arial" w:hAnsi="Arial"/>
        <w:color w:val="404040"/>
        <w:sz w:val="22"/>
      </w:rPr>
      <w:tblPr/>
      <w:tcPr>
        <w:tcBorders>
          <w:top w:val="single" w:sz="4" w:space="0" w:color="36B3FB" w:themeColor="accent2" w:themeTint="97"/>
          <w:bottom w:val="single" w:sz="4" w:space="0" w:color="36B3FB"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FB7E35" w:themeColor="accent3" w:themeTint="98"/>
        <w:left w:val="single" w:sz="4" w:space="0" w:color="FB7E35" w:themeColor="accent3" w:themeTint="98"/>
        <w:bottom w:val="single" w:sz="4" w:space="0" w:color="FB7E35" w:themeColor="accent3" w:themeTint="98"/>
        <w:right w:val="single" w:sz="4" w:space="0" w:color="FB7E35" w:themeColor="accent3" w:themeTint="98"/>
      </w:tblBorders>
    </w:tblPr>
    <w:tblStylePr w:type="firstRow">
      <w:rPr>
        <w:rFonts w:ascii="Arial" w:hAnsi="Arial"/>
        <w:b/>
        <w:color w:val="FFFFFF"/>
        <w:sz w:val="22"/>
      </w:rPr>
      <w:tblPr/>
      <w:tcPr>
        <w:shd w:val="clear" w:color="FB7E35" w:themeColor="accent3" w:themeTint="98" w:fill="FB7E35"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B7E35" w:themeColor="accent3" w:themeTint="98"/>
          <w:right w:val="single" w:sz="4" w:space="0" w:color="FB7E35" w:themeColor="accent3" w:themeTint="98"/>
        </w:tcBorders>
      </w:tcPr>
    </w:tblStylePr>
    <w:tblStylePr w:type="band1Horz">
      <w:rPr>
        <w:rFonts w:ascii="Arial" w:hAnsi="Arial"/>
        <w:color w:val="404040"/>
        <w:sz w:val="22"/>
      </w:rPr>
      <w:tblPr/>
      <w:tcPr>
        <w:tcBorders>
          <w:top w:val="single" w:sz="4" w:space="0" w:color="FB7E35" w:themeColor="accent3" w:themeTint="98"/>
          <w:bottom w:val="single" w:sz="4" w:space="0" w:color="FB7E35"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tblBorders>
    </w:tblPr>
    <w:tblStylePr w:type="firstRow">
      <w:rPr>
        <w:rFonts w:ascii="Arial" w:hAnsi="Arial"/>
        <w:b/>
        <w:color w:val="FFFFFF"/>
        <w:sz w:val="22"/>
      </w:rPr>
      <w:tblPr/>
      <w:tcPr>
        <w:shd w:val="clear" w:color="E032FB" w:themeColor="accent4" w:themeTint="9A" w:fill="E032FB"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032FB" w:themeColor="accent4" w:themeTint="9A"/>
          <w:right w:val="single" w:sz="4" w:space="0" w:color="E032FB" w:themeColor="accent4" w:themeTint="9A"/>
        </w:tcBorders>
      </w:tcPr>
    </w:tblStylePr>
    <w:tblStylePr w:type="band1Horz">
      <w:rPr>
        <w:rFonts w:ascii="Arial" w:hAnsi="Arial"/>
        <w:color w:val="404040"/>
        <w:sz w:val="22"/>
      </w:rPr>
      <w:tblPr/>
      <w:tcPr>
        <w:tcBorders>
          <w:top w:val="single" w:sz="4" w:space="0" w:color="E032FB" w:themeColor="accent4" w:themeTint="9A"/>
          <w:bottom w:val="single" w:sz="4" w:space="0" w:color="E032FB"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FFD444" w:themeColor="accent5" w:themeTint="9A"/>
        <w:left w:val="single" w:sz="4" w:space="0" w:color="FFD444" w:themeColor="accent5" w:themeTint="9A"/>
        <w:bottom w:val="single" w:sz="4" w:space="0" w:color="FFD444" w:themeColor="accent5" w:themeTint="9A"/>
        <w:right w:val="single" w:sz="4" w:space="0" w:color="FFD444" w:themeColor="accent5" w:themeTint="9A"/>
      </w:tblBorders>
    </w:tblPr>
    <w:tblStylePr w:type="firstRow">
      <w:rPr>
        <w:rFonts w:ascii="Arial" w:hAnsi="Arial"/>
        <w:b/>
        <w:color w:val="FFFFFF"/>
        <w:sz w:val="22"/>
      </w:rPr>
      <w:tblPr/>
      <w:tcPr>
        <w:shd w:val="clear" w:color="FFD444" w:themeColor="accent5" w:themeTint="9A" w:fill="FFD444"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444" w:themeColor="accent5" w:themeTint="9A"/>
          <w:right w:val="single" w:sz="4" w:space="0" w:color="FFD444" w:themeColor="accent5" w:themeTint="9A"/>
        </w:tcBorders>
      </w:tcPr>
    </w:tblStylePr>
    <w:tblStylePr w:type="band1Horz">
      <w:rPr>
        <w:rFonts w:ascii="Arial" w:hAnsi="Arial"/>
        <w:color w:val="404040"/>
        <w:sz w:val="22"/>
      </w:rPr>
      <w:tblPr/>
      <w:tcPr>
        <w:tcBorders>
          <w:top w:val="single" w:sz="4" w:space="0" w:color="FFD444" w:themeColor="accent5" w:themeTint="9A"/>
          <w:bottom w:val="single" w:sz="4" w:space="0" w:color="FFD444"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E9706E" w:themeColor="accent6" w:themeTint="98"/>
        <w:left w:val="single" w:sz="4" w:space="0" w:color="E9706E" w:themeColor="accent6" w:themeTint="98"/>
        <w:bottom w:val="single" w:sz="4" w:space="0" w:color="E9706E" w:themeColor="accent6" w:themeTint="98"/>
        <w:right w:val="single" w:sz="4" w:space="0" w:color="E9706E" w:themeColor="accent6" w:themeTint="98"/>
      </w:tblBorders>
    </w:tblPr>
    <w:tblStylePr w:type="firstRow">
      <w:rPr>
        <w:rFonts w:ascii="Arial" w:hAnsi="Arial"/>
        <w:b/>
        <w:color w:val="FFFFFF"/>
        <w:sz w:val="22"/>
      </w:rPr>
      <w:tblPr/>
      <w:tcPr>
        <w:shd w:val="clear" w:color="E9706E" w:themeColor="accent6" w:themeTint="98" w:fill="E9706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9706E" w:themeColor="accent6" w:themeTint="98"/>
          <w:right w:val="single" w:sz="4" w:space="0" w:color="E9706E" w:themeColor="accent6" w:themeTint="98"/>
        </w:tcBorders>
      </w:tcPr>
    </w:tblStylePr>
    <w:tblStylePr w:type="band1Horz">
      <w:rPr>
        <w:rFonts w:ascii="Arial" w:hAnsi="Arial"/>
        <w:color w:val="404040"/>
        <w:sz w:val="22"/>
      </w:rPr>
      <w:tblPr/>
      <w:tcPr>
        <w:tcBorders>
          <w:top w:val="single" w:sz="4" w:space="0" w:color="E9706E" w:themeColor="accent6" w:themeTint="98"/>
          <w:bottom w:val="single" w:sz="4" w:space="0" w:color="E9706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tblBorders>
    </w:tblPr>
    <w:tblStylePr w:type="firstRow">
      <w:rPr>
        <w:rFonts w:ascii="Arial" w:hAnsi="Arial"/>
        <w:b/>
        <w:color w:val="FFFFFF"/>
        <w:sz w:val="22"/>
      </w:rPr>
      <w:tblPr/>
      <w:tcPr>
        <w:shd w:val="clear" w:color="18A303" w:themeColor="accent1" w:fill="18A303"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4FDA9" w:themeColor="accent1" w:themeTint="40" w:fill="B4FDA9" w:themeFill="accent1" w:themeFillTint="40"/>
      </w:tcPr>
    </w:tblStylePr>
    <w:tblStylePr w:type="band1Horz">
      <w:rPr>
        <w:rFonts w:ascii="Arial" w:hAnsi="Arial"/>
        <w:color w:val="404040"/>
        <w:sz w:val="22"/>
      </w:rPr>
      <w:tblPr/>
      <w:tcPr>
        <w:shd w:val="clear" w:color="B4FDA9" w:themeColor="accent1" w:themeTint="40" w:fill="B4FDA9"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tblBorders>
    </w:tblPr>
    <w:tblStylePr w:type="firstRow">
      <w:rPr>
        <w:rFonts w:ascii="Arial" w:hAnsi="Arial"/>
        <w:b/>
        <w:color w:val="FFFFFF"/>
        <w:sz w:val="22"/>
      </w:rPr>
      <w:tblPr/>
      <w:tcPr>
        <w:shd w:val="clear" w:color="0369A3" w:themeColor="accent2" w:fill="0369A3"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9DEFD" w:themeColor="accent2" w:themeTint="40" w:fill="A9DEFD" w:themeFill="accent2" w:themeFillTint="40"/>
      </w:tcPr>
    </w:tblStylePr>
    <w:tblStylePr w:type="band1Horz">
      <w:rPr>
        <w:rFonts w:ascii="Arial" w:hAnsi="Arial"/>
        <w:color w:val="404040"/>
        <w:sz w:val="22"/>
      </w:rPr>
      <w:tblPr/>
      <w:tcPr>
        <w:shd w:val="clear" w:color="A9DEFD" w:themeColor="accent2" w:themeTint="40" w:fill="A9DEFD"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tblBorders>
    </w:tblPr>
    <w:tblStylePr w:type="firstRow">
      <w:rPr>
        <w:rFonts w:ascii="Arial" w:hAnsi="Arial"/>
        <w:b/>
        <w:color w:val="FFFFFF"/>
        <w:sz w:val="22"/>
      </w:rPr>
      <w:tblPr/>
      <w:tcPr>
        <w:shd w:val="clear" w:color="A33E03" w:themeColor="accent3" w:fill="A33E03"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C8A9" w:themeColor="accent3" w:themeTint="40" w:fill="FDC8A9" w:themeFill="accent3" w:themeFillTint="40"/>
      </w:tcPr>
    </w:tblStylePr>
    <w:tblStylePr w:type="band1Horz">
      <w:rPr>
        <w:rFonts w:ascii="Arial" w:hAnsi="Arial"/>
        <w:color w:val="404040"/>
        <w:sz w:val="22"/>
      </w:rPr>
      <w:tblPr/>
      <w:tcPr>
        <w:shd w:val="clear" w:color="FDC8A9" w:themeColor="accent3" w:themeTint="40" w:fill="FDC8A9"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tblBorders>
    </w:tblPr>
    <w:tblStylePr w:type="firstRow">
      <w:rPr>
        <w:rFonts w:ascii="Arial" w:hAnsi="Arial"/>
        <w:b/>
        <w:color w:val="FFFFFF"/>
        <w:sz w:val="22"/>
      </w:rPr>
      <w:tblPr/>
      <w:tcPr>
        <w:shd w:val="clear" w:color="8E03A3" w:themeColor="accent4" w:fill="8E03A3"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A9FD" w:themeColor="accent4" w:themeTint="40" w:fill="F2A9FD" w:themeFill="accent4" w:themeFillTint="40"/>
      </w:tcPr>
    </w:tblStylePr>
    <w:tblStylePr w:type="band1Horz">
      <w:rPr>
        <w:rFonts w:ascii="Arial" w:hAnsi="Arial"/>
        <w:color w:val="404040"/>
        <w:sz w:val="22"/>
      </w:rPr>
      <w:tblPr/>
      <w:tcPr>
        <w:shd w:val="clear" w:color="F2A9FD" w:themeColor="accent4" w:themeTint="40" w:fill="F2A9FD"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tblBorders>
    </w:tblPr>
    <w:tblStylePr w:type="firstRow">
      <w:rPr>
        <w:rFonts w:ascii="Arial" w:hAnsi="Arial"/>
        <w:b/>
        <w:color w:val="FFFFFF"/>
        <w:sz w:val="22"/>
      </w:rPr>
      <w:tblPr/>
      <w:tcPr>
        <w:shd w:val="clear" w:color="C99C00" w:themeColor="accent5" w:fill="C99C00"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B1" w:themeColor="accent5" w:themeTint="40" w:fill="FFEDB1" w:themeFill="accent5" w:themeFillTint="40"/>
      </w:tcPr>
    </w:tblStylePr>
    <w:tblStylePr w:type="band1Horz">
      <w:rPr>
        <w:rFonts w:ascii="Arial" w:hAnsi="Arial"/>
        <w:color w:val="404040"/>
        <w:sz w:val="22"/>
      </w:rPr>
      <w:tblPr/>
      <w:tcPr>
        <w:shd w:val="clear" w:color="FFEDB1" w:themeColor="accent5" w:themeTint="40" w:fill="FFEDB1"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tblBorders>
    </w:tblPr>
    <w:tblStylePr w:type="firstRow">
      <w:rPr>
        <w:rFonts w:ascii="Arial" w:hAnsi="Arial"/>
        <w:b/>
        <w:color w:val="FFFFFF"/>
        <w:sz w:val="22"/>
      </w:rPr>
      <w:tblPr/>
      <w:tcPr>
        <w:shd w:val="clear" w:color="C9211E" w:themeColor="accent6" w:fill="C9211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6C2C1" w:themeColor="accent6" w:themeTint="40" w:fill="F6C2C1" w:themeFill="accent6" w:themeFillTint="40"/>
      </w:tcPr>
    </w:tblStylePr>
    <w:tblStylePr w:type="band1Horz">
      <w:rPr>
        <w:rFonts w:ascii="Arial" w:hAnsi="Arial"/>
        <w:color w:val="404040"/>
        <w:sz w:val="22"/>
      </w:rPr>
      <w:tblPr/>
      <w:tcPr>
        <w:shd w:val="clear" w:color="F6C2C1" w:themeColor="accent6" w:themeTint="40" w:fill="F6C2C1"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18A303" w:themeColor="accent1"/>
        <w:left w:val="single" w:sz="32" w:space="0" w:color="18A303" w:themeColor="accent1"/>
        <w:bottom w:val="single" w:sz="32" w:space="0" w:color="18A303" w:themeColor="accent1"/>
        <w:right w:val="single" w:sz="32" w:space="0" w:color="18A303" w:themeColor="accent1"/>
      </w:tblBorders>
      <w:shd w:val="clear" w:color="18A303" w:themeColor="accent1" w:fill="18A303" w:themeFill="accent1"/>
    </w:tblPr>
    <w:tblStylePr w:type="firstRow">
      <w:rPr>
        <w:rFonts w:ascii="Arial" w:hAnsi="Arial"/>
        <w:b/>
        <w:color w:val="FFFFFF" w:themeColor="light1"/>
        <w:sz w:val="22"/>
      </w:rPr>
      <w:tblPr/>
      <w:tcPr>
        <w:tcBorders>
          <w:top w:val="single" w:sz="32" w:space="0" w:color="18A303" w:themeColor="accent1"/>
          <w:bottom w:val="single" w:sz="12" w:space="0" w:color="FFFFFF" w:themeColor="light1"/>
        </w:tcBorders>
        <w:shd w:val="clear" w:color="18A303" w:themeColor="accent1" w:fill="18A303"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8A303" w:themeColor="accent1"/>
          <w:right w:val="single" w:sz="4" w:space="0" w:color="FFFFFF" w:themeColor="light1"/>
        </w:tcBorders>
      </w:tcPr>
    </w:tblStylePr>
    <w:tblStylePr w:type="lastCol">
      <w:tblPr/>
      <w:tcPr>
        <w:tcBorders>
          <w:left w:val="single" w:sz="4" w:space="0" w:color="FFFFFF" w:themeColor="light1"/>
          <w:right w:val="single" w:sz="32" w:space="0" w:color="18A303" w:themeColor="accent1"/>
        </w:tcBorders>
      </w:tcPr>
    </w:tblStylePr>
    <w:tblStylePr w:type="band1Vert">
      <w:tblPr/>
      <w:tcPr>
        <w:tcBorders>
          <w:left w:val="single" w:sz="4" w:space="0" w:color="FFFFFF" w:themeColor="light1"/>
          <w:right w:val="single" w:sz="4" w:space="0" w:color="FFFFFF" w:themeColor="light1"/>
        </w:tcBorders>
        <w:shd w:val="clear" w:color="18A303" w:themeColor="accent1" w:fill="18A303"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8A303" w:themeColor="accent1" w:fill="18A303" w:themeFill="accent1"/>
      </w:tcPr>
    </w:tblStylePr>
    <w:tblStylePr w:type="band2Horz">
      <w:tblPr/>
      <w:tcPr>
        <w:tcBorders>
          <w:top w:val="single" w:sz="4" w:space="0" w:color="FFFFFF" w:themeColor="light1"/>
          <w:bottom w:val="single" w:sz="4" w:space="0" w:color="FFFFFF" w:themeColor="light1"/>
        </w:tcBorders>
        <w:shd w:val="clear" w:color="18A303" w:themeColor="accent1" w:fill="18A303"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36B3FB" w:themeColor="accent2" w:themeTint="97"/>
        <w:left w:val="single" w:sz="32" w:space="0" w:color="36B3FB" w:themeColor="accent2" w:themeTint="97"/>
        <w:bottom w:val="single" w:sz="32" w:space="0" w:color="36B3FB" w:themeColor="accent2" w:themeTint="97"/>
        <w:right w:val="single" w:sz="32" w:space="0" w:color="36B3FB" w:themeColor="accent2" w:themeTint="97"/>
      </w:tblBorders>
      <w:shd w:val="clear" w:color="36B3FB" w:themeColor="accent2" w:themeTint="97" w:fill="36B3FB" w:themeFill="accent2" w:themeFillTint="97"/>
    </w:tblPr>
    <w:tblStylePr w:type="firstRow">
      <w:rPr>
        <w:rFonts w:ascii="Arial" w:hAnsi="Arial"/>
        <w:b/>
        <w:color w:val="FFFFFF" w:themeColor="light1"/>
        <w:sz w:val="22"/>
      </w:rPr>
      <w:tblPr/>
      <w:tcPr>
        <w:tcBorders>
          <w:top w:val="single" w:sz="32" w:space="0" w:color="36B3FB" w:themeColor="accent2" w:themeTint="97"/>
          <w:bottom w:val="single" w:sz="12" w:space="0" w:color="FFFFFF" w:themeColor="light1"/>
        </w:tcBorders>
        <w:shd w:val="clear" w:color="36B3FB" w:themeColor="accent2" w:themeTint="97" w:fill="36B3FB"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6B3FB" w:themeColor="accent2" w:themeTint="97"/>
          <w:right w:val="single" w:sz="4" w:space="0" w:color="FFFFFF" w:themeColor="light1"/>
        </w:tcBorders>
      </w:tcPr>
    </w:tblStylePr>
    <w:tblStylePr w:type="lastCol">
      <w:tblPr/>
      <w:tcPr>
        <w:tcBorders>
          <w:left w:val="single" w:sz="4" w:space="0" w:color="FFFFFF" w:themeColor="light1"/>
          <w:right w:val="single" w:sz="32" w:space="0" w:color="36B3FB" w:themeColor="accent2" w:themeTint="97"/>
        </w:tcBorders>
      </w:tcPr>
    </w:tblStylePr>
    <w:tblStylePr w:type="band1Vert">
      <w:tblPr/>
      <w:tcPr>
        <w:tcBorders>
          <w:left w:val="single" w:sz="4" w:space="0" w:color="FFFFFF" w:themeColor="light1"/>
          <w:right w:val="single" w:sz="4" w:space="0" w:color="FFFFFF" w:themeColor="light1"/>
        </w:tcBorders>
        <w:shd w:val="clear" w:color="36B3FB" w:themeColor="accent2" w:themeTint="97" w:fill="36B3FB"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6B3FB" w:themeColor="accent2" w:themeTint="97" w:fill="36B3FB" w:themeFill="accent2" w:themeFillTint="97"/>
      </w:tcPr>
    </w:tblStylePr>
    <w:tblStylePr w:type="band2Horz">
      <w:tblPr/>
      <w:tcPr>
        <w:tcBorders>
          <w:top w:val="single" w:sz="4" w:space="0" w:color="FFFFFF" w:themeColor="light1"/>
          <w:bottom w:val="single" w:sz="4" w:space="0" w:color="FFFFFF" w:themeColor="light1"/>
        </w:tcBorders>
        <w:shd w:val="clear" w:color="36B3FB" w:themeColor="accent2" w:themeTint="97" w:fill="36B3FB"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FB7E35" w:themeColor="accent3" w:themeTint="98"/>
        <w:left w:val="single" w:sz="32" w:space="0" w:color="FB7E35" w:themeColor="accent3" w:themeTint="98"/>
        <w:bottom w:val="single" w:sz="32" w:space="0" w:color="FB7E35" w:themeColor="accent3" w:themeTint="98"/>
        <w:right w:val="single" w:sz="32" w:space="0" w:color="FB7E35" w:themeColor="accent3" w:themeTint="98"/>
      </w:tblBorders>
      <w:shd w:val="clear" w:color="FB7E35" w:themeColor="accent3" w:themeTint="98" w:fill="FB7E35" w:themeFill="accent3" w:themeFillTint="98"/>
    </w:tblPr>
    <w:tblStylePr w:type="firstRow">
      <w:rPr>
        <w:rFonts w:ascii="Arial" w:hAnsi="Arial"/>
        <w:b/>
        <w:color w:val="FFFFFF" w:themeColor="light1"/>
        <w:sz w:val="22"/>
      </w:rPr>
      <w:tblPr/>
      <w:tcPr>
        <w:tcBorders>
          <w:top w:val="single" w:sz="32" w:space="0" w:color="FB7E35" w:themeColor="accent3" w:themeTint="98"/>
          <w:bottom w:val="single" w:sz="12" w:space="0" w:color="FFFFFF" w:themeColor="light1"/>
        </w:tcBorders>
        <w:shd w:val="clear" w:color="FB7E35" w:themeColor="accent3" w:themeTint="98" w:fill="FB7E35"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B7E35" w:themeColor="accent3" w:themeTint="98"/>
          <w:right w:val="single" w:sz="4" w:space="0" w:color="FFFFFF" w:themeColor="light1"/>
        </w:tcBorders>
      </w:tcPr>
    </w:tblStylePr>
    <w:tblStylePr w:type="lastCol">
      <w:tblPr/>
      <w:tcPr>
        <w:tcBorders>
          <w:left w:val="single" w:sz="4" w:space="0" w:color="FFFFFF" w:themeColor="light1"/>
          <w:right w:val="single" w:sz="32" w:space="0" w:color="FB7E35" w:themeColor="accent3" w:themeTint="98"/>
        </w:tcBorders>
      </w:tcPr>
    </w:tblStylePr>
    <w:tblStylePr w:type="band1Vert">
      <w:tblPr/>
      <w:tcPr>
        <w:tcBorders>
          <w:left w:val="single" w:sz="4" w:space="0" w:color="FFFFFF" w:themeColor="light1"/>
          <w:right w:val="single" w:sz="4" w:space="0" w:color="FFFFFF" w:themeColor="light1"/>
        </w:tcBorders>
        <w:shd w:val="clear" w:color="FB7E35" w:themeColor="accent3" w:themeTint="98" w:fill="FB7E35"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B7E35" w:themeColor="accent3" w:themeTint="98" w:fill="FB7E35" w:themeFill="accent3" w:themeFillTint="98"/>
      </w:tcPr>
    </w:tblStylePr>
    <w:tblStylePr w:type="band2Horz">
      <w:tblPr/>
      <w:tcPr>
        <w:tcBorders>
          <w:top w:val="single" w:sz="4" w:space="0" w:color="FFFFFF" w:themeColor="light1"/>
          <w:bottom w:val="single" w:sz="4" w:space="0" w:color="FFFFFF" w:themeColor="light1"/>
        </w:tcBorders>
        <w:shd w:val="clear" w:color="FB7E35" w:themeColor="accent3" w:themeTint="98" w:fill="FB7E35"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E032FB" w:themeColor="accent4" w:themeTint="9A"/>
        <w:left w:val="single" w:sz="32" w:space="0" w:color="E032FB" w:themeColor="accent4" w:themeTint="9A"/>
        <w:bottom w:val="single" w:sz="32" w:space="0" w:color="E032FB" w:themeColor="accent4" w:themeTint="9A"/>
        <w:right w:val="single" w:sz="32" w:space="0" w:color="E032FB" w:themeColor="accent4" w:themeTint="9A"/>
      </w:tblBorders>
      <w:shd w:val="clear" w:color="E032FB" w:themeColor="accent4" w:themeTint="9A" w:fill="E032FB" w:themeFill="accent4" w:themeFillTint="9A"/>
    </w:tblPr>
    <w:tblStylePr w:type="firstRow">
      <w:rPr>
        <w:rFonts w:ascii="Arial" w:hAnsi="Arial"/>
        <w:b/>
        <w:color w:val="FFFFFF" w:themeColor="light1"/>
        <w:sz w:val="22"/>
      </w:rPr>
      <w:tblPr/>
      <w:tcPr>
        <w:tcBorders>
          <w:top w:val="single" w:sz="32" w:space="0" w:color="E032FB" w:themeColor="accent4" w:themeTint="9A"/>
          <w:bottom w:val="single" w:sz="12" w:space="0" w:color="FFFFFF" w:themeColor="light1"/>
        </w:tcBorders>
        <w:shd w:val="clear" w:color="E032FB" w:themeColor="accent4" w:themeTint="9A" w:fill="E032FB"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032FB" w:themeColor="accent4" w:themeTint="9A"/>
          <w:right w:val="single" w:sz="4" w:space="0" w:color="FFFFFF" w:themeColor="light1"/>
        </w:tcBorders>
      </w:tcPr>
    </w:tblStylePr>
    <w:tblStylePr w:type="lastCol">
      <w:tblPr/>
      <w:tcPr>
        <w:tcBorders>
          <w:left w:val="single" w:sz="4" w:space="0" w:color="FFFFFF" w:themeColor="light1"/>
          <w:right w:val="single" w:sz="32" w:space="0" w:color="E032FB" w:themeColor="accent4" w:themeTint="9A"/>
        </w:tcBorders>
      </w:tcPr>
    </w:tblStylePr>
    <w:tblStylePr w:type="band1Vert">
      <w:tblPr/>
      <w:tcPr>
        <w:tcBorders>
          <w:left w:val="single" w:sz="4" w:space="0" w:color="FFFFFF" w:themeColor="light1"/>
          <w:right w:val="single" w:sz="4" w:space="0" w:color="FFFFFF" w:themeColor="light1"/>
        </w:tcBorders>
        <w:shd w:val="clear" w:color="E032FB" w:themeColor="accent4" w:themeTint="9A" w:fill="E032FB"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032FB" w:themeColor="accent4" w:themeTint="9A" w:fill="E032FB" w:themeFill="accent4" w:themeFillTint="9A"/>
      </w:tcPr>
    </w:tblStylePr>
    <w:tblStylePr w:type="band2Horz">
      <w:tblPr/>
      <w:tcPr>
        <w:tcBorders>
          <w:top w:val="single" w:sz="4" w:space="0" w:color="FFFFFF" w:themeColor="light1"/>
          <w:bottom w:val="single" w:sz="4" w:space="0" w:color="FFFFFF" w:themeColor="light1"/>
        </w:tcBorders>
        <w:shd w:val="clear" w:color="E032FB" w:themeColor="accent4" w:themeTint="9A" w:fill="E032FB"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FFD444" w:themeColor="accent5" w:themeTint="9A"/>
        <w:left w:val="single" w:sz="32" w:space="0" w:color="FFD444" w:themeColor="accent5" w:themeTint="9A"/>
        <w:bottom w:val="single" w:sz="32" w:space="0" w:color="FFD444" w:themeColor="accent5" w:themeTint="9A"/>
        <w:right w:val="single" w:sz="32" w:space="0" w:color="FFD444" w:themeColor="accent5" w:themeTint="9A"/>
      </w:tblBorders>
      <w:shd w:val="clear" w:color="FFD444" w:themeColor="accent5" w:themeTint="9A" w:fill="FFD444" w:themeFill="accent5" w:themeFillTint="9A"/>
    </w:tblPr>
    <w:tblStylePr w:type="firstRow">
      <w:rPr>
        <w:rFonts w:ascii="Arial" w:hAnsi="Arial"/>
        <w:b/>
        <w:color w:val="FFFFFF" w:themeColor="light1"/>
        <w:sz w:val="22"/>
      </w:rPr>
      <w:tblPr/>
      <w:tcPr>
        <w:tcBorders>
          <w:top w:val="single" w:sz="32" w:space="0" w:color="FFD444" w:themeColor="accent5" w:themeTint="9A"/>
          <w:bottom w:val="single" w:sz="12" w:space="0" w:color="FFFFFF" w:themeColor="light1"/>
        </w:tcBorders>
        <w:shd w:val="clear" w:color="FFD444" w:themeColor="accent5" w:themeTint="9A" w:fill="FFD444"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444" w:themeColor="accent5" w:themeTint="9A"/>
          <w:right w:val="single" w:sz="4" w:space="0" w:color="FFFFFF" w:themeColor="light1"/>
        </w:tcBorders>
      </w:tcPr>
    </w:tblStylePr>
    <w:tblStylePr w:type="lastCol">
      <w:tblPr/>
      <w:tcPr>
        <w:tcBorders>
          <w:left w:val="single" w:sz="4" w:space="0" w:color="FFFFFF" w:themeColor="light1"/>
          <w:right w:val="single" w:sz="32" w:space="0" w:color="FFD444" w:themeColor="accent5" w:themeTint="9A"/>
        </w:tcBorders>
      </w:tcPr>
    </w:tblStylePr>
    <w:tblStylePr w:type="band1Vert">
      <w:tblPr/>
      <w:tcPr>
        <w:tcBorders>
          <w:left w:val="single" w:sz="4" w:space="0" w:color="FFFFFF" w:themeColor="light1"/>
          <w:right w:val="single" w:sz="4" w:space="0" w:color="FFFFFF" w:themeColor="light1"/>
        </w:tcBorders>
        <w:shd w:val="clear" w:color="FFD444" w:themeColor="accent5" w:themeTint="9A" w:fill="FFD444"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444" w:themeColor="accent5" w:themeTint="9A" w:fill="FFD444" w:themeFill="accent5" w:themeFillTint="9A"/>
      </w:tcPr>
    </w:tblStylePr>
    <w:tblStylePr w:type="band2Horz">
      <w:tblPr/>
      <w:tcPr>
        <w:tcBorders>
          <w:top w:val="single" w:sz="4" w:space="0" w:color="FFFFFF" w:themeColor="light1"/>
          <w:bottom w:val="single" w:sz="4" w:space="0" w:color="FFFFFF" w:themeColor="light1"/>
        </w:tcBorders>
        <w:shd w:val="clear" w:color="FFD444" w:themeColor="accent5" w:themeTint="9A" w:fill="FFD444"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E9706E" w:themeColor="accent6" w:themeTint="98"/>
        <w:left w:val="single" w:sz="32" w:space="0" w:color="E9706E" w:themeColor="accent6" w:themeTint="98"/>
        <w:bottom w:val="single" w:sz="32" w:space="0" w:color="E9706E" w:themeColor="accent6" w:themeTint="98"/>
        <w:right w:val="single" w:sz="32" w:space="0" w:color="E9706E" w:themeColor="accent6" w:themeTint="98"/>
      </w:tblBorders>
      <w:shd w:val="clear" w:color="E9706E" w:themeColor="accent6" w:themeTint="98" w:fill="E9706E" w:themeFill="accent6" w:themeFillTint="98"/>
    </w:tblPr>
    <w:tblStylePr w:type="firstRow">
      <w:rPr>
        <w:rFonts w:ascii="Arial" w:hAnsi="Arial"/>
        <w:b/>
        <w:color w:val="FFFFFF" w:themeColor="light1"/>
        <w:sz w:val="22"/>
      </w:rPr>
      <w:tblPr/>
      <w:tcPr>
        <w:tcBorders>
          <w:top w:val="single" w:sz="32" w:space="0" w:color="E9706E" w:themeColor="accent6" w:themeTint="98"/>
          <w:bottom w:val="single" w:sz="12" w:space="0" w:color="FFFFFF" w:themeColor="light1"/>
        </w:tcBorders>
        <w:shd w:val="clear" w:color="E9706E" w:themeColor="accent6" w:themeTint="98" w:fill="E9706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9706E" w:themeColor="accent6" w:themeTint="98"/>
          <w:right w:val="single" w:sz="4" w:space="0" w:color="FFFFFF" w:themeColor="light1"/>
        </w:tcBorders>
      </w:tcPr>
    </w:tblStylePr>
    <w:tblStylePr w:type="lastCol">
      <w:tblPr/>
      <w:tcPr>
        <w:tcBorders>
          <w:left w:val="single" w:sz="4" w:space="0" w:color="FFFFFF" w:themeColor="light1"/>
          <w:right w:val="single" w:sz="32" w:space="0" w:color="E9706E" w:themeColor="accent6" w:themeTint="98"/>
        </w:tcBorders>
      </w:tcPr>
    </w:tblStylePr>
    <w:tblStylePr w:type="band1Vert">
      <w:tblPr/>
      <w:tcPr>
        <w:tcBorders>
          <w:left w:val="single" w:sz="4" w:space="0" w:color="FFFFFF" w:themeColor="light1"/>
          <w:right w:val="single" w:sz="4" w:space="0" w:color="FFFFFF" w:themeColor="light1"/>
        </w:tcBorders>
        <w:shd w:val="clear" w:color="E9706E" w:themeColor="accent6" w:themeTint="98" w:fill="E9706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9706E" w:themeColor="accent6" w:themeTint="98" w:fill="E9706E" w:themeFill="accent6" w:themeFillTint="98"/>
      </w:tcPr>
    </w:tblStylePr>
    <w:tblStylePr w:type="band2Horz">
      <w:tblPr/>
      <w:tcPr>
        <w:tcBorders>
          <w:top w:val="single" w:sz="4" w:space="0" w:color="FFFFFF" w:themeColor="light1"/>
          <w:bottom w:val="single" w:sz="4" w:space="0" w:color="FFFFFF" w:themeColor="light1"/>
        </w:tcBorders>
        <w:shd w:val="clear" w:color="E9706E" w:themeColor="accent6" w:themeTint="98" w:fill="E9706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18A303" w:themeColor="accent1"/>
        <w:bottom w:val="single" w:sz="4" w:space="0" w:color="18A303" w:themeColor="accent1"/>
      </w:tblBorders>
    </w:tblPr>
    <w:tblStylePr w:type="firstRow">
      <w:rPr>
        <w:b/>
        <w:color w:val="0D5E01" w:themeColor="accent1" w:themeShade="95"/>
      </w:rPr>
      <w:tblPr/>
      <w:tcPr>
        <w:tcBorders>
          <w:bottom w:val="single" w:sz="4" w:space="0" w:color="18A303" w:themeColor="accent1"/>
        </w:tcBorders>
      </w:tcPr>
    </w:tblStylePr>
    <w:tblStylePr w:type="lastRow">
      <w:rPr>
        <w:b/>
        <w:color w:val="0D5E01" w:themeColor="accent1" w:themeShade="95"/>
      </w:rPr>
      <w:tblPr/>
      <w:tcPr>
        <w:tcBorders>
          <w:top w:val="single" w:sz="4" w:space="0" w:color="18A303" w:themeColor="accent1"/>
        </w:tcBorders>
      </w:tcPr>
    </w:tblStylePr>
    <w:tblStylePr w:type="firstCol">
      <w:rPr>
        <w:b/>
        <w:color w:val="0D5E01" w:themeColor="accent1" w:themeShade="95"/>
      </w:rPr>
    </w:tblStylePr>
    <w:tblStylePr w:type="lastCol">
      <w:rPr>
        <w:b/>
        <w:color w:val="0D5E01" w:themeColor="accent1" w:themeShade="95"/>
      </w:rPr>
    </w:tblStylePr>
    <w:tblStylePr w:type="band1Vert">
      <w:tblPr/>
      <w:tcPr>
        <w:shd w:val="clear" w:color="B4FDA9" w:themeColor="accent1" w:themeTint="40" w:fill="B4FDA9" w:themeFill="accent1" w:themeFillTint="40"/>
      </w:tcPr>
    </w:tblStylePr>
    <w:tblStylePr w:type="band1Horz">
      <w:rPr>
        <w:rFonts w:ascii="Arial" w:hAnsi="Arial"/>
        <w:color w:val="0D5E01" w:themeColor="accent1" w:themeShade="95"/>
        <w:sz w:val="22"/>
      </w:rPr>
      <w:tblPr/>
      <w:tcPr>
        <w:shd w:val="clear" w:color="B4FDA9" w:themeColor="accent1" w:themeTint="40" w:fill="B4FDA9" w:themeFill="accent1" w:themeFillTint="40"/>
      </w:tcPr>
    </w:tblStylePr>
    <w:tblStylePr w:type="band2Horz">
      <w:rPr>
        <w:rFonts w:ascii="Arial" w:hAnsi="Arial"/>
        <w:color w:val="0D5E0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36B3FB" w:themeColor="accent2" w:themeTint="97"/>
        <w:bottom w:val="single" w:sz="4" w:space="0" w:color="36B3FB" w:themeColor="accent2" w:themeTint="97"/>
      </w:tblBorders>
    </w:tblPr>
    <w:tblStylePr w:type="firstRow">
      <w:rPr>
        <w:b/>
        <w:color w:val="36B3FB" w:themeColor="accent2" w:themeTint="97" w:themeShade="95"/>
      </w:rPr>
      <w:tblPr/>
      <w:tcPr>
        <w:tcBorders>
          <w:bottom w:val="single" w:sz="4" w:space="0" w:color="36B3FB" w:themeColor="accent2" w:themeTint="97"/>
        </w:tcBorders>
      </w:tcPr>
    </w:tblStylePr>
    <w:tblStylePr w:type="lastRow">
      <w:rPr>
        <w:b/>
        <w:color w:val="36B3FB" w:themeColor="accent2" w:themeTint="97" w:themeShade="95"/>
      </w:rPr>
      <w:tblPr/>
      <w:tcPr>
        <w:tcBorders>
          <w:top w:val="single" w:sz="4" w:space="0" w:color="36B3FB" w:themeColor="accent2" w:themeTint="97"/>
        </w:tcBorders>
      </w:tc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A9DEFD" w:themeColor="accent2" w:themeTint="40" w:fill="A9DEFD" w:themeFill="accent2" w:themeFillTint="40"/>
      </w:tcPr>
    </w:tblStylePr>
    <w:tblStylePr w:type="band1Horz">
      <w:rPr>
        <w:rFonts w:ascii="Arial" w:hAnsi="Arial"/>
        <w:color w:val="36B3FB" w:themeColor="accent2" w:themeTint="97" w:themeShade="95"/>
        <w:sz w:val="22"/>
      </w:rPr>
      <w:tblPr/>
      <w:tcPr>
        <w:shd w:val="clear" w:color="A9DEFD" w:themeColor="accent2" w:themeTint="40" w:fill="A9DEFD" w:themeFill="accent2" w:themeFillTint="40"/>
      </w:tcPr>
    </w:tblStylePr>
    <w:tblStylePr w:type="band2Horz">
      <w:rPr>
        <w:rFonts w:ascii="Arial" w:hAnsi="Arial"/>
        <w:color w:val="36B3FB"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FB7E35" w:themeColor="accent3" w:themeTint="98"/>
        <w:bottom w:val="single" w:sz="4" w:space="0" w:color="FB7E35" w:themeColor="accent3" w:themeTint="98"/>
      </w:tblBorders>
    </w:tblPr>
    <w:tblStylePr w:type="firstRow">
      <w:rPr>
        <w:b/>
        <w:color w:val="FB7E35" w:themeColor="accent3" w:themeTint="98" w:themeShade="95"/>
      </w:rPr>
      <w:tblPr/>
      <w:tcPr>
        <w:tcBorders>
          <w:bottom w:val="single" w:sz="4" w:space="0" w:color="FB7E35" w:themeColor="accent3" w:themeTint="98"/>
        </w:tcBorders>
      </w:tcPr>
    </w:tblStylePr>
    <w:tblStylePr w:type="lastRow">
      <w:rPr>
        <w:b/>
        <w:color w:val="FB7E35" w:themeColor="accent3" w:themeTint="98" w:themeShade="95"/>
      </w:rPr>
      <w:tblPr/>
      <w:tcPr>
        <w:tcBorders>
          <w:top w:val="single" w:sz="4" w:space="0" w:color="FB7E35" w:themeColor="accent3" w:themeTint="98"/>
        </w:tcBorders>
      </w:tcPr>
    </w:tblStylePr>
    <w:tblStylePr w:type="firstCol">
      <w:rPr>
        <w:b/>
        <w:color w:val="FB7E35" w:themeColor="accent3" w:themeTint="98" w:themeShade="95"/>
      </w:rPr>
    </w:tblStylePr>
    <w:tblStylePr w:type="lastCol">
      <w:rPr>
        <w:b/>
        <w:color w:val="FB7E35" w:themeColor="accent3" w:themeTint="98" w:themeShade="95"/>
      </w:rPr>
    </w:tblStylePr>
    <w:tblStylePr w:type="band1Vert">
      <w:tblPr/>
      <w:tcPr>
        <w:shd w:val="clear" w:color="FDC8A9" w:themeColor="accent3" w:themeTint="40" w:fill="FDC8A9" w:themeFill="accent3" w:themeFillTint="40"/>
      </w:tcPr>
    </w:tblStylePr>
    <w:tblStylePr w:type="band1Horz">
      <w:rPr>
        <w:rFonts w:ascii="Arial" w:hAnsi="Arial"/>
        <w:color w:val="FB7E35" w:themeColor="accent3" w:themeTint="98" w:themeShade="95"/>
        <w:sz w:val="22"/>
      </w:rPr>
      <w:tblPr/>
      <w:tcPr>
        <w:shd w:val="clear" w:color="FDC8A9" w:themeColor="accent3" w:themeTint="40" w:fill="FDC8A9" w:themeFill="accent3" w:themeFillTint="40"/>
      </w:tcPr>
    </w:tblStylePr>
    <w:tblStylePr w:type="band2Horz">
      <w:rPr>
        <w:rFonts w:ascii="Arial" w:hAnsi="Arial"/>
        <w:color w:val="FB7E35"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E032FB" w:themeColor="accent4" w:themeTint="9A"/>
        <w:bottom w:val="single" w:sz="4" w:space="0" w:color="E032FB" w:themeColor="accent4" w:themeTint="9A"/>
      </w:tblBorders>
    </w:tblPr>
    <w:tblStylePr w:type="firstRow">
      <w:rPr>
        <w:b/>
        <w:color w:val="E032FB" w:themeColor="accent4" w:themeTint="9A" w:themeShade="95"/>
      </w:rPr>
      <w:tblPr/>
      <w:tcPr>
        <w:tcBorders>
          <w:bottom w:val="single" w:sz="4" w:space="0" w:color="E032FB" w:themeColor="accent4" w:themeTint="9A"/>
        </w:tcBorders>
      </w:tcPr>
    </w:tblStylePr>
    <w:tblStylePr w:type="lastRow">
      <w:rPr>
        <w:b/>
        <w:color w:val="E032FB" w:themeColor="accent4" w:themeTint="9A" w:themeShade="95"/>
      </w:rPr>
      <w:tblPr/>
      <w:tcPr>
        <w:tcBorders>
          <w:top w:val="single" w:sz="4" w:space="0" w:color="E032FB" w:themeColor="accent4" w:themeTint="9A"/>
        </w:tcBorders>
      </w:tc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F2A9FD" w:themeColor="accent4" w:themeTint="40" w:fill="F2A9FD" w:themeFill="accent4" w:themeFillTint="40"/>
      </w:tcPr>
    </w:tblStylePr>
    <w:tblStylePr w:type="band1Horz">
      <w:rPr>
        <w:rFonts w:ascii="Arial" w:hAnsi="Arial"/>
        <w:color w:val="E032FB" w:themeColor="accent4" w:themeTint="9A" w:themeShade="95"/>
        <w:sz w:val="22"/>
      </w:rPr>
      <w:tblPr/>
      <w:tcPr>
        <w:shd w:val="clear" w:color="F2A9FD" w:themeColor="accent4" w:themeTint="40" w:fill="F2A9FD" w:themeFill="accent4" w:themeFillTint="40"/>
      </w:tcPr>
    </w:tblStylePr>
    <w:tblStylePr w:type="band2Horz">
      <w:rPr>
        <w:rFonts w:ascii="Arial" w:hAnsi="Arial"/>
        <w:color w:val="E032FB"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FFD444" w:themeColor="accent5" w:themeTint="9A"/>
        <w:bottom w:val="single" w:sz="4" w:space="0" w:color="FFD444" w:themeColor="accent5" w:themeTint="9A"/>
      </w:tblBorders>
    </w:tblPr>
    <w:tblStylePr w:type="firstRow">
      <w:rPr>
        <w:b/>
        <w:color w:val="FFD444" w:themeColor="accent5" w:themeTint="9A" w:themeShade="95"/>
      </w:rPr>
      <w:tblPr/>
      <w:tcPr>
        <w:tcBorders>
          <w:bottom w:val="single" w:sz="4" w:space="0" w:color="FFD444" w:themeColor="accent5" w:themeTint="9A"/>
        </w:tcBorders>
      </w:tcPr>
    </w:tblStylePr>
    <w:tblStylePr w:type="lastRow">
      <w:rPr>
        <w:b/>
        <w:color w:val="FFD444" w:themeColor="accent5" w:themeTint="9A" w:themeShade="95"/>
      </w:rPr>
      <w:tblPr/>
      <w:tcPr>
        <w:tcBorders>
          <w:top w:val="single" w:sz="4" w:space="0" w:color="FFD444" w:themeColor="accent5" w:themeTint="9A"/>
        </w:tcBorders>
      </w:tcPr>
    </w:tblStylePr>
    <w:tblStylePr w:type="firstCol">
      <w:rPr>
        <w:b/>
        <w:color w:val="FFD444" w:themeColor="accent5" w:themeTint="9A" w:themeShade="95"/>
      </w:rPr>
    </w:tblStylePr>
    <w:tblStylePr w:type="lastCol">
      <w:rPr>
        <w:b/>
        <w:color w:val="FFD444" w:themeColor="accent5" w:themeTint="9A" w:themeShade="95"/>
      </w:rPr>
    </w:tblStylePr>
    <w:tblStylePr w:type="band1Vert">
      <w:tblPr/>
      <w:tcPr>
        <w:shd w:val="clear" w:color="FFEDB1" w:themeColor="accent5" w:themeTint="40" w:fill="FFEDB1" w:themeFill="accent5" w:themeFillTint="40"/>
      </w:tcPr>
    </w:tblStylePr>
    <w:tblStylePr w:type="band1Horz">
      <w:rPr>
        <w:rFonts w:ascii="Arial" w:hAnsi="Arial"/>
        <w:color w:val="FFD444" w:themeColor="accent5" w:themeTint="9A" w:themeShade="95"/>
        <w:sz w:val="22"/>
      </w:rPr>
      <w:tblPr/>
      <w:tcPr>
        <w:shd w:val="clear" w:color="FFEDB1" w:themeColor="accent5" w:themeTint="40" w:fill="FFEDB1" w:themeFill="accent5" w:themeFillTint="40"/>
      </w:tcPr>
    </w:tblStylePr>
    <w:tblStylePr w:type="band2Horz">
      <w:rPr>
        <w:rFonts w:ascii="Arial" w:hAnsi="Arial"/>
        <w:color w:val="FFD444"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E9706E" w:themeColor="accent6" w:themeTint="98"/>
        <w:bottom w:val="single" w:sz="4" w:space="0" w:color="E9706E" w:themeColor="accent6" w:themeTint="98"/>
      </w:tblBorders>
    </w:tblPr>
    <w:tblStylePr w:type="firstRow">
      <w:rPr>
        <w:b/>
        <w:color w:val="E9706E" w:themeColor="accent6" w:themeTint="98" w:themeShade="95"/>
      </w:rPr>
      <w:tblPr/>
      <w:tcPr>
        <w:tcBorders>
          <w:bottom w:val="single" w:sz="4" w:space="0" w:color="E9706E" w:themeColor="accent6" w:themeTint="98"/>
        </w:tcBorders>
      </w:tcPr>
    </w:tblStylePr>
    <w:tblStylePr w:type="lastRow">
      <w:rPr>
        <w:b/>
        <w:color w:val="E9706E" w:themeColor="accent6" w:themeTint="98" w:themeShade="95"/>
      </w:rPr>
      <w:tblPr/>
      <w:tcPr>
        <w:tcBorders>
          <w:top w:val="single" w:sz="4" w:space="0" w:color="E9706E" w:themeColor="accent6" w:themeTint="98"/>
        </w:tcBorders>
      </w:tcPr>
    </w:tblStylePr>
    <w:tblStylePr w:type="firstCol">
      <w:rPr>
        <w:b/>
        <w:color w:val="E9706E" w:themeColor="accent6" w:themeTint="98" w:themeShade="95"/>
      </w:rPr>
    </w:tblStylePr>
    <w:tblStylePr w:type="lastCol">
      <w:rPr>
        <w:b/>
        <w:color w:val="E9706E" w:themeColor="accent6" w:themeTint="98" w:themeShade="95"/>
      </w:rPr>
    </w:tblStylePr>
    <w:tblStylePr w:type="band1Vert">
      <w:tblPr/>
      <w:tcPr>
        <w:shd w:val="clear" w:color="F6C2C1" w:themeColor="accent6" w:themeTint="40" w:fill="F6C2C1" w:themeFill="accent6" w:themeFillTint="40"/>
      </w:tcPr>
    </w:tblStylePr>
    <w:tblStylePr w:type="band1Horz">
      <w:rPr>
        <w:rFonts w:ascii="Arial" w:hAnsi="Arial"/>
        <w:color w:val="E9706E" w:themeColor="accent6" w:themeTint="98" w:themeShade="95"/>
        <w:sz w:val="22"/>
      </w:rPr>
      <w:tblPr/>
      <w:tcPr>
        <w:shd w:val="clear" w:color="F6C2C1" w:themeColor="accent6" w:themeTint="40" w:fill="F6C2C1" w:themeFill="accent6" w:themeFillTint="40"/>
      </w:tcPr>
    </w:tblStylePr>
    <w:tblStylePr w:type="band2Horz">
      <w:rPr>
        <w:rFonts w:ascii="Arial" w:hAnsi="Arial"/>
        <w:color w:val="E9706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18A303" w:themeColor="accent1"/>
      </w:tblBorders>
    </w:tblPr>
    <w:tblStylePr w:type="firstRow">
      <w:rPr>
        <w:rFonts w:ascii="Arial" w:hAnsi="Arial"/>
        <w:i/>
        <w:color w:val="0D5E01" w:themeColor="accent1" w:themeShade="95"/>
        <w:sz w:val="22"/>
      </w:rPr>
      <w:tblPr/>
      <w:tcPr>
        <w:tcBorders>
          <w:top w:val="none" w:sz="4" w:space="0" w:color="000000"/>
          <w:left w:val="none" w:sz="4" w:space="0" w:color="000000"/>
          <w:bottom w:val="single" w:sz="4" w:space="0" w:color="18A303" w:themeColor="accent1"/>
          <w:right w:val="none" w:sz="4" w:space="0" w:color="000000"/>
        </w:tcBorders>
        <w:shd w:val="clear" w:color="FFFFFF" w:themeColor="light1" w:fill="FFFFFF" w:themeFill="light1"/>
      </w:tcPr>
    </w:tblStylePr>
    <w:tblStylePr w:type="lastRow">
      <w:rPr>
        <w:rFonts w:ascii="Arial" w:hAnsi="Arial"/>
        <w:i/>
        <w:color w:val="0D5E01" w:themeColor="accent1" w:themeShade="95"/>
        <w:sz w:val="22"/>
      </w:rPr>
      <w:tblPr/>
      <w:tcPr>
        <w:tcBorders>
          <w:top w:val="single" w:sz="4" w:space="0" w:color="18A303"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D5E01" w:themeColor="accent1" w:themeShade="95"/>
        <w:sz w:val="22"/>
      </w:rPr>
      <w:tblPr/>
      <w:tcPr>
        <w:tcBorders>
          <w:top w:val="none" w:sz="4" w:space="0" w:color="000000"/>
          <w:left w:val="none" w:sz="4" w:space="0" w:color="000000"/>
          <w:bottom w:val="none" w:sz="4" w:space="0" w:color="000000"/>
          <w:right w:val="single" w:sz="4" w:space="0" w:color="18A303" w:themeColor="accent1"/>
        </w:tcBorders>
        <w:shd w:val="clear" w:color="FFFFFF" w:fill="auto"/>
      </w:tcPr>
    </w:tblStylePr>
    <w:tblStylePr w:type="lastCol">
      <w:rPr>
        <w:rFonts w:ascii="Arial" w:hAnsi="Arial"/>
        <w:i/>
        <w:color w:val="0D5E01" w:themeColor="accent1" w:themeShade="95"/>
        <w:sz w:val="22"/>
      </w:rPr>
      <w:tblPr/>
      <w:tcPr>
        <w:tcBorders>
          <w:top w:val="none" w:sz="4" w:space="0" w:color="000000"/>
          <w:left w:val="single" w:sz="4" w:space="0" w:color="18A303" w:themeColor="accent1"/>
          <w:bottom w:val="none" w:sz="4" w:space="0" w:color="000000"/>
          <w:right w:val="none" w:sz="4" w:space="0" w:color="000000"/>
        </w:tcBorders>
        <w:shd w:val="clear" w:color="FFFFFF" w:fill="auto"/>
      </w:tcPr>
    </w:tblStylePr>
    <w:tblStylePr w:type="band1Vert">
      <w:tblPr/>
      <w:tcPr>
        <w:shd w:val="clear" w:color="B4FDA9" w:themeColor="accent1" w:themeTint="40" w:fill="B4FDA9" w:themeFill="accent1" w:themeFillTint="40"/>
      </w:tcPr>
    </w:tblStylePr>
    <w:tblStylePr w:type="band1Horz">
      <w:rPr>
        <w:rFonts w:ascii="Arial" w:hAnsi="Arial"/>
        <w:color w:val="0D5E01" w:themeColor="accent1" w:themeShade="95"/>
        <w:sz w:val="22"/>
      </w:rPr>
      <w:tblPr/>
      <w:tcPr>
        <w:shd w:val="clear" w:color="B4FDA9" w:themeColor="accent1" w:themeTint="40" w:fill="B4FDA9" w:themeFill="accent1" w:themeFillTint="40"/>
      </w:tcPr>
    </w:tblStylePr>
    <w:tblStylePr w:type="band2Horz">
      <w:rPr>
        <w:rFonts w:ascii="Arial" w:hAnsi="Arial"/>
        <w:color w:val="0D5E0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36B3FB" w:themeColor="accent2" w:themeTint="97"/>
      </w:tblBorders>
    </w:tblPr>
    <w:tblStylePr w:type="firstRow">
      <w:rPr>
        <w:rFonts w:ascii="Arial" w:hAnsi="Arial"/>
        <w:i/>
        <w:color w:val="36B3FB" w:themeColor="accent2" w:themeTint="97" w:themeShade="95"/>
        <w:sz w:val="22"/>
      </w:rPr>
      <w:tblPr/>
      <w:tcPr>
        <w:tcBorders>
          <w:top w:val="none" w:sz="4" w:space="0" w:color="000000"/>
          <w:left w:val="none" w:sz="4" w:space="0" w:color="000000"/>
          <w:bottom w:val="single" w:sz="4" w:space="0" w:color="36B3FB" w:themeColor="accent2" w:themeTint="97"/>
          <w:right w:val="none" w:sz="4" w:space="0" w:color="000000"/>
        </w:tcBorders>
        <w:shd w:val="clear" w:color="FFFFFF" w:themeColor="light1" w:fill="FFFFFF" w:themeFill="light1"/>
      </w:tcPr>
    </w:tblStylePr>
    <w:tblStylePr w:type="lastRow">
      <w:rPr>
        <w:rFonts w:ascii="Arial" w:hAnsi="Arial"/>
        <w:i/>
        <w:color w:val="36B3FB" w:themeColor="accent2" w:themeTint="97" w:themeShade="95"/>
        <w:sz w:val="22"/>
      </w:rPr>
      <w:tblPr/>
      <w:tcPr>
        <w:tcBorders>
          <w:top w:val="single" w:sz="4" w:space="0" w:color="36B3FB"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6B3FB" w:themeColor="accent2" w:themeTint="97" w:themeShade="95"/>
        <w:sz w:val="22"/>
      </w:rPr>
      <w:tblPr/>
      <w:tcPr>
        <w:tcBorders>
          <w:top w:val="none" w:sz="4" w:space="0" w:color="000000"/>
          <w:left w:val="none" w:sz="4" w:space="0" w:color="000000"/>
          <w:bottom w:val="none" w:sz="4" w:space="0" w:color="000000"/>
          <w:right w:val="single" w:sz="4" w:space="0" w:color="36B3FB" w:themeColor="accent2" w:themeTint="97"/>
        </w:tcBorders>
        <w:shd w:val="clear" w:color="FFFFFF" w:fill="auto"/>
      </w:tcPr>
    </w:tblStylePr>
    <w:tblStylePr w:type="lastCol">
      <w:rPr>
        <w:rFonts w:ascii="Arial" w:hAnsi="Arial"/>
        <w:i/>
        <w:color w:val="36B3FB" w:themeColor="accent2" w:themeTint="97" w:themeShade="95"/>
        <w:sz w:val="22"/>
      </w:rPr>
      <w:tblPr/>
      <w:tcPr>
        <w:tcBorders>
          <w:top w:val="none" w:sz="4" w:space="0" w:color="000000"/>
          <w:left w:val="single" w:sz="4" w:space="0" w:color="36B3FB" w:themeColor="accent2" w:themeTint="97"/>
          <w:bottom w:val="none" w:sz="4" w:space="0" w:color="000000"/>
          <w:right w:val="none" w:sz="4" w:space="0" w:color="000000"/>
        </w:tcBorders>
        <w:shd w:val="clear" w:color="FFFFFF" w:fill="auto"/>
      </w:tcPr>
    </w:tblStylePr>
    <w:tblStylePr w:type="band1Vert">
      <w:tblPr/>
      <w:tcPr>
        <w:shd w:val="clear" w:color="A9DEFD" w:themeColor="accent2" w:themeTint="40" w:fill="A9DEFD" w:themeFill="accent2" w:themeFillTint="40"/>
      </w:tcPr>
    </w:tblStylePr>
    <w:tblStylePr w:type="band1Horz">
      <w:rPr>
        <w:rFonts w:ascii="Arial" w:hAnsi="Arial"/>
        <w:color w:val="36B3FB" w:themeColor="accent2" w:themeTint="97" w:themeShade="95"/>
        <w:sz w:val="22"/>
      </w:rPr>
      <w:tblPr/>
      <w:tcPr>
        <w:shd w:val="clear" w:color="A9DEFD" w:themeColor="accent2" w:themeTint="40" w:fill="A9DEFD" w:themeFill="accent2" w:themeFillTint="40"/>
      </w:tcPr>
    </w:tblStylePr>
    <w:tblStylePr w:type="band2Horz">
      <w:rPr>
        <w:rFonts w:ascii="Arial" w:hAnsi="Arial"/>
        <w:color w:val="36B3FB"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FB7E35" w:themeColor="accent3" w:themeTint="98"/>
      </w:tblBorders>
    </w:tblPr>
    <w:tblStylePr w:type="firstRow">
      <w:rPr>
        <w:rFonts w:ascii="Arial" w:hAnsi="Arial"/>
        <w:i/>
        <w:color w:val="FB7E35" w:themeColor="accent3" w:themeTint="98" w:themeShade="95"/>
        <w:sz w:val="22"/>
      </w:rPr>
      <w:tblPr/>
      <w:tcPr>
        <w:tcBorders>
          <w:top w:val="none" w:sz="4" w:space="0" w:color="000000"/>
          <w:left w:val="none" w:sz="4" w:space="0" w:color="000000"/>
          <w:bottom w:val="single" w:sz="4" w:space="0" w:color="FB7E35" w:themeColor="accent3" w:themeTint="98"/>
          <w:right w:val="none" w:sz="4" w:space="0" w:color="000000"/>
        </w:tcBorders>
        <w:shd w:val="clear" w:color="FFFFFF" w:themeColor="light1" w:fill="FFFFFF" w:themeFill="light1"/>
      </w:tcPr>
    </w:tblStylePr>
    <w:tblStylePr w:type="lastRow">
      <w:rPr>
        <w:rFonts w:ascii="Arial" w:hAnsi="Arial"/>
        <w:i/>
        <w:color w:val="FB7E35" w:themeColor="accent3" w:themeTint="98" w:themeShade="95"/>
        <w:sz w:val="22"/>
      </w:rPr>
      <w:tblPr/>
      <w:tcPr>
        <w:tcBorders>
          <w:top w:val="single" w:sz="4" w:space="0" w:color="FB7E35"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B7E35" w:themeColor="accent3" w:themeTint="98" w:themeShade="95"/>
        <w:sz w:val="22"/>
      </w:rPr>
      <w:tblPr/>
      <w:tcPr>
        <w:tcBorders>
          <w:top w:val="none" w:sz="4" w:space="0" w:color="000000"/>
          <w:left w:val="none" w:sz="4" w:space="0" w:color="000000"/>
          <w:bottom w:val="none" w:sz="4" w:space="0" w:color="000000"/>
          <w:right w:val="single" w:sz="4" w:space="0" w:color="FB7E35" w:themeColor="accent3" w:themeTint="98"/>
        </w:tcBorders>
        <w:shd w:val="clear" w:color="FFFFFF" w:fill="auto"/>
      </w:tcPr>
    </w:tblStylePr>
    <w:tblStylePr w:type="lastCol">
      <w:rPr>
        <w:rFonts w:ascii="Arial" w:hAnsi="Arial"/>
        <w:i/>
        <w:color w:val="FB7E35" w:themeColor="accent3" w:themeTint="98" w:themeShade="95"/>
        <w:sz w:val="22"/>
      </w:rPr>
      <w:tblPr/>
      <w:tcPr>
        <w:tcBorders>
          <w:top w:val="none" w:sz="4" w:space="0" w:color="000000"/>
          <w:left w:val="single" w:sz="4" w:space="0" w:color="FB7E35" w:themeColor="accent3" w:themeTint="98"/>
          <w:bottom w:val="none" w:sz="4" w:space="0" w:color="000000"/>
          <w:right w:val="none" w:sz="4" w:space="0" w:color="000000"/>
        </w:tcBorders>
        <w:shd w:val="clear" w:color="FFFFFF" w:fill="auto"/>
      </w:tcPr>
    </w:tblStylePr>
    <w:tblStylePr w:type="band1Vert">
      <w:tblPr/>
      <w:tcPr>
        <w:shd w:val="clear" w:color="FDC8A9" w:themeColor="accent3" w:themeTint="40" w:fill="FDC8A9" w:themeFill="accent3" w:themeFillTint="40"/>
      </w:tcPr>
    </w:tblStylePr>
    <w:tblStylePr w:type="band1Horz">
      <w:rPr>
        <w:rFonts w:ascii="Arial" w:hAnsi="Arial"/>
        <w:color w:val="FB7E35" w:themeColor="accent3" w:themeTint="98" w:themeShade="95"/>
        <w:sz w:val="22"/>
      </w:rPr>
      <w:tblPr/>
      <w:tcPr>
        <w:shd w:val="clear" w:color="FDC8A9" w:themeColor="accent3" w:themeTint="40" w:fill="FDC8A9" w:themeFill="accent3" w:themeFillTint="40"/>
      </w:tcPr>
    </w:tblStylePr>
    <w:tblStylePr w:type="band2Horz">
      <w:rPr>
        <w:rFonts w:ascii="Arial" w:hAnsi="Arial"/>
        <w:color w:val="FB7E35"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E032FB" w:themeColor="accent4" w:themeTint="9A"/>
      </w:tblBorders>
    </w:tblPr>
    <w:tblStylePr w:type="firstRow">
      <w:rPr>
        <w:rFonts w:ascii="Arial" w:hAnsi="Arial"/>
        <w:i/>
        <w:color w:val="E032FB" w:themeColor="accent4" w:themeTint="9A" w:themeShade="95"/>
        <w:sz w:val="22"/>
      </w:rPr>
      <w:tblPr/>
      <w:tcPr>
        <w:tcBorders>
          <w:top w:val="none" w:sz="4" w:space="0" w:color="000000"/>
          <w:left w:val="none" w:sz="4" w:space="0" w:color="000000"/>
          <w:bottom w:val="single" w:sz="4" w:space="0" w:color="E032FB" w:themeColor="accent4" w:themeTint="9A"/>
          <w:right w:val="none" w:sz="4" w:space="0" w:color="000000"/>
        </w:tcBorders>
        <w:shd w:val="clear" w:color="FFFFFF" w:themeColor="light1" w:fill="FFFFFF" w:themeFill="light1"/>
      </w:tcPr>
    </w:tblStylePr>
    <w:tblStylePr w:type="lastRow">
      <w:rPr>
        <w:rFonts w:ascii="Arial" w:hAnsi="Arial"/>
        <w:i/>
        <w:color w:val="E032FB" w:themeColor="accent4" w:themeTint="9A" w:themeShade="95"/>
        <w:sz w:val="22"/>
      </w:rPr>
      <w:tblPr/>
      <w:tcPr>
        <w:tcBorders>
          <w:top w:val="single" w:sz="4" w:space="0" w:color="E032FB"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032FB" w:themeColor="accent4" w:themeTint="9A" w:themeShade="95"/>
        <w:sz w:val="22"/>
      </w:rPr>
      <w:tblPr/>
      <w:tcPr>
        <w:tcBorders>
          <w:top w:val="none" w:sz="4" w:space="0" w:color="000000"/>
          <w:left w:val="none" w:sz="4" w:space="0" w:color="000000"/>
          <w:bottom w:val="none" w:sz="4" w:space="0" w:color="000000"/>
          <w:right w:val="single" w:sz="4" w:space="0" w:color="E032FB" w:themeColor="accent4" w:themeTint="9A"/>
        </w:tcBorders>
        <w:shd w:val="clear" w:color="FFFFFF" w:fill="auto"/>
      </w:tcPr>
    </w:tblStylePr>
    <w:tblStylePr w:type="lastCol">
      <w:rPr>
        <w:rFonts w:ascii="Arial" w:hAnsi="Arial"/>
        <w:i/>
        <w:color w:val="E032FB" w:themeColor="accent4" w:themeTint="9A" w:themeShade="95"/>
        <w:sz w:val="22"/>
      </w:rPr>
      <w:tblPr/>
      <w:tcPr>
        <w:tcBorders>
          <w:top w:val="none" w:sz="4" w:space="0" w:color="000000"/>
          <w:left w:val="single" w:sz="4" w:space="0" w:color="E032FB" w:themeColor="accent4" w:themeTint="9A"/>
          <w:bottom w:val="none" w:sz="4" w:space="0" w:color="000000"/>
          <w:right w:val="none" w:sz="4" w:space="0" w:color="000000"/>
        </w:tcBorders>
        <w:shd w:val="clear" w:color="FFFFFF" w:fill="auto"/>
      </w:tcPr>
    </w:tblStylePr>
    <w:tblStylePr w:type="band1Vert">
      <w:tblPr/>
      <w:tcPr>
        <w:shd w:val="clear" w:color="F2A9FD" w:themeColor="accent4" w:themeTint="40" w:fill="F2A9FD" w:themeFill="accent4" w:themeFillTint="40"/>
      </w:tcPr>
    </w:tblStylePr>
    <w:tblStylePr w:type="band1Horz">
      <w:rPr>
        <w:rFonts w:ascii="Arial" w:hAnsi="Arial"/>
        <w:color w:val="E032FB" w:themeColor="accent4" w:themeTint="9A" w:themeShade="95"/>
        <w:sz w:val="22"/>
      </w:rPr>
      <w:tblPr/>
      <w:tcPr>
        <w:shd w:val="clear" w:color="F2A9FD" w:themeColor="accent4" w:themeTint="40" w:fill="F2A9FD" w:themeFill="accent4" w:themeFillTint="40"/>
      </w:tcPr>
    </w:tblStylePr>
    <w:tblStylePr w:type="band2Horz">
      <w:rPr>
        <w:rFonts w:ascii="Arial" w:hAnsi="Arial"/>
        <w:color w:val="E032FB"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FFD444" w:themeColor="accent5" w:themeTint="9A"/>
      </w:tblBorders>
    </w:tblPr>
    <w:tblStylePr w:type="firstRow">
      <w:rPr>
        <w:rFonts w:ascii="Arial" w:hAnsi="Arial"/>
        <w:i/>
        <w:color w:val="FFD444" w:themeColor="accent5" w:themeTint="9A" w:themeShade="95"/>
        <w:sz w:val="22"/>
      </w:rPr>
      <w:tblPr/>
      <w:tcPr>
        <w:tcBorders>
          <w:top w:val="none" w:sz="4" w:space="0" w:color="000000"/>
          <w:left w:val="none" w:sz="4" w:space="0" w:color="000000"/>
          <w:bottom w:val="single" w:sz="4" w:space="0" w:color="FFD444" w:themeColor="accent5" w:themeTint="9A"/>
          <w:right w:val="none" w:sz="4" w:space="0" w:color="000000"/>
        </w:tcBorders>
        <w:shd w:val="clear" w:color="FFFFFF" w:themeColor="light1" w:fill="FFFFFF" w:themeFill="light1"/>
      </w:tcPr>
    </w:tblStylePr>
    <w:tblStylePr w:type="lastRow">
      <w:rPr>
        <w:rFonts w:ascii="Arial" w:hAnsi="Arial"/>
        <w:i/>
        <w:color w:val="FFD444" w:themeColor="accent5" w:themeTint="9A" w:themeShade="95"/>
        <w:sz w:val="22"/>
      </w:rPr>
      <w:tblPr/>
      <w:tcPr>
        <w:tcBorders>
          <w:top w:val="single" w:sz="4" w:space="0" w:color="FFD444"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444" w:themeColor="accent5" w:themeTint="9A" w:themeShade="95"/>
        <w:sz w:val="22"/>
      </w:rPr>
      <w:tblPr/>
      <w:tcPr>
        <w:tcBorders>
          <w:top w:val="none" w:sz="4" w:space="0" w:color="000000"/>
          <w:left w:val="none" w:sz="4" w:space="0" w:color="000000"/>
          <w:bottom w:val="none" w:sz="4" w:space="0" w:color="000000"/>
          <w:right w:val="single" w:sz="4" w:space="0" w:color="FFD444" w:themeColor="accent5" w:themeTint="9A"/>
        </w:tcBorders>
        <w:shd w:val="clear" w:color="FFFFFF" w:fill="auto"/>
      </w:tcPr>
    </w:tblStylePr>
    <w:tblStylePr w:type="lastCol">
      <w:rPr>
        <w:rFonts w:ascii="Arial" w:hAnsi="Arial"/>
        <w:i/>
        <w:color w:val="FFD444" w:themeColor="accent5" w:themeTint="9A" w:themeShade="95"/>
        <w:sz w:val="22"/>
      </w:rPr>
      <w:tblPr/>
      <w:tcPr>
        <w:tcBorders>
          <w:top w:val="none" w:sz="4" w:space="0" w:color="000000"/>
          <w:left w:val="single" w:sz="4" w:space="0" w:color="FFD444" w:themeColor="accent5" w:themeTint="9A"/>
          <w:bottom w:val="none" w:sz="4" w:space="0" w:color="000000"/>
          <w:right w:val="none" w:sz="4" w:space="0" w:color="000000"/>
        </w:tcBorders>
        <w:shd w:val="clear" w:color="FFFFFF" w:fill="auto"/>
      </w:tcPr>
    </w:tblStylePr>
    <w:tblStylePr w:type="band1Vert">
      <w:tblPr/>
      <w:tcPr>
        <w:shd w:val="clear" w:color="FFEDB1" w:themeColor="accent5" w:themeTint="40" w:fill="FFEDB1" w:themeFill="accent5" w:themeFillTint="40"/>
      </w:tcPr>
    </w:tblStylePr>
    <w:tblStylePr w:type="band1Horz">
      <w:rPr>
        <w:rFonts w:ascii="Arial" w:hAnsi="Arial"/>
        <w:color w:val="FFD444" w:themeColor="accent5" w:themeTint="9A" w:themeShade="95"/>
        <w:sz w:val="22"/>
      </w:rPr>
      <w:tblPr/>
      <w:tcPr>
        <w:shd w:val="clear" w:color="FFEDB1" w:themeColor="accent5" w:themeTint="40" w:fill="FFEDB1" w:themeFill="accent5" w:themeFillTint="40"/>
      </w:tcPr>
    </w:tblStylePr>
    <w:tblStylePr w:type="band2Horz">
      <w:rPr>
        <w:rFonts w:ascii="Arial" w:hAnsi="Arial"/>
        <w:color w:val="FFD444"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E9706E" w:themeColor="accent6" w:themeTint="98"/>
      </w:tblBorders>
    </w:tblPr>
    <w:tblStylePr w:type="firstRow">
      <w:rPr>
        <w:rFonts w:ascii="Arial" w:hAnsi="Arial"/>
        <w:i/>
        <w:color w:val="E9706E" w:themeColor="accent6" w:themeTint="98" w:themeShade="95"/>
        <w:sz w:val="22"/>
      </w:rPr>
      <w:tblPr/>
      <w:tcPr>
        <w:tcBorders>
          <w:top w:val="none" w:sz="4" w:space="0" w:color="000000"/>
          <w:left w:val="none" w:sz="4" w:space="0" w:color="000000"/>
          <w:bottom w:val="single" w:sz="4" w:space="0" w:color="E9706E" w:themeColor="accent6" w:themeTint="98"/>
          <w:right w:val="none" w:sz="4" w:space="0" w:color="000000"/>
        </w:tcBorders>
        <w:shd w:val="clear" w:color="FFFFFF" w:themeColor="light1" w:fill="FFFFFF" w:themeFill="light1"/>
      </w:tcPr>
    </w:tblStylePr>
    <w:tblStylePr w:type="lastRow">
      <w:rPr>
        <w:rFonts w:ascii="Arial" w:hAnsi="Arial"/>
        <w:i/>
        <w:color w:val="E9706E" w:themeColor="accent6" w:themeTint="98" w:themeShade="95"/>
        <w:sz w:val="22"/>
      </w:rPr>
      <w:tblPr/>
      <w:tcPr>
        <w:tcBorders>
          <w:top w:val="single" w:sz="4" w:space="0" w:color="E9706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9706E" w:themeColor="accent6" w:themeTint="98" w:themeShade="95"/>
        <w:sz w:val="22"/>
      </w:rPr>
      <w:tblPr/>
      <w:tcPr>
        <w:tcBorders>
          <w:top w:val="none" w:sz="4" w:space="0" w:color="000000"/>
          <w:left w:val="none" w:sz="4" w:space="0" w:color="000000"/>
          <w:bottom w:val="none" w:sz="4" w:space="0" w:color="000000"/>
          <w:right w:val="single" w:sz="4" w:space="0" w:color="E9706E" w:themeColor="accent6" w:themeTint="98"/>
        </w:tcBorders>
        <w:shd w:val="clear" w:color="FFFFFF" w:fill="auto"/>
      </w:tcPr>
    </w:tblStylePr>
    <w:tblStylePr w:type="lastCol">
      <w:rPr>
        <w:rFonts w:ascii="Arial" w:hAnsi="Arial"/>
        <w:i/>
        <w:color w:val="E9706E" w:themeColor="accent6" w:themeTint="98" w:themeShade="95"/>
        <w:sz w:val="22"/>
      </w:rPr>
      <w:tblPr/>
      <w:tcPr>
        <w:tcBorders>
          <w:top w:val="none" w:sz="4" w:space="0" w:color="000000"/>
          <w:left w:val="single" w:sz="4" w:space="0" w:color="E9706E" w:themeColor="accent6" w:themeTint="98"/>
          <w:bottom w:val="none" w:sz="4" w:space="0" w:color="000000"/>
          <w:right w:val="none" w:sz="4" w:space="0" w:color="000000"/>
        </w:tcBorders>
        <w:shd w:val="clear" w:color="FFFFFF" w:fill="auto"/>
      </w:tcPr>
    </w:tblStylePr>
    <w:tblStylePr w:type="band1Vert">
      <w:tblPr/>
      <w:tcPr>
        <w:shd w:val="clear" w:color="F6C2C1" w:themeColor="accent6" w:themeTint="40" w:fill="F6C2C1" w:themeFill="accent6" w:themeFillTint="40"/>
      </w:tcPr>
    </w:tblStylePr>
    <w:tblStylePr w:type="band1Horz">
      <w:rPr>
        <w:rFonts w:ascii="Arial" w:hAnsi="Arial"/>
        <w:color w:val="E9706E" w:themeColor="accent6" w:themeTint="98" w:themeShade="95"/>
        <w:sz w:val="22"/>
      </w:rPr>
      <w:tblPr/>
      <w:tcPr>
        <w:shd w:val="clear" w:color="F6C2C1" w:themeColor="accent6" w:themeTint="40" w:fill="F6C2C1" w:themeFill="accent6" w:themeFillTint="40"/>
      </w:tcPr>
    </w:tblStylePr>
    <w:tblStylePr w:type="band2Horz">
      <w:rPr>
        <w:rFonts w:ascii="Arial" w:hAnsi="Arial"/>
        <w:color w:val="E9706E" w:themeColor="accent6" w:themeTint="98" w:themeShade="95"/>
        <w:sz w:val="22"/>
      </w:rPr>
    </w:tblStylePr>
  </w:style>
  <w:style w:type="table" w:customStyle="1" w:styleId="Lined-Accent">
    <w:name w:val="Lined - Accent"/>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1BBE03" w:themeColor="accent1" w:themeTint="EA" w:fill="1BBE03" w:themeFill="accent1" w:themeFillTint="EA"/>
      </w:tcPr>
    </w:tblStylePr>
    <w:tblStylePr w:type="lastRow">
      <w:rPr>
        <w:rFonts w:ascii="Arial" w:hAnsi="Arial"/>
        <w:color w:val="F2F2F2"/>
        <w:sz w:val="22"/>
      </w:rPr>
      <w:tblPr/>
      <w:tcPr>
        <w:shd w:val="clear" w:color="1BBE03" w:themeColor="accent1" w:themeTint="EA" w:fill="1BBE03" w:themeFill="accent1" w:themeFillTint="EA"/>
      </w:tcPr>
    </w:tblStylePr>
    <w:tblStylePr w:type="firstCol">
      <w:rPr>
        <w:rFonts w:ascii="Arial" w:hAnsi="Arial"/>
        <w:color w:val="F2F2F2"/>
        <w:sz w:val="22"/>
      </w:rPr>
      <w:tblPr/>
      <w:tcPr>
        <w:shd w:val="clear" w:color="1BBE03" w:themeColor="accent1" w:themeTint="EA" w:fill="1BBE03" w:themeFill="accent1" w:themeFillTint="EA"/>
      </w:tcPr>
    </w:tblStylePr>
    <w:tblStylePr w:type="lastCol">
      <w:rPr>
        <w:rFonts w:ascii="Arial" w:hAnsi="Arial"/>
        <w:color w:val="F2F2F2"/>
        <w:sz w:val="22"/>
      </w:rPr>
      <w:tblPr/>
      <w:tcPr>
        <w:shd w:val="clear" w:color="1BBE03" w:themeColor="accent1" w:themeTint="EA" w:fill="1BBE03"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2FD94" w:themeColor="accent1" w:themeTint="50" w:fill="A2FD9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2FD94" w:themeColor="accent1" w:themeTint="50" w:fill="A2FD94" w:themeFill="accent1" w:themeFillTint="50"/>
      </w:tcPr>
    </w:tblStylePr>
  </w:style>
  <w:style w:type="table" w:customStyle="1" w:styleId="Lined-Accent2">
    <w:name w:val="Lined - Accent 2"/>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36B3FB" w:themeColor="accent2" w:themeTint="97" w:fill="36B3FB" w:themeFill="accent2" w:themeFillTint="97"/>
      </w:tcPr>
    </w:tblStylePr>
    <w:tblStylePr w:type="lastRow">
      <w:rPr>
        <w:rFonts w:ascii="Arial" w:hAnsi="Arial"/>
        <w:color w:val="F2F2F2"/>
        <w:sz w:val="22"/>
      </w:rPr>
      <w:tblPr/>
      <w:tcPr>
        <w:shd w:val="clear" w:color="36B3FB" w:themeColor="accent2" w:themeTint="97" w:fill="36B3FB" w:themeFill="accent2" w:themeFillTint="97"/>
      </w:tcPr>
    </w:tblStylePr>
    <w:tblStylePr w:type="firstCol">
      <w:rPr>
        <w:rFonts w:ascii="Arial" w:hAnsi="Arial"/>
        <w:color w:val="F2F2F2"/>
        <w:sz w:val="22"/>
      </w:rPr>
      <w:tblPr/>
      <w:tcPr>
        <w:shd w:val="clear" w:color="36B3FB" w:themeColor="accent2" w:themeTint="97" w:fill="36B3FB" w:themeFill="accent2" w:themeFillTint="97"/>
      </w:tcPr>
    </w:tblStylePr>
    <w:tblStylePr w:type="lastCol">
      <w:rPr>
        <w:rFonts w:ascii="Arial" w:hAnsi="Arial"/>
        <w:color w:val="F2F2F2"/>
        <w:sz w:val="22"/>
      </w:rPr>
      <w:tblPr/>
      <w:tcPr>
        <w:shd w:val="clear" w:color="36B3FB" w:themeColor="accent2" w:themeTint="97" w:fill="36B3FB"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CE6FD" w:themeColor="accent2" w:themeTint="32" w:fill="BCE6FD" w:themeFill="accent2" w:themeFillTint="32"/>
      </w:tcPr>
    </w:tblStylePr>
  </w:style>
  <w:style w:type="table" w:customStyle="1" w:styleId="Lined-Accent3">
    <w:name w:val="Lined - Accent 3"/>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A43E03" w:themeColor="accent3" w:themeTint="FE" w:fill="A43E03" w:themeFill="accent3" w:themeFillTint="FE"/>
      </w:tcPr>
    </w:tblStylePr>
    <w:tblStylePr w:type="lastRow">
      <w:rPr>
        <w:rFonts w:ascii="Arial" w:hAnsi="Arial"/>
        <w:color w:val="F2F2F2"/>
        <w:sz w:val="22"/>
      </w:rPr>
      <w:tblPr/>
      <w:tcPr>
        <w:shd w:val="clear" w:color="A43E03" w:themeColor="accent3" w:themeTint="FE" w:fill="A43E03" w:themeFill="accent3" w:themeFillTint="FE"/>
      </w:tcPr>
    </w:tblStylePr>
    <w:tblStylePr w:type="firstCol">
      <w:rPr>
        <w:rFonts w:ascii="Arial" w:hAnsi="Arial"/>
        <w:color w:val="F2F2F2"/>
        <w:sz w:val="22"/>
      </w:rPr>
      <w:tblPr/>
      <w:tcPr>
        <w:shd w:val="clear" w:color="A43E03" w:themeColor="accent3" w:themeTint="FE" w:fill="A43E03" w:themeFill="accent3" w:themeFillTint="FE"/>
      </w:tcPr>
    </w:tblStylePr>
    <w:tblStylePr w:type="lastCol">
      <w:rPr>
        <w:rFonts w:ascii="Arial" w:hAnsi="Arial"/>
        <w:color w:val="F2F2F2"/>
        <w:sz w:val="22"/>
      </w:rPr>
      <w:tblPr/>
      <w:tcPr>
        <w:shd w:val="clear" w:color="A43E03" w:themeColor="accent3" w:themeTint="FE" w:fill="A43E03"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D2B9" w:themeColor="accent3" w:themeTint="34" w:fill="FDD2B9" w:themeFill="accent3" w:themeFillTint="34"/>
      </w:tcPr>
    </w:tblStylePr>
  </w:style>
  <w:style w:type="table" w:customStyle="1" w:styleId="Lined-Accent4">
    <w:name w:val="Lined - Accent 4"/>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E032FB" w:themeColor="accent4" w:themeTint="9A" w:fill="E032FB" w:themeFill="accent4" w:themeFillTint="9A"/>
      </w:tcPr>
    </w:tblStylePr>
    <w:tblStylePr w:type="lastRow">
      <w:rPr>
        <w:rFonts w:ascii="Arial" w:hAnsi="Arial"/>
        <w:color w:val="F2F2F2"/>
        <w:sz w:val="22"/>
      </w:rPr>
      <w:tblPr/>
      <w:tcPr>
        <w:shd w:val="clear" w:color="E032FB" w:themeColor="accent4" w:themeTint="9A" w:fill="E032FB" w:themeFill="accent4" w:themeFillTint="9A"/>
      </w:tcPr>
    </w:tblStylePr>
    <w:tblStylePr w:type="firstCol">
      <w:rPr>
        <w:rFonts w:ascii="Arial" w:hAnsi="Arial"/>
        <w:color w:val="F2F2F2"/>
        <w:sz w:val="22"/>
      </w:rPr>
      <w:tblPr/>
      <w:tcPr>
        <w:shd w:val="clear" w:color="E032FB" w:themeColor="accent4" w:themeTint="9A" w:fill="E032FB" w:themeFill="accent4" w:themeFillTint="9A"/>
      </w:tcPr>
    </w:tblStylePr>
    <w:tblStylePr w:type="lastCol">
      <w:rPr>
        <w:rFonts w:ascii="Arial" w:hAnsi="Arial"/>
        <w:color w:val="F2F2F2"/>
        <w:sz w:val="22"/>
      </w:rPr>
      <w:tblPr/>
      <w:tcPr>
        <w:shd w:val="clear" w:color="E032FB" w:themeColor="accent4" w:themeTint="9A" w:fill="E032FB"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B9FD" w:themeColor="accent4" w:themeTint="34" w:fill="F4B9FD" w:themeFill="accent4" w:themeFillTint="34"/>
      </w:tcPr>
    </w:tblStylePr>
  </w:style>
  <w:style w:type="table" w:customStyle="1" w:styleId="Lined-Accent5">
    <w:name w:val="Lined - Accent 5"/>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C99C00" w:themeColor="accent5" w:fill="C99C00" w:themeFill="accent5"/>
      </w:tcPr>
    </w:tblStylePr>
    <w:tblStylePr w:type="lastRow">
      <w:rPr>
        <w:rFonts w:ascii="Arial" w:hAnsi="Arial"/>
        <w:color w:val="F2F2F2"/>
        <w:sz w:val="22"/>
      </w:rPr>
      <w:tblPr/>
      <w:tcPr>
        <w:shd w:val="clear" w:color="C99C00" w:themeColor="accent5" w:fill="C99C00" w:themeFill="accent5"/>
      </w:tcPr>
    </w:tblStylePr>
    <w:tblStylePr w:type="firstCol">
      <w:rPr>
        <w:rFonts w:ascii="Arial" w:hAnsi="Arial"/>
        <w:color w:val="F2F2F2"/>
        <w:sz w:val="22"/>
      </w:rPr>
      <w:tblPr/>
      <w:tcPr>
        <w:shd w:val="clear" w:color="C99C00" w:themeColor="accent5" w:fill="C99C00" w:themeFill="accent5"/>
      </w:tcPr>
    </w:tblStylePr>
    <w:tblStylePr w:type="lastCol">
      <w:rPr>
        <w:rFonts w:ascii="Arial" w:hAnsi="Arial"/>
        <w:color w:val="F2F2F2"/>
        <w:sz w:val="22"/>
      </w:rPr>
      <w:tblPr/>
      <w:tcPr>
        <w:shd w:val="clear" w:color="C99C00" w:themeColor="accent5" w:fill="C99C0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0BF" w:themeColor="accent5" w:themeTint="34" w:fill="FFF0BF" w:themeFill="accent5" w:themeFillTint="34"/>
      </w:tcPr>
    </w:tblStylePr>
  </w:style>
  <w:style w:type="table" w:customStyle="1" w:styleId="Lined-Accent6">
    <w:name w:val="Lined - Accent 6"/>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C9211E" w:themeColor="accent6" w:fill="C9211E" w:themeFill="accent6"/>
      </w:tcPr>
    </w:tblStylePr>
    <w:tblStylePr w:type="lastRow">
      <w:rPr>
        <w:rFonts w:ascii="Arial" w:hAnsi="Arial"/>
        <w:color w:val="F2F2F2"/>
        <w:sz w:val="22"/>
      </w:rPr>
      <w:tblPr/>
      <w:tcPr>
        <w:shd w:val="clear" w:color="C9211E" w:themeColor="accent6" w:fill="C9211E" w:themeFill="accent6"/>
      </w:tcPr>
    </w:tblStylePr>
    <w:tblStylePr w:type="firstCol">
      <w:rPr>
        <w:rFonts w:ascii="Arial" w:hAnsi="Arial"/>
        <w:color w:val="F2F2F2"/>
        <w:sz w:val="22"/>
      </w:rPr>
      <w:tblPr/>
      <w:tcPr>
        <w:shd w:val="clear" w:color="C9211E" w:themeColor="accent6" w:fill="C9211E" w:themeFill="accent6"/>
      </w:tcPr>
    </w:tblStylePr>
    <w:tblStylePr w:type="lastCol">
      <w:rPr>
        <w:rFonts w:ascii="Arial" w:hAnsi="Arial"/>
        <w:color w:val="F2F2F2"/>
        <w:sz w:val="22"/>
      </w:rPr>
      <w:tblPr/>
      <w:tcPr>
        <w:shd w:val="clear" w:color="C9211E" w:themeColor="accent6" w:fill="C9211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CDCD" w:themeColor="accent6" w:themeTint="34" w:fill="F7CDCD" w:themeFill="accent6" w:themeFillTint="34"/>
      </w:tcPr>
    </w:tblStylePr>
  </w:style>
  <w:style w:type="table" w:customStyle="1" w:styleId="BorderedLined-Accent">
    <w:name w:val="Bordered &amp; Lined - Accent"/>
    <w:basedOn w:val="TableauNormal"/>
    <w:uiPriority w:val="99"/>
    <w:rPr>
      <w:color w:val="40404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fr-FR" w:eastAsia="fr-FR"/>
    </w:rPr>
    <w:tblPr>
      <w:tblStyleRowBandSize w:val="1"/>
      <w:tblStyleColBandSize w:val="1"/>
      <w:tblBorders>
        <w:top w:val="single" w:sz="4" w:space="0" w:color="0D5E01" w:themeColor="accent1" w:themeShade="95"/>
        <w:left w:val="single" w:sz="4" w:space="0" w:color="0D5E01" w:themeColor="accent1" w:themeShade="95"/>
        <w:bottom w:val="single" w:sz="4" w:space="0" w:color="0D5E01" w:themeColor="accent1" w:themeShade="95"/>
        <w:right w:val="single" w:sz="4" w:space="0" w:color="0D5E01" w:themeColor="accent1" w:themeShade="95"/>
        <w:insideH w:val="single" w:sz="4" w:space="0" w:color="0D5E01" w:themeColor="accent1" w:themeShade="95"/>
        <w:insideV w:val="single" w:sz="4" w:space="0" w:color="0D5E01" w:themeColor="accent1" w:themeShade="95"/>
      </w:tblBorders>
    </w:tblPr>
    <w:tblStylePr w:type="firstRow">
      <w:rPr>
        <w:rFonts w:ascii="Arial" w:hAnsi="Arial"/>
        <w:color w:val="F2F2F2"/>
        <w:sz w:val="22"/>
      </w:rPr>
      <w:tblPr/>
      <w:tcPr>
        <w:shd w:val="clear" w:color="1BBE03" w:themeColor="accent1" w:themeTint="EA" w:fill="1BBE03" w:themeFill="accent1" w:themeFillTint="EA"/>
      </w:tcPr>
    </w:tblStylePr>
    <w:tblStylePr w:type="lastRow">
      <w:rPr>
        <w:rFonts w:ascii="Arial" w:hAnsi="Arial"/>
        <w:color w:val="F2F2F2"/>
        <w:sz w:val="22"/>
      </w:rPr>
      <w:tblPr/>
      <w:tcPr>
        <w:shd w:val="clear" w:color="1BBE03" w:themeColor="accent1" w:themeTint="EA" w:fill="1BBE03" w:themeFill="accent1" w:themeFillTint="EA"/>
      </w:tcPr>
    </w:tblStylePr>
    <w:tblStylePr w:type="firstCol">
      <w:rPr>
        <w:rFonts w:ascii="Arial" w:hAnsi="Arial"/>
        <w:color w:val="F2F2F2"/>
        <w:sz w:val="22"/>
      </w:rPr>
      <w:tblPr/>
      <w:tcPr>
        <w:shd w:val="clear" w:color="1BBE03" w:themeColor="accent1" w:themeTint="EA" w:fill="1BBE03" w:themeFill="accent1" w:themeFillTint="EA"/>
      </w:tcPr>
    </w:tblStylePr>
    <w:tblStylePr w:type="lastCol">
      <w:rPr>
        <w:rFonts w:ascii="Arial" w:hAnsi="Arial"/>
        <w:color w:val="F2F2F2"/>
        <w:sz w:val="22"/>
      </w:rPr>
      <w:tblPr/>
      <w:tcPr>
        <w:shd w:val="clear" w:color="1BBE03" w:themeColor="accent1" w:themeTint="EA" w:fill="1BBE03"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2FD94" w:themeColor="accent1" w:themeTint="50" w:fill="A2FD9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2FD94" w:themeColor="accent1" w:themeTint="50" w:fill="A2FD94" w:themeFill="accent1" w:themeFillTint="50"/>
      </w:tcPr>
    </w:tblStylePr>
  </w:style>
  <w:style w:type="table" w:customStyle="1" w:styleId="BorderedLined-Accent2">
    <w:name w:val="Bordered &amp; Lined - Accent 2"/>
    <w:basedOn w:val="TableauNormal"/>
    <w:uiPriority w:val="99"/>
    <w:rPr>
      <w:color w:val="404040"/>
      <w:lang w:val="fr-FR" w:eastAsia="fr-FR"/>
    </w:rPr>
    <w:tblPr>
      <w:tblStyleRowBandSize w:val="1"/>
      <w:tblStyleColBandSize w:val="1"/>
      <w:tblBorders>
        <w:top w:val="single" w:sz="4" w:space="0" w:color="013C5E" w:themeColor="accent2" w:themeShade="95"/>
        <w:left w:val="single" w:sz="4" w:space="0" w:color="013C5E" w:themeColor="accent2" w:themeShade="95"/>
        <w:bottom w:val="single" w:sz="4" w:space="0" w:color="013C5E" w:themeColor="accent2" w:themeShade="95"/>
        <w:right w:val="single" w:sz="4" w:space="0" w:color="013C5E" w:themeColor="accent2" w:themeShade="95"/>
        <w:insideH w:val="single" w:sz="4" w:space="0" w:color="013C5E" w:themeColor="accent2" w:themeShade="95"/>
        <w:insideV w:val="single" w:sz="4" w:space="0" w:color="013C5E" w:themeColor="accent2" w:themeShade="95"/>
      </w:tblBorders>
    </w:tblPr>
    <w:tblStylePr w:type="firstRow">
      <w:rPr>
        <w:rFonts w:ascii="Arial" w:hAnsi="Arial"/>
        <w:color w:val="F2F2F2"/>
        <w:sz w:val="22"/>
      </w:rPr>
      <w:tblPr/>
      <w:tcPr>
        <w:shd w:val="clear" w:color="36B3FB" w:themeColor="accent2" w:themeTint="97" w:fill="36B3FB" w:themeFill="accent2" w:themeFillTint="97"/>
      </w:tcPr>
    </w:tblStylePr>
    <w:tblStylePr w:type="lastRow">
      <w:rPr>
        <w:rFonts w:ascii="Arial" w:hAnsi="Arial"/>
        <w:color w:val="F2F2F2"/>
        <w:sz w:val="22"/>
      </w:rPr>
      <w:tblPr/>
      <w:tcPr>
        <w:shd w:val="clear" w:color="36B3FB" w:themeColor="accent2" w:themeTint="97" w:fill="36B3FB" w:themeFill="accent2" w:themeFillTint="97"/>
      </w:tcPr>
    </w:tblStylePr>
    <w:tblStylePr w:type="firstCol">
      <w:rPr>
        <w:rFonts w:ascii="Arial" w:hAnsi="Arial"/>
        <w:color w:val="F2F2F2"/>
        <w:sz w:val="22"/>
      </w:rPr>
      <w:tblPr/>
      <w:tcPr>
        <w:shd w:val="clear" w:color="36B3FB" w:themeColor="accent2" w:themeTint="97" w:fill="36B3FB" w:themeFill="accent2" w:themeFillTint="97"/>
      </w:tcPr>
    </w:tblStylePr>
    <w:tblStylePr w:type="lastCol">
      <w:rPr>
        <w:rFonts w:ascii="Arial" w:hAnsi="Arial"/>
        <w:color w:val="F2F2F2"/>
        <w:sz w:val="22"/>
      </w:rPr>
      <w:tblPr/>
      <w:tcPr>
        <w:shd w:val="clear" w:color="36B3FB" w:themeColor="accent2" w:themeTint="97" w:fill="36B3FB"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CE6FD" w:themeColor="accent2" w:themeTint="32" w:fill="BCE6FD" w:themeFill="accent2" w:themeFillTint="32"/>
      </w:tcPr>
    </w:tblStylePr>
  </w:style>
  <w:style w:type="table" w:customStyle="1" w:styleId="BorderedLined-Accent3">
    <w:name w:val="Bordered &amp; Lined - Accent 3"/>
    <w:basedOn w:val="TableauNormal"/>
    <w:uiPriority w:val="99"/>
    <w:rPr>
      <w:color w:val="404040"/>
      <w:lang w:val="fr-FR" w:eastAsia="fr-FR"/>
    </w:rPr>
    <w:tblPr>
      <w:tblStyleRowBandSize w:val="1"/>
      <w:tblStyleColBandSize w:val="1"/>
      <w:tblBorders>
        <w:top w:val="single" w:sz="4" w:space="0" w:color="5E2401" w:themeColor="accent3" w:themeShade="95"/>
        <w:left w:val="single" w:sz="4" w:space="0" w:color="5E2401" w:themeColor="accent3" w:themeShade="95"/>
        <w:bottom w:val="single" w:sz="4" w:space="0" w:color="5E2401" w:themeColor="accent3" w:themeShade="95"/>
        <w:right w:val="single" w:sz="4" w:space="0" w:color="5E2401" w:themeColor="accent3" w:themeShade="95"/>
        <w:insideH w:val="single" w:sz="4" w:space="0" w:color="5E2401" w:themeColor="accent3" w:themeShade="95"/>
        <w:insideV w:val="single" w:sz="4" w:space="0" w:color="5E2401" w:themeColor="accent3" w:themeShade="95"/>
      </w:tblBorders>
    </w:tblPr>
    <w:tblStylePr w:type="firstRow">
      <w:rPr>
        <w:rFonts w:ascii="Arial" w:hAnsi="Arial"/>
        <w:color w:val="F2F2F2"/>
        <w:sz w:val="22"/>
      </w:rPr>
      <w:tblPr/>
      <w:tcPr>
        <w:shd w:val="clear" w:color="A43E03" w:themeColor="accent3" w:themeTint="FE" w:fill="A43E03" w:themeFill="accent3" w:themeFillTint="FE"/>
      </w:tcPr>
    </w:tblStylePr>
    <w:tblStylePr w:type="lastRow">
      <w:rPr>
        <w:rFonts w:ascii="Arial" w:hAnsi="Arial"/>
        <w:color w:val="F2F2F2"/>
        <w:sz w:val="22"/>
      </w:rPr>
      <w:tblPr/>
      <w:tcPr>
        <w:shd w:val="clear" w:color="A43E03" w:themeColor="accent3" w:themeTint="FE" w:fill="A43E03" w:themeFill="accent3" w:themeFillTint="FE"/>
      </w:tcPr>
    </w:tblStylePr>
    <w:tblStylePr w:type="firstCol">
      <w:rPr>
        <w:rFonts w:ascii="Arial" w:hAnsi="Arial"/>
        <w:color w:val="F2F2F2"/>
        <w:sz w:val="22"/>
      </w:rPr>
      <w:tblPr/>
      <w:tcPr>
        <w:shd w:val="clear" w:color="A43E03" w:themeColor="accent3" w:themeTint="FE" w:fill="A43E03" w:themeFill="accent3" w:themeFillTint="FE"/>
      </w:tcPr>
    </w:tblStylePr>
    <w:tblStylePr w:type="lastCol">
      <w:rPr>
        <w:rFonts w:ascii="Arial" w:hAnsi="Arial"/>
        <w:color w:val="F2F2F2"/>
        <w:sz w:val="22"/>
      </w:rPr>
      <w:tblPr/>
      <w:tcPr>
        <w:shd w:val="clear" w:color="A43E03" w:themeColor="accent3" w:themeTint="FE" w:fill="A43E03"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D2B9" w:themeColor="accent3" w:themeTint="34" w:fill="FDD2B9" w:themeFill="accent3" w:themeFillTint="34"/>
      </w:tcPr>
    </w:tblStylePr>
  </w:style>
  <w:style w:type="table" w:customStyle="1" w:styleId="BorderedLined-Accent4">
    <w:name w:val="Bordered &amp; Lined - Accent 4"/>
    <w:basedOn w:val="TableauNormal"/>
    <w:uiPriority w:val="99"/>
    <w:rPr>
      <w:color w:val="404040"/>
      <w:lang w:val="fr-FR" w:eastAsia="fr-FR"/>
    </w:rPr>
    <w:tblPr>
      <w:tblStyleRowBandSize w:val="1"/>
      <w:tblStyleColBandSize w:val="1"/>
      <w:tblBorders>
        <w:top w:val="single" w:sz="4" w:space="0" w:color="52015E" w:themeColor="accent4" w:themeShade="95"/>
        <w:left w:val="single" w:sz="4" w:space="0" w:color="52015E" w:themeColor="accent4" w:themeShade="95"/>
        <w:bottom w:val="single" w:sz="4" w:space="0" w:color="52015E" w:themeColor="accent4" w:themeShade="95"/>
        <w:right w:val="single" w:sz="4" w:space="0" w:color="52015E" w:themeColor="accent4" w:themeShade="95"/>
        <w:insideH w:val="single" w:sz="4" w:space="0" w:color="52015E" w:themeColor="accent4" w:themeShade="95"/>
        <w:insideV w:val="single" w:sz="4" w:space="0" w:color="52015E" w:themeColor="accent4" w:themeShade="95"/>
      </w:tblBorders>
    </w:tblPr>
    <w:tblStylePr w:type="firstRow">
      <w:rPr>
        <w:rFonts w:ascii="Arial" w:hAnsi="Arial"/>
        <w:color w:val="F2F2F2"/>
        <w:sz w:val="22"/>
      </w:rPr>
      <w:tblPr/>
      <w:tcPr>
        <w:shd w:val="clear" w:color="E032FB" w:themeColor="accent4" w:themeTint="9A" w:fill="E032FB" w:themeFill="accent4" w:themeFillTint="9A"/>
      </w:tcPr>
    </w:tblStylePr>
    <w:tblStylePr w:type="lastRow">
      <w:rPr>
        <w:rFonts w:ascii="Arial" w:hAnsi="Arial"/>
        <w:color w:val="F2F2F2"/>
        <w:sz w:val="22"/>
      </w:rPr>
      <w:tblPr/>
      <w:tcPr>
        <w:shd w:val="clear" w:color="E032FB" w:themeColor="accent4" w:themeTint="9A" w:fill="E032FB" w:themeFill="accent4" w:themeFillTint="9A"/>
      </w:tcPr>
    </w:tblStylePr>
    <w:tblStylePr w:type="firstCol">
      <w:rPr>
        <w:rFonts w:ascii="Arial" w:hAnsi="Arial"/>
        <w:color w:val="F2F2F2"/>
        <w:sz w:val="22"/>
      </w:rPr>
      <w:tblPr/>
      <w:tcPr>
        <w:shd w:val="clear" w:color="E032FB" w:themeColor="accent4" w:themeTint="9A" w:fill="E032FB" w:themeFill="accent4" w:themeFillTint="9A"/>
      </w:tcPr>
    </w:tblStylePr>
    <w:tblStylePr w:type="lastCol">
      <w:rPr>
        <w:rFonts w:ascii="Arial" w:hAnsi="Arial"/>
        <w:color w:val="F2F2F2"/>
        <w:sz w:val="22"/>
      </w:rPr>
      <w:tblPr/>
      <w:tcPr>
        <w:shd w:val="clear" w:color="E032FB" w:themeColor="accent4" w:themeTint="9A" w:fill="E032FB"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B9FD" w:themeColor="accent4" w:themeTint="34" w:fill="F4B9FD" w:themeFill="accent4" w:themeFillTint="34"/>
      </w:tcPr>
    </w:tblStylePr>
  </w:style>
  <w:style w:type="table" w:customStyle="1" w:styleId="BorderedLined-Accent5">
    <w:name w:val="Bordered &amp; Lined - Accent 5"/>
    <w:basedOn w:val="TableauNormal"/>
    <w:uiPriority w:val="99"/>
    <w:rPr>
      <w:color w:val="404040"/>
      <w:lang w:val="fr-FR" w:eastAsia="fr-FR"/>
    </w:rPr>
    <w:tblPr>
      <w:tblStyleRowBandSize w:val="1"/>
      <w:tblStyleColBandSize w:val="1"/>
      <w:tblBorders>
        <w:top w:val="single" w:sz="4" w:space="0" w:color="755A00" w:themeColor="accent5" w:themeShade="95"/>
        <w:left w:val="single" w:sz="4" w:space="0" w:color="755A00" w:themeColor="accent5" w:themeShade="95"/>
        <w:bottom w:val="single" w:sz="4" w:space="0" w:color="755A00" w:themeColor="accent5" w:themeShade="95"/>
        <w:right w:val="single" w:sz="4" w:space="0" w:color="755A00" w:themeColor="accent5" w:themeShade="95"/>
        <w:insideH w:val="single" w:sz="4" w:space="0" w:color="755A00" w:themeColor="accent5" w:themeShade="95"/>
        <w:insideV w:val="single" w:sz="4" w:space="0" w:color="755A00" w:themeColor="accent5" w:themeShade="95"/>
      </w:tblBorders>
    </w:tblPr>
    <w:tblStylePr w:type="firstRow">
      <w:rPr>
        <w:rFonts w:ascii="Arial" w:hAnsi="Arial"/>
        <w:color w:val="F2F2F2"/>
        <w:sz w:val="22"/>
      </w:rPr>
      <w:tblPr/>
      <w:tcPr>
        <w:shd w:val="clear" w:color="C99C00" w:themeColor="accent5" w:fill="C99C00" w:themeFill="accent5"/>
      </w:tcPr>
    </w:tblStylePr>
    <w:tblStylePr w:type="lastRow">
      <w:rPr>
        <w:rFonts w:ascii="Arial" w:hAnsi="Arial"/>
        <w:color w:val="F2F2F2"/>
        <w:sz w:val="22"/>
      </w:rPr>
      <w:tblPr/>
      <w:tcPr>
        <w:shd w:val="clear" w:color="C99C00" w:themeColor="accent5" w:fill="C99C00" w:themeFill="accent5"/>
      </w:tcPr>
    </w:tblStylePr>
    <w:tblStylePr w:type="firstCol">
      <w:rPr>
        <w:rFonts w:ascii="Arial" w:hAnsi="Arial"/>
        <w:color w:val="F2F2F2"/>
        <w:sz w:val="22"/>
      </w:rPr>
      <w:tblPr/>
      <w:tcPr>
        <w:shd w:val="clear" w:color="C99C00" w:themeColor="accent5" w:fill="C99C00" w:themeFill="accent5"/>
      </w:tcPr>
    </w:tblStylePr>
    <w:tblStylePr w:type="lastCol">
      <w:rPr>
        <w:rFonts w:ascii="Arial" w:hAnsi="Arial"/>
        <w:color w:val="F2F2F2"/>
        <w:sz w:val="22"/>
      </w:rPr>
      <w:tblPr/>
      <w:tcPr>
        <w:shd w:val="clear" w:color="C99C00" w:themeColor="accent5" w:fill="C99C0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0BF" w:themeColor="accent5" w:themeTint="34" w:fill="FFF0BF" w:themeFill="accent5" w:themeFillTint="34"/>
      </w:tcPr>
    </w:tblStylePr>
  </w:style>
  <w:style w:type="table" w:customStyle="1" w:styleId="BorderedLined-Accent6">
    <w:name w:val="Bordered &amp; Lined - Accent 6"/>
    <w:basedOn w:val="TableauNormal"/>
    <w:uiPriority w:val="99"/>
    <w:rPr>
      <w:color w:val="404040"/>
      <w:lang w:val="fr-FR" w:eastAsia="fr-FR"/>
    </w:rPr>
    <w:tblPr>
      <w:tblStyleRowBandSize w:val="1"/>
      <w:tblStyleColBandSize w:val="1"/>
      <w:tblBorders>
        <w:top w:val="single" w:sz="4" w:space="0" w:color="751311" w:themeColor="accent6" w:themeShade="95"/>
        <w:left w:val="single" w:sz="4" w:space="0" w:color="751311" w:themeColor="accent6" w:themeShade="95"/>
        <w:bottom w:val="single" w:sz="4" w:space="0" w:color="751311" w:themeColor="accent6" w:themeShade="95"/>
        <w:right w:val="single" w:sz="4" w:space="0" w:color="751311" w:themeColor="accent6" w:themeShade="95"/>
        <w:insideH w:val="single" w:sz="4" w:space="0" w:color="751311" w:themeColor="accent6" w:themeShade="95"/>
        <w:insideV w:val="single" w:sz="4" w:space="0" w:color="751311" w:themeColor="accent6" w:themeShade="95"/>
      </w:tblBorders>
    </w:tblPr>
    <w:tblStylePr w:type="firstRow">
      <w:rPr>
        <w:rFonts w:ascii="Arial" w:hAnsi="Arial"/>
        <w:color w:val="F2F2F2"/>
        <w:sz w:val="22"/>
      </w:rPr>
      <w:tblPr/>
      <w:tcPr>
        <w:shd w:val="clear" w:color="C9211E" w:themeColor="accent6" w:fill="C9211E" w:themeFill="accent6"/>
      </w:tcPr>
    </w:tblStylePr>
    <w:tblStylePr w:type="lastRow">
      <w:rPr>
        <w:rFonts w:ascii="Arial" w:hAnsi="Arial"/>
        <w:color w:val="F2F2F2"/>
        <w:sz w:val="22"/>
      </w:rPr>
      <w:tblPr/>
      <w:tcPr>
        <w:shd w:val="clear" w:color="C9211E" w:themeColor="accent6" w:fill="C9211E" w:themeFill="accent6"/>
      </w:tcPr>
    </w:tblStylePr>
    <w:tblStylePr w:type="firstCol">
      <w:rPr>
        <w:rFonts w:ascii="Arial" w:hAnsi="Arial"/>
        <w:color w:val="F2F2F2"/>
        <w:sz w:val="22"/>
      </w:rPr>
      <w:tblPr/>
      <w:tcPr>
        <w:shd w:val="clear" w:color="C9211E" w:themeColor="accent6" w:fill="C9211E" w:themeFill="accent6"/>
      </w:tcPr>
    </w:tblStylePr>
    <w:tblStylePr w:type="lastCol">
      <w:rPr>
        <w:rFonts w:ascii="Arial" w:hAnsi="Arial"/>
        <w:color w:val="F2F2F2"/>
        <w:sz w:val="22"/>
      </w:rPr>
      <w:tblPr/>
      <w:tcPr>
        <w:shd w:val="clear" w:color="C9211E" w:themeColor="accent6" w:fill="C9211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CDCD" w:themeColor="accent6" w:themeTint="34" w:fill="F7CDCD"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Pr>
    <w:tblStylePr w:type="firstRow">
      <w:rPr>
        <w:rFonts w:ascii="Arial" w:hAnsi="Arial"/>
        <w:color w:val="404040"/>
        <w:sz w:val="22"/>
      </w:rPr>
      <w:tblPr/>
      <w:tcPr>
        <w:tcBorders>
          <w:bottom w:val="single" w:sz="12" w:space="0" w:color="18A303" w:themeColor="accent1"/>
        </w:tcBorders>
      </w:tcPr>
    </w:tblStylePr>
    <w:tblStylePr w:type="lastRow">
      <w:rPr>
        <w:rFonts w:ascii="Arial" w:hAnsi="Arial"/>
        <w:color w:val="404040"/>
        <w:sz w:val="22"/>
      </w:rPr>
      <w:tblPr/>
      <w:tcPr>
        <w:tcBorders>
          <w:top w:val="single" w:sz="12" w:space="0" w:color="18A303"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8A303" w:themeColor="accent1"/>
        </w:tcBorders>
      </w:tcPr>
    </w:tblStylePr>
    <w:tblStylePr w:type="band1Horz">
      <w:rPr>
        <w:rFonts w:ascii="Arial" w:hAnsi="Arial"/>
        <w:color w:val="404040"/>
        <w:sz w:val="22"/>
      </w:rPr>
      <w:tblPr/>
      <w:tcPr>
        <w:tc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Pr>
    <w:tblStylePr w:type="firstRow">
      <w:rPr>
        <w:rFonts w:ascii="Arial" w:hAnsi="Arial"/>
        <w:color w:val="404040"/>
        <w:sz w:val="22"/>
      </w:rPr>
      <w:tblPr/>
      <w:tcPr>
        <w:tcBorders>
          <w:bottom w:val="single" w:sz="12" w:space="0" w:color="36B3FB" w:themeColor="accent2" w:themeTint="97"/>
        </w:tcBorders>
      </w:tcPr>
    </w:tblStylePr>
    <w:tblStylePr w:type="lastRow">
      <w:rPr>
        <w:rFonts w:ascii="Arial" w:hAnsi="Arial"/>
        <w:color w:val="404040"/>
        <w:sz w:val="22"/>
      </w:rPr>
      <w:tblPr/>
      <w:tcPr>
        <w:tcBorders>
          <w:top w:val="single" w:sz="12" w:space="0" w:color="36B3FB"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6B3FB" w:themeColor="accent2" w:themeTint="97"/>
        </w:tcBorders>
      </w:tcPr>
    </w:tblStylePr>
    <w:tblStylePr w:type="band1Horz">
      <w:rPr>
        <w:rFonts w:ascii="Arial" w:hAnsi="Arial"/>
        <w:color w:val="404040"/>
        <w:sz w:val="22"/>
      </w:rPr>
      <w:tblPr/>
      <w:tcPr>
        <w:tc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Pr>
    <w:tblStylePr w:type="firstRow">
      <w:rPr>
        <w:rFonts w:ascii="Arial" w:hAnsi="Arial"/>
        <w:color w:val="404040"/>
        <w:sz w:val="22"/>
      </w:rPr>
      <w:tblPr/>
      <w:tcPr>
        <w:tcBorders>
          <w:bottom w:val="single" w:sz="12" w:space="0" w:color="FB7E35" w:themeColor="accent3" w:themeTint="98"/>
        </w:tcBorders>
      </w:tcPr>
    </w:tblStylePr>
    <w:tblStylePr w:type="lastRow">
      <w:rPr>
        <w:rFonts w:ascii="Arial" w:hAnsi="Arial"/>
        <w:color w:val="404040"/>
        <w:sz w:val="22"/>
      </w:rPr>
      <w:tblPr/>
      <w:tcPr>
        <w:tcBorders>
          <w:top w:val="single" w:sz="12" w:space="0" w:color="FB7E35"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B7E35" w:themeColor="accent3" w:themeTint="98"/>
        </w:tcBorders>
      </w:tcPr>
    </w:tblStylePr>
    <w:tblStylePr w:type="band1Horz">
      <w:rPr>
        <w:rFonts w:ascii="Arial" w:hAnsi="Arial"/>
        <w:color w:val="404040"/>
        <w:sz w:val="22"/>
      </w:rPr>
      <w:tblPr/>
      <w:tcPr>
        <w:tc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Pr>
    <w:tblStylePr w:type="firstRow">
      <w:rPr>
        <w:rFonts w:ascii="Arial" w:hAnsi="Arial"/>
        <w:color w:val="404040"/>
        <w:sz w:val="22"/>
      </w:rPr>
      <w:tblPr/>
      <w:tcPr>
        <w:tcBorders>
          <w:bottom w:val="single" w:sz="12" w:space="0" w:color="E032FB" w:themeColor="accent4" w:themeTint="9A"/>
        </w:tcBorders>
      </w:tcPr>
    </w:tblStylePr>
    <w:tblStylePr w:type="lastRow">
      <w:rPr>
        <w:rFonts w:ascii="Arial" w:hAnsi="Arial"/>
        <w:color w:val="404040"/>
        <w:sz w:val="22"/>
      </w:rPr>
      <w:tblPr/>
      <w:tcPr>
        <w:tcBorders>
          <w:top w:val="single" w:sz="12" w:space="0" w:color="E032FB"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032FB" w:themeColor="accent4" w:themeTint="9A"/>
        </w:tcBorders>
      </w:tcPr>
    </w:tblStylePr>
    <w:tblStylePr w:type="band1Horz">
      <w:rPr>
        <w:rFonts w:ascii="Arial" w:hAnsi="Arial"/>
        <w:color w:val="404040"/>
        <w:sz w:val="22"/>
      </w:rPr>
      <w:tblPr/>
      <w:tcPr>
        <w:tc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Pr>
    <w:tblStylePr w:type="firstRow">
      <w:rPr>
        <w:rFonts w:ascii="Arial" w:hAnsi="Arial"/>
        <w:color w:val="404040"/>
        <w:sz w:val="22"/>
      </w:rPr>
      <w:tblPr/>
      <w:tcPr>
        <w:tcBorders>
          <w:bottom w:val="single" w:sz="12" w:space="0" w:color="FFD444" w:themeColor="accent5" w:themeTint="9A"/>
        </w:tcBorders>
      </w:tcPr>
    </w:tblStylePr>
    <w:tblStylePr w:type="lastRow">
      <w:rPr>
        <w:rFonts w:ascii="Arial" w:hAnsi="Arial"/>
        <w:color w:val="404040"/>
        <w:sz w:val="22"/>
      </w:rPr>
      <w:tblPr/>
      <w:tcPr>
        <w:tcBorders>
          <w:top w:val="single" w:sz="12" w:space="0" w:color="FFD444"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444" w:themeColor="accent5" w:themeTint="9A"/>
        </w:tcBorders>
      </w:tcPr>
    </w:tblStylePr>
    <w:tblStylePr w:type="band1Horz">
      <w:rPr>
        <w:rFonts w:ascii="Arial" w:hAnsi="Arial"/>
        <w:color w:val="404040"/>
        <w:sz w:val="22"/>
      </w:rPr>
      <w:tblPr/>
      <w:tcPr>
        <w:tc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Pr>
    <w:tblStylePr w:type="firstRow">
      <w:rPr>
        <w:rFonts w:ascii="Arial" w:hAnsi="Arial"/>
        <w:color w:val="404040"/>
        <w:sz w:val="22"/>
      </w:rPr>
      <w:tblPr/>
      <w:tcPr>
        <w:tcBorders>
          <w:bottom w:val="single" w:sz="12" w:space="0" w:color="E9706E" w:themeColor="accent6" w:themeTint="98"/>
        </w:tcBorders>
      </w:tcPr>
    </w:tblStylePr>
    <w:tblStylePr w:type="lastRow">
      <w:rPr>
        <w:rFonts w:ascii="Arial" w:hAnsi="Arial"/>
        <w:color w:val="404040"/>
        <w:sz w:val="22"/>
      </w:rPr>
      <w:tblPr/>
      <w:tcPr>
        <w:tcBorders>
          <w:top w:val="single" w:sz="12" w:space="0" w:color="E9706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9706E" w:themeColor="accent6" w:themeTint="98"/>
        </w:tcBorders>
      </w:tcPr>
    </w:tblStylePr>
    <w:tblStylePr w:type="band1Horz">
      <w:rPr>
        <w:rFonts w:ascii="Arial" w:hAnsi="Arial"/>
        <w:color w:val="404040"/>
        <w:sz w:val="22"/>
      </w:rPr>
      <w:tblPr/>
      <w:tcPr>
        <w:tc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tcBorders>
      </w:tcPr>
    </w:tblStylePr>
  </w:style>
  <w:style w:type="character" w:customStyle="1" w:styleId="Heading1Char">
    <w:name w:val="Heading 1 Char"/>
    <w:basedOn w:val="Policepardfaut"/>
    <w:uiPriority w:val="9"/>
    <w:rPr>
      <w:rFonts w:ascii="Arial" w:eastAsia="Arial" w:hAnsi="Arial" w:cs="Arial"/>
      <w:color w:val="117A02" w:themeColor="accent1" w:themeShade="BF"/>
      <w:sz w:val="40"/>
      <w:szCs w:val="40"/>
    </w:rPr>
  </w:style>
  <w:style w:type="character" w:customStyle="1" w:styleId="Heading2Char">
    <w:name w:val="Heading 2 Char"/>
    <w:basedOn w:val="Policepardfaut"/>
    <w:uiPriority w:val="9"/>
    <w:rPr>
      <w:rFonts w:ascii="Arial" w:eastAsia="Arial" w:hAnsi="Arial" w:cs="Arial"/>
      <w:color w:val="117A02" w:themeColor="accent1" w:themeShade="BF"/>
      <w:sz w:val="32"/>
      <w:szCs w:val="32"/>
    </w:rPr>
  </w:style>
  <w:style w:type="character" w:customStyle="1" w:styleId="Heading3Char">
    <w:name w:val="Heading 3 Char"/>
    <w:basedOn w:val="Policepardfaut"/>
    <w:uiPriority w:val="9"/>
    <w:rPr>
      <w:rFonts w:ascii="Arial" w:eastAsia="Arial" w:hAnsi="Arial" w:cs="Arial"/>
      <w:color w:val="117A02" w:themeColor="accent1" w:themeShade="BF"/>
      <w:sz w:val="28"/>
      <w:szCs w:val="28"/>
    </w:rPr>
  </w:style>
  <w:style w:type="character" w:customStyle="1" w:styleId="Titre4Car1">
    <w:name w:val="Titre 4 Car1"/>
    <w:basedOn w:val="Policepardfaut"/>
    <w:link w:val="Titre4"/>
    <w:rPr>
      <w:rFonts w:ascii="Calibri" w:eastAsia="MS Gothic;ＭＳ ゴシック" w:hAnsi="Calibri" w:cs="Times New Roman"/>
      <w:b/>
      <w:bCs/>
      <w:i/>
      <w:iCs/>
      <w:color w:val="4F81BD"/>
      <w:sz w:val="18"/>
      <w:szCs w:val="22"/>
      <w:lang w:val="en-US" w:eastAsia="zh-CN"/>
    </w:rPr>
  </w:style>
  <w:style w:type="character" w:customStyle="1" w:styleId="Titre5Car1">
    <w:name w:val="Titre 5 Car1"/>
    <w:basedOn w:val="Policepardfaut"/>
    <w:link w:val="Titre5"/>
    <w:rPr>
      <w:rFonts w:ascii="Calibri" w:eastAsia="MS Gothic;ＭＳ ゴシック" w:hAnsi="Calibri" w:cs="Times New Roman"/>
      <w:color w:val="243F60"/>
      <w:sz w:val="18"/>
      <w:szCs w:val="22"/>
      <w:lang w:val="en-US" w:eastAsia="zh-CN"/>
    </w:rPr>
  </w:style>
  <w:style w:type="character" w:customStyle="1" w:styleId="Titre6Car1">
    <w:name w:val="Titre 6 Car1"/>
    <w:basedOn w:val="Policepardfaut"/>
    <w:link w:val="Titre6"/>
    <w:rPr>
      <w:rFonts w:ascii="Calibri" w:eastAsia="MS Gothic;ＭＳ ゴシック" w:hAnsi="Calibri" w:cs="Times New Roman"/>
      <w:i/>
      <w:iCs/>
      <w:color w:val="243F60"/>
      <w:sz w:val="18"/>
      <w:szCs w:val="22"/>
      <w:lang w:val="en-US" w:eastAsia="zh-CN"/>
    </w:rPr>
  </w:style>
  <w:style w:type="character" w:customStyle="1" w:styleId="Titre7Car1">
    <w:name w:val="Titre 7 Car1"/>
    <w:basedOn w:val="Policepardfaut"/>
    <w:link w:val="Titre7"/>
    <w:rPr>
      <w:rFonts w:ascii="Calibri" w:eastAsia="MS Gothic;ＭＳ ゴシック" w:hAnsi="Calibri" w:cs="Times New Roman"/>
      <w:i/>
      <w:iCs/>
      <w:color w:val="404040"/>
      <w:sz w:val="18"/>
      <w:szCs w:val="22"/>
      <w:lang w:val="en-US" w:eastAsia="zh-CN"/>
    </w:rPr>
  </w:style>
  <w:style w:type="character" w:customStyle="1" w:styleId="Titre8Car1">
    <w:name w:val="Titre 8 Car1"/>
    <w:basedOn w:val="Policepardfaut"/>
    <w:link w:val="Titre8"/>
    <w:rPr>
      <w:rFonts w:ascii="Calibri" w:eastAsia="MS Gothic;ＭＳ ゴシック" w:hAnsi="Calibri" w:cs="Times New Roman"/>
      <w:color w:val="4F81BD"/>
      <w:sz w:val="18"/>
      <w:lang w:val="en-US" w:eastAsia="zh-CN"/>
    </w:rPr>
  </w:style>
  <w:style w:type="character" w:customStyle="1" w:styleId="Titre9Car1">
    <w:name w:val="Titre 9 Car1"/>
    <w:basedOn w:val="Policepardfaut"/>
    <w:link w:val="Titre9"/>
    <w:rPr>
      <w:rFonts w:ascii="Calibri" w:eastAsia="MS Gothic;ＭＳ ゴシック" w:hAnsi="Calibri" w:cs="Times New Roman"/>
      <w:i/>
      <w:iCs/>
      <w:color w:val="404040"/>
      <w:sz w:val="18"/>
      <w:lang w:val="en-US" w:eastAsia="zh-CN"/>
    </w:rPr>
  </w:style>
  <w:style w:type="paragraph" w:styleId="Titre">
    <w:name w:val="Title"/>
    <w:basedOn w:val="Normal"/>
    <w:next w:val="Normal"/>
    <w:link w:val="TitreCar1"/>
    <w:uiPriority w:val="10"/>
    <w:qFormat/>
    <w:pPr>
      <w:spacing w:after="80" w:line="240" w:lineRule="auto"/>
      <w:contextualSpacing/>
    </w:pPr>
    <w:rPr>
      <w:rFonts w:ascii="Arial" w:hAnsi="Arial"/>
      <w:spacing w:val="-10"/>
      <w:sz w:val="56"/>
      <w:szCs w:val="56"/>
    </w:rPr>
  </w:style>
  <w:style w:type="character" w:customStyle="1" w:styleId="TitreCar1">
    <w:name w:val="Titre Car1"/>
    <w:basedOn w:val="Policepardfaut"/>
    <w:link w:val="Titre"/>
    <w:uiPriority w:val="10"/>
    <w:rPr>
      <w:rFonts w:ascii="Arial" w:eastAsia="Arial" w:hAnsi="Arial" w:cs="Arial"/>
      <w:spacing w:val="-10"/>
      <w:sz w:val="56"/>
      <w:szCs w:val="56"/>
    </w:rPr>
  </w:style>
  <w:style w:type="character" w:customStyle="1" w:styleId="Sous-titreCar1">
    <w:name w:val="Sous-titre Car1"/>
    <w:basedOn w:val="Policepardfaut"/>
    <w:link w:val="Sous-titre"/>
    <w:uiPriority w:val="11"/>
    <w:rPr>
      <w:color w:val="595959" w:themeColor="text1" w:themeTint="A6"/>
      <w:spacing w:val="15"/>
      <w:sz w:val="28"/>
      <w:szCs w:val="28"/>
    </w:rPr>
  </w:style>
  <w:style w:type="character" w:customStyle="1" w:styleId="CitationCar1">
    <w:name w:val="Citation Car1"/>
    <w:basedOn w:val="Policepardfaut"/>
    <w:link w:val="Citation"/>
    <w:uiPriority w:val="29"/>
    <w:rPr>
      <w:i/>
      <w:iCs/>
      <w:color w:val="404040" w:themeColor="text1" w:themeTint="BF"/>
    </w:rPr>
  </w:style>
  <w:style w:type="character" w:customStyle="1" w:styleId="CitationintenseCar1">
    <w:name w:val="Citation intense Car1"/>
    <w:basedOn w:val="Policepardfaut"/>
    <w:link w:val="Citationintense"/>
    <w:uiPriority w:val="30"/>
    <w:rPr>
      <w:i/>
      <w:iCs/>
      <w:color w:val="117A02" w:themeColor="accent1" w:themeShade="BF"/>
    </w:rPr>
  </w:style>
  <w:style w:type="character" w:customStyle="1" w:styleId="En-tteCar1">
    <w:name w:val="En-tête Car1"/>
    <w:basedOn w:val="Policepardfaut"/>
    <w:link w:val="En-tte"/>
    <w:uiPriority w:val="99"/>
  </w:style>
  <w:style w:type="character" w:customStyle="1" w:styleId="PieddepageCar1">
    <w:name w:val="Pied de page Car1"/>
    <w:basedOn w:val="Policepardfaut"/>
    <w:link w:val="Pieddepage"/>
    <w:uiPriority w:val="99"/>
  </w:style>
  <w:style w:type="paragraph" w:styleId="Notedebasdepage">
    <w:name w:val="footnote text"/>
    <w:basedOn w:val="Normal"/>
    <w:link w:val="NotedebasdepageCar"/>
    <w:uiPriority w:val="99"/>
    <w:semiHidden/>
    <w:unhideWhenUsed/>
    <w:pPr>
      <w:spacing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9z0">
    <w:name w:val="WW8Num9z0"/>
    <w:qFormat/>
    <w:rPr>
      <w:rFonts w:ascii="Symbol" w:hAnsi="Symbol" w:cs="Symbol"/>
    </w:rPr>
  </w:style>
  <w:style w:type="character" w:customStyle="1" w:styleId="En-tteCar">
    <w:name w:val="En-tête Car"/>
    <w:basedOn w:val="Policepardfaut"/>
    <w:uiPriority w:val="99"/>
    <w:qFormat/>
  </w:style>
  <w:style w:type="character" w:customStyle="1" w:styleId="PieddepageCar">
    <w:name w:val="Pied de page Car"/>
    <w:basedOn w:val="Policepardfaut"/>
    <w:qFormat/>
  </w:style>
  <w:style w:type="character" w:customStyle="1" w:styleId="Titre1Car">
    <w:name w:val="Titre 1 Car"/>
    <w:link w:val="Titre1"/>
    <w:qFormat/>
    <w:rPr>
      <w:rFonts w:ascii="Marianne" w:eastAsia="Times New Roman" w:hAnsi="Marianne" w:cs="Arial"/>
      <w:b/>
      <w:color w:val="FFFFFF"/>
      <w:sz w:val="28"/>
      <w:szCs w:val="36"/>
      <w:shd w:val="clear" w:color="auto" w:fill="465F9D"/>
      <w:lang w:val="en-US" w:eastAsia="zh-CN"/>
    </w:rPr>
  </w:style>
  <w:style w:type="character" w:customStyle="1" w:styleId="Titre2Car">
    <w:name w:val="Titre 2 Car"/>
    <w:link w:val="Titre2"/>
    <w:qFormat/>
    <w:rPr>
      <w:rFonts w:ascii="Marianne" w:eastAsia="Times New Roman" w:hAnsi="Marianne" w:cs="Times New Roman"/>
      <w:b/>
      <w:color w:val="465F9D"/>
      <w:sz w:val="26"/>
      <w:szCs w:val="26"/>
      <w:lang w:val="en-US" w:eastAsia="zh-CN"/>
    </w:rPr>
  </w:style>
  <w:style w:type="character" w:customStyle="1" w:styleId="Titre3Car">
    <w:name w:val="Titre 3 Car"/>
    <w:link w:val="Titre3"/>
    <w:uiPriority w:val="9"/>
    <w:qFormat/>
    <w:rPr>
      <w:rFonts w:ascii="Calibri" w:eastAsia="MS Gothic;ＭＳ ゴシック" w:hAnsi="Calibri" w:cs="Times New Roman"/>
      <w:b/>
      <w:bCs/>
      <w:color w:val="4F81BD"/>
    </w:rPr>
  </w:style>
  <w:style w:type="character" w:customStyle="1" w:styleId="TitreCar">
    <w:name w:val="Titre Car"/>
    <w:qFormat/>
    <w:rPr>
      <w:rFonts w:ascii="Calibri" w:eastAsia="MS Gothic;ＭＳ ゴシック" w:hAnsi="Calibri" w:cs="Times New Roman"/>
      <w:color w:val="17365D"/>
      <w:spacing w:val="5"/>
      <w:sz w:val="52"/>
      <w:szCs w:val="52"/>
    </w:rPr>
  </w:style>
  <w:style w:type="character" w:customStyle="1" w:styleId="Sous-titreCar">
    <w:name w:val="Sous-titre Car"/>
    <w:qFormat/>
    <w:rPr>
      <w:rFonts w:ascii="Calibri" w:eastAsia="MS Gothic;ＭＳ ゴシック" w:hAnsi="Calibri" w:cs="Times New Roman"/>
      <w:i/>
      <w:iCs/>
      <w:color w:val="4F81BD"/>
      <w:spacing w:val="15"/>
      <w:sz w:val="24"/>
      <w:szCs w:val="24"/>
    </w:rPr>
  </w:style>
  <w:style w:type="character" w:customStyle="1" w:styleId="CorpsdetexteCar">
    <w:name w:val="Corps de texte Car"/>
    <w:basedOn w:val="Policepardfaut"/>
  </w:style>
  <w:style w:type="character" w:customStyle="1" w:styleId="Corpsdetexte2Car">
    <w:name w:val="Corps de texte 2 Car"/>
    <w:basedOn w:val="Policepardfaut"/>
  </w:style>
  <w:style w:type="character" w:customStyle="1" w:styleId="Corpsdetexte3Car">
    <w:name w:val="Corps de texte 3 Car"/>
    <w:rPr>
      <w:sz w:val="16"/>
      <w:szCs w:val="16"/>
    </w:rPr>
  </w:style>
  <w:style w:type="character" w:customStyle="1" w:styleId="TextedemacroCar">
    <w:name w:val="Texte de macro Car"/>
    <w:qFormat/>
    <w:rPr>
      <w:rFonts w:ascii="Courier" w:hAnsi="Courier" w:cs="Courier"/>
      <w:sz w:val="20"/>
      <w:szCs w:val="20"/>
    </w:rPr>
  </w:style>
  <w:style w:type="character" w:customStyle="1" w:styleId="CitationCar">
    <w:name w:val="Citation Car"/>
    <w:rPr>
      <w:i/>
      <w:iCs/>
      <w:color w:val="000000"/>
    </w:rPr>
  </w:style>
  <w:style w:type="character" w:customStyle="1" w:styleId="Titre4Car">
    <w:name w:val="Titre 4 Car"/>
    <w:qFormat/>
    <w:rPr>
      <w:rFonts w:ascii="Calibri" w:eastAsia="MS Gothic;ＭＳ ゴシック" w:hAnsi="Calibri" w:cs="Times New Roman"/>
      <w:b/>
      <w:bCs/>
      <w:i/>
      <w:iCs/>
      <w:color w:val="4F81BD"/>
    </w:rPr>
  </w:style>
  <w:style w:type="character" w:customStyle="1" w:styleId="Titre5Car">
    <w:name w:val="Titre 5 Car"/>
    <w:qFormat/>
    <w:rPr>
      <w:rFonts w:ascii="Calibri" w:eastAsia="MS Gothic;ＭＳ ゴシック" w:hAnsi="Calibri" w:cs="Times New Roman"/>
      <w:color w:val="243F60"/>
    </w:rPr>
  </w:style>
  <w:style w:type="character" w:customStyle="1" w:styleId="Titre6Car">
    <w:name w:val="Titre 6 Car"/>
    <w:qFormat/>
    <w:rPr>
      <w:rFonts w:ascii="Calibri" w:eastAsia="MS Gothic;ＭＳ ゴシック" w:hAnsi="Calibri" w:cs="Times New Roman"/>
      <w:i/>
      <w:iCs/>
      <w:color w:val="243F60"/>
    </w:rPr>
  </w:style>
  <w:style w:type="character" w:customStyle="1" w:styleId="Titre7Car">
    <w:name w:val="Titre 7 Car"/>
    <w:qFormat/>
    <w:rPr>
      <w:rFonts w:ascii="Calibri" w:eastAsia="MS Gothic;ＭＳ ゴシック" w:hAnsi="Calibri" w:cs="Times New Roman"/>
      <w:i/>
      <w:iCs/>
      <w:color w:val="404040"/>
    </w:rPr>
  </w:style>
  <w:style w:type="character" w:customStyle="1" w:styleId="Titre8Car">
    <w:name w:val="Titre 8 Car"/>
    <w:qFormat/>
    <w:rPr>
      <w:rFonts w:ascii="Calibri" w:eastAsia="MS Gothic;ＭＳ ゴシック" w:hAnsi="Calibri" w:cs="Times New Roman"/>
      <w:color w:val="4F81BD"/>
      <w:sz w:val="20"/>
      <w:szCs w:val="20"/>
    </w:rPr>
  </w:style>
  <w:style w:type="character" w:customStyle="1" w:styleId="Titre9Car">
    <w:name w:val="Titre 9 Car"/>
    <w:qFormat/>
    <w:rPr>
      <w:rFonts w:ascii="Calibri" w:eastAsia="MS Gothic;ＭＳ ゴシック" w:hAnsi="Calibri" w:cs="Times New Roman"/>
      <w:i/>
      <w:iCs/>
      <w:color w:val="404040"/>
      <w:sz w:val="20"/>
      <w:szCs w:val="20"/>
    </w:rPr>
  </w:style>
  <w:style w:type="character" w:styleId="lev">
    <w:name w:val="Strong"/>
    <w:uiPriority w:val="22"/>
    <w:qFormat/>
    <w:rPr>
      <w:b/>
      <w:bCs/>
    </w:rPr>
  </w:style>
  <w:style w:type="character" w:styleId="Accentuation">
    <w:name w:val="Emphasis"/>
    <w:rPr>
      <w:i/>
      <w:iCs/>
    </w:rPr>
  </w:style>
  <w:style w:type="character" w:customStyle="1" w:styleId="CitationintenseCar">
    <w:name w:val="Citation intense Car"/>
    <w:rPr>
      <w:b/>
      <w:bCs/>
      <w:i/>
      <w:iCs/>
      <w:color w:val="4F81BD"/>
    </w:rPr>
  </w:style>
  <w:style w:type="character" w:styleId="Emphaseple">
    <w:name w:val="Subtle Emphasis"/>
    <w:rPr>
      <w:i/>
      <w:iCs/>
      <w:color w:val="808080"/>
    </w:rPr>
  </w:style>
  <w:style w:type="character" w:styleId="Emphaseintense">
    <w:name w:val="Intense Emphasis"/>
    <w:rPr>
      <w:b/>
      <w:bCs/>
      <w:i/>
      <w:iCs/>
      <w:color w:val="4F81BD"/>
    </w:rPr>
  </w:style>
  <w:style w:type="character" w:styleId="Rfrenceple">
    <w:name w:val="Subtle Reference"/>
    <w:qFormat/>
    <w:rPr>
      <w:smallCaps/>
      <w:color w:val="C0504D"/>
      <w:u w:val="single"/>
    </w:rPr>
  </w:style>
  <w:style w:type="character" w:styleId="Rfrenceintense">
    <w:name w:val="Intense Reference"/>
    <w:qFormat/>
    <w:rPr>
      <w:b/>
      <w:bCs/>
      <w:smallCaps/>
      <w:color w:val="C0504D"/>
      <w:spacing w:val="5"/>
      <w:u w:val="single"/>
    </w:rPr>
  </w:style>
  <w:style w:type="character" w:styleId="Titredulivre">
    <w:name w:val="Book Title"/>
    <w:qFormat/>
    <w:rPr>
      <w:b/>
      <w:bCs/>
      <w:smallCaps/>
      <w:spacing w:val="5"/>
    </w:rPr>
  </w:style>
  <w:style w:type="character" w:styleId="Lienhypertexte">
    <w:name w:val="Hyperlink"/>
    <w:uiPriority w:val="99"/>
    <w:rPr>
      <w:color w:val="0000FF"/>
      <w:u w:val="single"/>
    </w:rPr>
  </w:style>
  <w:style w:type="character" w:styleId="Marquedecommentaire">
    <w:name w:val="annotation reference"/>
    <w:uiPriority w:val="99"/>
    <w:qFormat/>
    <w:rPr>
      <w:sz w:val="16"/>
      <w:szCs w:val="16"/>
    </w:rPr>
  </w:style>
  <w:style w:type="character" w:customStyle="1" w:styleId="CommentaireCar">
    <w:name w:val="Commentaire Car"/>
    <w:uiPriority w:val="99"/>
    <w:qFormat/>
    <w:rPr>
      <w:rFonts w:eastAsia="Cambria"/>
      <w:sz w:val="20"/>
      <w:szCs w:val="20"/>
      <w:lang w:val="fr-FR"/>
    </w:rPr>
  </w:style>
  <w:style w:type="character" w:customStyle="1" w:styleId="TextedebullesCar">
    <w:name w:val="Texte de bulles Car"/>
    <w:qFormat/>
    <w:rPr>
      <w:rFonts w:ascii="Segoe UI" w:hAnsi="Segoe UI" w:cs="Segoe UI"/>
      <w:sz w:val="18"/>
      <w:szCs w:val="18"/>
    </w:rPr>
  </w:style>
  <w:style w:type="character" w:customStyle="1" w:styleId="IndexLink">
    <w:name w:val="Index Link"/>
  </w:style>
  <w:style w:type="paragraph" w:customStyle="1" w:styleId="Heading">
    <w:name w:val="Heading"/>
    <w:basedOn w:val="Normal"/>
    <w:next w:val="Normal"/>
    <w:pPr>
      <w:pBdr>
        <w:bottom w:val="single" w:sz="8" w:space="4" w:color="4F81BD"/>
      </w:pBdr>
      <w:spacing w:after="300" w:line="240" w:lineRule="auto"/>
      <w:contextualSpacing/>
    </w:pPr>
    <w:rPr>
      <w:rFonts w:ascii="Calibri" w:eastAsia="MS Gothic;ＭＳ ゴシック" w:hAnsi="Calibri" w:cs="Times New Roman"/>
      <w:color w:val="17365D"/>
      <w:spacing w:val="5"/>
      <w:sz w:val="52"/>
      <w:szCs w:val="52"/>
    </w:rPr>
  </w:style>
  <w:style w:type="paragraph" w:styleId="Corpsdetexte">
    <w:name w:val="Body Text"/>
    <w:basedOn w:val="Normal"/>
    <w:pPr>
      <w:spacing w:after="120"/>
    </w:pPr>
  </w:style>
  <w:style w:type="paragraph" w:styleId="Liste">
    <w:name w:val="List"/>
    <w:basedOn w:val="Normal"/>
    <w:pPr>
      <w:ind w:left="360" w:hanging="360"/>
      <w:contextualSpacing/>
    </w:pPr>
  </w:style>
  <w:style w:type="paragraph" w:styleId="Lgende">
    <w:name w:val="caption"/>
    <w:basedOn w:val="Normal"/>
    <w:next w:val="Normal"/>
    <w:pPr>
      <w:spacing w:line="240" w:lineRule="auto"/>
    </w:pPr>
    <w:rPr>
      <w:b/>
      <w:bCs/>
      <w:color w:val="4F81BD"/>
      <w:szCs w:val="18"/>
    </w:rPr>
  </w:style>
  <w:style w:type="paragraph" w:customStyle="1" w:styleId="Index">
    <w:name w:val="Index"/>
    <w:basedOn w:val="Normal"/>
    <w:pPr>
      <w:suppressLineNumbers/>
    </w:pPr>
    <w:rPr>
      <w:rFonts w:cs="Lohit Devanagari"/>
    </w:rPr>
  </w:style>
  <w:style w:type="paragraph" w:customStyle="1" w:styleId="HeaderandFooter">
    <w:name w:val="Header and Footer"/>
    <w:basedOn w:val="Normal"/>
    <w:pPr>
      <w:suppressLineNumbers/>
      <w:tabs>
        <w:tab w:val="center" w:pos="4819"/>
        <w:tab w:val="right" w:pos="9638"/>
      </w:tabs>
    </w:pPr>
  </w:style>
  <w:style w:type="paragraph" w:styleId="En-tte">
    <w:name w:val="header"/>
    <w:basedOn w:val="Normal"/>
    <w:link w:val="En-tteCar1"/>
    <w:uiPriority w:val="99"/>
    <w:pPr>
      <w:spacing w:line="240" w:lineRule="auto"/>
    </w:pPr>
  </w:style>
  <w:style w:type="paragraph" w:styleId="Pieddepage">
    <w:name w:val="footer"/>
    <w:basedOn w:val="Normal"/>
    <w:link w:val="PieddepageCar1"/>
    <w:pPr>
      <w:spacing w:line="240" w:lineRule="auto"/>
    </w:pPr>
  </w:style>
  <w:style w:type="paragraph" w:styleId="Sansinterligne">
    <w:name w:val="No Spacing"/>
    <w:uiPriority w:val="1"/>
    <w:qFormat/>
    <w:rPr>
      <w:rFonts w:ascii="Cambria" w:eastAsia="MS Mincho;Yu Gothic UI" w:hAnsi="Cambria" w:cs="Times New Roman"/>
      <w:sz w:val="22"/>
      <w:szCs w:val="22"/>
      <w:lang w:val="en-US" w:eastAsia="zh-CN"/>
    </w:rPr>
  </w:style>
  <w:style w:type="paragraph" w:styleId="Sous-titre">
    <w:name w:val="Subtitle"/>
    <w:basedOn w:val="Normal"/>
    <w:next w:val="Normal"/>
    <w:link w:val="Sous-titreCar1"/>
    <w:qFormat/>
    <w:rPr>
      <w:rFonts w:ascii="Calibri" w:eastAsia="MS Gothic;ＭＳ ゴシック" w:hAnsi="Calibri" w:cs="Times New Roman"/>
      <w:i/>
      <w:iCs/>
      <w:color w:val="4F81BD"/>
      <w:spacing w:val="15"/>
      <w:sz w:val="24"/>
      <w:szCs w:val="24"/>
    </w:rPr>
  </w:style>
  <w:style w:type="paragraph" w:styleId="Paragraphedeliste">
    <w:name w:val="List Paragraph"/>
    <w:basedOn w:val="Normal"/>
    <w:qFormat/>
    <w:pPr>
      <w:ind w:left="720"/>
      <w:contextualSpacing/>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Liste2">
    <w:name w:val="List 2"/>
    <w:basedOn w:val="Normal"/>
    <w:pPr>
      <w:ind w:left="720" w:hanging="360"/>
      <w:contextualSpacing/>
    </w:pPr>
  </w:style>
  <w:style w:type="paragraph" w:styleId="Liste3">
    <w:name w:val="List 3"/>
    <w:basedOn w:val="Normal"/>
    <w:pPr>
      <w:ind w:left="1080" w:hanging="360"/>
      <w:contextualSpacing/>
    </w:pPr>
  </w:style>
  <w:style w:type="paragraph" w:styleId="Listepuces">
    <w:name w:val="List Bullet"/>
    <w:basedOn w:val="Normal"/>
    <w:qFormat/>
    <w:pPr>
      <w:numPr>
        <w:numId w:val="6"/>
      </w:numPr>
      <w:contextualSpacing/>
    </w:pPr>
  </w:style>
  <w:style w:type="paragraph" w:styleId="Listepuces2">
    <w:name w:val="List Bullet 2"/>
    <w:basedOn w:val="Normal"/>
    <w:qFormat/>
    <w:pPr>
      <w:numPr>
        <w:numId w:val="4"/>
      </w:numPr>
      <w:contextualSpacing/>
    </w:pPr>
  </w:style>
  <w:style w:type="paragraph" w:styleId="Listepuces3">
    <w:name w:val="List Bullet 3"/>
    <w:basedOn w:val="Normal"/>
    <w:qFormat/>
    <w:pPr>
      <w:numPr>
        <w:numId w:val="3"/>
      </w:numPr>
      <w:contextualSpacing/>
    </w:pPr>
  </w:style>
  <w:style w:type="paragraph" w:styleId="Listenumros">
    <w:name w:val="List Number"/>
    <w:basedOn w:val="Normal"/>
    <w:pPr>
      <w:numPr>
        <w:numId w:val="5"/>
      </w:numPr>
      <w:contextualSpacing/>
    </w:pPr>
  </w:style>
  <w:style w:type="paragraph" w:styleId="Listenumros2">
    <w:name w:val="List Number 2"/>
    <w:basedOn w:val="Normal"/>
    <w:pPr>
      <w:numPr>
        <w:numId w:val="2"/>
      </w:numPr>
      <w:contextualSpacing/>
    </w:pPr>
  </w:style>
  <w:style w:type="paragraph" w:styleId="Listenumros3">
    <w:name w:val="List Number 3"/>
    <w:basedOn w:val="Normal"/>
    <w:pPr>
      <w:numPr>
        <w:numId w:val="1"/>
      </w:numPr>
      <w:contextualSpacing/>
    </w:pPr>
  </w:style>
  <w:style w:type="paragraph" w:styleId="Listecontinue">
    <w:name w:val="List Continue"/>
    <w:basedOn w:val="Normal"/>
    <w:qFormat/>
    <w:pPr>
      <w:spacing w:after="120"/>
      <w:ind w:left="360"/>
      <w:contextualSpacing/>
    </w:pPr>
  </w:style>
  <w:style w:type="paragraph" w:styleId="Listecontinue2">
    <w:name w:val="List Continue 2"/>
    <w:basedOn w:val="Normal"/>
    <w:qFormat/>
    <w:pPr>
      <w:spacing w:after="120"/>
      <w:ind w:left="720"/>
      <w:contextualSpacing/>
    </w:pPr>
  </w:style>
  <w:style w:type="paragraph" w:styleId="Listecontinue3">
    <w:name w:val="List Continue 3"/>
    <w:basedOn w:val="Normal"/>
    <w:qFormat/>
    <w:pPr>
      <w:spacing w:after="120"/>
      <w:ind w:left="1080"/>
      <w:contextualSpacing/>
    </w:pPr>
  </w:style>
  <w:style w:type="paragraph" w:styleId="Textedemacro">
    <w:name w:val="macro"/>
    <w:qFormat/>
    <w:pPr>
      <w:tabs>
        <w:tab w:val="left" w:pos="576"/>
        <w:tab w:val="left" w:pos="1152"/>
        <w:tab w:val="left" w:pos="1728"/>
        <w:tab w:val="left" w:pos="2304"/>
        <w:tab w:val="left" w:pos="2880"/>
        <w:tab w:val="left" w:pos="3456"/>
        <w:tab w:val="left" w:pos="4032"/>
      </w:tabs>
      <w:spacing w:after="200" w:line="276" w:lineRule="auto"/>
    </w:pPr>
    <w:rPr>
      <w:rFonts w:ascii="Courier" w:eastAsia="MS Mincho;Yu Gothic UI" w:hAnsi="Courier" w:cs="Courier"/>
      <w:lang w:val="en-US" w:eastAsia="zh-CN"/>
    </w:rPr>
  </w:style>
  <w:style w:type="paragraph" w:styleId="Citation">
    <w:name w:val="Quote"/>
    <w:basedOn w:val="Normal"/>
    <w:next w:val="Normal"/>
    <w:link w:val="CitationCar1"/>
    <w:rPr>
      <w:i/>
      <w:iCs/>
    </w:rPr>
  </w:style>
  <w:style w:type="paragraph" w:styleId="Citationintense">
    <w:name w:val="Intense Quote"/>
    <w:basedOn w:val="Normal"/>
    <w:next w:val="Normal"/>
    <w:link w:val="CitationintenseCar1"/>
    <w:pPr>
      <w:pBdr>
        <w:bottom w:val="single" w:sz="4" w:space="4" w:color="4F81BD"/>
      </w:pBdr>
      <w:spacing w:before="200" w:after="280"/>
      <w:ind w:left="936" w:right="936"/>
    </w:pPr>
    <w:rPr>
      <w:b/>
      <w:bCs/>
      <w:i/>
      <w:iCs/>
      <w:color w:val="4F81BD"/>
    </w:rPr>
  </w:style>
  <w:style w:type="paragraph" w:styleId="En-ttedetabledesmatires">
    <w:name w:val="TOC Heading"/>
    <w:basedOn w:val="Titre1"/>
    <w:next w:val="Normal"/>
    <w:uiPriority w:val="39"/>
    <w:unhideWhenUsed/>
    <w:qFormat/>
    <w:pPr>
      <w:outlineLvl w:val="9"/>
    </w:pPr>
    <w:rPr>
      <w:lang w:eastAsia="fr-FR"/>
    </w:rPr>
  </w:style>
  <w:style w:type="paragraph" w:customStyle="1" w:styleId="PFRABody">
    <w:name w:val="PFRA Body"/>
    <w:qFormat/>
    <w:pPr>
      <w:spacing w:after="80"/>
    </w:pPr>
    <w:rPr>
      <w:rFonts w:ascii="Arial" w:eastAsia="Arial" w:hAnsi="Arial" w:cs="Arial"/>
      <w:color w:val="000000"/>
      <w:szCs w:val="22"/>
      <w:lang w:val="en-US" w:eastAsia="zh-CN"/>
    </w:rPr>
  </w:style>
  <w:style w:type="paragraph" w:customStyle="1" w:styleId="PFRANote">
    <w:name w:val="PFRA Note"/>
    <w:qFormat/>
    <w:pPr>
      <w:spacing w:after="80"/>
    </w:pPr>
    <w:rPr>
      <w:rFonts w:ascii="Arial" w:eastAsia="MS Mincho;Yu Gothic UI" w:hAnsi="Arial" w:cs="Arial"/>
      <w:color w:val="7F6000"/>
      <w:sz w:val="18"/>
      <w:szCs w:val="22"/>
      <w:lang w:val="en-US" w:eastAsia="zh-CN"/>
    </w:rPr>
  </w:style>
  <w:style w:type="paragraph" w:customStyle="1" w:styleId="PFRAOptional">
    <w:name w:val="PFRA Optional"/>
    <w:qFormat/>
    <w:pPr>
      <w:spacing w:after="80"/>
    </w:pPr>
    <w:rPr>
      <w:rFonts w:ascii="Arial" w:eastAsia="MS Mincho;Yu Gothic UI" w:hAnsi="Arial" w:cs="Arial"/>
      <w:i/>
      <w:color w:val="404040"/>
      <w:sz w:val="18"/>
      <w:szCs w:val="22"/>
      <w:lang w:val="en-US" w:eastAsia="zh-CN"/>
    </w:rPr>
  </w:style>
  <w:style w:type="paragraph" w:customStyle="1" w:styleId="PFRAInstruction">
    <w:name w:val="PFRA Instruction"/>
    <w:qFormat/>
    <w:pPr>
      <w:spacing w:after="80"/>
    </w:pPr>
    <w:rPr>
      <w:rFonts w:ascii="Arial" w:eastAsia="MS Mincho;Yu Gothic UI" w:hAnsi="Arial" w:cs="Arial"/>
      <w:i/>
      <w:color w:val="666666"/>
      <w:sz w:val="18"/>
      <w:szCs w:val="22"/>
      <w:lang w:val="en-US" w:eastAsia="zh-CN"/>
    </w:rPr>
  </w:style>
  <w:style w:type="paragraph" w:customStyle="1" w:styleId="PFRAFooter">
    <w:name w:val="PFRA Footer"/>
    <w:qFormat/>
    <w:pPr>
      <w:spacing w:after="80"/>
    </w:pPr>
    <w:rPr>
      <w:rFonts w:ascii="Arial" w:eastAsia="MS Mincho;Yu Gothic UI" w:hAnsi="Arial" w:cs="Arial"/>
      <w:color w:val="666666"/>
      <w:sz w:val="16"/>
      <w:szCs w:val="22"/>
      <w:lang w:val="en-US" w:eastAsia="zh-CN"/>
    </w:rPr>
  </w:style>
  <w:style w:type="paragraph" w:customStyle="1" w:styleId="PFRASmall">
    <w:name w:val="PFRA Small"/>
    <w:qFormat/>
    <w:pPr>
      <w:spacing w:after="80"/>
    </w:pPr>
    <w:rPr>
      <w:rFonts w:ascii="Arial" w:eastAsia="MS Mincho;Yu Gothic UI" w:hAnsi="Arial" w:cs="Arial"/>
      <w:color w:val="666666"/>
      <w:sz w:val="16"/>
      <w:szCs w:val="22"/>
      <w:lang w:val="en-US" w:eastAsia="zh-CN"/>
    </w:rPr>
  </w:style>
  <w:style w:type="paragraph" w:customStyle="1" w:styleId="PFRABullet">
    <w:name w:val="PFRA Bullet"/>
    <w:basedOn w:val="Normal"/>
    <w:qFormat/>
    <w:pPr>
      <w:spacing w:after="40"/>
      <w:ind w:left="397" w:hanging="198"/>
    </w:p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pPr>
      <w:spacing w:after="100" w:line="257" w:lineRule="auto"/>
      <w:ind w:left="660"/>
    </w:pPr>
    <w:rPr>
      <w:rFonts w:ascii="Cambria" w:hAnsi="Cambria" w:cs="Cambria"/>
      <w:sz w:val="22"/>
      <w:lang w:val="en-GB"/>
    </w:rPr>
  </w:style>
  <w:style w:type="paragraph" w:styleId="TM5">
    <w:name w:val="toc 5"/>
    <w:basedOn w:val="Normal"/>
    <w:next w:val="Normal"/>
    <w:uiPriority w:val="39"/>
    <w:pPr>
      <w:spacing w:after="100" w:line="257" w:lineRule="auto"/>
      <w:ind w:left="880"/>
    </w:pPr>
    <w:rPr>
      <w:rFonts w:ascii="Cambria" w:hAnsi="Cambria" w:cs="Cambria"/>
      <w:sz w:val="22"/>
      <w:lang w:val="en-GB"/>
    </w:rPr>
  </w:style>
  <w:style w:type="paragraph" w:styleId="TM6">
    <w:name w:val="toc 6"/>
    <w:basedOn w:val="Normal"/>
    <w:next w:val="Normal"/>
    <w:uiPriority w:val="39"/>
    <w:pPr>
      <w:spacing w:after="100" w:line="257" w:lineRule="auto"/>
      <w:ind w:left="1100"/>
    </w:pPr>
    <w:rPr>
      <w:rFonts w:ascii="Cambria" w:hAnsi="Cambria" w:cs="Cambria"/>
      <w:sz w:val="22"/>
      <w:lang w:val="en-GB"/>
    </w:rPr>
  </w:style>
  <w:style w:type="paragraph" w:styleId="TM7">
    <w:name w:val="toc 7"/>
    <w:basedOn w:val="Normal"/>
    <w:next w:val="Normal"/>
    <w:uiPriority w:val="39"/>
    <w:pPr>
      <w:spacing w:after="100" w:line="257" w:lineRule="auto"/>
      <w:ind w:left="1320"/>
    </w:pPr>
    <w:rPr>
      <w:rFonts w:ascii="Cambria" w:hAnsi="Cambria" w:cs="Cambria"/>
      <w:sz w:val="22"/>
      <w:lang w:val="en-GB"/>
    </w:rPr>
  </w:style>
  <w:style w:type="paragraph" w:styleId="TM8">
    <w:name w:val="toc 8"/>
    <w:basedOn w:val="Normal"/>
    <w:next w:val="Normal"/>
    <w:uiPriority w:val="39"/>
    <w:pPr>
      <w:spacing w:after="100" w:line="257" w:lineRule="auto"/>
      <w:ind w:left="1540"/>
    </w:pPr>
    <w:rPr>
      <w:rFonts w:ascii="Cambria" w:hAnsi="Cambria" w:cs="Cambria"/>
      <w:sz w:val="22"/>
      <w:lang w:val="en-GB"/>
    </w:rPr>
  </w:style>
  <w:style w:type="paragraph" w:styleId="TM9">
    <w:name w:val="toc 9"/>
    <w:basedOn w:val="Normal"/>
    <w:next w:val="Normal"/>
    <w:uiPriority w:val="39"/>
    <w:pPr>
      <w:spacing w:after="100" w:line="257" w:lineRule="auto"/>
      <w:ind w:left="1760"/>
    </w:pPr>
    <w:rPr>
      <w:rFonts w:ascii="Cambria" w:hAnsi="Cambria" w:cs="Cambria"/>
      <w:sz w:val="22"/>
      <w:lang w:val="en-GB"/>
    </w:rPr>
  </w:style>
  <w:style w:type="paragraph" w:customStyle="1" w:styleId="PFRATitreMarche">
    <w:name w:val="PFRATitreMarche"/>
    <w:qFormat/>
    <w:pPr>
      <w:spacing w:after="40" w:line="276" w:lineRule="auto"/>
      <w:jc w:val="center"/>
    </w:pPr>
    <w:rPr>
      <w:rFonts w:ascii="Arial" w:eastAsia="Arial" w:hAnsi="Arial" w:cs="Arial"/>
      <w:b/>
      <w:color w:val="FFFFFF"/>
      <w:sz w:val="32"/>
      <w:szCs w:val="22"/>
      <w:lang w:val="en-US" w:eastAsia="zh-CN"/>
    </w:rPr>
  </w:style>
  <w:style w:type="paragraph" w:customStyle="1" w:styleId="PFRAReferenceMarche">
    <w:name w:val="PFRAReferenceMarche"/>
    <w:qFormat/>
    <w:pPr>
      <w:spacing w:after="40" w:line="276" w:lineRule="auto"/>
      <w:jc w:val="center"/>
    </w:pPr>
    <w:rPr>
      <w:rFonts w:ascii="Arial" w:eastAsia="Arial" w:hAnsi="Arial" w:cs="Arial"/>
      <w:b/>
      <w:color w:val="FFFFFF"/>
      <w:sz w:val="26"/>
      <w:szCs w:val="22"/>
      <w:lang w:val="en-US" w:eastAsia="zh-CN"/>
    </w:rPr>
  </w:style>
  <w:style w:type="paragraph" w:styleId="Commentaire">
    <w:name w:val="annotation text"/>
    <w:basedOn w:val="Normal"/>
    <w:link w:val="CommentaireCar1"/>
    <w:uiPriority w:val="99"/>
    <w:qFormat/>
    <w:pPr>
      <w:spacing w:after="160" w:line="240" w:lineRule="auto"/>
    </w:pPr>
    <w:rPr>
      <w:rFonts w:ascii="Cambria" w:eastAsia="Cambria" w:hAnsi="Cambria" w:cs="Cambria"/>
      <w:szCs w:val="20"/>
      <w:lang w:val="fr-FR"/>
    </w:rPr>
  </w:style>
  <w:style w:type="paragraph" w:customStyle="1" w:styleId="Standard">
    <w:name w:val="Standard"/>
    <w:qFormat/>
    <w:pPr>
      <w:widowControl w:val="0"/>
      <w:spacing w:before="120"/>
      <w:jc w:val="both"/>
    </w:pPr>
    <w:rPr>
      <w:rFonts w:ascii="Times New Roman" w:eastAsia="Times New Roman" w:hAnsi="Times New Roman" w:cs="Times New Roman"/>
      <w:sz w:val="24"/>
      <w:szCs w:val="24"/>
      <w:lang w:val="fr-FR" w:eastAsia="zh-CN"/>
    </w:rPr>
  </w:style>
  <w:style w:type="paragraph" w:styleId="Textedebulles">
    <w:name w:val="Balloon Text"/>
    <w:basedOn w:val="Normal"/>
    <w:qFormat/>
    <w:pPr>
      <w:spacing w:line="240" w:lineRule="auto"/>
    </w:pPr>
    <w:rPr>
      <w:rFonts w:ascii="Segoe UI" w:hAnsi="Segoe UI" w:cs="Segoe UI"/>
      <w:szCs w:val="18"/>
    </w:rPr>
  </w:style>
  <w:style w:type="paragraph" w:customStyle="1" w:styleId="FrameContents">
    <w:name w:val="Frame Contents"/>
    <w:basedOn w:val="Normal"/>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paragraph" w:customStyle="1" w:styleId="PFRATOCTitle">
    <w:name w:val="PFRA TOC Title"/>
    <w:basedOn w:val="Normal"/>
    <w:pPr>
      <w:shd w:val="clear" w:color="auto" w:fill="465F9D"/>
      <w:spacing w:after="120"/>
    </w:pPr>
    <w:rPr>
      <w:b/>
      <w:color w:val="FFFFFF"/>
      <w:sz w:val="24"/>
      <w:szCs w:val="28"/>
    </w:rPr>
  </w:style>
  <w:style w:type="paragraph" w:customStyle="1" w:styleId="PFRACoverMarketTitle">
    <w:name w:val="PFRA Cover Market Title"/>
    <w:basedOn w:val="PFRATitreMarche"/>
    <w:pPr>
      <w:spacing w:after="0"/>
    </w:pPr>
    <w:rPr>
      <w:sz w:val="22"/>
    </w:rPr>
  </w:style>
  <w:style w:type="paragraph" w:customStyle="1" w:styleId="PFRACoverMarketReference">
    <w:name w:val="PFRA Cover Market Reference"/>
    <w:basedOn w:val="PFRATitreMarche"/>
    <w:pPr>
      <w:spacing w:after="0"/>
    </w:pPr>
    <w:rPr>
      <w:sz w:val="22"/>
    </w:rPr>
  </w:style>
  <w:style w:type="paragraph" w:styleId="Objetducommentaire">
    <w:name w:val="annotation subject"/>
    <w:basedOn w:val="Commentaire"/>
    <w:next w:val="Commentaire"/>
    <w:link w:val="ObjetducommentaireCar"/>
    <w:uiPriority w:val="99"/>
    <w:semiHidden/>
    <w:unhideWhenUsed/>
    <w:pPr>
      <w:spacing w:after="200" w:line="276" w:lineRule="auto"/>
    </w:pPr>
    <w:rPr>
      <w:rFonts w:ascii="Arial" w:eastAsia="Arial" w:hAnsi="Arial" w:cs="Arial"/>
      <w:b/>
      <w:bCs/>
      <w:lang w:val="en-US"/>
    </w:rPr>
  </w:style>
  <w:style w:type="character" w:customStyle="1" w:styleId="CommentaireCar1">
    <w:name w:val="Commentaire Car1"/>
    <w:link w:val="Commentaire"/>
    <w:rPr>
      <w:rFonts w:ascii="Cambria" w:eastAsia="Cambria" w:hAnsi="Cambria" w:cs="Cambria"/>
      <w:color w:val="000000"/>
      <w:lang w:val="fr-FR" w:eastAsia="zh-CN"/>
    </w:rPr>
  </w:style>
  <w:style w:type="character" w:customStyle="1" w:styleId="ObjetducommentaireCar">
    <w:name w:val="Objet du commentaire Car"/>
    <w:link w:val="Objetducommentaire"/>
    <w:uiPriority w:val="99"/>
    <w:semiHidden/>
    <w:rPr>
      <w:rFonts w:ascii="Arial" w:eastAsia="Arial" w:hAnsi="Arial" w:cs="Arial"/>
      <w:b/>
      <w:bCs/>
      <w:color w:val="000000"/>
      <w:lang w:val="en-US" w:eastAsia="zh-CN"/>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Normal">
    <w:name w:val="Table Normal"/>
    <w:uiPriority w:val="2"/>
    <w:semiHidden/>
    <w:unhideWhenUsed/>
    <w:qFormat/>
    <w:pPr>
      <w:widowControl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line="240" w:lineRule="auto"/>
    </w:pPr>
    <w:rPr>
      <w:rFonts w:ascii="Calibri" w:eastAsia="Calibri" w:hAnsi="Calibri" w:cs="Times New Roman"/>
      <w:color w:val="auto"/>
      <w:sz w:val="22"/>
      <w:lang w:eastAsia="en-US"/>
    </w:rPr>
  </w:style>
  <w:style w:type="table" w:styleId="Grilledutableau">
    <w:name w:val="Table Grid"/>
    <w:basedOn w:val="TableauNormal"/>
    <w:uiPriority w:val="59"/>
    <w:rPr>
      <w:rFonts w:ascii="Arial" w:eastAsia="SimSun" w:hAnsi="Arial" w:cs="Mangal"/>
      <w:sz w:val="22"/>
      <w:szCs w:val="22"/>
      <w:lang w:val="fr-FR"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Label95">
    <w:name w:val="ListLabel 95"/>
    <w:qFormat/>
  </w:style>
  <w:style w:type="character" w:customStyle="1" w:styleId="LienInternet">
    <w:name w:val="Lien Internet"/>
    <w:uiPriority w:val="99"/>
    <w:unhideWhenUsed/>
    <w:rPr>
      <w:color w:val="0563C1"/>
      <w:u w:val="single"/>
    </w:rPr>
  </w:style>
  <w:style w:type="character" w:customStyle="1" w:styleId="fontstyle01">
    <w:name w:val="fontstyle01"/>
    <w:rPr>
      <w:rFonts w:ascii="Arial" w:hAnsi="Arial" w:cs="Arial" w:hint="default"/>
      <w:b w:val="0"/>
      <w:bCs w:val="0"/>
      <w:i w:val="0"/>
      <w:iCs w:val="0"/>
      <w:color w:val="000000"/>
      <w:sz w:val="20"/>
      <w:szCs w:val="20"/>
    </w:rPr>
  </w:style>
  <w:style w:type="character" w:styleId="Lienhypertextesuivivisit">
    <w:name w:val="FollowedHyperlink"/>
    <w:basedOn w:val="Policepardfaut"/>
    <w:uiPriority w:val="99"/>
    <w:semiHidden/>
    <w:unhideWhenUsed/>
    <w:rPr>
      <w:color w:val="551A8B" w:themeColor="followedHyperlink"/>
      <w:u w:val="single"/>
    </w:rPr>
  </w:style>
  <w:style w:type="character" w:styleId="Textedelespacerserv">
    <w:name w:val="Placeholder Text"/>
    <w:basedOn w:val="Policepardfaut"/>
    <w:uiPriority w:val="99"/>
    <w:semiHidden/>
    <w:rPr>
      <w:color w:val="808080"/>
    </w:rPr>
  </w:style>
  <w:style w:type="table" w:styleId="TableauGrille1Clair">
    <w:name w:val="Grid Table 1 Light"/>
    <w:basedOn w:val="Tableau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8" Type="http://schemas.openxmlformats.org/officeDocument/2006/relationships/hyperlink" Target="https://bilans-ges.ademe.fr/" TargetMode="External"/><Relationship Id="rId26" Type="http://schemas.openxmlformats.org/officeDocument/2006/relationships/hyperlink" Target="http://www.e-attestations.com/" TargetMode="External"/><Relationship Id="rId3" Type="http://schemas.openxmlformats.org/officeDocument/2006/relationships/styles" Target="styles.xml"/><Relationship Id="rId21" Type="http://schemas.openxmlformats.org/officeDocument/2006/relationships/hyperlink" Target="https://communaute-chorus-pro.finances.gouv.fr/?action=publicPage&amp;uri=intranetOnePage/4003" TargetMode="External"/><Relationship Id="rId7" Type="http://schemas.openxmlformats.org/officeDocument/2006/relationships/endnotes" Target="endnotes.xml"/><Relationship Id="rId17" Type="http://schemas.openxmlformats.org/officeDocument/2006/relationships/hyperlink" Target="mailto:charterfar@finances.gouv.fr" TargetMode="External"/><Relationship Id="rId25" Type="http://schemas.openxmlformats.org/officeDocument/2006/relationships/hyperlink" Target="https://montpellier.tribunal-administratif.fr/" TargetMode="External"/><Relationship Id="rId2" Type="http://schemas.openxmlformats.org/officeDocument/2006/relationships/numbering" Target="numbering.xml"/><Relationship Id="rId16" Type="http://schemas.openxmlformats.org/officeDocument/2006/relationships/hyperlink" Target="https://www.economie.gouv.fr/mediateur-des-entreprises/pour-des-relations-fournisseurs-responsables" TargetMode="External"/><Relationship Id="rId20" Type="http://schemas.openxmlformats.org/officeDocument/2006/relationships/hyperlink" Target="https://chorus-pro.gouv.f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mailto:mediateur-sgar-achats@occitanie.gouv.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jorf/id/JORFTEXT000043310341" TargetMode="External"/><Relationship Id="rId23" Type="http://schemas.openxmlformats.org/officeDocument/2006/relationships/hyperlink" Target="https://chorus-pro.gouv.fr/cpp/utilisateur?execution=e3s1/" TargetMode="External"/><Relationship Id="rId28" Type="http://schemas.openxmlformats.org/officeDocument/2006/relationships/footer" Target="footer1.xml"/><Relationship Id="rId19" Type="http://schemas.openxmlformats.org/officeDocument/2006/relationships/hyperlink" Target="https://www.economie.gouv.fr/daj/les-formulaires-de-declaration-du-candidat" TargetMode="External"/><Relationship Id="rId31"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hyperlink" Target="https://communaute-chorus-pro.finances.gouv.fr/?action=publicPage&amp;uri=intranetOnePage/4210" TargetMode="External"/><Relationship Id="rId27" Type="http://schemas.openxmlformats.org/officeDocument/2006/relationships/header" Target="header1.xml"/><Relationship Id="rId30"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22B9A-54B9-4DAF-92E2-870DE4D0E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12734</Words>
  <Characters>72587</Characters>
  <Application>Microsoft Office Word</Application>
  <DocSecurity>0</DocSecurity>
  <Lines>604</Lines>
  <Paragraphs>170</Paragraphs>
  <ScaleCrop>false</ScaleCrop>
  <Company>DSIC</Company>
  <LinksUpToDate>false</LinksUpToDate>
  <CharactersWithSpaces>85151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CCAP PFRA standard CCAG-FCS</dc:title>
  <dc:subject/>
  <dc:creator>EL MALKI Selim</dc:creator>
  <cp:keywords/>
  <dc:description>Document modèle interne - validation obligatoire avant publication</dc:description>
  <cp:lastModifiedBy>EL MALKI Selim</cp:lastModifiedBy>
  <cp:revision>15</cp:revision>
  <dcterms:created xsi:type="dcterms:W3CDTF">2026-07-10T11:49:00Z</dcterms:created>
  <dcterms:modified xsi:type="dcterms:W3CDTF">2026-07-30T11:44:00Z</dcterms:modified>
  <dc:language>en-US</dc:language>
</cp:coreProperties>
</file>