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5929C" w14:textId="01D0B6F4" w:rsidR="008335CB" w:rsidRPr="00156D39" w:rsidRDefault="008335CB" w:rsidP="008335CB">
      <w:pPr>
        <w:pBdr>
          <w:top w:val="single" w:sz="4" w:space="1" w:color="auto"/>
          <w:left w:val="single" w:sz="4" w:space="4" w:color="auto"/>
          <w:bottom w:val="single" w:sz="4" w:space="0" w:color="auto"/>
          <w:right w:val="single" w:sz="4" w:space="4" w:color="auto"/>
        </w:pBdr>
        <w:jc w:val="center"/>
        <w:rPr>
          <w:rFonts w:ascii="DM Sans" w:hAnsi="DM Sans" w:cs="Arial"/>
          <w:b/>
          <w:caps/>
          <w:sz w:val="32"/>
          <w:szCs w:val="32"/>
        </w:rPr>
      </w:pPr>
      <w:r>
        <w:rPr>
          <w:rFonts w:ascii="DM Sans" w:hAnsi="DM Sans" w:cs="Arial"/>
          <w:b/>
          <w:sz w:val="32"/>
          <w:szCs w:val="32"/>
        </w:rPr>
        <w:br/>
        <w:t>CAHIER DES CLAUSES ADMINISTRATIVES PARTICULIERES</w:t>
      </w:r>
      <w:r w:rsidRPr="00156D39">
        <w:rPr>
          <w:rFonts w:ascii="DM Sans" w:hAnsi="DM Sans" w:cs="Arial"/>
          <w:b/>
          <w:sz w:val="32"/>
          <w:szCs w:val="32"/>
        </w:rPr>
        <w:t xml:space="preserve"> </w:t>
      </w:r>
      <w:r w:rsidRPr="00156D39">
        <w:rPr>
          <w:rFonts w:ascii="DM Sans" w:hAnsi="DM Sans" w:cs="Arial"/>
          <w:b/>
          <w:sz w:val="32"/>
          <w:szCs w:val="32"/>
        </w:rPr>
        <w:br/>
      </w:r>
      <w:r w:rsidRPr="00156D39">
        <w:rPr>
          <w:rFonts w:ascii="DM Sans" w:hAnsi="DM Sans" w:cs="Arial"/>
          <w:b/>
          <w:sz w:val="32"/>
          <w:szCs w:val="32"/>
        </w:rPr>
        <w:br/>
      </w:r>
      <w:r w:rsidRPr="00156D39">
        <w:rPr>
          <w:rFonts w:ascii="DM Sans" w:hAnsi="DM Sans" w:cs="Arial"/>
          <w:b/>
          <w:caps/>
          <w:sz w:val="32"/>
          <w:szCs w:val="32"/>
        </w:rPr>
        <w:t>Aménagements pour la pratique du ski et snowboard freestyle sur le site du CNEA de Font-Romeu</w:t>
      </w:r>
    </w:p>
    <w:p w14:paraId="65F64316" w14:textId="77777777" w:rsidR="008335CB" w:rsidRPr="00156D39" w:rsidRDefault="008335CB" w:rsidP="008335CB">
      <w:pPr>
        <w:pBdr>
          <w:top w:val="single" w:sz="4" w:space="1" w:color="auto"/>
          <w:left w:val="single" w:sz="4" w:space="4" w:color="auto"/>
          <w:bottom w:val="single" w:sz="4" w:space="0" w:color="auto"/>
          <w:right w:val="single" w:sz="4" w:space="4" w:color="auto"/>
        </w:pBdr>
        <w:jc w:val="center"/>
        <w:rPr>
          <w:rFonts w:ascii="DM Sans" w:hAnsi="DM Sans" w:cs="Arial"/>
          <w:b/>
          <w:caps/>
          <w:sz w:val="32"/>
          <w:szCs w:val="32"/>
        </w:rPr>
      </w:pPr>
    </w:p>
    <w:p w14:paraId="337889B8" w14:textId="77777777" w:rsidR="008335CB" w:rsidRDefault="008335CB" w:rsidP="008335CB">
      <w:pPr>
        <w:pBdr>
          <w:top w:val="single" w:sz="4" w:space="1" w:color="auto"/>
          <w:left w:val="single" w:sz="4" w:space="4" w:color="auto"/>
          <w:bottom w:val="single" w:sz="4" w:space="0" w:color="auto"/>
          <w:right w:val="single" w:sz="4" w:space="4" w:color="auto"/>
        </w:pBdr>
        <w:jc w:val="center"/>
        <w:rPr>
          <w:rFonts w:ascii="DM Sans" w:hAnsi="DM Sans" w:cs="Arial"/>
          <w:bCs/>
          <w:caps/>
          <w:sz w:val="32"/>
          <w:szCs w:val="32"/>
        </w:rPr>
      </w:pPr>
      <w:r w:rsidRPr="00156D39">
        <w:rPr>
          <w:rFonts w:ascii="DM Sans" w:hAnsi="DM Sans" w:cs="Arial"/>
          <w:bCs/>
          <w:caps/>
          <w:sz w:val="32"/>
          <w:szCs w:val="32"/>
        </w:rPr>
        <w:t xml:space="preserve">travaux </w:t>
      </w:r>
    </w:p>
    <w:p w14:paraId="50DE315B" w14:textId="43C4828E" w:rsidR="00E13394" w:rsidRDefault="00E13394">
      <w:pPr>
        <w:spacing w:after="200"/>
      </w:pPr>
    </w:p>
    <w:tbl>
      <w:tblPr>
        <w:tblW w:w="9500" w:type="dxa"/>
        <w:tblBorders>
          <w:top w:val="single" w:sz="4" w:space="0" w:color="9DC3E6"/>
          <w:left w:val="single" w:sz="4" w:space="0" w:color="9DC3E6"/>
          <w:bottom w:val="single" w:sz="4" w:space="0" w:color="9DC3E6"/>
          <w:right w:val="single" w:sz="4" w:space="0" w:color="9DC3E6"/>
          <w:insideH w:val="single" w:sz="4" w:space="0" w:color="9DC3E6"/>
          <w:insideV w:val="single" w:sz="4" w:space="0" w:color="9DC3E6"/>
        </w:tblBorders>
        <w:tblCellMar>
          <w:left w:w="10" w:type="dxa"/>
          <w:right w:w="10" w:type="dxa"/>
        </w:tblCellMar>
        <w:tblLook w:val="04A0" w:firstRow="1" w:lastRow="0" w:firstColumn="1" w:lastColumn="0" w:noHBand="0" w:noVBand="1"/>
      </w:tblPr>
      <w:tblGrid>
        <w:gridCol w:w="2800"/>
        <w:gridCol w:w="6700"/>
      </w:tblGrid>
      <w:tr w:rsidR="00E13394" w:rsidRPr="00DD5320" w14:paraId="50DE315E" w14:textId="77777777">
        <w:tc>
          <w:tcPr>
            <w:tcW w:w="2800" w:type="dxa"/>
            <w:shd w:val="clear" w:color="auto" w:fill="DCE6F1"/>
            <w:tcMar>
              <w:top w:w="60" w:type="dxa"/>
              <w:left w:w="120" w:type="dxa"/>
              <w:bottom w:w="60" w:type="dxa"/>
              <w:right w:w="120" w:type="dxa"/>
            </w:tcMar>
            <w:vAlign w:val="center"/>
          </w:tcPr>
          <w:p w14:paraId="50DE315C" w14:textId="77777777" w:rsidR="00E13394" w:rsidRPr="00DD5320" w:rsidRDefault="003B3ED4">
            <w:pPr>
              <w:rPr>
                <w:rFonts w:ascii="DM Sans" w:hAnsi="DM Sans"/>
              </w:rPr>
            </w:pPr>
            <w:r w:rsidRPr="00DD5320">
              <w:rPr>
                <w:rFonts w:ascii="DM Sans" w:hAnsi="DM Sans"/>
                <w:b/>
                <w:bCs/>
                <w:color w:val="000000"/>
              </w:rPr>
              <w:t>Acheteur</w:t>
            </w:r>
          </w:p>
        </w:tc>
        <w:tc>
          <w:tcPr>
            <w:tcW w:w="6700" w:type="dxa"/>
            <w:tcMar>
              <w:top w:w="60" w:type="dxa"/>
              <w:left w:w="120" w:type="dxa"/>
              <w:bottom w:w="60" w:type="dxa"/>
              <w:right w:w="120" w:type="dxa"/>
            </w:tcMar>
            <w:vAlign w:val="center"/>
          </w:tcPr>
          <w:p w14:paraId="50DE315D" w14:textId="77777777" w:rsidR="00E13394" w:rsidRPr="00DD5320" w:rsidRDefault="003B3ED4">
            <w:pPr>
              <w:rPr>
                <w:rFonts w:ascii="DM Sans" w:hAnsi="DM Sans"/>
              </w:rPr>
            </w:pPr>
            <w:r w:rsidRPr="00DD5320">
              <w:rPr>
                <w:rFonts w:ascii="DM Sans" w:hAnsi="DM Sans"/>
                <w:color w:val="000000"/>
              </w:rPr>
              <w:t>CREPS de Montpellier - Font-Romeu</w:t>
            </w:r>
          </w:p>
        </w:tc>
      </w:tr>
      <w:tr w:rsidR="00E13394" w:rsidRPr="00DD5320" w14:paraId="50DE3161" w14:textId="77777777">
        <w:tc>
          <w:tcPr>
            <w:tcW w:w="2800" w:type="dxa"/>
            <w:shd w:val="clear" w:color="auto" w:fill="DCE6F1"/>
            <w:tcMar>
              <w:top w:w="60" w:type="dxa"/>
              <w:left w:w="120" w:type="dxa"/>
              <w:bottom w:w="60" w:type="dxa"/>
              <w:right w:w="120" w:type="dxa"/>
            </w:tcMar>
            <w:vAlign w:val="center"/>
          </w:tcPr>
          <w:p w14:paraId="50DE315F" w14:textId="77777777" w:rsidR="00E13394" w:rsidRPr="00DD5320" w:rsidRDefault="003B3ED4">
            <w:pPr>
              <w:rPr>
                <w:rFonts w:ascii="DM Sans" w:hAnsi="DM Sans"/>
              </w:rPr>
            </w:pPr>
            <w:r w:rsidRPr="00DD5320">
              <w:rPr>
                <w:rFonts w:ascii="DM Sans" w:hAnsi="DM Sans"/>
                <w:b/>
                <w:bCs/>
                <w:color w:val="000000"/>
              </w:rPr>
              <w:t>Objet</w:t>
            </w:r>
          </w:p>
        </w:tc>
        <w:tc>
          <w:tcPr>
            <w:tcW w:w="6700" w:type="dxa"/>
            <w:tcMar>
              <w:top w:w="60" w:type="dxa"/>
              <w:left w:w="120" w:type="dxa"/>
              <w:bottom w:w="60" w:type="dxa"/>
              <w:right w:w="120" w:type="dxa"/>
            </w:tcMar>
            <w:vAlign w:val="center"/>
          </w:tcPr>
          <w:p w14:paraId="50DE3160" w14:textId="77777777" w:rsidR="00E13394" w:rsidRPr="00DD5320" w:rsidRDefault="003B3ED4">
            <w:pPr>
              <w:rPr>
                <w:rFonts w:ascii="DM Sans" w:hAnsi="DM Sans"/>
              </w:rPr>
            </w:pPr>
            <w:r w:rsidRPr="00DD5320">
              <w:rPr>
                <w:rFonts w:ascii="DM Sans" w:hAnsi="DM Sans"/>
                <w:color w:val="000000"/>
              </w:rPr>
              <w:t>Aménagements pour la pratique du ski et snowboard freestyle sur le site du CNEA de Font-Romeu</w:t>
            </w:r>
          </w:p>
        </w:tc>
      </w:tr>
      <w:tr w:rsidR="00E13394" w:rsidRPr="00DD5320" w14:paraId="50DE3164" w14:textId="77777777">
        <w:tc>
          <w:tcPr>
            <w:tcW w:w="2800" w:type="dxa"/>
            <w:shd w:val="clear" w:color="auto" w:fill="DCE6F1"/>
            <w:tcMar>
              <w:top w:w="60" w:type="dxa"/>
              <w:left w:w="120" w:type="dxa"/>
              <w:bottom w:w="60" w:type="dxa"/>
              <w:right w:w="120" w:type="dxa"/>
            </w:tcMar>
            <w:vAlign w:val="center"/>
          </w:tcPr>
          <w:p w14:paraId="50DE3162" w14:textId="77777777" w:rsidR="00E13394" w:rsidRPr="00DD5320" w:rsidRDefault="003B3ED4">
            <w:pPr>
              <w:rPr>
                <w:rFonts w:ascii="DM Sans" w:hAnsi="DM Sans"/>
              </w:rPr>
            </w:pPr>
            <w:r w:rsidRPr="00DD5320">
              <w:rPr>
                <w:rFonts w:ascii="DM Sans" w:hAnsi="DM Sans"/>
                <w:b/>
                <w:bCs/>
                <w:color w:val="000000"/>
              </w:rPr>
              <w:t>Procédure</w:t>
            </w:r>
          </w:p>
        </w:tc>
        <w:tc>
          <w:tcPr>
            <w:tcW w:w="6700" w:type="dxa"/>
            <w:tcMar>
              <w:top w:w="60" w:type="dxa"/>
              <w:left w:w="120" w:type="dxa"/>
              <w:bottom w:w="60" w:type="dxa"/>
              <w:right w:w="120" w:type="dxa"/>
            </w:tcMar>
            <w:vAlign w:val="center"/>
          </w:tcPr>
          <w:p w14:paraId="50DE3163" w14:textId="77777777" w:rsidR="00E13394" w:rsidRPr="00DD5320" w:rsidRDefault="003B3ED4">
            <w:pPr>
              <w:rPr>
                <w:rFonts w:ascii="DM Sans" w:hAnsi="DM Sans"/>
              </w:rPr>
            </w:pPr>
            <w:r w:rsidRPr="00DD5320">
              <w:rPr>
                <w:rFonts w:ascii="DM Sans" w:hAnsi="DM Sans"/>
                <w:color w:val="000000"/>
              </w:rPr>
              <w:t>Marché à procédure adaptée - travaux</w:t>
            </w:r>
          </w:p>
        </w:tc>
      </w:tr>
      <w:tr w:rsidR="00E13394" w:rsidRPr="00DD5320" w14:paraId="50DE3167" w14:textId="77777777">
        <w:tc>
          <w:tcPr>
            <w:tcW w:w="2800" w:type="dxa"/>
            <w:shd w:val="clear" w:color="auto" w:fill="DCE6F1"/>
            <w:tcMar>
              <w:top w:w="60" w:type="dxa"/>
              <w:left w:w="120" w:type="dxa"/>
              <w:bottom w:w="60" w:type="dxa"/>
              <w:right w:w="120" w:type="dxa"/>
            </w:tcMar>
            <w:vAlign w:val="center"/>
          </w:tcPr>
          <w:p w14:paraId="50DE3165" w14:textId="77777777" w:rsidR="00E13394" w:rsidRPr="00DD5320" w:rsidRDefault="003B3ED4">
            <w:pPr>
              <w:rPr>
                <w:rFonts w:ascii="DM Sans" w:hAnsi="DM Sans"/>
              </w:rPr>
            </w:pPr>
            <w:r w:rsidRPr="00DD5320">
              <w:rPr>
                <w:rFonts w:ascii="DM Sans" w:hAnsi="DM Sans"/>
                <w:b/>
                <w:bCs/>
                <w:color w:val="000000"/>
              </w:rPr>
              <w:t>Allotissement</w:t>
            </w:r>
          </w:p>
        </w:tc>
        <w:tc>
          <w:tcPr>
            <w:tcW w:w="6700" w:type="dxa"/>
            <w:tcMar>
              <w:top w:w="60" w:type="dxa"/>
              <w:left w:w="120" w:type="dxa"/>
              <w:bottom w:w="60" w:type="dxa"/>
              <w:right w:w="120" w:type="dxa"/>
            </w:tcMar>
            <w:vAlign w:val="center"/>
          </w:tcPr>
          <w:p w14:paraId="50DE3166" w14:textId="77777777" w:rsidR="00E13394" w:rsidRPr="00DD5320" w:rsidRDefault="003B3ED4">
            <w:pPr>
              <w:rPr>
                <w:rFonts w:ascii="DM Sans" w:hAnsi="DM Sans"/>
              </w:rPr>
            </w:pPr>
            <w:r w:rsidRPr="00DD5320">
              <w:rPr>
                <w:rFonts w:ascii="DM Sans" w:hAnsi="DM Sans"/>
                <w:color w:val="000000"/>
              </w:rPr>
              <w:t>4 lots techniques</w:t>
            </w:r>
          </w:p>
        </w:tc>
      </w:tr>
      <w:tr w:rsidR="00E13394" w:rsidRPr="00DD5320" w14:paraId="50DE316A" w14:textId="77777777">
        <w:tc>
          <w:tcPr>
            <w:tcW w:w="2800" w:type="dxa"/>
            <w:shd w:val="clear" w:color="auto" w:fill="DCE6F1"/>
            <w:tcMar>
              <w:top w:w="60" w:type="dxa"/>
              <w:left w:w="120" w:type="dxa"/>
              <w:bottom w:w="60" w:type="dxa"/>
              <w:right w:w="120" w:type="dxa"/>
            </w:tcMar>
            <w:vAlign w:val="center"/>
          </w:tcPr>
          <w:p w14:paraId="50DE3168" w14:textId="77777777" w:rsidR="00E13394" w:rsidRPr="00DD5320" w:rsidRDefault="003B3ED4">
            <w:pPr>
              <w:rPr>
                <w:rFonts w:ascii="DM Sans" w:hAnsi="DM Sans"/>
              </w:rPr>
            </w:pPr>
            <w:r w:rsidRPr="00DD5320">
              <w:rPr>
                <w:rFonts w:ascii="DM Sans" w:hAnsi="DM Sans"/>
                <w:b/>
                <w:bCs/>
                <w:color w:val="000000"/>
              </w:rPr>
              <w:t>Montant estimatif</w:t>
            </w:r>
          </w:p>
        </w:tc>
        <w:tc>
          <w:tcPr>
            <w:tcW w:w="6700" w:type="dxa"/>
            <w:tcMar>
              <w:top w:w="60" w:type="dxa"/>
              <w:left w:w="120" w:type="dxa"/>
              <w:bottom w:w="60" w:type="dxa"/>
              <w:right w:w="120" w:type="dxa"/>
            </w:tcMar>
            <w:vAlign w:val="center"/>
          </w:tcPr>
          <w:p w14:paraId="50DE3169" w14:textId="77777777" w:rsidR="00E13394" w:rsidRPr="00DD5320" w:rsidRDefault="003B3ED4">
            <w:pPr>
              <w:rPr>
                <w:rFonts w:ascii="DM Sans" w:hAnsi="DM Sans"/>
              </w:rPr>
            </w:pPr>
            <w:r w:rsidRPr="00DD5320">
              <w:rPr>
                <w:rFonts w:ascii="DM Sans" w:hAnsi="DM Sans"/>
                <w:color w:val="000000"/>
              </w:rPr>
              <w:t>332 000 euros TTC environ</w:t>
            </w:r>
          </w:p>
        </w:tc>
      </w:tr>
      <w:tr w:rsidR="00E13394" w:rsidRPr="00DD5320" w14:paraId="50DE316D" w14:textId="77777777">
        <w:tc>
          <w:tcPr>
            <w:tcW w:w="2800" w:type="dxa"/>
            <w:shd w:val="clear" w:color="auto" w:fill="DCE6F1"/>
            <w:tcMar>
              <w:top w:w="60" w:type="dxa"/>
              <w:left w:w="120" w:type="dxa"/>
              <w:bottom w:w="60" w:type="dxa"/>
              <w:right w:w="120" w:type="dxa"/>
            </w:tcMar>
            <w:vAlign w:val="center"/>
          </w:tcPr>
          <w:p w14:paraId="50DE316B" w14:textId="77777777" w:rsidR="00E13394" w:rsidRPr="00DD5320" w:rsidRDefault="003B3ED4">
            <w:pPr>
              <w:rPr>
                <w:rFonts w:ascii="DM Sans" w:hAnsi="DM Sans"/>
              </w:rPr>
            </w:pPr>
            <w:r w:rsidRPr="00DD5320">
              <w:rPr>
                <w:rFonts w:ascii="DM Sans" w:hAnsi="DM Sans"/>
                <w:b/>
                <w:bCs/>
                <w:color w:val="000000"/>
              </w:rPr>
              <w:t>Profil acheteur</w:t>
            </w:r>
          </w:p>
        </w:tc>
        <w:tc>
          <w:tcPr>
            <w:tcW w:w="6700" w:type="dxa"/>
            <w:tcMar>
              <w:top w:w="60" w:type="dxa"/>
              <w:left w:w="120" w:type="dxa"/>
              <w:bottom w:w="60" w:type="dxa"/>
              <w:right w:w="120" w:type="dxa"/>
            </w:tcMar>
            <w:vAlign w:val="center"/>
          </w:tcPr>
          <w:p w14:paraId="50DE316C" w14:textId="77777777" w:rsidR="00E13394" w:rsidRPr="00DD5320" w:rsidRDefault="003B3ED4">
            <w:pPr>
              <w:rPr>
                <w:rFonts w:ascii="DM Sans" w:hAnsi="DM Sans"/>
              </w:rPr>
            </w:pPr>
            <w:r w:rsidRPr="00DD5320">
              <w:rPr>
                <w:rFonts w:ascii="DM Sans" w:hAnsi="DM Sans"/>
                <w:color w:val="000000"/>
              </w:rPr>
              <w:t>www.marches-publics.gouv.fr</w:t>
            </w:r>
          </w:p>
        </w:tc>
      </w:tr>
      <w:tr w:rsidR="00052B44" w:rsidRPr="00156D39" w14:paraId="3E6B8EDE" w14:textId="77777777" w:rsidTr="00052B44">
        <w:tc>
          <w:tcPr>
            <w:tcW w:w="2800" w:type="dxa"/>
            <w:tcBorders>
              <w:top w:val="single" w:sz="4" w:space="0" w:color="9DC3E6"/>
              <w:left w:val="single" w:sz="4" w:space="0" w:color="9DC3E6"/>
              <w:bottom w:val="single" w:sz="4" w:space="0" w:color="9DC3E6"/>
              <w:right w:val="single" w:sz="4" w:space="0" w:color="9DC3E6"/>
            </w:tcBorders>
            <w:shd w:val="clear" w:color="auto" w:fill="DCE6F1"/>
            <w:tcMar>
              <w:top w:w="60" w:type="dxa"/>
              <w:left w:w="120" w:type="dxa"/>
              <w:bottom w:w="60" w:type="dxa"/>
              <w:right w:w="120" w:type="dxa"/>
            </w:tcMar>
            <w:vAlign w:val="center"/>
          </w:tcPr>
          <w:p w14:paraId="70D835CE" w14:textId="77777777" w:rsidR="00052B44" w:rsidRPr="00052B44" w:rsidRDefault="00052B44" w:rsidP="00907DC4">
            <w:pPr>
              <w:rPr>
                <w:rFonts w:ascii="DM Sans" w:hAnsi="DM Sans"/>
                <w:b/>
                <w:bCs/>
                <w:color w:val="000000"/>
              </w:rPr>
            </w:pPr>
            <w:r w:rsidRPr="00052B44">
              <w:rPr>
                <w:rFonts w:ascii="DM Sans" w:hAnsi="DM Sans"/>
                <w:b/>
                <w:bCs/>
                <w:color w:val="000000"/>
              </w:rPr>
              <w:t xml:space="preserve">Date limite de réception des offres : </w:t>
            </w:r>
          </w:p>
        </w:tc>
        <w:tc>
          <w:tcPr>
            <w:tcW w:w="6700" w:type="dxa"/>
            <w:tcBorders>
              <w:top w:val="single" w:sz="4" w:space="0" w:color="9DC3E6"/>
              <w:left w:val="single" w:sz="4" w:space="0" w:color="9DC3E6"/>
              <w:bottom w:val="single" w:sz="4" w:space="0" w:color="9DC3E6"/>
              <w:right w:val="single" w:sz="4" w:space="0" w:color="9DC3E6"/>
            </w:tcBorders>
            <w:tcMar>
              <w:top w:w="60" w:type="dxa"/>
              <w:left w:w="120" w:type="dxa"/>
              <w:bottom w:w="60" w:type="dxa"/>
              <w:right w:w="120" w:type="dxa"/>
            </w:tcMar>
            <w:vAlign w:val="center"/>
          </w:tcPr>
          <w:p w14:paraId="31950EF5" w14:textId="69617684" w:rsidR="00052B44" w:rsidRPr="00052B44" w:rsidRDefault="00714826" w:rsidP="00907DC4">
            <w:pPr>
              <w:rPr>
                <w:rFonts w:ascii="DM Sans" w:hAnsi="DM Sans"/>
                <w:color w:val="000000"/>
              </w:rPr>
            </w:pPr>
            <w:r>
              <w:rPr>
                <w:rFonts w:ascii="DM Sans" w:hAnsi="DM Sans"/>
                <w:color w:val="000000"/>
              </w:rPr>
              <w:t>4</w:t>
            </w:r>
            <w:r w:rsidR="00052B44" w:rsidRPr="00052B44">
              <w:rPr>
                <w:rFonts w:ascii="DM Sans" w:hAnsi="DM Sans"/>
                <w:color w:val="000000"/>
              </w:rPr>
              <w:t>/09/2026 à 17h30</w:t>
            </w:r>
          </w:p>
        </w:tc>
      </w:tr>
    </w:tbl>
    <w:p w14:paraId="50DE316E" w14:textId="77777777" w:rsidR="00E13394" w:rsidRDefault="00E13394">
      <w:pPr>
        <w:spacing w:after="100"/>
      </w:pPr>
    </w:p>
    <w:p w14:paraId="50DE316F" w14:textId="77777777" w:rsidR="00E13394" w:rsidRPr="00DD5320" w:rsidRDefault="003B3ED4">
      <w:pPr>
        <w:pStyle w:val="Titre1"/>
        <w:rPr>
          <w:rFonts w:ascii="DM Sans" w:hAnsi="DM Sans"/>
        </w:rPr>
      </w:pPr>
      <w:r w:rsidRPr="00DD5320">
        <w:rPr>
          <w:rFonts w:ascii="DM Sans" w:hAnsi="DM Sans"/>
        </w:rPr>
        <w:t>1. Pièces contractuelles</w:t>
      </w:r>
    </w:p>
    <w:p w14:paraId="50DE3170" w14:textId="77777777" w:rsidR="00E13394" w:rsidRPr="00DD5320" w:rsidRDefault="003B3ED4">
      <w:pPr>
        <w:spacing w:after="140"/>
        <w:rPr>
          <w:rFonts w:ascii="DM Sans" w:hAnsi="DM Sans"/>
        </w:rPr>
      </w:pPr>
      <w:r w:rsidRPr="00DD5320">
        <w:rPr>
          <w:rFonts w:ascii="DM Sans" w:hAnsi="DM Sans"/>
        </w:rPr>
        <w:t>Par ordre de priorité décroissant :</w:t>
      </w:r>
    </w:p>
    <w:p w14:paraId="50DE3171" w14:textId="77777777" w:rsidR="00E13394" w:rsidRPr="00DD5320" w:rsidRDefault="003B3ED4">
      <w:pPr>
        <w:pStyle w:val="Paragraphedeliste"/>
        <w:numPr>
          <w:ilvl w:val="0"/>
          <w:numId w:val="2"/>
        </w:numPr>
        <w:spacing w:after="80"/>
        <w:rPr>
          <w:rFonts w:ascii="DM Sans" w:hAnsi="DM Sans"/>
        </w:rPr>
      </w:pPr>
      <w:r w:rsidRPr="00DD5320">
        <w:rPr>
          <w:rFonts w:ascii="DM Sans" w:hAnsi="DM Sans"/>
        </w:rPr>
        <w:t>Acte d'engagement et ses annexes financières ;</w:t>
      </w:r>
    </w:p>
    <w:p w14:paraId="50DE3172" w14:textId="77777777" w:rsidR="00E13394" w:rsidRPr="00DD5320" w:rsidRDefault="003B3ED4">
      <w:pPr>
        <w:pStyle w:val="Paragraphedeliste"/>
        <w:numPr>
          <w:ilvl w:val="0"/>
          <w:numId w:val="2"/>
        </w:numPr>
        <w:spacing w:after="80"/>
        <w:rPr>
          <w:rFonts w:ascii="DM Sans" w:hAnsi="DM Sans"/>
        </w:rPr>
      </w:pPr>
      <w:r w:rsidRPr="00DD5320">
        <w:rPr>
          <w:rFonts w:ascii="DM Sans" w:hAnsi="DM Sans"/>
        </w:rPr>
        <w:t>Mises au point éventuelles ;</w:t>
      </w:r>
    </w:p>
    <w:p w14:paraId="50DE3173" w14:textId="77777777" w:rsidR="00E13394" w:rsidRPr="00DD5320" w:rsidRDefault="003B3ED4">
      <w:pPr>
        <w:pStyle w:val="Paragraphedeliste"/>
        <w:numPr>
          <w:ilvl w:val="0"/>
          <w:numId w:val="2"/>
        </w:numPr>
        <w:spacing w:after="80"/>
        <w:rPr>
          <w:rFonts w:ascii="DM Sans" w:hAnsi="DM Sans"/>
        </w:rPr>
      </w:pPr>
      <w:r w:rsidRPr="00DD5320">
        <w:rPr>
          <w:rFonts w:ascii="DM Sans" w:hAnsi="DM Sans"/>
        </w:rPr>
        <w:t>Le présent CCAP ;</w:t>
      </w:r>
    </w:p>
    <w:p w14:paraId="50DE3174" w14:textId="77777777" w:rsidR="00E13394" w:rsidRPr="00DD5320" w:rsidRDefault="003B3ED4">
      <w:pPr>
        <w:pStyle w:val="Paragraphedeliste"/>
        <w:numPr>
          <w:ilvl w:val="0"/>
          <w:numId w:val="2"/>
        </w:numPr>
        <w:spacing w:after="80"/>
        <w:rPr>
          <w:rFonts w:ascii="DM Sans" w:hAnsi="DM Sans"/>
        </w:rPr>
      </w:pPr>
      <w:r w:rsidRPr="00DD5320">
        <w:rPr>
          <w:rFonts w:ascii="DM Sans" w:hAnsi="DM Sans"/>
        </w:rPr>
        <w:t>Le CCTP et ses annexes techniques ;</w:t>
      </w:r>
    </w:p>
    <w:p w14:paraId="50DE3175" w14:textId="77777777" w:rsidR="00E13394" w:rsidRPr="00DD5320" w:rsidRDefault="003B3ED4">
      <w:pPr>
        <w:pStyle w:val="Paragraphedeliste"/>
        <w:numPr>
          <w:ilvl w:val="0"/>
          <w:numId w:val="2"/>
        </w:numPr>
        <w:spacing w:after="80"/>
        <w:rPr>
          <w:rFonts w:ascii="DM Sans" w:hAnsi="DM Sans"/>
        </w:rPr>
      </w:pPr>
      <w:r w:rsidRPr="00DD5320">
        <w:rPr>
          <w:rFonts w:ascii="DM Sans" w:hAnsi="DM Sans"/>
        </w:rPr>
        <w:t>La DPGF ;</w:t>
      </w:r>
    </w:p>
    <w:p w14:paraId="50DE3176" w14:textId="77777777" w:rsidR="00E13394" w:rsidRPr="00DD5320" w:rsidRDefault="003B3ED4">
      <w:pPr>
        <w:pStyle w:val="Paragraphedeliste"/>
        <w:numPr>
          <w:ilvl w:val="0"/>
          <w:numId w:val="2"/>
        </w:numPr>
        <w:spacing w:after="80"/>
        <w:rPr>
          <w:rFonts w:ascii="DM Sans" w:hAnsi="DM Sans"/>
        </w:rPr>
      </w:pPr>
      <w:r w:rsidRPr="00DD5320">
        <w:rPr>
          <w:rFonts w:ascii="DM Sans" w:hAnsi="DM Sans"/>
        </w:rPr>
        <w:t>Le CCAG-Travaux en vigueur à la date de lancement de la consultation ;</w:t>
      </w:r>
    </w:p>
    <w:p w14:paraId="50DE3177" w14:textId="77777777" w:rsidR="00E13394" w:rsidRPr="00DD5320" w:rsidRDefault="003B3ED4">
      <w:pPr>
        <w:pStyle w:val="Paragraphedeliste"/>
        <w:numPr>
          <w:ilvl w:val="0"/>
          <w:numId w:val="2"/>
        </w:numPr>
        <w:spacing w:after="80"/>
        <w:rPr>
          <w:rFonts w:ascii="DM Sans" w:hAnsi="DM Sans"/>
        </w:rPr>
      </w:pPr>
      <w:r w:rsidRPr="00DD5320">
        <w:rPr>
          <w:rFonts w:ascii="DM Sans" w:hAnsi="DM Sans"/>
        </w:rPr>
        <w:t>Le mémoire technique du titulaire, pour ses stipulations non contraires aux pièces précédentes.</w:t>
      </w:r>
    </w:p>
    <w:p w14:paraId="50DE3178" w14:textId="77777777" w:rsidR="00E13394" w:rsidRPr="00DD5320" w:rsidRDefault="003B3ED4">
      <w:pPr>
        <w:pStyle w:val="Titre1"/>
        <w:rPr>
          <w:rFonts w:ascii="DM Sans" w:hAnsi="DM Sans"/>
        </w:rPr>
      </w:pPr>
      <w:r w:rsidRPr="00DD5320">
        <w:rPr>
          <w:rFonts w:ascii="DM Sans" w:hAnsi="DM Sans"/>
        </w:rPr>
        <w:t>2. Forme des prix</w:t>
      </w:r>
    </w:p>
    <w:p w14:paraId="50DE3179" w14:textId="77777777" w:rsidR="00E13394" w:rsidRPr="00DD5320" w:rsidRDefault="003B3ED4">
      <w:pPr>
        <w:pStyle w:val="Paragraphedeliste"/>
        <w:numPr>
          <w:ilvl w:val="0"/>
          <w:numId w:val="2"/>
        </w:numPr>
        <w:spacing w:after="80"/>
        <w:rPr>
          <w:rFonts w:ascii="DM Sans" w:hAnsi="DM Sans"/>
        </w:rPr>
      </w:pPr>
      <w:r w:rsidRPr="00DD5320">
        <w:rPr>
          <w:rFonts w:ascii="DM Sans" w:hAnsi="DM Sans"/>
        </w:rPr>
        <w:t>Les prix sont globaux et forfaitaires par lot.</w:t>
      </w:r>
    </w:p>
    <w:p w14:paraId="50DE317A" w14:textId="77777777" w:rsidR="00E13394" w:rsidRPr="00DD5320" w:rsidRDefault="003B3ED4">
      <w:pPr>
        <w:pStyle w:val="Paragraphedeliste"/>
        <w:numPr>
          <w:ilvl w:val="0"/>
          <w:numId w:val="2"/>
        </w:numPr>
        <w:spacing w:after="80"/>
        <w:rPr>
          <w:rFonts w:ascii="DM Sans" w:hAnsi="DM Sans"/>
        </w:rPr>
      </w:pPr>
      <w:r w:rsidRPr="00DD5320">
        <w:rPr>
          <w:rFonts w:ascii="DM Sans" w:hAnsi="DM Sans"/>
        </w:rPr>
        <w:t>Les prix sont fermes, non actualisables ni révisables, le délai d'exécution prévisionnel de chaque lot étant inférieur à trois mois entre l'ordre de service de démarrage et la réception.</w:t>
      </w:r>
    </w:p>
    <w:p w14:paraId="50DE317B" w14:textId="77777777" w:rsidR="00E13394" w:rsidRPr="00DD5320" w:rsidRDefault="003B3ED4">
      <w:pPr>
        <w:pStyle w:val="Paragraphedeliste"/>
        <w:numPr>
          <w:ilvl w:val="0"/>
          <w:numId w:val="2"/>
        </w:numPr>
        <w:spacing w:after="80"/>
        <w:rPr>
          <w:rFonts w:ascii="DM Sans" w:hAnsi="DM Sans"/>
        </w:rPr>
      </w:pPr>
      <w:r w:rsidRPr="00DD5320">
        <w:rPr>
          <w:rFonts w:ascii="DM Sans" w:hAnsi="DM Sans"/>
        </w:rPr>
        <w:t>Les prix comprennent toutes sujétions d'exécution : transport, manutention, déchargement, stockage provisoire, essais, notices, nettoyage, repli de chantier et remise en état.</w:t>
      </w:r>
    </w:p>
    <w:p w14:paraId="50DE317C" w14:textId="0D702680" w:rsidR="00E13394" w:rsidRPr="00DD5320" w:rsidRDefault="003B3ED4">
      <w:pPr>
        <w:pStyle w:val="Paragraphedeliste"/>
        <w:numPr>
          <w:ilvl w:val="0"/>
          <w:numId w:val="2"/>
        </w:numPr>
        <w:spacing w:after="80"/>
        <w:rPr>
          <w:rFonts w:ascii="DM Sans" w:hAnsi="DM Sans"/>
        </w:rPr>
      </w:pPr>
      <w:r w:rsidRPr="00DD5320">
        <w:rPr>
          <w:rFonts w:ascii="DM Sans" w:hAnsi="DM Sans"/>
        </w:rPr>
        <w:lastRenderedPageBreak/>
        <w:t>Pour les fournitures importées, le candidat précise les taxes et droits applicables, l'assurance, la responsabilité du transport et le délai de livraison.</w:t>
      </w:r>
    </w:p>
    <w:p w14:paraId="50DE317D" w14:textId="77777777" w:rsidR="00E13394" w:rsidRPr="00C41F96" w:rsidRDefault="003B3ED4">
      <w:pPr>
        <w:pStyle w:val="Titre1"/>
        <w:rPr>
          <w:rFonts w:ascii="DM Sans" w:hAnsi="DM Sans"/>
        </w:rPr>
      </w:pPr>
      <w:r w:rsidRPr="00C41F96">
        <w:rPr>
          <w:rFonts w:ascii="DM Sans" w:hAnsi="DM Sans"/>
        </w:rPr>
        <w:t>3. Délai d'exécution</w:t>
      </w:r>
    </w:p>
    <w:p w14:paraId="50DE317E" w14:textId="77777777" w:rsidR="00E13394" w:rsidRPr="00C41F96" w:rsidRDefault="003B3ED4" w:rsidP="00C41F96">
      <w:pPr>
        <w:spacing w:after="140"/>
        <w:jc w:val="both"/>
        <w:rPr>
          <w:rFonts w:ascii="DM Sans" w:hAnsi="DM Sans"/>
        </w:rPr>
      </w:pPr>
      <w:r w:rsidRPr="00C41F96">
        <w:rPr>
          <w:rFonts w:ascii="DM Sans" w:hAnsi="DM Sans"/>
        </w:rPr>
        <w:t>Le délai d'exécution de chaque lot court à compter de la notification de l'ordre de service de démarrage. Il est fixé dans l'acte d'engagement sur proposition du titulaire, validée par l'acheteur, et tient compte des contraintes d'altitude, de météorologie et d'activité du CNEA. Le marché prend fin à l'issue de la période de garantie de parfait achèvement d'un an suivant la réception de chaque lot.</w:t>
      </w:r>
    </w:p>
    <w:p w14:paraId="50DE317F" w14:textId="23EA8BD4" w:rsidR="00E13394" w:rsidRPr="00C41F96" w:rsidRDefault="003B3ED4">
      <w:pPr>
        <w:pStyle w:val="Titre1"/>
        <w:rPr>
          <w:rFonts w:ascii="DM Sans" w:hAnsi="DM Sans"/>
        </w:rPr>
      </w:pPr>
      <w:r w:rsidRPr="00C41F96">
        <w:rPr>
          <w:rFonts w:ascii="DM Sans" w:hAnsi="DM Sans"/>
        </w:rPr>
        <w:t>4. Avance et paiements</w:t>
      </w:r>
    </w:p>
    <w:p w14:paraId="50DE3180" w14:textId="77777777" w:rsidR="00E13394" w:rsidRPr="00C41F96" w:rsidRDefault="003B3ED4">
      <w:pPr>
        <w:pStyle w:val="Paragraphedeliste"/>
        <w:numPr>
          <w:ilvl w:val="0"/>
          <w:numId w:val="2"/>
        </w:numPr>
        <w:spacing w:after="80"/>
        <w:rPr>
          <w:rFonts w:ascii="DM Sans" w:hAnsi="DM Sans"/>
        </w:rPr>
      </w:pPr>
      <w:r w:rsidRPr="00C41F96">
        <w:rPr>
          <w:rFonts w:ascii="DM Sans" w:hAnsi="DM Sans"/>
        </w:rPr>
        <w:t>Une avance est accordée lorsque les conditions réglementaires sont réunies, sauf renonciation expresse du titulaire.</w:t>
      </w:r>
    </w:p>
    <w:p w14:paraId="50DE3181" w14:textId="77777777" w:rsidR="00E13394" w:rsidRPr="00C41F96" w:rsidRDefault="003B3ED4">
      <w:pPr>
        <w:pStyle w:val="Paragraphedeliste"/>
        <w:numPr>
          <w:ilvl w:val="0"/>
          <w:numId w:val="2"/>
        </w:numPr>
        <w:spacing w:after="80"/>
        <w:rPr>
          <w:rFonts w:ascii="DM Sans" w:hAnsi="DM Sans"/>
        </w:rPr>
      </w:pPr>
      <w:r w:rsidRPr="00C41F96">
        <w:rPr>
          <w:rFonts w:ascii="DM Sans" w:hAnsi="DM Sans"/>
        </w:rPr>
        <w:t>Les demandes de paiement sont déposées sur Chorus Pro.</w:t>
      </w:r>
    </w:p>
    <w:p w14:paraId="50DE3182" w14:textId="13C7F1EB" w:rsidR="00E13394" w:rsidRPr="00C41F96" w:rsidRDefault="003B3ED4">
      <w:pPr>
        <w:pStyle w:val="Paragraphedeliste"/>
        <w:numPr>
          <w:ilvl w:val="0"/>
          <w:numId w:val="2"/>
        </w:numPr>
        <w:spacing w:after="80"/>
        <w:rPr>
          <w:rFonts w:ascii="DM Sans" w:hAnsi="DM Sans"/>
        </w:rPr>
      </w:pPr>
      <w:r w:rsidRPr="00C41F96">
        <w:rPr>
          <w:rFonts w:ascii="DM Sans" w:hAnsi="DM Sans"/>
        </w:rPr>
        <w:t xml:space="preserve">Le délai global de paiement est de 30 jours à compter de la réception d'une </w:t>
      </w:r>
      <w:r w:rsidR="004C36A5">
        <w:rPr>
          <w:rFonts w:ascii="DM Sans" w:hAnsi="DM Sans"/>
        </w:rPr>
        <w:t>facture</w:t>
      </w:r>
      <w:r w:rsidRPr="00C41F96">
        <w:rPr>
          <w:rFonts w:ascii="DM Sans" w:hAnsi="DM Sans"/>
        </w:rPr>
        <w:t xml:space="preserve"> régulière.</w:t>
      </w:r>
    </w:p>
    <w:p w14:paraId="50DE3183" w14:textId="77777777" w:rsidR="00E13394" w:rsidRPr="004C36A5" w:rsidRDefault="003B3ED4">
      <w:pPr>
        <w:pStyle w:val="Titre1"/>
        <w:rPr>
          <w:rFonts w:ascii="DM Sans" w:hAnsi="DM Sans"/>
        </w:rPr>
      </w:pPr>
      <w:r w:rsidRPr="004C36A5">
        <w:rPr>
          <w:rFonts w:ascii="DM Sans" w:hAnsi="DM Sans"/>
        </w:rPr>
        <w:t>5. Coordination entre les lots</w:t>
      </w:r>
    </w:p>
    <w:p w14:paraId="50DE3184"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Une réunion de lancement est organisée avant le démarrage des travaux.</w:t>
      </w:r>
    </w:p>
    <w:p w14:paraId="50DE3186"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Le titulaire du lot 1 remet les supports dans un état compatible avec l'exécution des lots 2, 3 et 4.</w:t>
      </w:r>
    </w:p>
    <w:p w14:paraId="50DE3187"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Tout risque d'incompatibilité technique entre lots doit être signalé sans délai à l'acheteur.</w:t>
      </w:r>
    </w:p>
    <w:p w14:paraId="50DE3188" w14:textId="77777777" w:rsidR="00E13394" w:rsidRPr="004C36A5" w:rsidRDefault="003B3ED4">
      <w:pPr>
        <w:pStyle w:val="Titre1"/>
        <w:rPr>
          <w:rFonts w:ascii="DM Sans" w:hAnsi="DM Sans"/>
        </w:rPr>
      </w:pPr>
      <w:r w:rsidRPr="004C36A5">
        <w:rPr>
          <w:rFonts w:ascii="DM Sans" w:hAnsi="DM Sans"/>
        </w:rPr>
        <w:t>6. Sécurité et site occupé</w:t>
      </w:r>
    </w:p>
    <w:p w14:paraId="50DE3189"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Balisage permanent des zones de chantier ;</w:t>
      </w:r>
    </w:p>
    <w:p w14:paraId="50DE318A"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Maintien des accès de secours ;</w:t>
      </w:r>
    </w:p>
    <w:p w14:paraId="50DE318B"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Gestion des circulations entre engins, piétons et usagers du site ;</w:t>
      </w:r>
    </w:p>
    <w:p w14:paraId="50DE318C"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Prévention des risques liés à l'occupation du site par les sportifs et le personnel du CNEA ;</w:t>
      </w:r>
    </w:p>
    <w:p w14:paraId="50DE318D"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Arrêt immédiat des travaux en cas de danger grave et imminent.</w:t>
      </w:r>
    </w:p>
    <w:p w14:paraId="50DE318E" w14:textId="77777777" w:rsidR="00E13394" w:rsidRPr="004C36A5" w:rsidRDefault="003B3ED4">
      <w:pPr>
        <w:pStyle w:val="Titre1"/>
        <w:rPr>
          <w:rFonts w:ascii="DM Sans" w:hAnsi="DM Sans"/>
        </w:rPr>
      </w:pPr>
      <w:r w:rsidRPr="004C36A5">
        <w:rPr>
          <w:rFonts w:ascii="DM Sans" w:hAnsi="DM Sans"/>
        </w:rPr>
        <w:t>7. Pénalités</w:t>
      </w:r>
    </w:p>
    <w:p w14:paraId="50DE318F"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Retard d'exécution : 1/1000e du montant TTC du lot par jour calendaire de retard, plafonné à 10 % du montant du lot ;</w:t>
      </w:r>
    </w:p>
    <w:p w14:paraId="50DE3190"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Absence à une réunion obligatoire : 150 € par absence non justifiée ;</w:t>
      </w:r>
    </w:p>
    <w:p w14:paraId="50DE3191"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Non-remise des documents d'exécution ou du DOE : 100 € par jour de retard après mise en demeure restée infructueuse ;</w:t>
      </w:r>
    </w:p>
    <w:p w14:paraId="50DE3192"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Défaut de sécurisation du chantier : pénalité applicable après mise en demeure de 48 heures, ou immédiatement en cas de danger grave.</w:t>
      </w:r>
    </w:p>
    <w:p w14:paraId="50DE3193" w14:textId="77777777" w:rsidR="00E13394" w:rsidRPr="004C36A5" w:rsidRDefault="003B3ED4">
      <w:pPr>
        <w:pStyle w:val="Titre1"/>
        <w:rPr>
          <w:rFonts w:ascii="DM Sans" w:hAnsi="DM Sans"/>
        </w:rPr>
      </w:pPr>
      <w:r w:rsidRPr="004C36A5">
        <w:rPr>
          <w:rFonts w:ascii="DM Sans" w:hAnsi="DM Sans"/>
        </w:rPr>
        <w:t>8. Assurances</w:t>
      </w:r>
    </w:p>
    <w:p w14:paraId="50DE3194" w14:textId="77777777" w:rsidR="00E13394" w:rsidRPr="004C36A5" w:rsidRDefault="003B3ED4" w:rsidP="004C36A5">
      <w:pPr>
        <w:pStyle w:val="Paragraphedeliste"/>
        <w:numPr>
          <w:ilvl w:val="0"/>
          <w:numId w:val="2"/>
        </w:numPr>
        <w:spacing w:after="80"/>
        <w:jc w:val="both"/>
        <w:rPr>
          <w:rFonts w:ascii="DM Sans" w:hAnsi="DM Sans"/>
        </w:rPr>
      </w:pPr>
      <w:r w:rsidRPr="004C36A5">
        <w:rPr>
          <w:rFonts w:ascii="DM Sans" w:hAnsi="DM Sans"/>
        </w:rPr>
        <w:t>Responsabilité civile professionnelle obligatoire pour toute la durée d'exécution ;</w:t>
      </w:r>
    </w:p>
    <w:p w14:paraId="50DE3195" w14:textId="77777777" w:rsidR="00E13394" w:rsidRPr="004C36A5" w:rsidRDefault="003B3ED4" w:rsidP="004C36A5">
      <w:pPr>
        <w:pStyle w:val="Paragraphedeliste"/>
        <w:numPr>
          <w:ilvl w:val="0"/>
          <w:numId w:val="2"/>
        </w:numPr>
        <w:spacing w:after="80"/>
        <w:jc w:val="both"/>
        <w:rPr>
          <w:rFonts w:ascii="DM Sans" w:hAnsi="DM Sans"/>
        </w:rPr>
      </w:pPr>
      <w:r w:rsidRPr="004C36A5">
        <w:rPr>
          <w:rFonts w:ascii="DM Sans" w:hAnsi="DM Sans"/>
        </w:rPr>
        <w:t>Assurance couvrant les dommages causés aux tiers, aux biens du CREPS et à ses personnels ;</w:t>
      </w:r>
    </w:p>
    <w:p w14:paraId="50DE3196" w14:textId="77777777" w:rsidR="00E13394" w:rsidRPr="004C36A5" w:rsidRDefault="003B3ED4" w:rsidP="004C36A5">
      <w:pPr>
        <w:pStyle w:val="Paragraphedeliste"/>
        <w:numPr>
          <w:ilvl w:val="0"/>
          <w:numId w:val="2"/>
        </w:numPr>
        <w:spacing w:after="80"/>
        <w:jc w:val="both"/>
        <w:rPr>
          <w:rFonts w:ascii="DM Sans" w:hAnsi="DM Sans"/>
        </w:rPr>
      </w:pPr>
      <w:r w:rsidRPr="004C36A5">
        <w:rPr>
          <w:rFonts w:ascii="DM Sans" w:hAnsi="DM Sans"/>
        </w:rPr>
        <w:lastRenderedPageBreak/>
        <w:t>Pour les ouvrages relevant des articles 1792 et suivants du Code civil : attestation d'assurance décennale ou garantie équivalente à produire avant tout démarrage des travaux.</w:t>
      </w:r>
    </w:p>
    <w:p w14:paraId="50DE3197" w14:textId="77777777" w:rsidR="00E13394" w:rsidRPr="004C36A5" w:rsidRDefault="003B3ED4">
      <w:pPr>
        <w:pStyle w:val="Titre1"/>
        <w:rPr>
          <w:rFonts w:ascii="DM Sans" w:hAnsi="DM Sans"/>
        </w:rPr>
      </w:pPr>
      <w:r w:rsidRPr="004C36A5">
        <w:rPr>
          <w:rFonts w:ascii="DM Sans" w:hAnsi="DM Sans"/>
        </w:rPr>
        <w:t>9. Réception</w:t>
      </w:r>
    </w:p>
    <w:p w14:paraId="50DE3198"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Réception contradictoire, organisée par lot ;</w:t>
      </w:r>
    </w:p>
    <w:p w14:paraId="50DE3199"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Possibilité de réception avec réserves ;</w:t>
      </w:r>
    </w:p>
    <w:p w14:paraId="50DE319A"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Remise préalable des notices, certificats, plans de recolement, fiches techniques, garanties et consignes de maintenance ;</w:t>
      </w:r>
    </w:p>
    <w:p w14:paraId="50DE319B"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Levée des réserves dans le délai fixé au procès-verbal de réception.</w:t>
      </w:r>
    </w:p>
    <w:p w14:paraId="50DE319C" w14:textId="77777777" w:rsidR="00E13394" w:rsidRPr="004C36A5" w:rsidRDefault="003B3ED4">
      <w:pPr>
        <w:pStyle w:val="Titre1"/>
        <w:rPr>
          <w:rFonts w:ascii="DM Sans" w:hAnsi="DM Sans"/>
        </w:rPr>
      </w:pPr>
      <w:r w:rsidRPr="004C36A5">
        <w:rPr>
          <w:rFonts w:ascii="DM Sans" w:hAnsi="DM Sans"/>
        </w:rPr>
        <w:t>10. Garanties</w:t>
      </w:r>
    </w:p>
    <w:p w14:paraId="50DE319D"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Garantie de parfait achèvement d'un an à compter de la réception ;</w:t>
      </w:r>
    </w:p>
    <w:p w14:paraId="50DE319E"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Garanties légales applicables aux ouvrages ;</w:t>
      </w:r>
    </w:p>
    <w:p w14:paraId="50DE319F"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Garanties commerciales propres aux équipements, matériaux et revêtements proposés ;</w:t>
      </w:r>
    </w:p>
    <w:p w14:paraId="50DE31A0"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Disponibilité des pièces de remplacement, à préciser par le titulaire dans son offre.</w:t>
      </w:r>
    </w:p>
    <w:p w14:paraId="50DE31A1" w14:textId="77777777" w:rsidR="00E13394" w:rsidRPr="004C36A5" w:rsidRDefault="003B3ED4">
      <w:pPr>
        <w:pStyle w:val="Titre1"/>
        <w:rPr>
          <w:rFonts w:ascii="DM Sans" w:hAnsi="DM Sans"/>
        </w:rPr>
      </w:pPr>
      <w:r w:rsidRPr="004C36A5">
        <w:rPr>
          <w:rFonts w:ascii="DM Sans" w:hAnsi="DM Sans"/>
        </w:rPr>
        <w:t>11. Sous-traitance</w:t>
      </w:r>
    </w:p>
    <w:p w14:paraId="50DE31A2" w14:textId="77777777" w:rsidR="00E13394" w:rsidRPr="004C36A5" w:rsidRDefault="003B3ED4" w:rsidP="004C36A5">
      <w:pPr>
        <w:spacing w:after="140"/>
        <w:jc w:val="both"/>
        <w:rPr>
          <w:rFonts w:ascii="DM Sans" w:hAnsi="DM Sans"/>
        </w:rPr>
      </w:pPr>
      <w:r w:rsidRPr="004C36A5">
        <w:rPr>
          <w:rFonts w:ascii="DM Sans" w:hAnsi="DM Sans"/>
        </w:rPr>
        <w:t>La sous-traitance est admise dans les conditions du Code de la commande publique. Aucun sous-traitant ne peut intervenir sur le chantier sans acceptation préalable par l'acheteur et agrément de ses conditions de paiement.</w:t>
      </w:r>
    </w:p>
    <w:p w14:paraId="50DE31A3" w14:textId="77777777" w:rsidR="00E13394" w:rsidRPr="004C36A5" w:rsidRDefault="003B3ED4">
      <w:pPr>
        <w:pStyle w:val="Titre1"/>
        <w:rPr>
          <w:rFonts w:ascii="DM Sans" w:hAnsi="DM Sans"/>
        </w:rPr>
      </w:pPr>
      <w:r w:rsidRPr="004C36A5">
        <w:rPr>
          <w:rFonts w:ascii="DM Sans" w:hAnsi="DM Sans"/>
        </w:rPr>
        <w:t>12. Résiliation et litiges</w:t>
      </w:r>
    </w:p>
    <w:p w14:paraId="50DE31A4"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La résiliation du marché est possible dans les conditions prévues par le CCAG-Travaux ;</w:t>
      </w:r>
    </w:p>
    <w:p w14:paraId="50DE31A5"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Une solution amiable est recherchée préalablement à tout contentieux ;</w:t>
      </w:r>
    </w:p>
    <w:p w14:paraId="50DE31A6" w14:textId="77777777" w:rsidR="00E13394" w:rsidRPr="004C36A5" w:rsidRDefault="003B3ED4">
      <w:pPr>
        <w:pStyle w:val="Paragraphedeliste"/>
        <w:numPr>
          <w:ilvl w:val="0"/>
          <w:numId w:val="2"/>
        </w:numPr>
        <w:spacing w:after="80"/>
        <w:rPr>
          <w:rFonts w:ascii="DM Sans" w:hAnsi="DM Sans"/>
        </w:rPr>
      </w:pPr>
      <w:r w:rsidRPr="004C36A5">
        <w:rPr>
          <w:rFonts w:ascii="DM Sans" w:hAnsi="DM Sans"/>
        </w:rPr>
        <w:t>À défaut d'accord amiable, les litiges relèvent de la compétence du tribunal administratif de Montpellier (6 rue Pitot, 34063 Montpellier Cedex 2).</w:t>
      </w:r>
    </w:p>
    <w:sectPr w:rsidR="00E13394" w:rsidRPr="004C36A5">
      <w:headerReference w:type="default" r:id="rId10"/>
      <w:footerReference w:type="default" r:id="rId11"/>
      <w:pgSz w:w="11906" w:h="16838"/>
      <w:pgMar w:top="1100" w:right="1000" w:bottom="1000" w:left="10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EE373" w14:textId="77777777" w:rsidR="00121459" w:rsidRDefault="00121459">
      <w:r>
        <w:separator/>
      </w:r>
    </w:p>
  </w:endnote>
  <w:endnote w:type="continuationSeparator" w:id="0">
    <w:p w14:paraId="582A473E" w14:textId="77777777" w:rsidR="00121459" w:rsidRDefault="00121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M Sans">
    <w:charset w:val="00"/>
    <w:family w:val="auto"/>
    <w:pitch w:val="variable"/>
    <w:sig w:usb0="8000002F" w:usb1="5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E31A8" w14:textId="0E8F77AF" w:rsidR="00E13394" w:rsidRDefault="003B3ED4">
    <w:pPr>
      <w:pBdr>
        <w:top w:val="single" w:sz="4" w:space="4" w:color="BFBFBF"/>
      </w:pBdr>
      <w:tabs>
        <w:tab w:val="right" w:pos="9026"/>
      </w:tabs>
    </w:pPr>
    <w:r>
      <w:rPr>
        <w:color w:val="7F7F7F"/>
        <w:sz w:val="14"/>
        <w:szCs w:val="14"/>
      </w:rPr>
      <w:t>03_CCAP — Zone ski / snowboard freestyle CNEA Font-Romeu</w:t>
    </w:r>
    <w:r>
      <w:rPr>
        <w:sz w:val="14"/>
        <w:szCs w:val="14"/>
      </w:rPr>
      <w:tab/>
    </w:r>
    <w:r>
      <w:rPr>
        <w:color w:val="7F7F7F"/>
        <w:sz w:val="14"/>
        <w:szCs w:val="14"/>
      </w:rPr>
      <w:t xml:space="preserve">Page </w:t>
    </w:r>
    <w:r>
      <w:rPr>
        <w:color w:val="7F7F7F"/>
        <w:sz w:val="14"/>
        <w:szCs w:val="14"/>
      </w:rPr>
      <w:fldChar w:fldCharType="begin"/>
    </w:r>
    <w:r>
      <w:rPr>
        <w:color w:val="7F7F7F"/>
        <w:sz w:val="14"/>
        <w:szCs w:val="14"/>
      </w:rPr>
      <w:instrText>PAGE</w:instrText>
    </w:r>
    <w:r>
      <w:rPr>
        <w:color w:val="7F7F7F"/>
        <w:sz w:val="14"/>
        <w:szCs w:val="14"/>
      </w:rPr>
      <w:fldChar w:fldCharType="separate"/>
    </w:r>
    <w:r w:rsidR="00E76838">
      <w:rPr>
        <w:noProof/>
        <w:color w:val="7F7F7F"/>
        <w:sz w:val="14"/>
        <w:szCs w:val="14"/>
      </w:rPr>
      <w:t>1</w:t>
    </w:r>
    <w:r>
      <w:rPr>
        <w:color w:val="7F7F7F"/>
        <w:sz w:val="14"/>
        <w:szCs w:val="14"/>
      </w:rPr>
      <w:fldChar w:fldCharType="end"/>
    </w:r>
    <w:r>
      <w:rPr>
        <w:color w:val="7F7F7F"/>
        <w:sz w:val="14"/>
        <w:szCs w:val="14"/>
      </w:rPr>
      <w:t xml:space="preserve"> / </w:t>
    </w:r>
    <w:r>
      <w:rPr>
        <w:color w:val="7F7F7F"/>
        <w:sz w:val="14"/>
        <w:szCs w:val="14"/>
      </w:rPr>
      <w:fldChar w:fldCharType="begin"/>
    </w:r>
    <w:r>
      <w:rPr>
        <w:color w:val="7F7F7F"/>
        <w:sz w:val="14"/>
        <w:szCs w:val="14"/>
      </w:rPr>
      <w:instrText>NUMPAGES</w:instrText>
    </w:r>
    <w:r>
      <w:rPr>
        <w:color w:val="7F7F7F"/>
        <w:sz w:val="14"/>
        <w:szCs w:val="14"/>
      </w:rPr>
      <w:fldChar w:fldCharType="separate"/>
    </w:r>
    <w:r w:rsidR="00E76838">
      <w:rPr>
        <w:noProof/>
        <w:color w:val="7F7F7F"/>
        <w:sz w:val="14"/>
        <w:szCs w:val="14"/>
      </w:rPr>
      <w:t>2</w:t>
    </w:r>
    <w:r>
      <w:rPr>
        <w:color w:val="7F7F7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A9AAF" w14:textId="77777777" w:rsidR="00121459" w:rsidRDefault="00121459">
      <w:r>
        <w:separator/>
      </w:r>
    </w:p>
  </w:footnote>
  <w:footnote w:type="continuationSeparator" w:id="0">
    <w:p w14:paraId="1FDA9D09" w14:textId="77777777" w:rsidR="00121459" w:rsidRDefault="00121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0344" w:type="dxa"/>
      <w:tblInd w:w="-284" w:type="dxa"/>
      <w:tblBorders>
        <w:top w:val="single" w:sz="4" w:space="0" w:color="FFFFFF" w:themeColor="background1"/>
        <w:left w:val="single" w:sz="4" w:space="0" w:color="FFFFFF" w:themeColor="background1"/>
        <w:bottom w:val="single" w:sz="4" w:space="0" w:color="A6A6A6" w:themeColor="background1" w:themeShade="A6"/>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685"/>
      <w:gridCol w:w="3686"/>
      <w:gridCol w:w="2973"/>
    </w:tblGrid>
    <w:tr w:rsidR="00E76838" w14:paraId="55007C16" w14:textId="77777777" w:rsidTr="00907DC4">
      <w:tc>
        <w:tcPr>
          <w:tcW w:w="3685" w:type="dxa"/>
          <w:vAlign w:val="center"/>
        </w:tcPr>
        <w:p w14:paraId="75C5797F" w14:textId="77777777" w:rsidR="00E76838" w:rsidRDefault="00E76838" w:rsidP="00E76838">
          <w:pPr>
            <w:pStyle w:val="En-tte"/>
            <w:tabs>
              <w:tab w:val="clear" w:pos="4536"/>
              <w:tab w:val="clear" w:pos="9072"/>
            </w:tabs>
            <w:rPr>
              <w:rFonts w:ascii="Arial" w:hAnsi="Arial" w:cs="Arial"/>
              <w:noProof/>
              <w:color w:val="808080"/>
              <w:sz w:val="16"/>
              <w:szCs w:val="16"/>
              <w:lang w:eastAsia="fr-FR"/>
            </w:rPr>
          </w:pPr>
          <w:r>
            <w:rPr>
              <w:rFonts w:ascii="Arial" w:hAnsi="Arial" w:cs="Arial"/>
              <w:noProof/>
              <w:color w:val="808080"/>
              <w:sz w:val="16"/>
              <w:szCs w:val="16"/>
            </w:rPr>
            <w:drawing>
              <wp:inline distT="0" distB="0" distL="0" distR="0" wp14:anchorId="0EA540D2" wp14:editId="74B4702F">
                <wp:extent cx="933450" cy="1015941"/>
                <wp:effectExtent l="0" t="0" r="0" b="0"/>
                <wp:docPr id="95033347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333478" name="Image 950333478"/>
                        <pic:cNvPicPr/>
                      </pic:nvPicPr>
                      <pic:blipFill>
                        <a:blip r:embed="rId1">
                          <a:extLst>
                            <a:ext uri="{28A0092B-C50C-407E-A947-70E740481C1C}">
                              <a14:useLocalDpi xmlns:a14="http://schemas.microsoft.com/office/drawing/2010/main" val="0"/>
                            </a:ext>
                          </a:extLst>
                        </a:blip>
                        <a:stretch>
                          <a:fillRect/>
                        </a:stretch>
                      </pic:blipFill>
                      <pic:spPr>
                        <a:xfrm>
                          <a:off x="0" y="0"/>
                          <a:ext cx="948273" cy="1032074"/>
                        </a:xfrm>
                        <a:prstGeom prst="rect">
                          <a:avLst/>
                        </a:prstGeom>
                      </pic:spPr>
                    </pic:pic>
                  </a:graphicData>
                </a:graphic>
              </wp:inline>
            </w:drawing>
          </w:r>
        </w:p>
      </w:tc>
      <w:tc>
        <w:tcPr>
          <w:tcW w:w="3686" w:type="dxa"/>
          <w:vAlign w:val="center"/>
        </w:tcPr>
        <w:p w14:paraId="33D3037C" w14:textId="77777777" w:rsidR="00E76838" w:rsidRDefault="00E76838" w:rsidP="00E76838">
          <w:pPr>
            <w:pStyle w:val="En-tte"/>
            <w:tabs>
              <w:tab w:val="clear" w:pos="4536"/>
              <w:tab w:val="clear" w:pos="9072"/>
            </w:tabs>
            <w:jc w:val="center"/>
            <w:rPr>
              <w:rFonts w:ascii="Arial" w:hAnsi="Arial" w:cs="Arial"/>
              <w:color w:val="808080"/>
              <w:sz w:val="16"/>
              <w:szCs w:val="16"/>
            </w:rPr>
          </w:pPr>
          <w:r>
            <w:rPr>
              <w:noProof/>
            </w:rPr>
            <w:drawing>
              <wp:anchor distT="0" distB="0" distL="114300" distR="114300" simplePos="0" relativeHeight="251658240" behindDoc="0" locked="0" layoutInCell="1" allowOverlap="1" wp14:anchorId="4940A83F" wp14:editId="50834563">
                <wp:simplePos x="0" y="0"/>
                <wp:positionH relativeFrom="margin">
                  <wp:posOffset>61595</wp:posOffset>
                </wp:positionH>
                <wp:positionV relativeFrom="paragraph">
                  <wp:posOffset>-128905</wp:posOffset>
                </wp:positionV>
                <wp:extent cx="2066925" cy="688340"/>
                <wp:effectExtent l="0" t="0" r="952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REPS MTP FONT ROMEU.jpg"/>
                        <pic:cNvPicPr/>
                      </pic:nvPicPr>
                      <pic:blipFill>
                        <a:blip r:embed="rId2">
                          <a:extLst>
                            <a:ext uri="{28A0092B-C50C-407E-A947-70E740481C1C}">
                              <a14:useLocalDpi xmlns:a14="http://schemas.microsoft.com/office/drawing/2010/main" val="0"/>
                            </a:ext>
                          </a:extLst>
                        </a:blip>
                        <a:stretch>
                          <a:fillRect/>
                        </a:stretch>
                      </pic:blipFill>
                      <pic:spPr>
                        <a:xfrm>
                          <a:off x="0" y="0"/>
                          <a:ext cx="2066925" cy="688340"/>
                        </a:xfrm>
                        <a:prstGeom prst="rect">
                          <a:avLst/>
                        </a:prstGeom>
                      </pic:spPr>
                    </pic:pic>
                  </a:graphicData>
                </a:graphic>
                <wp14:sizeRelH relativeFrom="margin">
                  <wp14:pctWidth>0</wp14:pctWidth>
                </wp14:sizeRelH>
                <wp14:sizeRelV relativeFrom="margin">
                  <wp14:pctHeight>0</wp14:pctHeight>
                </wp14:sizeRelV>
              </wp:anchor>
            </w:drawing>
          </w:r>
        </w:p>
      </w:tc>
      <w:tc>
        <w:tcPr>
          <w:tcW w:w="2973" w:type="dxa"/>
        </w:tcPr>
        <w:p w14:paraId="413979BF" w14:textId="77777777" w:rsidR="00E76838" w:rsidRDefault="00E76838" w:rsidP="00E76838">
          <w:pPr>
            <w:pStyle w:val="En-tte"/>
            <w:tabs>
              <w:tab w:val="clear" w:pos="4536"/>
              <w:tab w:val="clear" w:pos="9072"/>
            </w:tabs>
            <w:jc w:val="right"/>
            <w:rPr>
              <w:rFonts w:ascii="Arial" w:hAnsi="Arial" w:cs="Arial"/>
              <w:color w:val="808080"/>
              <w:sz w:val="16"/>
              <w:szCs w:val="16"/>
            </w:rPr>
          </w:pPr>
          <w:r>
            <w:rPr>
              <w:rFonts w:ascii="Arial" w:hAnsi="Arial" w:cs="Arial"/>
              <w:noProof/>
              <w:color w:val="808080"/>
              <w:sz w:val="16"/>
              <w:szCs w:val="16"/>
            </w:rPr>
            <w:drawing>
              <wp:inline distT="0" distB="0" distL="0" distR="0" wp14:anchorId="5709D243" wp14:editId="2ED43260">
                <wp:extent cx="855024" cy="855024"/>
                <wp:effectExtent l="0" t="0" r="2540" b="2540"/>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oc-logo-quadri.jpg"/>
                        <pic:cNvPicPr/>
                      </pic:nvPicPr>
                      <pic:blipFill>
                        <a:blip r:embed="rId3">
                          <a:extLst>
                            <a:ext uri="{28A0092B-C50C-407E-A947-70E740481C1C}">
                              <a14:useLocalDpi xmlns:a14="http://schemas.microsoft.com/office/drawing/2010/main" val="0"/>
                            </a:ext>
                          </a:extLst>
                        </a:blip>
                        <a:stretch>
                          <a:fillRect/>
                        </a:stretch>
                      </pic:blipFill>
                      <pic:spPr>
                        <a:xfrm>
                          <a:off x="0" y="0"/>
                          <a:ext cx="896649" cy="896649"/>
                        </a:xfrm>
                        <a:prstGeom prst="rect">
                          <a:avLst/>
                        </a:prstGeom>
                      </pic:spPr>
                    </pic:pic>
                  </a:graphicData>
                </a:graphic>
              </wp:inline>
            </w:drawing>
          </w:r>
        </w:p>
      </w:tc>
    </w:tr>
  </w:tbl>
  <w:p w14:paraId="50DE31A7" w14:textId="0F59740B" w:rsidR="00E13394" w:rsidRDefault="00E1339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02C88"/>
    <w:multiLevelType w:val="hybridMultilevel"/>
    <w:tmpl w:val="3FBC71E0"/>
    <w:lvl w:ilvl="0" w:tplc="07EC2798">
      <w:start w:val="1"/>
      <w:numFmt w:val="bullet"/>
      <w:lvlText w:val="•"/>
      <w:lvlJc w:val="left"/>
      <w:pPr>
        <w:ind w:left="500" w:hanging="260"/>
      </w:pPr>
    </w:lvl>
    <w:lvl w:ilvl="1" w:tplc="7D98CE2C">
      <w:numFmt w:val="decimal"/>
      <w:lvlText w:val=""/>
      <w:lvlJc w:val="left"/>
    </w:lvl>
    <w:lvl w:ilvl="2" w:tplc="FD48455C">
      <w:numFmt w:val="decimal"/>
      <w:lvlText w:val=""/>
      <w:lvlJc w:val="left"/>
    </w:lvl>
    <w:lvl w:ilvl="3" w:tplc="48542292">
      <w:numFmt w:val="decimal"/>
      <w:lvlText w:val=""/>
      <w:lvlJc w:val="left"/>
    </w:lvl>
    <w:lvl w:ilvl="4" w:tplc="87BCB45C">
      <w:numFmt w:val="decimal"/>
      <w:lvlText w:val=""/>
      <w:lvlJc w:val="left"/>
    </w:lvl>
    <w:lvl w:ilvl="5" w:tplc="E50468D6">
      <w:numFmt w:val="decimal"/>
      <w:lvlText w:val=""/>
      <w:lvlJc w:val="left"/>
    </w:lvl>
    <w:lvl w:ilvl="6" w:tplc="54780ACA">
      <w:numFmt w:val="decimal"/>
      <w:lvlText w:val=""/>
      <w:lvlJc w:val="left"/>
    </w:lvl>
    <w:lvl w:ilvl="7" w:tplc="21C29A04">
      <w:numFmt w:val="decimal"/>
      <w:lvlText w:val=""/>
      <w:lvlJc w:val="left"/>
    </w:lvl>
    <w:lvl w:ilvl="8" w:tplc="024C7814">
      <w:numFmt w:val="decimal"/>
      <w:lvlText w:val=""/>
      <w:lvlJc w:val="left"/>
    </w:lvl>
  </w:abstractNum>
  <w:abstractNum w:abstractNumId="1" w15:restartNumberingAfterBreak="0">
    <w:nsid w:val="771776DA"/>
    <w:multiLevelType w:val="hybridMultilevel"/>
    <w:tmpl w:val="A3C8CD50"/>
    <w:lvl w:ilvl="0" w:tplc="FB0C92EA">
      <w:start w:val="1"/>
      <w:numFmt w:val="bullet"/>
      <w:lvlText w:val="●"/>
      <w:lvlJc w:val="left"/>
      <w:pPr>
        <w:ind w:left="720" w:hanging="360"/>
      </w:pPr>
    </w:lvl>
    <w:lvl w:ilvl="1" w:tplc="AAEEDE2A">
      <w:start w:val="1"/>
      <w:numFmt w:val="bullet"/>
      <w:lvlText w:val="○"/>
      <w:lvlJc w:val="left"/>
      <w:pPr>
        <w:ind w:left="1440" w:hanging="360"/>
      </w:pPr>
    </w:lvl>
    <w:lvl w:ilvl="2" w:tplc="878C9874">
      <w:start w:val="1"/>
      <w:numFmt w:val="bullet"/>
      <w:lvlText w:val="■"/>
      <w:lvlJc w:val="left"/>
      <w:pPr>
        <w:ind w:left="2160" w:hanging="360"/>
      </w:pPr>
    </w:lvl>
    <w:lvl w:ilvl="3" w:tplc="494EAB2E">
      <w:start w:val="1"/>
      <w:numFmt w:val="bullet"/>
      <w:lvlText w:val="●"/>
      <w:lvlJc w:val="left"/>
      <w:pPr>
        <w:ind w:left="2880" w:hanging="360"/>
      </w:pPr>
    </w:lvl>
    <w:lvl w:ilvl="4" w:tplc="75B0469C">
      <w:start w:val="1"/>
      <w:numFmt w:val="bullet"/>
      <w:lvlText w:val="○"/>
      <w:lvlJc w:val="left"/>
      <w:pPr>
        <w:ind w:left="3600" w:hanging="360"/>
      </w:pPr>
    </w:lvl>
    <w:lvl w:ilvl="5" w:tplc="4904A0AA">
      <w:start w:val="1"/>
      <w:numFmt w:val="bullet"/>
      <w:lvlText w:val="■"/>
      <w:lvlJc w:val="left"/>
      <w:pPr>
        <w:ind w:left="4320" w:hanging="360"/>
      </w:pPr>
    </w:lvl>
    <w:lvl w:ilvl="6" w:tplc="3F9A62F4">
      <w:start w:val="1"/>
      <w:numFmt w:val="bullet"/>
      <w:lvlText w:val="●"/>
      <w:lvlJc w:val="left"/>
      <w:pPr>
        <w:ind w:left="5040" w:hanging="360"/>
      </w:pPr>
    </w:lvl>
    <w:lvl w:ilvl="7" w:tplc="C9647BC8">
      <w:start w:val="1"/>
      <w:numFmt w:val="bullet"/>
      <w:lvlText w:val="●"/>
      <w:lvlJc w:val="left"/>
      <w:pPr>
        <w:ind w:left="5760" w:hanging="360"/>
      </w:pPr>
    </w:lvl>
    <w:lvl w:ilvl="8" w:tplc="29EE0BDA">
      <w:start w:val="1"/>
      <w:numFmt w:val="bullet"/>
      <w:lvlText w:val="●"/>
      <w:lvlJc w:val="left"/>
      <w:pPr>
        <w:ind w:left="6480" w:hanging="360"/>
      </w:pPr>
    </w:lvl>
  </w:abstractNum>
  <w:num w:numId="1" w16cid:durableId="29842354">
    <w:abstractNumId w:val="1"/>
    <w:lvlOverride w:ilvl="0">
      <w:startOverride w:val="1"/>
    </w:lvlOverride>
  </w:num>
  <w:num w:numId="2" w16cid:durableId="118621463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394"/>
    <w:rsid w:val="00052B44"/>
    <w:rsid w:val="00121459"/>
    <w:rsid w:val="003B3ED4"/>
    <w:rsid w:val="00486049"/>
    <w:rsid w:val="004C36A5"/>
    <w:rsid w:val="004D690B"/>
    <w:rsid w:val="00594E52"/>
    <w:rsid w:val="00685313"/>
    <w:rsid w:val="00714826"/>
    <w:rsid w:val="008335CB"/>
    <w:rsid w:val="00A11527"/>
    <w:rsid w:val="00C41F96"/>
    <w:rsid w:val="00DD5320"/>
    <w:rsid w:val="00E13394"/>
    <w:rsid w:val="00E76838"/>
    <w:rsid w:val="00EB34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E315A"/>
  <w15:docId w15:val="{BA968236-6A23-4345-88AA-7D9599E91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pBdr>
        <w:bottom w:val="single" w:sz="6" w:space="4" w:color="1F3864"/>
      </w:pBdr>
      <w:spacing w:before="320" w:after="120"/>
      <w:outlineLvl w:val="0"/>
    </w:pPr>
    <w:rPr>
      <w:b/>
      <w:bCs/>
      <w:color w:val="1F3864"/>
      <w:sz w:val="26"/>
      <w:szCs w:val="26"/>
    </w:rPr>
  </w:style>
  <w:style w:type="paragraph" w:styleId="Titre2">
    <w:name w:val="heading 2"/>
    <w:uiPriority w:val="9"/>
    <w:semiHidden/>
    <w:unhideWhenUsed/>
    <w:qFormat/>
    <w:pPr>
      <w:spacing w:before="220" w:after="100"/>
      <w:outlineLvl w:val="1"/>
    </w:pPr>
    <w:rPr>
      <w:b/>
      <w:bCs/>
      <w:color w:val="2E5A8C"/>
      <w:sz w:val="22"/>
      <w:szCs w:val="22"/>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style>
  <w:style w:type="character" w:customStyle="1" w:styleId="NotedebasdepageCar">
    <w:name w:val="Note de bas de page Car"/>
    <w:link w:val="Notedebasdepage"/>
    <w:uiPriority w:val="99"/>
    <w:semiHidden/>
    <w:unhideWhenUsed/>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style>
  <w:style w:type="character" w:customStyle="1" w:styleId="NotedefinCar">
    <w:name w:val="Note de fin Car"/>
    <w:link w:val="Notedefin"/>
    <w:uiPriority w:val="99"/>
    <w:semiHidden/>
    <w:unhideWhenUsed/>
  </w:style>
  <w:style w:type="paragraph" w:styleId="En-tte">
    <w:name w:val="header"/>
    <w:basedOn w:val="Normal"/>
    <w:link w:val="En-tteCar"/>
    <w:unhideWhenUsed/>
    <w:rsid w:val="00E76838"/>
    <w:pPr>
      <w:tabs>
        <w:tab w:val="center" w:pos="4536"/>
        <w:tab w:val="right" w:pos="9072"/>
      </w:tabs>
    </w:pPr>
  </w:style>
  <w:style w:type="character" w:customStyle="1" w:styleId="En-tteCar">
    <w:name w:val="En-tête Car"/>
    <w:basedOn w:val="Policepardfaut"/>
    <w:link w:val="En-tte"/>
    <w:rsid w:val="00E76838"/>
  </w:style>
  <w:style w:type="paragraph" w:styleId="Pieddepage">
    <w:name w:val="footer"/>
    <w:basedOn w:val="Normal"/>
    <w:link w:val="PieddepageCar"/>
    <w:uiPriority w:val="99"/>
    <w:unhideWhenUsed/>
    <w:rsid w:val="00E76838"/>
    <w:pPr>
      <w:tabs>
        <w:tab w:val="center" w:pos="4536"/>
        <w:tab w:val="right" w:pos="9072"/>
      </w:tabs>
    </w:pPr>
  </w:style>
  <w:style w:type="character" w:customStyle="1" w:styleId="PieddepageCar">
    <w:name w:val="Pied de page Car"/>
    <w:basedOn w:val="Policepardfaut"/>
    <w:link w:val="Pieddepage"/>
    <w:uiPriority w:val="99"/>
    <w:rsid w:val="00E76838"/>
  </w:style>
  <w:style w:type="table" w:styleId="Grilledutableau">
    <w:name w:val="Table Grid"/>
    <w:basedOn w:val="TableauNormal"/>
    <w:uiPriority w:val="39"/>
    <w:rsid w:val="00E768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eff8fc1-a17c-40a4-a373-76f633a8884e" xsi:nil="true"/>
    <MOIS xmlns="b81befa6-c3e0-4a97-a574-9ef985b9ad66" xsi:nil="true"/>
    <lcf76f155ced4ddcb4097134ff3c332f xmlns="b81befa6-c3e0-4a97-a574-9ef985b9ad6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99FAFAF7731541BAF2781DB2C9BAA2" ma:contentTypeVersion="18" ma:contentTypeDescription="Crée un document." ma:contentTypeScope="" ma:versionID="0db886e70d30bd2d1af1bf9963b8d7b5">
  <xsd:schema xmlns:xsd="http://www.w3.org/2001/XMLSchema" xmlns:xs="http://www.w3.org/2001/XMLSchema" xmlns:p="http://schemas.microsoft.com/office/2006/metadata/properties" xmlns:ns2="b81befa6-c3e0-4a97-a574-9ef985b9ad66" xmlns:ns3="beff8fc1-a17c-40a4-a373-76f633a8884e" targetNamespace="http://schemas.microsoft.com/office/2006/metadata/properties" ma:root="true" ma:fieldsID="343acf429d27da9c8293c4623472bad4" ns2:_="" ns3:_="">
    <xsd:import namespace="b81befa6-c3e0-4a97-a574-9ef985b9ad66"/>
    <xsd:import namespace="beff8fc1-a17c-40a4-a373-76f633a88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OIS"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befa6-c3e0-4a97-a574-9ef985b9ad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366c1c3-5e2c-4773-a070-5fd3f451ccd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OIS" ma:index="20" nillable="true" ma:displayName="MOIS" ma:format="Dropdown" ma:internalName="MOIS">
      <xsd:simpleType>
        <xsd:restriction base="dms:Text">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ff8fc1-a17c-40a4-a373-76f633a8884e"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50a3e80c-9c09-42ea-b77f-9e041304e9ce}" ma:internalName="TaxCatchAll" ma:showField="CatchAllData" ma:web="beff8fc1-a17c-40a4-a373-76f633a88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E5C24D-0C34-45D1-B5D5-A169BF2FCD69}">
  <ds:schemaRefs>
    <ds:schemaRef ds:uri="http://schemas.microsoft.com/office/2006/metadata/properties"/>
    <ds:schemaRef ds:uri="http://schemas.microsoft.com/office/infopath/2007/PartnerControls"/>
    <ds:schemaRef ds:uri="beff8fc1-a17c-40a4-a373-76f633a8884e"/>
    <ds:schemaRef ds:uri="b81befa6-c3e0-4a97-a574-9ef985b9ad66"/>
  </ds:schemaRefs>
</ds:datastoreItem>
</file>

<file path=customXml/itemProps2.xml><?xml version="1.0" encoding="utf-8"?>
<ds:datastoreItem xmlns:ds="http://schemas.openxmlformats.org/officeDocument/2006/customXml" ds:itemID="{96D01F8A-FFA9-4DD0-BC94-45A62CF396AE}">
  <ds:schemaRefs>
    <ds:schemaRef ds:uri="http://schemas.microsoft.com/sharepoint/v3/contenttype/forms"/>
  </ds:schemaRefs>
</ds:datastoreItem>
</file>

<file path=customXml/itemProps3.xml><?xml version="1.0" encoding="utf-8"?>
<ds:datastoreItem xmlns:ds="http://schemas.openxmlformats.org/officeDocument/2006/customXml" ds:itemID="{F9A92B39-B6FC-4590-A41E-DAC412465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befa6-c3e0-4a97-a574-9ef985b9ad66"/>
    <ds:schemaRef ds:uri="beff8fc1-a17c-40a4-a373-76f633a88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738</Words>
  <Characters>4064</Characters>
  <Application>Microsoft Office Word</Application>
  <DocSecurity>0</DocSecurity>
  <Lines>33</Lines>
  <Paragraphs>9</Paragraphs>
  <ScaleCrop>false</ScaleCrop>
  <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FABIEN MANIACI</cp:lastModifiedBy>
  <cp:revision>10</cp:revision>
  <dcterms:created xsi:type="dcterms:W3CDTF">2026-07-22T08:00:00Z</dcterms:created>
  <dcterms:modified xsi:type="dcterms:W3CDTF">2026-07-27T06:26:00Z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0x010100FA99FAFAF7731541BAF2781DB2C9BAA2</vt:lpwstr>
  </property>
  <property fmtid="{D5CDD505-2E9C-101B-9397-08002B2CF9AE}" pid="3" name="MediaServiceImageTags">
    <vt:lpwstr/>
  </property>
</Properties>
</file>