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W w:w="9624"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41"/>
        <w:gridCol w:w="5083"/>
      </w:tblGrid>
      <w:tr>
        <w:trPr>
          <w:trHeight w:val="13439" w:hRule="atLeast"/>
        </w:trPr>
        <w:tc>
          <w:tcPr>
            <w:tcW w:w="4541" w:type="dxa"/>
            <w:tcBorders/>
            <w:shd w:color="auto" w:fill="BFBFBF" w:val="clear"/>
            <w:vAlign w:val="bottom"/>
          </w:tcPr>
          <w:p>
            <w:pPr>
              <w:pStyle w:val="Normal"/>
              <w:spacing w:before="8600" w:after="200"/>
              <w:rPr/>
            </w:pPr>
            <w:r>
              <w:rPr>
                <w:b/>
                <w:sz w:val="24"/>
              </w:rPr>
              <w:t>KEOPS architecture</w:t>
              <w:br/>
            </w:r>
            <w:r>
              <w:rPr>
                <w:sz w:val="14"/>
              </w:rPr>
              <w:t>ARCHITECTE</w:t>
              <w:br/>
              <w:t>KEOPS ARCHITECTURE</w:t>
              <w:br/>
              <w:t>86 BOULEVARD BARON DU MARAIS</w:t>
              <w:br/>
              <w:t>Tél : 04 77 72 20 81</w:t>
              <w:br/>
              <w:t>Email : Keops@keopsarchitecture.com</w:t>
            </w:r>
          </w:p>
        </w:tc>
        <w:tc>
          <w:tcPr>
            <w:tcW w:w="5083" w:type="dxa"/>
            <w:tcBorders/>
            <w:vAlign w:val="center"/>
          </w:tcPr>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jc w:val="center"/>
              <w:rPr>
                <w:lang w:val="fr-FR"/>
              </w:rPr>
            </w:pPr>
            <w:r>
              <w:rPr>
                <w:b/>
                <w:color w:val="ED8920"/>
                <w:sz w:val="24"/>
                <w:lang w:val="fr-FR"/>
              </w:rPr>
              <w:t>SOUS-PREFECTURE DE ROANNE</w:t>
            </w:r>
          </w:p>
          <w:p>
            <w:pPr>
              <w:pStyle w:val="Normal"/>
              <w:jc w:val="center"/>
              <w:rPr>
                <w:lang w:val="fr-FR"/>
              </w:rPr>
            </w:pPr>
            <w:r>
              <w:rPr>
                <w:b/>
                <w:sz w:val="20"/>
                <w:lang w:val="fr-FR"/>
              </w:rPr>
              <w:t>REHABILITATION DU PASSAGE COUVERT</w:t>
            </w:r>
          </w:p>
          <w:p>
            <w:pPr>
              <w:pStyle w:val="Normal"/>
              <w:rPr>
                <w:lang w:val="fr-FR"/>
              </w:rPr>
            </w:pPr>
            <w:r>
              <w:rPr>
                <w:lang w:val="fr-FR"/>
              </w:rPr>
            </w:r>
          </w:p>
          <w:p>
            <w:pPr>
              <w:pStyle w:val="Normal"/>
              <w:rPr>
                <w:lang w:val="fr-FR"/>
              </w:rPr>
            </w:pPr>
            <w:r>
              <w:rPr>
                <w:lang w:val="fr-FR"/>
              </w:rPr>
            </w:r>
          </w:p>
          <w:tbl>
            <w:tblPr>
              <w:tblW w:w="5081" w:type="dxa"/>
              <w:jc w:val="start"/>
              <w:tblInd w:w="6" w:type="dxa"/>
              <w:tblLayout w:type="fixed"/>
              <w:tblCellMar>
                <w:top w:w="0" w:type="dxa"/>
                <w:start w:w="108" w:type="dxa"/>
                <w:bottom w:w="0" w:type="dxa"/>
                <w:end w:w="108" w:type="dxa"/>
              </w:tblCellMar>
              <w:tblLook w:firstRow="1" w:noVBand="1" w:lastRow="0" w:firstColumn="1" w:lastColumn="0" w:noHBand="0" w:val="04a0"/>
            </w:tblPr>
            <w:tblGrid>
              <w:gridCol w:w="5081"/>
            </w:tblGrid>
            <w:tr>
              <w:trPr>
                <w:trHeight w:val="1427" w:hRule="atLeast"/>
              </w:trPr>
              <w:tc>
                <w:tcPr>
                  <w:tcW w:w="5081" w:type="dxa"/>
                  <w:tcBorders/>
                </w:tcPr>
                <w:p>
                  <w:pPr>
                    <w:pStyle w:val="Normal"/>
                    <w:spacing w:before="0" w:after="200"/>
                    <w:jc w:val="center"/>
                    <w:rPr>
                      <w:lang w:val="fr-FR"/>
                    </w:rPr>
                  </w:pPr>
                  <w:r>
                    <w:rPr>
                      <w:b/>
                      <w:sz w:val="22"/>
                      <w:lang w:val="fr-FR"/>
                    </w:rPr>
                    <w:t>REGLEMENT DE LA CONSULTATION</w:t>
                    <w:br/>
                    <w:t>MARCHE DE TRAVAUX EN PROCEDURE ADAPTEE</w:t>
                  </w:r>
                </w:p>
              </w:tc>
            </w:tr>
          </w:tbl>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jc w:val="center"/>
              <w:rPr>
                <w:lang w:val="fr-FR"/>
              </w:rPr>
            </w:pPr>
            <w:r>
              <w:rPr/>
            </w:r>
          </w:p>
          <w:p>
            <w:pPr>
              <w:pStyle w:val="Normal"/>
              <w:spacing w:before="0" w:after="200"/>
              <w:jc w:val="center"/>
              <w:rPr/>
            </w:pPr>
            <w:r>
              <w:rPr>
                <w:b/>
              </w:rPr>
              <w:t>Phase : DCE</w:t>
            </w:r>
          </w:p>
        </w:tc>
      </w:tr>
    </w:tbl>
    <w:p>
      <w:pPr>
        <w:pStyle w:val="Normal"/>
        <w:rPr>
          <w:rFonts w:cs="Arial"/>
          <w:lang w:val="fr-FR"/>
        </w:rPr>
      </w:pPr>
      <w:r>
        <w:br w:type="page"/>
      </w:r>
      <w:r>
        <w:rPr>
          <w:rFonts w:cs="Arial"/>
          <w:b/>
          <w:sz w:val="28"/>
          <w:lang w:val="fr-FR"/>
        </w:rPr>
        <w:t>SOMMAIRE</w:t>
      </w:r>
    </w:p>
    <w:p>
      <w:pPr>
        <w:pStyle w:val="Normal"/>
        <w:rPr>
          <w:rFonts w:cs="Arial"/>
          <w:lang w:val="fr-FR"/>
        </w:rPr>
      </w:pPr>
      <w:r>
        <w:rPr>
          <w:rFonts w:cs="Arial"/>
          <w:lang w:val="fr-FR"/>
        </w:rPr>
        <w:t>1 - Objet de la consultation</w:t>
      </w:r>
    </w:p>
    <w:p>
      <w:pPr>
        <w:pStyle w:val="Normal"/>
        <w:rPr>
          <w:rFonts w:cs="Arial"/>
          <w:lang w:val="fr-FR"/>
        </w:rPr>
      </w:pPr>
      <w:r>
        <w:rPr>
          <w:rFonts w:cs="Arial"/>
          <w:lang w:val="fr-FR"/>
        </w:rPr>
        <w:t>2 - Conditions de la consultation</w:t>
      </w:r>
    </w:p>
    <w:p>
      <w:pPr>
        <w:pStyle w:val="Normal"/>
        <w:rPr>
          <w:rFonts w:cs="Arial"/>
          <w:lang w:val="fr-FR"/>
        </w:rPr>
      </w:pPr>
      <w:r>
        <w:rPr>
          <w:rFonts w:cs="Arial"/>
          <w:lang w:val="fr-FR"/>
        </w:rPr>
        <w:t>3 - Présentation des offres</w:t>
      </w:r>
    </w:p>
    <w:p>
      <w:pPr>
        <w:pStyle w:val="Normal"/>
        <w:rPr>
          <w:rFonts w:cs="Arial"/>
          <w:lang w:val="fr-FR"/>
        </w:rPr>
      </w:pPr>
      <w:r>
        <w:rPr>
          <w:rFonts w:cs="Arial"/>
          <w:lang w:val="fr-FR"/>
        </w:rPr>
        <w:t>4 - Jugement et classement des offres</w:t>
      </w:r>
    </w:p>
    <w:p>
      <w:pPr>
        <w:pStyle w:val="Normal"/>
        <w:rPr>
          <w:rFonts w:cs="Arial"/>
          <w:lang w:val="fr-FR"/>
        </w:rPr>
      </w:pPr>
      <w:r>
        <w:rPr>
          <w:rFonts w:cs="Arial"/>
          <w:lang w:val="fr-FR"/>
        </w:rPr>
        <w:t>5 - Conditions d'envoi ou de remise des offres</w:t>
      </w:r>
    </w:p>
    <w:p>
      <w:pPr>
        <w:pStyle w:val="Normal"/>
        <w:rPr>
          <w:rFonts w:cs="Arial"/>
          <w:lang w:val="fr-FR"/>
        </w:rPr>
      </w:pPr>
      <w:r>
        <w:rPr>
          <w:rFonts w:cs="Arial"/>
          <w:lang w:val="fr-FR"/>
        </w:rPr>
        <w:t>6 - Renseignements complémentaires</w:t>
      </w:r>
    </w:p>
    <w:p>
      <w:pPr>
        <w:pStyle w:val="Normal"/>
        <w:rPr>
          <w:rFonts w:cs="Arial"/>
          <w:lang w:val="fr-FR"/>
        </w:rPr>
      </w:pPr>
      <w:r>
        <w:rPr>
          <w:rFonts w:cs="Arial"/>
          <w:lang w:val="fr-FR"/>
        </w:rPr>
      </w:r>
      <w:r>
        <w:br w:type="page"/>
      </w:r>
    </w:p>
    <w:tbl>
      <w:tblPr>
        <w:tblStyle w:val="Grilledutableau"/>
        <w:tblW w:w="9071"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3400"/>
        <w:gridCol w:w="5671"/>
      </w:tblGrid>
      <w:tr>
        <w:trPr/>
        <w:tc>
          <w:tcPr>
            <w:tcW w:w="3400" w:type="dxa"/>
            <w:tcBorders/>
            <w:shd w:color="auto" w:fill="EDEDED" w:val="clear"/>
          </w:tcPr>
          <w:p>
            <w:pPr>
              <w:pStyle w:val="Normal"/>
              <w:pageBreakBefore/>
              <w:widowControl/>
              <w:suppressAutoHyphens w:val="true"/>
              <w:spacing w:lineRule="auto" w:line="240" w:before="0" w:after="0"/>
              <w:jc w:val="center"/>
              <w:rPr>
                <w:rFonts w:cs="Arial"/>
              </w:rPr>
            </w:pPr>
            <w:r>
              <w:rPr>
                <w:rFonts w:cs="Arial"/>
                <w:b/>
                <w:kern w:val="0"/>
                <w:sz w:val="16"/>
                <w:szCs w:val="22"/>
                <w:lang w:val="en-US" w:eastAsia="en-US" w:bidi="ar-SA"/>
              </w:rPr>
              <w:t>Intervenant</w:t>
            </w:r>
          </w:p>
        </w:tc>
        <w:tc>
          <w:tcPr>
            <w:tcW w:w="5671"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Coordonnées</w:t>
            </w:r>
          </w:p>
        </w:tc>
      </w:tr>
      <w:tr>
        <w:trPr/>
        <w:tc>
          <w:tcPr>
            <w:tcW w:w="340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Maître d’ouvrage / Pouvoir adjudicateur</w:t>
            </w:r>
          </w:p>
        </w:tc>
        <w:tc>
          <w:tcPr>
            <w:tcW w:w="5671" w:type="dxa"/>
            <w:tcBorders/>
          </w:tcPr>
          <w:p>
            <w:pPr>
              <w:pStyle w:val="Normal"/>
              <w:widowControl/>
              <w:suppressAutoHyphens w:val="true"/>
              <w:spacing w:lineRule="auto" w:line="240" w:before="0" w:after="0"/>
              <w:jc w:val="start"/>
              <w:rPr>
                <w:highlight w:val="none"/>
                <w:shd w:fill="FFFFFF" w:val="clear"/>
              </w:rPr>
            </w:pPr>
            <w:r>
              <w:rPr>
                <w:rFonts w:cs="Arial"/>
                <w:kern w:val="0"/>
                <w:sz w:val="16"/>
                <w:szCs w:val="16"/>
                <w:shd w:fill="FFFFFF" w:val="clear"/>
                <w:lang w:val="fr-FR" w:eastAsia="en-US" w:bidi="ar-SA"/>
              </w:rPr>
              <w:t>Sous-Préfecture de Roanne / Préfecture de la Loire</w:t>
            </w:r>
          </w:p>
          <w:p>
            <w:pPr>
              <w:pStyle w:val="Normal"/>
              <w:widowControl/>
              <w:suppressAutoHyphens w:val="true"/>
              <w:spacing w:lineRule="auto" w:line="240" w:before="0" w:after="0"/>
              <w:jc w:val="start"/>
              <w:rPr>
                <w:highlight w:val="none"/>
                <w:shd w:fill="FFFFFF" w:val="clear"/>
              </w:rPr>
            </w:pPr>
            <w:r>
              <w:rPr>
                <w:rFonts w:cs="Arial"/>
                <w:kern w:val="0"/>
                <w:sz w:val="16"/>
                <w:szCs w:val="16"/>
                <w:shd w:fill="FFFFFF" w:val="clear"/>
                <w:lang w:val="fr-FR" w:eastAsia="en-US" w:bidi="ar-SA"/>
              </w:rPr>
              <w:t>2 rue Charles de Gaulle</w:t>
            </w:r>
          </w:p>
          <w:p>
            <w:pPr>
              <w:pStyle w:val="Normal"/>
              <w:widowControl/>
              <w:suppressAutoHyphens w:val="true"/>
              <w:spacing w:lineRule="auto" w:line="240" w:before="0" w:after="0"/>
              <w:jc w:val="start"/>
              <w:rPr>
                <w:highlight w:val="none"/>
                <w:shd w:fill="FFFFFF" w:val="clear"/>
              </w:rPr>
            </w:pPr>
            <w:r>
              <w:rPr>
                <w:rFonts w:cs="Arial"/>
                <w:kern w:val="0"/>
                <w:sz w:val="16"/>
                <w:szCs w:val="16"/>
                <w:shd w:fill="FFFFFF" w:val="clear"/>
                <w:lang w:val="fr-FR" w:eastAsia="en-US" w:bidi="ar-SA"/>
              </w:rPr>
              <w:t>42 022 SAINT-ETIENNE Cedex 01</w:t>
            </w:r>
          </w:p>
          <w:p>
            <w:pPr>
              <w:pStyle w:val="Normal"/>
              <w:widowControl/>
              <w:suppressAutoHyphens w:val="true"/>
              <w:spacing w:lineRule="auto" w:line="240" w:before="0" w:after="0"/>
              <w:jc w:val="start"/>
              <w:rPr>
                <w:rFonts w:cs="Arial"/>
                <w:highlight w:val="none"/>
                <w:shd w:fill="FFFFFF" w:val="clear"/>
                <w:lang w:val="fr-FR"/>
              </w:rPr>
            </w:pPr>
            <w:r>
              <w:rPr>
                <w:rFonts w:cs="Arial"/>
                <w:shd w:fill="FFFFFF" w:val="clear"/>
                <w:lang w:val="fr-FR"/>
              </w:rPr>
            </w:r>
          </w:p>
        </w:tc>
      </w:tr>
      <w:tr>
        <w:trPr/>
        <w:tc>
          <w:tcPr>
            <w:tcW w:w="340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Maître d’œuvre</w:t>
            </w:r>
          </w:p>
        </w:tc>
        <w:tc>
          <w:tcPr>
            <w:tcW w:w="5671" w:type="dxa"/>
            <w:tcBorders/>
          </w:tcPr>
          <w:p>
            <w:pPr>
              <w:pStyle w:val="Normal"/>
              <w:widowControl/>
              <w:suppressAutoHyphens w:val="true"/>
              <w:spacing w:lineRule="auto" w:line="240" w:before="0" w:after="0"/>
              <w:jc w:val="start"/>
              <w:rPr>
                <w:highlight w:val="none"/>
                <w:shd w:fill="FFFFFF" w:val="clear"/>
              </w:rPr>
            </w:pPr>
            <w:r>
              <w:rPr>
                <w:rFonts w:cs="Arial"/>
                <w:kern w:val="0"/>
                <w:sz w:val="16"/>
                <w:szCs w:val="22"/>
                <w:shd w:fill="FFFFFF" w:val="clear"/>
                <w:lang w:val="fr-FR" w:eastAsia="en-US" w:bidi="ar-SA"/>
              </w:rPr>
              <w:t>KEOPS ARCHITECTURE</w:t>
              <w:br/>
              <w:t>86 boulevard Baron du Marais</w:t>
            </w:r>
          </w:p>
          <w:p>
            <w:pPr>
              <w:pStyle w:val="Normal"/>
              <w:widowControl/>
              <w:suppressAutoHyphens w:val="true"/>
              <w:spacing w:lineRule="auto" w:line="240" w:before="0" w:after="0"/>
              <w:jc w:val="start"/>
              <w:rPr>
                <w:highlight w:val="none"/>
                <w:shd w:fill="FFFFFF" w:val="clear"/>
              </w:rPr>
            </w:pPr>
            <w:r>
              <w:rPr>
                <w:rFonts w:cs="Arial"/>
                <w:kern w:val="0"/>
                <w:sz w:val="16"/>
                <w:szCs w:val="22"/>
                <w:shd w:fill="FFFFFF" w:val="clear"/>
                <w:lang w:val="fr-FR" w:eastAsia="en-US" w:bidi="ar-SA"/>
              </w:rPr>
              <w:t>42 300 ROANNE</w:t>
              <w:br/>
              <w:t>Tél. : 04 77 72 20 81</w:t>
              <w:br/>
              <w:t>Courriel : Keops@keopsarchitecture.com</w:t>
            </w:r>
          </w:p>
        </w:tc>
      </w:tr>
      <w:tr>
        <w:trPr/>
        <w:tc>
          <w:tcPr>
            <w:tcW w:w="340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Contrôle technique</w:t>
            </w:r>
          </w:p>
        </w:tc>
        <w:tc>
          <w:tcPr>
            <w:tcW w:w="5671" w:type="dxa"/>
            <w:tcBorders/>
          </w:tcPr>
          <w:p>
            <w:pPr>
              <w:pStyle w:val="Normal"/>
              <w:suppressAutoHyphens w:val="true"/>
              <w:spacing w:lineRule="auto" w:line="240" w:before="0" w:after="0"/>
              <w:rPr/>
            </w:pPr>
            <w:r>
              <w:rPr>
                <w:rStyle w:val="Policepardfaut"/>
                <w:rFonts w:cs="Arial"/>
                <w:sz w:val="16"/>
                <w:szCs w:val="16"/>
                <w:shd w:fill="FFFFFF" w:val="clear"/>
                <w:lang w:val="fr-FR"/>
              </w:rPr>
              <w:t xml:space="preserve">QUALICONSULT – 5 bis rue Claude chappe, parc de Crécy – 69771 SAINT DIDIER AU MONT </w:t>
            </w:r>
            <w:r>
              <w:rPr>
                <w:rStyle w:val="Policepardfaut"/>
                <w:rFonts w:cs="Arial"/>
                <w:sz w:val="16"/>
                <w:szCs w:val="16"/>
                <w:shd w:fill="FFFFFF" w:val="clear"/>
                <w:lang w:val="fr-FR"/>
              </w:rPr>
              <w:t>D’OR</w:t>
            </w:r>
          </w:p>
        </w:tc>
      </w:tr>
      <w:tr>
        <w:trPr/>
        <w:tc>
          <w:tcPr>
            <w:tcW w:w="340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Coordonnateur SPS</w:t>
            </w:r>
          </w:p>
        </w:tc>
        <w:tc>
          <w:tcPr>
            <w:tcW w:w="5671" w:type="dxa"/>
            <w:tcBorders/>
          </w:tcPr>
          <w:p>
            <w:pPr>
              <w:pStyle w:val="FooterChar"/>
              <w:widowControl/>
              <w:tabs>
                <w:tab w:val="clear" w:pos="720"/>
                <w:tab w:val="left" w:pos="400" w:leader="none"/>
              </w:tabs>
              <w:jc w:val="both"/>
              <w:rPr>
                <w:color w:val="000000"/>
                <w:sz w:val="24"/>
                <w:szCs w:val="24"/>
                <w:highlight w:val="none"/>
                <w:shd w:fill="FFFFFF" w:val="clear"/>
                <w:lang w:eastAsia="fr-FR"/>
              </w:rPr>
            </w:pPr>
            <w:r>
              <w:rPr>
                <w:rFonts w:cs="Arial"/>
                <w:color w:val="000000"/>
                <w:kern w:val="0"/>
                <w:sz w:val="16"/>
                <w:szCs w:val="22"/>
                <w:shd w:fill="FFFFFF" w:val="clear"/>
                <w:lang w:val="fr-FR" w:eastAsia="en-US" w:bidi="ar-SA"/>
              </w:rPr>
              <w:t>APAVE Infrastructures et Construction – 5 rue Alice Guy Blache 69800 SAINT PRIEST</w:t>
            </w:r>
          </w:p>
        </w:tc>
      </w:tr>
      <w:tr>
        <w:trPr/>
        <w:tc>
          <w:tcPr>
            <w:tcW w:w="340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Profil acheteur</w:t>
            </w:r>
          </w:p>
        </w:tc>
        <w:tc>
          <w:tcPr>
            <w:tcW w:w="5671" w:type="dxa"/>
            <w:tcBorders/>
          </w:tcPr>
          <w:p>
            <w:pPr>
              <w:pStyle w:val="Normal"/>
              <w:widowControl/>
              <w:suppressAutoHyphens w:val="true"/>
              <w:spacing w:lineRule="auto" w:line="240" w:before="0" w:after="0"/>
              <w:jc w:val="start"/>
              <w:rPr>
                <w:highlight w:val="none"/>
                <w:shd w:fill="FFFFFF" w:val="clear"/>
              </w:rPr>
            </w:pPr>
            <w:r>
              <w:rPr>
                <w:rFonts w:cs="Arial"/>
                <w:kern w:val="0"/>
                <w:sz w:val="16"/>
                <w:szCs w:val="22"/>
                <w:shd w:fill="FFFFFF" w:val="clear"/>
                <w:lang w:val="fr-FR" w:eastAsia="en-US" w:bidi="ar-SA"/>
              </w:rPr>
              <w:t>PLACE – Plateforme des Achats de l’Etat</w:t>
            </w:r>
          </w:p>
        </w:tc>
      </w:tr>
    </w:tbl>
    <w:p>
      <w:pPr>
        <w:pStyle w:val="Heading1"/>
        <w:rPr>
          <w:rFonts w:ascii="Arial" w:hAnsi="Arial" w:cs="Arial"/>
          <w:lang w:val="fr-FR"/>
        </w:rPr>
      </w:pPr>
      <w:r>
        <w:rPr>
          <w:rFonts w:cs="Arial" w:ascii="Arial" w:hAnsi="Arial"/>
          <w:lang w:val="fr-FR"/>
        </w:rPr>
        <w:t>1 - OBJET DE LA CONSULTATION</w:t>
      </w:r>
    </w:p>
    <w:p>
      <w:pPr>
        <w:pStyle w:val="Normal"/>
        <w:jc w:val="both"/>
        <w:rPr>
          <w:rFonts w:cs="Arial"/>
          <w:lang w:val="fr-FR"/>
        </w:rPr>
      </w:pPr>
      <w:r>
        <w:rPr>
          <w:rFonts w:cs="Arial"/>
          <w:lang w:val="fr-FR"/>
        </w:rPr>
        <w:t>La présente consultation concerne un marché public de travaux relatif à la réhabilitation du passage couvert de la Sous-Préfecture de Roanne.</w:t>
      </w:r>
    </w:p>
    <w:p>
      <w:pPr>
        <w:pStyle w:val="Normal"/>
        <w:jc w:val="both"/>
        <w:rPr>
          <w:rFonts w:cs="Arial"/>
          <w:lang w:val="fr-FR"/>
        </w:rPr>
      </w:pPr>
      <w:r>
        <w:rPr>
          <w:rFonts w:cs="Arial"/>
          <w:lang w:val="fr-FR"/>
        </w:rPr>
        <w:t>L’opération comprend notamment des interventions de menuiseries bois intérieures et extérieures, d’ossature bois, bardage, couverture, étanchéité, peinture, aérogommage et électricité, conformément aux pièces techniques du dossier de consultation des entreprises.</w:t>
      </w:r>
    </w:p>
    <w:p>
      <w:pPr>
        <w:pStyle w:val="Normal"/>
        <w:jc w:val="both"/>
        <w:rPr>
          <w:rFonts w:cs="Arial"/>
          <w:lang w:val="fr-FR"/>
        </w:rPr>
      </w:pPr>
      <w:r>
        <w:rPr>
          <w:rFonts w:cs="Arial"/>
          <w:lang w:val="fr-FR"/>
        </w:rPr>
        <w:t>Lieu d’exécution : Sous-Préfecture de Roanne, Rue Joseph Déchelette à ROANNE (42 300)</w:t>
      </w:r>
    </w:p>
    <w:p>
      <w:pPr>
        <w:pStyle w:val="Heading1"/>
        <w:rPr>
          <w:rFonts w:ascii="Arial" w:hAnsi="Arial" w:cs="Arial"/>
          <w:lang w:val="fr-FR"/>
        </w:rPr>
      </w:pPr>
      <w:r>
        <w:rPr>
          <w:rFonts w:cs="Arial" w:ascii="Arial" w:hAnsi="Arial"/>
          <w:lang w:val="fr-FR"/>
        </w:rPr>
        <w:t>2 - CONDITIONS DE LA CONSULTATION</w:t>
      </w:r>
    </w:p>
    <w:p>
      <w:pPr>
        <w:pStyle w:val="Heading2"/>
        <w:rPr>
          <w:rFonts w:ascii="Arial" w:hAnsi="Arial" w:cs="Arial"/>
          <w:lang w:val="fr-FR"/>
        </w:rPr>
      </w:pPr>
      <w:r>
        <w:rPr>
          <w:rFonts w:cs="Arial" w:ascii="Arial" w:hAnsi="Arial"/>
          <w:lang w:val="fr-FR"/>
        </w:rPr>
        <w:t>2.1. Définition de la procédure</w:t>
      </w:r>
    </w:p>
    <w:p>
      <w:pPr>
        <w:pStyle w:val="Normal"/>
        <w:jc w:val="both"/>
        <w:rPr>
          <w:rFonts w:cs="Arial"/>
          <w:lang w:val="fr-FR"/>
        </w:rPr>
      </w:pPr>
      <w:r>
        <w:rPr>
          <w:rFonts w:cs="Arial"/>
          <w:lang w:val="fr-FR"/>
        </w:rPr>
        <w:t>Les marchés sont passés selon une procédure adaptée, conformément aux dispositions du Code de la commande publique, notamment ses articles L.2123-1 et R.2123-1, sous réserve de la valeur estimée du besoin et des validations administratives du pouvoir adjudicateur.</w:t>
      </w:r>
    </w:p>
    <w:p>
      <w:pPr>
        <w:pStyle w:val="Heading2"/>
        <w:rPr>
          <w:rFonts w:ascii="Arial" w:hAnsi="Arial" w:cs="Arial"/>
          <w:lang w:val="fr-FR"/>
        </w:rPr>
      </w:pPr>
      <w:r>
        <w:rPr>
          <w:rFonts w:cs="Arial" w:ascii="Arial" w:hAnsi="Arial"/>
          <w:lang w:val="fr-FR"/>
        </w:rPr>
        <w:t>2.2. Décomposition en lots</w:t>
      </w:r>
    </w:p>
    <w:p>
      <w:pPr>
        <w:pStyle w:val="Normal"/>
        <w:jc w:val="both"/>
        <w:rPr>
          <w:rFonts w:cs="Arial"/>
          <w:lang w:val="fr-FR"/>
        </w:rPr>
      </w:pPr>
      <w:r>
        <w:rPr>
          <w:rFonts w:cs="Arial"/>
          <w:lang w:val="fr-FR"/>
        </w:rPr>
        <w:t>Les travaux sont répartis en 4 lots et donnent lieu à des marchés séparés. Les candidats peuvent présenter une offre pour un ou plusieurs lots.</w:t>
      </w:r>
    </w:p>
    <w:tbl>
      <w:tblPr>
        <w:tblStyle w:val="Grilledutableau"/>
        <w:tblW w:w="9071"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699"/>
        <w:gridCol w:w="7372"/>
      </w:tblGrid>
      <w:tr>
        <w:trPr/>
        <w:tc>
          <w:tcPr>
            <w:tcW w:w="1699"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Lot</w:t>
            </w:r>
          </w:p>
        </w:tc>
        <w:tc>
          <w:tcPr>
            <w:tcW w:w="7372"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Intitulé</w:t>
            </w:r>
          </w:p>
        </w:tc>
      </w:tr>
      <w:tr>
        <w:trPr/>
        <w:tc>
          <w:tcPr>
            <w:tcW w:w="1699"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Lot n°01</w:t>
            </w:r>
          </w:p>
        </w:tc>
        <w:tc>
          <w:tcPr>
            <w:tcW w:w="7372"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Menuiseries intérieures / extérieures / Signalétique</w:t>
            </w:r>
          </w:p>
        </w:tc>
      </w:tr>
      <w:tr>
        <w:trPr/>
        <w:tc>
          <w:tcPr>
            <w:tcW w:w="1699"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Lot n°02</w:t>
            </w:r>
          </w:p>
        </w:tc>
        <w:tc>
          <w:tcPr>
            <w:tcW w:w="7372" w:type="dxa"/>
            <w:tcBorders/>
          </w:tcPr>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Ossature bois - Bardage - Couverture - Étanchéité</w:t>
            </w:r>
          </w:p>
        </w:tc>
      </w:tr>
      <w:tr>
        <w:trPr/>
        <w:tc>
          <w:tcPr>
            <w:tcW w:w="1699"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Lot n°03</w:t>
            </w:r>
          </w:p>
        </w:tc>
        <w:tc>
          <w:tcPr>
            <w:tcW w:w="7372"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Peinture - Aérogommage</w:t>
            </w:r>
          </w:p>
        </w:tc>
      </w:tr>
      <w:tr>
        <w:trPr/>
        <w:tc>
          <w:tcPr>
            <w:tcW w:w="1699"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Lot n°04</w:t>
            </w:r>
          </w:p>
        </w:tc>
        <w:tc>
          <w:tcPr>
            <w:tcW w:w="7372"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Électricité</w:t>
            </w:r>
          </w:p>
        </w:tc>
      </w:tr>
    </w:tbl>
    <w:p>
      <w:pPr>
        <w:pStyle w:val="Heading2"/>
        <w:rPr>
          <w:rFonts w:ascii="Arial" w:hAnsi="Arial" w:cs="Arial"/>
        </w:rPr>
      </w:pPr>
      <w:r>
        <w:rPr>
          <w:rFonts w:cs="Arial" w:ascii="Arial" w:hAnsi="Arial"/>
        </w:rPr>
        <w:t>2.3. Nature de l’attributaire</w:t>
      </w:r>
    </w:p>
    <w:p>
      <w:pPr>
        <w:pStyle w:val="Normal"/>
        <w:jc w:val="both"/>
        <w:rPr>
          <w:rFonts w:cs="Arial"/>
          <w:lang w:val="fr-FR"/>
        </w:rPr>
      </w:pPr>
      <w:r>
        <w:rPr>
          <w:rFonts w:cs="Arial"/>
          <w:lang w:val="fr-FR"/>
        </w:rPr>
        <w:t>Pour chacun des lots, les entreprises peuvent présenter une candidature en entreprise unique ou en groupement d’entreprises. En cas de groupement conjoint, le mandataire sera solidaire de chacun des membres du groupement pour l’exécution du marché.</w:t>
      </w:r>
    </w:p>
    <w:p>
      <w:pPr>
        <w:pStyle w:val="Heading2"/>
        <w:rPr>
          <w:rFonts w:ascii="Arial" w:hAnsi="Arial" w:cs="Arial"/>
          <w:lang w:val="fr-FR"/>
        </w:rPr>
      </w:pPr>
      <w:r>
        <w:rPr>
          <w:rFonts w:cs="Arial" w:ascii="Arial" w:hAnsi="Arial"/>
          <w:lang w:val="fr-FR"/>
        </w:rPr>
        <w:t>2.4. Variantes et prestations supplémentaires éventuelles</w:t>
      </w:r>
    </w:p>
    <w:p>
      <w:pPr>
        <w:pStyle w:val="Normal"/>
        <w:jc w:val="both"/>
        <w:rPr>
          <w:rFonts w:cs="Arial"/>
          <w:lang w:val="fr-FR"/>
        </w:rPr>
      </w:pPr>
      <w:r>
        <w:rPr>
          <w:rFonts w:cs="Arial"/>
          <w:lang w:val="fr-FR"/>
        </w:rPr>
        <w:t>Les variantes à l’initiative des candidats sont refusées, sauf mention contraire dans les pièces particulières du dossier de consultation. Les prestations supplémentaires éventuelles seront expressément identifiées dans l’acte d’engagement et/ou la DPGF le cas échéant.</w:t>
      </w:r>
    </w:p>
    <w:p>
      <w:pPr>
        <w:pStyle w:val="Heading2"/>
        <w:rPr>
          <w:rFonts w:ascii="Arial" w:hAnsi="Arial" w:cs="Arial"/>
          <w:lang w:val="fr-FR"/>
        </w:rPr>
      </w:pPr>
      <w:r>
        <w:rPr>
          <w:rFonts w:cs="Arial" w:ascii="Arial" w:hAnsi="Arial"/>
          <w:lang w:val="fr-FR"/>
        </w:rPr>
        <w:t>2.5. Délai d’exécution</w:t>
      </w:r>
    </w:p>
    <w:p>
      <w:pPr>
        <w:pStyle w:val="Normal"/>
        <w:jc w:val="both"/>
        <w:rPr>
          <w:rFonts w:cs="Arial"/>
          <w:lang w:val="fr-FR"/>
        </w:rPr>
      </w:pPr>
      <w:r>
        <w:rPr>
          <w:rFonts w:cs="Arial"/>
          <w:lang w:val="fr-FR"/>
        </w:rPr>
        <w:t>Le délai global d’exécution figure à l’acte d’engagement et au planning prévisionnel joint au DCE. Le candidat remettra un planning d’exécution détaillé compatible avec les contraintes du site et les interventions des autres corps d’état.</w:t>
      </w:r>
    </w:p>
    <w:p>
      <w:pPr>
        <w:pStyle w:val="Heading2"/>
        <w:rPr>
          <w:rFonts w:ascii="Arial" w:hAnsi="Arial" w:cs="Arial"/>
          <w:lang w:val="fr-FR"/>
        </w:rPr>
      </w:pPr>
      <w:r>
        <w:rPr>
          <w:rFonts w:cs="Arial" w:ascii="Arial" w:hAnsi="Arial"/>
          <w:lang w:val="fr-FR"/>
        </w:rPr>
        <w:t>2.6. Visite sur site</w:t>
      </w:r>
    </w:p>
    <w:p>
      <w:pPr>
        <w:pStyle w:val="Normal"/>
        <w:jc w:val="both"/>
        <w:rPr>
          <w:rFonts w:cs="Arial"/>
          <w:lang w:val="fr-FR"/>
        </w:rPr>
      </w:pPr>
      <w:r>
        <w:rPr>
          <w:rFonts w:cs="Arial"/>
          <w:lang w:val="fr-FR"/>
        </w:rPr>
        <w:t>La visite du site est obligatoire. Un certificat de visite sera remis ou signé à l’issue de la visite et devra être joint à l’offre.</w:t>
      </w:r>
    </w:p>
    <w:p>
      <w:pPr>
        <w:pStyle w:val="Normal"/>
        <w:jc w:val="both"/>
        <w:rPr>
          <w:rFonts w:cs="Arial"/>
          <w:lang w:val="fr-FR"/>
        </w:rPr>
      </w:pPr>
      <w:r>
        <w:rPr>
          <w:rFonts w:cs="Arial"/>
          <w:lang w:val="fr-FR"/>
        </w:rPr>
        <w:t>Les dates de visites sont : le 22 juillet ou le 27 juillet 2026. Il conviendra de s’inscrire auprès de KEOPS, par mail à l’adresse suivante : keops@keopsarchitecture.com</w:t>
      </w:r>
    </w:p>
    <w:p>
      <w:pPr>
        <w:pStyle w:val="Heading2"/>
        <w:rPr>
          <w:rFonts w:ascii="Arial" w:hAnsi="Arial" w:cs="Arial"/>
          <w:lang w:val="fr-FR"/>
        </w:rPr>
      </w:pPr>
      <w:r>
        <w:rPr>
          <w:rFonts w:cs="Arial" w:ascii="Arial" w:hAnsi="Arial"/>
          <w:lang w:val="fr-FR"/>
        </w:rPr>
        <w:t>2.7. Modifications de détail au dossier de consultation</w:t>
      </w:r>
    </w:p>
    <w:p>
      <w:pPr>
        <w:pStyle w:val="Normal"/>
        <w:jc w:val="both"/>
        <w:rPr>
          <w:rFonts w:cs="Arial"/>
          <w:lang w:val="fr-FR"/>
        </w:rPr>
      </w:pPr>
      <w:r>
        <w:rPr>
          <w:rFonts w:cs="Arial"/>
          <w:lang w:val="fr-FR"/>
        </w:rPr>
        <w:t>Le pouvoir adjudicateur se réserve le droit d’apporter des modifications de détail au dossier de consultation au plus tard 6 jours avant la date limite de réception des offres, ou dans tout délai indiqué dans l’avis de publicité. Les candidats devront répondre sur la base du dossier modifié sans pouvoir élever de réclamation.</w:t>
      </w:r>
    </w:p>
    <w:p>
      <w:pPr>
        <w:pStyle w:val="Normal"/>
        <w:jc w:val="both"/>
        <w:rPr>
          <w:rFonts w:cs="Arial"/>
          <w:lang w:val="fr-FR"/>
        </w:rPr>
      </w:pPr>
      <w:r>
        <w:rPr>
          <w:rFonts w:cs="Arial"/>
          <w:b/>
          <w:bCs/>
          <w:lang w:val="fr-FR"/>
        </w:rPr>
        <w:t>2.8 – Demandes de renseignements complémentaires</w:t>
      </w:r>
    </w:p>
    <w:p>
      <w:pPr>
        <w:pStyle w:val="Normal"/>
        <w:spacing w:lineRule="auto" w:line="240" w:before="0" w:after="0"/>
        <w:jc w:val="both"/>
        <w:rPr>
          <w:rFonts w:cs="Arial"/>
          <w:lang w:val="fr-FR"/>
        </w:rPr>
      </w:pPr>
      <w:r>
        <w:rPr>
          <w:rFonts w:cs="Arial"/>
          <w:lang w:val="fr-FR"/>
        </w:rPr>
        <w:t>Les candidats souhaitant obtenir des renseignements complémentaires relatifs au présent marché doivent transmettre leurs questions exclusivement par l'intermédiaire du profil d'acheteur indiqué dans l'avis de marché.</w:t>
      </w:r>
    </w:p>
    <w:p>
      <w:pPr>
        <w:pStyle w:val="Normal"/>
        <w:spacing w:lineRule="auto" w:line="240" w:before="0" w:after="0"/>
        <w:jc w:val="both"/>
        <w:rPr>
          <w:rFonts w:cs="Arial"/>
          <w:lang w:val="fr-FR"/>
        </w:rPr>
      </w:pPr>
      <w:r>
        <w:rPr>
          <w:rFonts w:cs="Arial"/>
          <w:lang w:val="fr-FR"/>
        </w:rPr>
        <w:t xml:space="preserve">Les demandes de renseignements complémentaires sont recevables jusqu'à </w:t>
      </w:r>
      <w:r>
        <w:rPr>
          <w:rFonts w:cs="Arial"/>
          <w:b/>
          <w:bCs/>
          <w:lang w:val="fr-FR"/>
        </w:rPr>
        <w:t>dix (10) jours calendaires avant la date limite de remise des offres</w:t>
      </w:r>
      <w:r>
        <w:rPr>
          <w:rFonts w:cs="Arial"/>
          <w:lang w:val="fr-FR"/>
        </w:rPr>
        <w:t>.</w:t>
      </w:r>
    </w:p>
    <w:p>
      <w:pPr>
        <w:pStyle w:val="Normal"/>
        <w:spacing w:lineRule="auto" w:line="240" w:before="0" w:after="0"/>
        <w:jc w:val="both"/>
        <w:rPr>
          <w:rFonts w:cs="Arial"/>
          <w:lang w:val="fr-FR"/>
        </w:rPr>
      </w:pPr>
      <w:r>
        <w:rPr>
          <w:rFonts w:cs="Arial"/>
          <w:lang w:val="fr-FR"/>
        </w:rPr>
        <w:t xml:space="preserve">Les réponses apportées par le pouvoir adjudicateur, ainsi que toute information complémentaire jugée utile à la bonne compréhension du dossier de consultation, seront communiquées à l'ensemble des opérateurs économiques ayant retiré le dossier de consultation, par l'intermédiaire du profil d'acheteur, au plus tard </w:t>
      </w:r>
      <w:r>
        <w:rPr>
          <w:rFonts w:cs="Arial"/>
          <w:b/>
          <w:bCs/>
          <w:lang w:val="fr-FR"/>
        </w:rPr>
        <w:t>six (6) jours calendaires avant la date limite de remise des offres</w:t>
      </w:r>
      <w:r>
        <w:rPr>
          <w:rFonts w:cs="Arial"/>
          <w:lang w:val="fr-FR"/>
        </w:rPr>
        <w:t>.</w:t>
      </w:r>
    </w:p>
    <w:p>
      <w:pPr>
        <w:pStyle w:val="Normal"/>
        <w:spacing w:lineRule="auto" w:line="240" w:before="0" w:after="0"/>
        <w:jc w:val="both"/>
        <w:rPr>
          <w:rFonts w:cs="Arial"/>
          <w:lang w:val="fr-FR"/>
        </w:rPr>
      </w:pPr>
      <w:r>
        <w:rPr>
          <w:rFonts w:cs="Arial"/>
          <w:lang w:val="fr-FR"/>
        </w:rPr>
        <w:t>Aucune réponse ne sera apportée aux questions reçues après l'expiration du délai précité.</w:t>
      </w:r>
    </w:p>
    <w:p>
      <w:pPr>
        <w:pStyle w:val="Normal"/>
        <w:spacing w:lineRule="auto" w:line="240" w:before="0" w:after="0"/>
        <w:jc w:val="both"/>
        <w:rPr>
          <w:rFonts w:cs="Arial"/>
          <w:lang w:val="fr-FR"/>
        </w:rPr>
      </w:pPr>
      <w:r>
        <w:rPr>
          <w:rFonts w:cs="Arial"/>
          <w:lang w:val="fr-FR"/>
        </w:rPr>
        <w:t>Les candidats sont invités à consulter régulièrement le profil d'acheteur afin de prendre connaissance des éventuelles informations ou précisions diffusées en cours de consultation.</w:t>
      </w:r>
    </w:p>
    <w:p>
      <w:pPr>
        <w:pStyle w:val="Heading2"/>
        <w:rPr>
          <w:rFonts w:ascii="Arial" w:hAnsi="Arial" w:cs="Arial"/>
          <w:lang w:val="fr-FR"/>
        </w:rPr>
      </w:pPr>
      <w:r>
        <w:rPr>
          <w:rFonts w:cs="Arial" w:ascii="Arial" w:hAnsi="Arial"/>
          <w:lang w:val="fr-FR"/>
        </w:rPr>
        <w:t>2.9. Délai de validité des offres</w:t>
      </w:r>
    </w:p>
    <w:p>
      <w:pPr>
        <w:pStyle w:val="Normal"/>
        <w:rPr>
          <w:rFonts w:cs="Arial"/>
          <w:lang w:val="fr-FR"/>
        </w:rPr>
      </w:pPr>
      <w:r>
        <w:rPr>
          <w:rFonts w:cs="Arial"/>
          <w:lang w:val="fr-FR"/>
        </w:rPr>
        <w:t>Le délai de validité des offres est fixé à 120 jours à compter de la date limite de remise des offres.</w:t>
      </w:r>
    </w:p>
    <w:p>
      <w:pPr>
        <w:pStyle w:val="Heading2"/>
        <w:rPr>
          <w:rFonts w:ascii="Arial" w:hAnsi="Arial" w:cs="Arial"/>
          <w:lang w:val="fr-FR"/>
        </w:rPr>
      </w:pPr>
      <w:r>
        <w:rPr>
          <w:rFonts w:cs="Arial" w:ascii="Arial" w:hAnsi="Arial"/>
          <w:lang w:val="fr-FR"/>
        </w:rPr>
        <w:t>2.10. Propriété intellectuelle</w:t>
      </w:r>
    </w:p>
    <w:p>
      <w:pPr>
        <w:pStyle w:val="Normal"/>
        <w:jc w:val="both"/>
        <w:rPr>
          <w:rFonts w:cs="Arial"/>
          <w:lang w:val="fr-FR"/>
        </w:rPr>
      </w:pPr>
      <w:r>
        <w:rPr>
          <w:rFonts w:cs="Arial"/>
          <w:lang w:val="fr-FR"/>
        </w:rPr>
        <w:t>Les propositions techniques présentées par les candidats demeurent leur propriété intellectuelle. Elles ne peuvent être utilisées par le pouvoir adjudicateur que pour l’analyse des offres et l’exécution du marché attribué.</w:t>
      </w:r>
    </w:p>
    <w:p>
      <w:pPr>
        <w:pStyle w:val="Heading2"/>
        <w:rPr>
          <w:rFonts w:ascii="Arial" w:hAnsi="Arial" w:cs="Arial"/>
          <w:lang w:val="fr-FR"/>
        </w:rPr>
      </w:pPr>
      <w:r>
        <w:rPr>
          <w:rFonts w:cs="Arial" w:ascii="Arial" w:hAnsi="Arial"/>
          <w:lang w:val="fr-FR"/>
        </w:rPr>
        <w:t>2.11. Garantie particulière pour matériaux ou procédés nouveaux</w:t>
      </w:r>
    </w:p>
    <w:p>
      <w:pPr>
        <w:pStyle w:val="Normal"/>
        <w:jc w:val="both"/>
        <w:rPr>
          <w:rFonts w:cs="Arial"/>
          <w:lang w:val="fr-FR"/>
        </w:rPr>
      </w:pPr>
      <w:r>
        <w:rPr>
          <w:rFonts w:cs="Arial"/>
          <w:lang w:val="fr-FR"/>
        </w:rPr>
        <w:t>Tout matériau, matériel ou procédé non courant devra faire l’objet des justifications techniques appropriées : avis technique, ATEx, certification, fiche technique, procès-verbal, classement ou attestation de conformité, selon la nature de la prestation.</w:t>
      </w:r>
    </w:p>
    <w:p>
      <w:pPr>
        <w:pStyle w:val="Heading2"/>
        <w:rPr>
          <w:rFonts w:ascii="Arial" w:hAnsi="Arial" w:cs="Arial"/>
          <w:lang w:val="fr-FR"/>
        </w:rPr>
      </w:pPr>
      <w:r>
        <w:rPr>
          <w:rFonts w:cs="Arial" w:ascii="Arial" w:hAnsi="Arial"/>
          <w:lang w:val="fr-FR"/>
        </w:rPr>
        <w:t>2.12. Sécurité et protection de la santé</w:t>
      </w:r>
    </w:p>
    <w:p>
      <w:pPr>
        <w:pStyle w:val="Normal"/>
        <w:jc w:val="both"/>
        <w:rPr>
          <w:rFonts w:cs="Arial"/>
          <w:lang w:val="fr-FR"/>
        </w:rPr>
      </w:pPr>
      <w:r>
        <w:rPr>
          <w:rFonts w:cs="Arial"/>
          <w:lang w:val="fr-FR"/>
        </w:rPr>
        <w:t>Les entreprises retenues et leurs sous-traitants éventuels devront respecter les dispositions du Code du travail, les prescriptions du coordonnateur SPS le cas échéant, ainsi que les règles propres au site occupé de la Sous-Préfecture. Le PPSPS ou plan de prévention sera fourni dans les délais réglementaires lorsque requis.</w:t>
      </w:r>
    </w:p>
    <w:p>
      <w:pPr>
        <w:pStyle w:val="Heading2"/>
        <w:rPr>
          <w:rFonts w:ascii="Arial" w:hAnsi="Arial" w:cs="Arial"/>
          <w:lang w:val="fr-FR"/>
        </w:rPr>
      </w:pPr>
      <w:r>
        <w:rPr>
          <w:rFonts w:cs="Arial" w:ascii="Arial" w:hAnsi="Arial"/>
          <w:lang w:val="fr-FR"/>
        </w:rPr>
        <w:t>2.13. Propreté du chantier et contraintes de site</w:t>
      </w:r>
    </w:p>
    <w:p>
      <w:pPr>
        <w:pStyle w:val="ListBullet"/>
        <w:numPr>
          <w:ilvl w:val="0"/>
          <w:numId w:val="1"/>
        </w:numPr>
        <w:rPr>
          <w:rFonts w:cs="Arial"/>
          <w:lang w:val="fr-FR"/>
        </w:rPr>
      </w:pPr>
      <w:r>
        <w:rPr>
          <w:rFonts w:cs="Arial"/>
          <w:lang w:val="fr-FR"/>
        </w:rPr>
        <w:t>Maintien en état de propreté permanent des abords et circulations.</w:t>
      </w:r>
    </w:p>
    <w:p>
      <w:pPr>
        <w:pStyle w:val="ListBullet"/>
        <w:numPr>
          <w:ilvl w:val="0"/>
          <w:numId w:val="1"/>
        </w:numPr>
        <w:rPr>
          <w:rFonts w:cs="Arial"/>
          <w:lang w:val="fr-FR"/>
        </w:rPr>
      </w:pPr>
      <w:r>
        <w:rPr>
          <w:rFonts w:cs="Arial"/>
          <w:lang w:val="fr-FR"/>
        </w:rPr>
        <w:t>Protection des ouvrages conservés et des zones non concernées par les travaux.</w:t>
      </w:r>
    </w:p>
    <w:p>
      <w:pPr>
        <w:pStyle w:val="ListBullet"/>
        <w:numPr>
          <w:ilvl w:val="0"/>
          <w:numId w:val="1"/>
        </w:numPr>
        <w:rPr>
          <w:rFonts w:cs="Arial"/>
          <w:lang w:val="fr-FR"/>
        </w:rPr>
      </w:pPr>
      <w:r>
        <w:rPr>
          <w:rFonts w:cs="Arial"/>
          <w:lang w:val="fr-FR"/>
        </w:rPr>
        <w:t>Évacuation régulière des déchets vers les filières adaptées, sans incinération ni enfouissement sur site.</w:t>
      </w:r>
    </w:p>
    <w:p>
      <w:pPr>
        <w:pStyle w:val="ListBullet"/>
        <w:numPr>
          <w:ilvl w:val="0"/>
          <w:numId w:val="1"/>
        </w:numPr>
        <w:rPr>
          <w:rFonts w:cs="Arial"/>
          <w:lang w:val="fr-FR"/>
        </w:rPr>
      </w:pPr>
      <w:r>
        <w:rPr>
          <w:rFonts w:cs="Arial"/>
          <w:lang w:val="fr-FR"/>
        </w:rPr>
        <w:t>Limitation des nuisances sonores, poussières, odeurs et gênes pour les usagers et services administratifs.</w:t>
      </w:r>
    </w:p>
    <w:p>
      <w:pPr>
        <w:pStyle w:val="ListBullet"/>
        <w:numPr>
          <w:ilvl w:val="0"/>
          <w:numId w:val="1"/>
        </w:numPr>
        <w:spacing w:lineRule="auto" w:line="240" w:before="0" w:after="0"/>
        <w:ind w:hanging="357" w:start="357"/>
        <w:contextualSpacing/>
        <w:rPr>
          <w:rFonts w:cs="Arial"/>
          <w:lang w:val="fr-FR"/>
        </w:rPr>
      </w:pPr>
      <w:r>
        <w:rPr>
          <w:rFonts w:cs="Arial"/>
          <w:lang w:val="fr-FR"/>
        </w:rPr>
        <w:t>Coordination renforcée avec les autres lots et respect des accès de sécurité.</w:t>
      </w:r>
    </w:p>
    <w:p>
      <w:pPr>
        <w:pStyle w:val="ListBullet"/>
        <w:numPr>
          <w:ilvl w:val="0"/>
          <w:numId w:val="1"/>
        </w:numPr>
        <w:spacing w:lineRule="auto" w:line="240" w:before="0" w:afterAutospacing="1"/>
        <w:ind w:hanging="357" w:start="357"/>
        <w:contextualSpacing/>
        <w:rPr>
          <w:rFonts w:cs="Arial"/>
          <w:lang w:val="fr-FR"/>
        </w:rPr>
      </w:pPr>
      <w:r>
        <w:rPr>
          <w:rFonts w:cs="Arial"/>
          <w:lang w:val="fr-FR"/>
        </w:rPr>
        <w:t>Coordination avec les jours d’accueils au public : la semaine s’effectuera sur 4 jours, l’accès au chantier étant refusé le vendredi.</w:t>
      </w:r>
    </w:p>
    <w:p>
      <w:pPr>
        <w:pStyle w:val="Heading1"/>
        <w:spacing w:lineRule="auto" w:line="240" w:beforeAutospacing="1" w:afterAutospacing="1"/>
        <w:rPr>
          <w:rFonts w:ascii="Arial" w:hAnsi="Arial" w:cs="Arial"/>
          <w:lang w:val="fr-FR"/>
        </w:rPr>
      </w:pPr>
      <w:r>
        <w:rPr>
          <w:rFonts w:cs="Arial" w:ascii="Arial" w:hAnsi="Arial"/>
          <w:lang w:val="fr-FR"/>
        </w:rPr>
        <w:t>3 - PRESENTATION DES OFFRES</w:t>
      </w:r>
    </w:p>
    <w:p>
      <w:pPr>
        <w:pStyle w:val="Heading2"/>
        <w:rPr>
          <w:rFonts w:ascii="Arial" w:hAnsi="Arial" w:cs="Arial"/>
          <w:lang w:val="fr-FR"/>
        </w:rPr>
      </w:pPr>
      <w:r>
        <w:rPr>
          <w:rFonts w:cs="Arial" w:ascii="Arial" w:hAnsi="Arial"/>
          <w:lang w:val="fr-FR"/>
        </w:rPr>
        <w:t>3.1. Contenu du dossier de consultation</w:t>
      </w:r>
    </w:p>
    <w:p>
      <w:pPr>
        <w:pStyle w:val="Normal"/>
        <w:jc w:val="both"/>
        <w:rPr>
          <w:rFonts w:cs="Arial"/>
          <w:lang w:val="fr-FR"/>
        </w:rPr>
      </w:pPr>
      <w:r>
        <w:rPr>
          <w:rFonts w:cs="Arial"/>
          <w:lang w:val="fr-FR"/>
        </w:rPr>
        <w:t>Le dossier de consultation comprend notamment les pièces suivantes, sous réserve des pièces effectivement mises en ligne par le pouvoir adjudicateur :</w:t>
      </w:r>
    </w:p>
    <w:p>
      <w:pPr>
        <w:pStyle w:val="ListBullet"/>
        <w:numPr>
          <w:ilvl w:val="0"/>
          <w:numId w:val="1"/>
        </w:numPr>
        <w:rPr>
          <w:rFonts w:cs="Arial"/>
          <w:lang w:val="fr-FR"/>
        </w:rPr>
      </w:pPr>
      <w:r>
        <w:rPr>
          <w:rFonts w:cs="Arial"/>
          <w:lang w:val="fr-FR"/>
        </w:rPr>
        <w:t>Règlement de la consultation (RC).</w:t>
      </w:r>
    </w:p>
    <w:p>
      <w:pPr>
        <w:pStyle w:val="ListBullet"/>
        <w:numPr>
          <w:ilvl w:val="0"/>
          <w:numId w:val="1"/>
        </w:numPr>
        <w:rPr>
          <w:rFonts w:cs="Arial"/>
          <w:lang w:val="fr-FR"/>
        </w:rPr>
      </w:pPr>
      <w:r>
        <w:rPr>
          <w:rFonts w:cs="Arial"/>
          <w:lang w:val="fr-FR"/>
        </w:rPr>
        <w:t>Acte d’engagement (AE) et ses annexes éventuelles.</w:t>
      </w:r>
    </w:p>
    <w:p>
      <w:pPr>
        <w:pStyle w:val="ListBullet"/>
        <w:numPr>
          <w:ilvl w:val="0"/>
          <w:numId w:val="1"/>
        </w:numPr>
        <w:rPr>
          <w:rFonts w:cs="Arial"/>
          <w:lang w:val="fr-FR"/>
        </w:rPr>
      </w:pPr>
      <w:r>
        <w:rPr>
          <w:rFonts w:cs="Arial"/>
          <w:lang w:val="fr-FR"/>
        </w:rPr>
        <w:t>Cahier des clauses administratives particulières (CCAP).</w:t>
      </w:r>
    </w:p>
    <w:p>
      <w:pPr>
        <w:pStyle w:val="ListBullet"/>
        <w:numPr>
          <w:ilvl w:val="0"/>
          <w:numId w:val="1"/>
        </w:numPr>
        <w:rPr>
          <w:rFonts w:cs="Arial"/>
          <w:lang w:val="fr-FR"/>
        </w:rPr>
      </w:pPr>
      <w:r>
        <w:rPr>
          <w:rFonts w:cs="Arial"/>
          <w:lang w:val="fr-FR"/>
        </w:rPr>
        <w:t>Cahiers des clauses techniques particulières (CCTP) par lot.</w:t>
      </w:r>
    </w:p>
    <w:p>
      <w:pPr>
        <w:pStyle w:val="ListBullet"/>
        <w:numPr>
          <w:ilvl w:val="0"/>
          <w:numId w:val="1"/>
        </w:numPr>
        <w:rPr>
          <w:rFonts w:cs="Arial"/>
          <w:lang w:val="fr-FR"/>
        </w:rPr>
      </w:pPr>
      <w:r>
        <w:rPr>
          <w:rFonts w:cs="Arial"/>
          <w:lang w:val="fr-FR"/>
        </w:rPr>
        <w:t>Décomposition du prix global et forfaitaire (DPGF) par lot.</w:t>
      </w:r>
    </w:p>
    <w:p>
      <w:pPr>
        <w:pStyle w:val="ListBullet"/>
        <w:numPr>
          <w:ilvl w:val="0"/>
          <w:numId w:val="1"/>
        </w:numPr>
        <w:rPr>
          <w:rFonts w:cs="Arial"/>
          <w:lang w:val="fr-FR"/>
        </w:rPr>
      </w:pPr>
      <w:r>
        <w:rPr>
          <w:rFonts w:cs="Arial"/>
          <w:lang w:val="fr-FR"/>
        </w:rPr>
        <w:t>Plans, détails, diagnostics, photographies ou documents graphiques utiles.</w:t>
      </w:r>
    </w:p>
    <w:p>
      <w:pPr>
        <w:pStyle w:val="ListBullet"/>
        <w:numPr>
          <w:ilvl w:val="0"/>
          <w:numId w:val="1"/>
        </w:numPr>
        <w:rPr>
          <w:rFonts w:cs="Arial"/>
        </w:rPr>
      </w:pPr>
      <w:r>
        <w:rPr>
          <w:rFonts w:cs="Arial"/>
        </w:rPr>
        <w:t>Planning prévisionnel des travaux.</w:t>
      </w:r>
    </w:p>
    <w:p>
      <w:pPr>
        <w:pStyle w:val="ListBullet"/>
        <w:numPr>
          <w:ilvl w:val="0"/>
          <w:numId w:val="1"/>
        </w:numPr>
        <w:rPr>
          <w:rFonts w:cs="Arial"/>
        </w:rPr>
      </w:pPr>
      <w:r>
        <w:rPr>
          <w:rFonts w:cs="Arial"/>
        </w:rPr>
        <w:t>Attestation de visite obligatoire.</w:t>
      </w:r>
    </w:p>
    <w:p>
      <w:pPr>
        <w:pStyle w:val="Heading2"/>
        <w:rPr>
          <w:rFonts w:ascii="Arial" w:hAnsi="Arial" w:cs="Arial"/>
          <w:lang w:val="fr-FR"/>
        </w:rPr>
      </w:pPr>
      <w:r>
        <w:rPr>
          <w:rFonts w:cs="Arial" w:ascii="Arial" w:hAnsi="Arial"/>
          <w:lang w:val="fr-FR"/>
        </w:rPr>
        <w:t>3.2. Documents à fournir par le candidat</w:t>
      </w:r>
    </w:p>
    <w:p>
      <w:pPr>
        <w:pStyle w:val="Normal"/>
        <w:jc w:val="both"/>
        <w:rPr>
          <w:rFonts w:cs="Arial"/>
          <w:lang w:val="fr-FR"/>
        </w:rPr>
      </w:pPr>
      <w:r>
        <w:rPr>
          <w:rFonts w:cs="Arial"/>
          <w:lang w:val="fr-FR"/>
        </w:rPr>
        <w:t>Les offres seront entièrement rédigées en langue française. Le dossier à remettre par chaque candidat comprendra, pour le ou les lots concernés, les pièces suivantes :</w:t>
      </w:r>
    </w:p>
    <w:p>
      <w:pPr>
        <w:pStyle w:val="Heading3"/>
        <w:rPr>
          <w:rFonts w:ascii="Arial" w:hAnsi="Arial" w:cs="Arial"/>
        </w:rPr>
      </w:pPr>
      <w:r>
        <w:rPr>
          <w:rFonts w:cs="Arial" w:ascii="Arial" w:hAnsi="Arial"/>
        </w:rPr>
        <w:t>3.2.1. Pièces de candidature</w:t>
      </w:r>
    </w:p>
    <w:p>
      <w:pPr>
        <w:pStyle w:val="ListBullet"/>
        <w:numPr>
          <w:ilvl w:val="0"/>
          <w:numId w:val="1"/>
        </w:numPr>
        <w:rPr>
          <w:rFonts w:cs="Arial"/>
          <w:lang w:val="fr-FR"/>
        </w:rPr>
      </w:pPr>
      <w:r>
        <w:rPr>
          <w:rFonts w:cs="Arial"/>
          <w:lang w:val="fr-FR"/>
        </w:rPr>
        <w:t>Lettre de candidature DC1 ou document équivalent.</w:t>
      </w:r>
    </w:p>
    <w:p>
      <w:pPr>
        <w:pStyle w:val="ListBullet"/>
        <w:numPr>
          <w:ilvl w:val="0"/>
          <w:numId w:val="1"/>
        </w:numPr>
        <w:rPr>
          <w:rFonts w:cs="Arial"/>
          <w:lang w:val="fr-FR"/>
        </w:rPr>
      </w:pPr>
      <w:r>
        <w:rPr>
          <w:rFonts w:cs="Arial"/>
          <w:lang w:val="fr-FR"/>
        </w:rPr>
        <w:t>Déclaration du candidat DC2 ou document équivalent.</w:t>
      </w:r>
    </w:p>
    <w:p>
      <w:pPr>
        <w:pStyle w:val="ListBullet"/>
        <w:numPr>
          <w:ilvl w:val="0"/>
          <w:numId w:val="1"/>
        </w:numPr>
        <w:rPr>
          <w:rFonts w:cs="Arial"/>
          <w:lang w:val="fr-FR"/>
        </w:rPr>
      </w:pPr>
      <w:r>
        <w:rPr>
          <w:rFonts w:cs="Arial"/>
          <w:lang w:val="fr-FR"/>
        </w:rPr>
        <w:t>Pouvoirs de la personne habilitée à engager le candidat, le cas échéant.</w:t>
      </w:r>
    </w:p>
    <w:p>
      <w:pPr>
        <w:pStyle w:val="ListBullet"/>
        <w:numPr>
          <w:ilvl w:val="0"/>
          <w:numId w:val="1"/>
        </w:numPr>
        <w:rPr>
          <w:rFonts w:cs="Arial"/>
          <w:lang w:val="fr-FR"/>
        </w:rPr>
      </w:pPr>
      <w:r>
        <w:rPr>
          <w:rFonts w:cs="Arial"/>
          <w:lang w:val="fr-FR"/>
        </w:rPr>
        <w:t>Déclaration sur l’honneur relative aux interdictions de soumissionner.</w:t>
      </w:r>
    </w:p>
    <w:p>
      <w:pPr>
        <w:pStyle w:val="ListBullet"/>
        <w:numPr>
          <w:ilvl w:val="0"/>
          <w:numId w:val="1"/>
        </w:numPr>
        <w:rPr>
          <w:rFonts w:cs="Arial"/>
          <w:lang w:val="fr-FR"/>
        </w:rPr>
      </w:pPr>
      <w:r>
        <w:rPr>
          <w:rFonts w:cs="Arial"/>
          <w:lang w:val="fr-FR"/>
        </w:rPr>
        <w:t>Preuve d’assurance de responsabilité civile et décennale pour les travaux concernés.</w:t>
      </w:r>
    </w:p>
    <w:p>
      <w:pPr>
        <w:pStyle w:val="ListBullet"/>
        <w:numPr>
          <w:ilvl w:val="0"/>
          <w:numId w:val="1"/>
        </w:numPr>
        <w:rPr>
          <w:rFonts w:cs="Arial"/>
          <w:lang w:val="fr-FR"/>
        </w:rPr>
      </w:pPr>
      <w:r>
        <w:rPr>
          <w:rFonts w:cs="Arial"/>
          <w:lang w:val="fr-FR"/>
        </w:rPr>
        <w:t>Références de travaux similaires, datant de préférence de moins de cinq ans, avec montant, date, maître d’ouvrage et maître d’œuvre.</w:t>
      </w:r>
    </w:p>
    <w:p>
      <w:pPr>
        <w:pStyle w:val="ListBullet"/>
        <w:numPr>
          <w:ilvl w:val="0"/>
          <w:numId w:val="1"/>
        </w:numPr>
        <w:rPr>
          <w:rFonts w:cs="Arial"/>
          <w:lang w:val="fr-FR"/>
        </w:rPr>
      </w:pPr>
      <w:r>
        <w:rPr>
          <w:rFonts w:cs="Arial"/>
          <w:lang w:val="fr-FR"/>
        </w:rPr>
        <w:t>En cas de sous-traitance déclarée : formulaire DC4 ou équivalent et capacités du sous-traitant.</w:t>
      </w:r>
    </w:p>
    <w:p>
      <w:pPr>
        <w:pStyle w:val="Heading3"/>
        <w:rPr>
          <w:rFonts w:ascii="Arial" w:hAnsi="Arial" w:cs="Arial"/>
        </w:rPr>
      </w:pPr>
      <w:r>
        <w:rPr>
          <w:rFonts w:cs="Arial" w:ascii="Arial" w:hAnsi="Arial"/>
        </w:rPr>
        <w:t>3.2.2. Pièces de l’offre</w:t>
      </w:r>
    </w:p>
    <w:p>
      <w:pPr>
        <w:pStyle w:val="ListBullet"/>
        <w:numPr>
          <w:ilvl w:val="0"/>
          <w:numId w:val="1"/>
        </w:numPr>
        <w:rPr>
          <w:rFonts w:cs="Arial"/>
          <w:lang w:val="fr-FR"/>
        </w:rPr>
      </w:pPr>
      <w:r>
        <w:rPr>
          <w:rFonts w:cs="Arial"/>
          <w:lang w:val="fr-FR"/>
        </w:rPr>
        <w:t>Acte d’engagement complété pour chaque lot.</w:t>
      </w:r>
    </w:p>
    <w:p>
      <w:pPr>
        <w:pStyle w:val="ListBullet"/>
        <w:numPr>
          <w:ilvl w:val="0"/>
          <w:numId w:val="1"/>
        </w:numPr>
        <w:rPr>
          <w:rFonts w:cs="Arial"/>
          <w:lang w:val="fr-FR"/>
        </w:rPr>
      </w:pPr>
      <w:r>
        <w:rPr>
          <w:rFonts w:cs="Arial"/>
          <w:lang w:val="fr-FR"/>
        </w:rPr>
        <w:t>DPGF complétée, datée et signée le cas échéant.</w:t>
      </w:r>
    </w:p>
    <w:p>
      <w:pPr>
        <w:pStyle w:val="ListBullet"/>
        <w:numPr>
          <w:ilvl w:val="0"/>
          <w:numId w:val="1"/>
        </w:numPr>
        <w:rPr>
          <w:rFonts w:cs="Arial"/>
          <w:lang w:val="fr-FR"/>
        </w:rPr>
      </w:pPr>
      <w:r>
        <w:rPr>
          <w:rFonts w:cs="Arial"/>
          <w:lang w:val="fr-FR"/>
        </w:rPr>
        <w:t>Mémoire technique et méthodologique détaillé</w:t>
      </w:r>
    </w:p>
    <w:p>
      <w:pPr>
        <w:pStyle w:val="ListBullet"/>
        <w:numPr>
          <w:ilvl w:val="0"/>
          <w:numId w:val="1"/>
        </w:numPr>
        <w:rPr>
          <w:rFonts w:cs="Arial"/>
          <w:lang w:val="fr-FR"/>
        </w:rPr>
      </w:pPr>
      <w:r>
        <w:rPr>
          <w:rFonts w:cs="Arial"/>
          <w:lang w:val="fr-FR"/>
        </w:rPr>
        <w:t>Fiches techniques, notices, avis techniques, procès-verbaux et justificatifs des matériaux et matériels proposés.</w:t>
      </w:r>
    </w:p>
    <w:p>
      <w:pPr>
        <w:pStyle w:val="ListBullet"/>
        <w:numPr>
          <w:ilvl w:val="0"/>
          <w:numId w:val="1"/>
        </w:numPr>
        <w:rPr>
          <w:rFonts w:cs="Arial"/>
          <w:lang w:val="fr-FR"/>
        </w:rPr>
      </w:pPr>
      <w:r>
        <w:rPr>
          <w:rFonts w:cs="Arial"/>
          <w:lang w:val="fr-FR"/>
        </w:rPr>
        <w:t>Planning d’exécution détaillé, phasage et durée d’intervention.</w:t>
      </w:r>
    </w:p>
    <w:p>
      <w:pPr>
        <w:pStyle w:val="ListBullet"/>
        <w:numPr>
          <w:ilvl w:val="0"/>
          <w:numId w:val="1"/>
        </w:numPr>
        <w:rPr>
          <w:rFonts w:cs="Arial"/>
          <w:lang w:val="fr-FR"/>
        </w:rPr>
      </w:pPr>
      <w:r>
        <w:rPr>
          <w:rFonts w:cs="Arial"/>
          <w:lang w:val="fr-FR"/>
        </w:rPr>
        <w:t>Certificat de visite du site.</w:t>
      </w:r>
    </w:p>
    <w:p>
      <w:pPr>
        <w:pStyle w:val="ListBullet"/>
        <w:numPr>
          <w:ilvl w:val="0"/>
          <w:numId w:val="1"/>
        </w:numPr>
        <w:rPr>
          <w:rFonts w:cs="Arial"/>
          <w:lang w:val="fr-FR"/>
        </w:rPr>
      </w:pPr>
      <w:r>
        <w:rPr>
          <w:rFonts w:cs="Arial"/>
          <w:lang w:val="fr-FR"/>
        </w:rPr>
        <w:t>Tout document demandé spécifiquement par le CCTP du lot concerné.</w:t>
      </w:r>
    </w:p>
    <w:p>
      <w:pPr>
        <w:pStyle w:val="Heading2"/>
        <w:rPr>
          <w:rFonts w:ascii="Arial" w:hAnsi="Arial" w:cs="Arial"/>
          <w:lang w:val="fr-FR"/>
        </w:rPr>
      </w:pPr>
      <w:r>
        <w:rPr>
          <w:rFonts w:cs="Arial" w:ascii="Arial" w:hAnsi="Arial"/>
          <w:lang w:val="fr-FR"/>
        </w:rPr>
        <w:t>3.3. Mémoire technique attendu</w:t>
      </w:r>
    </w:p>
    <w:p>
      <w:pPr>
        <w:pStyle w:val="Normal"/>
        <w:jc w:val="both"/>
        <w:rPr>
          <w:rFonts w:cs="Arial"/>
        </w:rPr>
      </w:pPr>
      <w:r>
        <w:rPr>
          <w:rFonts w:cs="Arial"/>
          <w:lang w:val="fr-FR"/>
        </w:rPr>
        <w:t xml:space="preserve">Le mémoire technique est une pièce déterminante de l’offre. Il devra être précis, adapté au projet et au lot concerné. </w:t>
      </w:r>
      <w:r>
        <w:rPr>
          <w:rFonts w:cs="Arial"/>
        </w:rPr>
        <w:t>Les documents génériques non contextualisés pourront être faiblement notés.</w:t>
      </w:r>
    </w:p>
    <w:p>
      <w:pPr>
        <w:pStyle w:val="ListBullet"/>
        <w:numPr>
          <w:ilvl w:val="0"/>
          <w:numId w:val="1"/>
        </w:numPr>
        <w:rPr>
          <w:rFonts w:cs="Arial"/>
          <w:lang w:val="fr-FR"/>
        </w:rPr>
      </w:pPr>
      <w:r>
        <w:rPr>
          <w:rFonts w:cs="Arial"/>
          <w:lang w:val="fr-FR"/>
        </w:rPr>
        <w:t>Compréhension des contraintes du site et des ouvrages existants.</w:t>
      </w:r>
    </w:p>
    <w:p>
      <w:pPr>
        <w:pStyle w:val="ListBullet"/>
        <w:numPr>
          <w:ilvl w:val="0"/>
          <w:numId w:val="1"/>
        </w:numPr>
        <w:rPr>
          <w:rFonts w:cs="Arial"/>
          <w:lang w:val="fr-FR"/>
        </w:rPr>
      </w:pPr>
      <w:r>
        <w:rPr>
          <w:rFonts w:cs="Arial"/>
          <w:lang w:val="fr-FR"/>
        </w:rPr>
        <w:t>Mode opératoire détaillé, phasage, interfaces avec les autres lots et mesures de protection.</w:t>
      </w:r>
    </w:p>
    <w:p>
      <w:pPr>
        <w:pStyle w:val="ListBullet"/>
        <w:numPr>
          <w:ilvl w:val="0"/>
          <w:numId w:val="1"/>
        </w:numPr>
        <w:rPr>
          <w:rFonts w:cs="Arial"/>
          <w:lang w:val="fr-FR"/>
        </w:rPr>
      </w:pPr>
      <w:r>
        <w:rPr>
          <w:rFonts w:cs="Arial"/>
          <w:lang w:val="fr-FR"/>
        </w:rPr>
        <w:t>Moyens humains affectés, qualifications, habilitations et encadrement.</w:t>
      </w:r>
    </w:p>
    <w:p>
      <w:pPr>
        <w:pStyle w:val="ListBullet"/>
        <w:numPr>
          <w:ilvl w:val="0"/>
          <w:numId w:val="1"/>
        </w:numPr>
        <w:rPr>
          <w:rFonts w:cs="Arial"/>
          <w:lang w:val="fr-FR"/>
        </w:rPr>
      </w:pPr>
      <w:r>
        <w:rPr>
          <w:rFonts w:cs="Arial"/>
          <w:lang w:val="fr-FR"/>
        </w:rPr>
        <w:t>Moyens matériels affectés, matériels spécifiques, échafaudages, protections et outillages.</w:t>
      </w:r>
    </w:p>
    <w:p>
      <w:pPr>
        <w:pStyle w:val="ListBullet"/>
        <w:numPr>
          <w:ilvl w:val="0"/>
          <w:numId w:val="1"/>
        </w:numPr>
        <w:rPr>
          <w:rFonts w:cs="Arial"/>
          <w:lang w:val="fr-FR"/>
        </w:rPr>
      </w:pPr>
      <w:r>
        <w:rPr>
          <w:rFonts w:cs="Arial"/>
          <w:lang w:val="fr-FR"/>
        </w:rPr>
        <w:t>Planning détaillé, délais d’approvisionnement, points d’arrêt, autocontrôles.</w:t>
      </w:r>
    </w:p>
    <w:p>
      <w:pPr>
        <w:pStyle w:val="ListBullet"/>
        <w:numPr>
          <w:ilvl w:val="0"/>
          <w:numId w:val="1"/>
        </w:numPr>
        <w:rPr>
          <w:rFonts w:cs="Arial"/>
          <w:lang w:val="fr-FR"/>
        </w:rPr>
      </w:pPr>
      <w:r>
        <w:rPr>
          <w:rFonts w:cs="Arial"/>
          <w:lang w:val="fr-FR"/>
        </w:rPr>
        <w:t>Qualité des matériaux et matériels proposés, conformité au CCTP et performances.</w:t>
      </w:r>
    </w:p>
    <w:p>
      <w:pPr>
        <w:pStyle w:val="ListBullet"/>
        <w:numPr>
          <w:ilvl w:val="0"/>
          <w:numId w:val="1"/>
        </w:numPr>
        <w:rPr>
          <w:rFonts w:cs="Arial"/>
          <w:lang w:val="fr-FR"/>
        </w:rPr>
      </w:pPr>
      <w:r>
        <w:rPr>
          <w:rFonts w:cs="Arial"/>
          <w:lang w:val="fr-FR"/>
        </w:rPr>
        <w:t>Mesures de sécurité, prévention, gestion des accès, coactivité et maintien de la propreté.</w:t>
      </w:r>
    </w:p>
    <w:p>
      <w:pPr>
        <w:pStyle w:val="ListBullet"/>
        <w:numPr>
          <w:ilvl w:val="0"/>
          <w:numId w:val="1"/>
        </w:numPr>
        <w:rPr>
          <w:rFonts w:cs="Arial"/>
          <w:lang w:val="fr-FR"/>
        </w:rPr>
      </w:pPr>
      <w:r>
        <w:rPr>
          <w:rFonts w:cs="Arial"/>
          <w:lang w:val="fr-FR"/>
        </w:rPr>
        <w:t>Dispositions environnementales : déchets, réduction des nuisances, limitation des déplacements, choix de produits à faible impact lorsque pertinent.</w:t>
      </w:r>
    </w:p>
    <w:p>
      <w:pPr>
        <w:pStyle w:val="Heading1"/>
        <w:rPr>
          <w:rFonts w:ascii="Arial" w:hAnsi="Arial" w:cs="Arial"/>
          <w:lang w:val="fr-FR"/>
        </w:rPr>
      </w:pPr>
      <w:r>
        <w:rPr>
          <w:rFonts w:cs="Arial" w:ascii="Arial" w:hAnsi="Arial"/>
          <w:lang w:val="fr-FR"/>
        </w:rPr>
        <w:t>4 - JUGEMENT ET CLASSEMENT DES OFFRES</w:t>
      </w:r>
    </w:p>
    <w:p>
      <w:pPr>
        <w:pStyle w:val="Normal"/>
        <w:jc w:val="both"/>
        <w:rPr>
          <w:rFonts w:cs="Arial"/>
          <w:lang w:val="fr-FR"/>
        </w:rPr>
      </w:pPr>
      <w:r>
        <w:rPr>
          <w:rFonts w:cs="Arial"/>
          <w:lang w:val="fr-FR"/>
        </w:rPr>
        <w:t>Les offres irrégulières, inacceptables ou inappropriées pourront être éliminées dans les conditions prévues par le Code de la commande publique. Le pouvoir adjudicateur pourra demander aux candidats de régulariser leur offre lorsque cette régularisation est légalement possible.</w:t>
      </w:r>
    </w:p>
    <w:p>
      <w:pPr>
        <w:pStyle w:val="Normal"/>
        <w:jc w:val="both"/>
        <w:rPr>
          <w:rFonts w:cs="Arial"/>
          <w:lang w:val="fr-FR"/>
        </w:rPr>
      </w:pPr>
      <w:r>
        <w:rPr>
          <w:rFonts w:cs="Arial"/>
          <w:lang w:val="fr-FR"/>
        </w:rPr>
        <w:t>L’offre économiquement la plus avantageuse sera appréciée lot par lot au regard des critères pondérés suivants :</w:t>
      </w:r>
    </w:p>
    <w:tbl>
      <w:tblPr>
        <w:tblStyle w:val="Grilledutableau"/>
        <w:tblW w:w="7937"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5667"/>
        <w:gridCol w:w="2270"/>
      </w:tblGrid>
      <w:tr>
        <w:trPr/>
        <w:tc>
          <w:tcPr>
            <w:tcW w:w="5667"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Critère</w:t>
            </w:r>
          </w:p>
        </w:tc>
        <w:tc>
          <w:tcPr>
            <w:tcW w:w="2270"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Pondération</w:t>
            </w:r>
          </w:p>
        </w:tc>
      </w:tr>
      <w:tr>
        <w:trPr/>
        <w:tc>
          <w:tcPr>
            <w:tcW w:w="5667"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Valeur technique de l’offre</w:t>
            </w:r>
          </w:p>
        </w:tc>
        <w:tc>
          <w:tcPr>
            <w:tcW w:w="227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60 %</w:t>
            </w:r>
          </w:p>
        </w:tc>
      </w:tr>
      <w:tr>
        <w:trPr/>
        <w:tc>
          <w:tcPr>
            <w:tcW w:w="5667"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Prix des prestations</w:t>
            </w:r>
          </w:p>
        </w:tc>
        <w:tc>
          <w:tcPr>
            <w:tcW w:w="2270" w:type="dxa"/>
            <w:tcBorders/>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40 %</w:t>
            </w:r>
          </w:p>
        </w:tc>
      </w:tr>
    </w:tbl>
    <w:p>
      <w:pPr>
        <w:pStyle w:val="Normal"/>
        <w:rPr>
          <w:rFonts w:cs="Arial"/>
        </w:rPr>
      </w:pPr>
      <w:r>
        <w:rPr>
          <w:rFonts w:cs="Arial"/>
        </w:rPr>
      </w:r>
    </w:p>
    <w:p>
      <w:pPr>
        <w:pStyle w:val="Normal"/>
        <w:jc w:val="both"/>
        <w:rPr>
          <w:rFonts w:cs="Arial"/>
          <w:lang w:val="fr-FR"/>
        </w:rPr>
      </w:pPr>
      <w:r>
        <w:rPr>
          <w:rFonts w:cs="Arial"/>
          <w:lang w:val="fr-FR"/>
        </w:rPr>
        <w:t>La pondération du prix est volontairement limitée, afin de privilégier la qualité technique, la maîtrise des interfaces, la sécurité d’intervention et l’adaptation de l’offre aux contraintes d’un site administratif existant.</w:t>
      </w:r>
    </w:p>
    <w:p>
      <w:pPr>
        <w:pStyle w:val="Heading2"/>
        <w:rPr>
          <w:rFonts w:ascii="Arial" w:hAnsi="Arial" w:cs="Arial"/>
          <w:lang w:val="fr-FR"/>
        </w:rPr>
      </w:pPr>
      <w:r>
        <w:rPr>
          <w:rFonts w:cs="Arial" w:ascii="Arial" w:hAnsi="Arial"/>
          <w:lang w:val="fr-FR"/>
        </w:rPr>
        <w:t>4.1. Critère prix - 40 points</w:t>
      </w:r>
    </w:p>
    <w:p>
      <w:pPr>
        <w:pStyle w:val="Normal"/>
        <w:jc w:val="both"/>
        <w:rPr>
          <w:rFonts w:cs="Arial"/>
          <w:lang w:val="fr-FR"/>
        </w:rPr>
      </w:pPr>
      <w:r>
        <w:rPr>
          <w:rFonts w:cs="Arial"/>
          <w:lang w:val="fr-FR"/>
        </w:rPr>
        <w:t>La note prix sera calculée selon la formule suivante :</w:t>
      </w:r>
    </w:p>
    <w:p>
      <w:pPr>
        <w:pStyle w:val="Normal"/>
        <w:jc w:val="both"/>
        <w:rPr>
          <w:rFonts w:cs="Arial"/>
          <w:lang w:val="fr-FR"/>
        </w:rPr>
      </w:pPr>
      <w:r>
        <w:rPr>
          <w:rFonts w:cs="Arial"/>
          <w:lang w:val="fr-FR"/>
        </w:rPr>
        <w:t>Note prix = 10 x (montant de l’offre recevable la moins-disante / montant de l’offre analysée).</w:t>
      </w:r>
    </w:p>
    <w:p>
      <w:pPr>
        <w:pStyle w:val="Normal"/>
        <w:jc w:val="both"/>
        <w:rPr>
          <w:rFonts w:cs="Arial"/>
          <w:lang w:val="fr-FR"/>
        </w:rPr>
      </w:pPr>
      <w:r>
        <w:rPr>
          <w:rFonts w:cs="Arial"/>
          <w:lang w:val="fr-FR"/>
        </w:rPr>
        <w:t>Le montant pris en compte est le montant total forfaitaire hors taxes de l’offre de base du lot concerné, hors variantes non autorisées et hors prestations supplémentaires éventuelles sauf décision contraire expressément indiquée dans les pièces de consultation.</w:t>
      </w:r>
    </w:p>
    <w:p>
      <w:pPr>
        <w:pStyle w:val="Heading2"/>
        <w:rPr>
          <w:rFonts w:ascii="Arial" w:hAnsi="Arial" w:cs="Arial"/>
        </w:rPr>
      </w:pPr>
      <w:r>
        <w:rPr>
          <w:rFonts w:cs="Arial" w:ascii="Arial" w:hAnsi="Arial"/>
        </w:rPr>
        <w:t>4.2. Valeur technique - 60 points</w:t>
      </w:r>
    </w:p>
    <w:tbl>
      <w:tblPr>
        <w:tblStyle w:val="Grilledutableau"/>
        <w:tblW w:w="9071"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833"/>
        <w:gridCol w:w="1134"/>
        <w:gridCol w:w="5104"/>
      </w:tblGrid>
      <w:tr>
        <w:trPr/>
        <w:tc>
          <w:tcPr>
            <w:tcW w:w="2833"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Sous-critère</w:t>
            </w:r>
          </w:p>
        </w:tc>
        <w:tc>
          <w:tcPr>
            <w:tcW w:w="1134"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Points</w:t>
            </w:r>
          </w:p>
        </w:tc>
        <w:tc>
          <w:tcPr>
            <w:tcW w:w="5104"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Éléments d’appréciation</w:t>
            </w:r>
          </w:p>
        </w:tc>
      </w:tr>
      <w:tr>
        <w:trPr/>
        <w:tc>
          <w:tcPr>
            <w:tcW w:w="2833" w:type="dxa"/>
            <w:tcBorders/>
          </w:tcPr>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A. Compréhension du projet, analyse des contraintes et pertinence de l’organisation</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10</w:t>
            </w:r>
          </w:p>
        </w:tc>
        <w:tc>
          <w:tcPr>
            <w:tcW w:w="5104" w:type="dxa"/>
            <w:tcBorders/>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Identification des contraintes du passage couvert et du site administratif ; prise en compte des existants ; anticipation des interfaces ; pertinence de l’organisation générale et du phasage.</w:t>
            </w:r>
          </w:p>
          <w:p>
            <w:pPr>
              <w:pStyle w:val="Normal"/>
              <w:widowControl/>
              <w:suppressAutoHyphens w:val="true"/>
              <w:spacing w:lineRule="auto" w:line="240" w:before="0" w:after="0"/>
              <w:jc w:val="start"/>
              <w:rPr>
                <w:rFonts w:cs="Arial"/>
                <w:lang w:val="fr-FR"/>
              </w:rPr>
            </w:pPr>
            <w:r>
              <w:rPr>
                <w:rFonts w:cs="Arial"/>
                <w:lang w:val="fr-FR"/>
              </w:rPr>
            </w:r>
          </w:p>
        </w:tc>
      </w:tr>
      <w:tr>
        <w:trPr/>
        <w:tc>
          <w:tcPr>
            <w:tcW w:w="2833" w:type="dxa"/>
            <w:tcBorders/>
          </w:tcPr>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B. Méthodologie d’exécution propre au lot</w:t>
            </w:r>
          </w:p>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Qualité des matériaux, matériels et performances proposées</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20</w:t>
            </w:r>
          </w:p>
        </w:tc>
        <w:tc>
          <w:tcPr>
            <w:tcW w:w="5104" w:type="dxa"/>
            <w:tcBorders/>
          </w:tcPr>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Modes opératoires détaillés ; protections des ouvrages conservés ; traitement des points singuliers ; autocontrôles ; adéquation avec les prescriptions du CCTP ; gestion des raccords, finitions et reprises.</w:t>
            </w:r>
          </w:p>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Conformité aux CCTP ; qualité, durabilité et compatibilité des produits ; certifications, avis techniques, classements, PV ; cohérence esthétique avec les ouvrages existants.</w:t>
            </w:r>
          </w:p>
        </w:tc>
      </w:tr>
      <w:tr>
        <w:trPr/>
        <w:tc>
          <w:tcPr>
            <w:tcW w:w="2833" w:type="dxa"/>
            <w:tcBorders/>
            <w:vAlign w:val="center"/>
          </w:tcPr>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C. Moyens humains, encadrement, qualifications et habilitations</w:t>
            </w:r>
          </w:p>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Moyens matériels et dispositions techniques pour le chantier</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15</w:t>
            </w:r>
          </w:p>
        </w:tc>
        <w:tc>
          <w:tcPr>
            <w:tcW w:w="5104" w:type="dxa"/>
            <w:tcBorders/>
            <w:vAlign w:val="center"/>
          </w:tcPr>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Equipe dédiée ; qualifications professionnelles ; habilitations électriques pour le lot électricité ; expérience sur sites similaires ; présence d’un interlocuteur responsable ; capacité de mobilisation.</w:t>
            </w:r>
          </w:p>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Matériels, outillage, échafaudages, nacelles, protections, moyens d’accès ; adéquation aux contraintes d’encombrement et de sécurité ; fiches techniques des matériaux et équipements.</w:t>
            </w:r>
          </w:p>
          <w:p>
            <w:pPr>
              <w:pStyle w:val="Normal"/>
              <w:widowControl/>
              <w:suppressAutoHyphens w:val="true"/>
              <w:spacing w:lineRule="auto" w:line="240" w:before="0" w:after="0"/>
              <w:jc w:val="start"/>
              <w:rPr>
                <w:rFonts w:cs="Arial"/>
                <w:lang w:val="fr-FR"/>
              </w:rPr>
            </w:pPr>
            <w:r>
              <w:rPr>
                <w:rFonts w:cs="Arial"/>
                <w:lang w:val="fr-FR"/>
              </w:rPr>
            </w:r>
          </w:p>
        </w:tc>
      </w:tr>
      <w:tr>
        <w:trPr/>
        <w:tc>
          <w:tcPr>
            <w:tcW w:w="2833" w:type="dxa"/>
            <w:tcBorders/>
            <w:vAlign w:val="center"/>
          </w:tcPr>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F. Planning, délais, approvisionnements et coordination inter-lots</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5</w:t>
            </w:r>
          </w:p>
        </w:tc>
        <w:tc>
          <w:tcPr>
            <w:tcW w:w="5104"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Planning détaillé et réaliste ; délais de fabrication et d’approvisionnement ; identification des points d’arrêt ; coordination avec les autres lots ; respect du calendrier global.</w:t>
            </w:r>
          </w:p>
          <w:p>
            <w:pPr>
              <w:pStyle w:val="Normal"/>
              <w:widowControl/>
              <w:suppressAutoHyphens w:val="true"/>
              <w:spacing w:lineRule="auto" w:line="240" w:before="0" w:after="0"/>
              <w:jc w:val="start"/>
              <w:rPr>
                <w:rFonts w:cs="Arial"/>
                <w:lang w:val="fr-FR"/>
              </w:rPr>
            </w:pPr>
            <w:r>
              <w:rPr>
                <w:rFonts w:cs="Arial"/>
                <w:lang w:val="fr-FR"/>
              </w:rPr>
            </w:r>
          </w:p>
        </w:tc>
      </w:tr>
      <w:tr>
        <w:trPr/>
        <w:tc>
          <w:tcPr>
            <w:tcW w:w="2833" w:type="dxa"/>
            <w:tcBorders/>
            <w:vAlign w:val="center"/>
          </w:tcPr>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G. Sécurité, propreté, maintien des accès et limitation des nuisances</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5</w:t>
            </w:r>
          </w:p>
        </w:tc>
        <w:tc>
          <w:tcPr>
            <w:tcW w:w="5104"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Mesures de prévention ; coactivité ; protections collectives ; gestion des accès ; réduction du bruit et des poussières ; nettoyage quotidien ; plan de prévention/PPSPS si requis.</w:t>
            </w:r>
          </w:p>
          <w:p>
            <w:pPr>
              <w:pStyle w:val="Normal"/>
              <w:widowControl/>
              <w:suppressAutoHyphens w:val="true"/>
              <w:spacing w:lineRule="auto" w:line="240" w:before="0" w:after="0"/>
              <w:jc w:val="start"/>
              <w:rPr>
                <w:rFonts w:cs="Arial"/>
                <w:lang w:val="fr-FR"/>
              </w:rPr>
            </w:pPr>
            <w:r>
              <w:rPr>
                <w:rFonts w:cs="Arial"/>
                <w:lang w:val="fr-FR"/>
              </w:rPr>
            </w:r>
          </w:p>
        </w:tc>
      </w:tr>
      <w:tr>
        <w:trPr/>
        <w:tc>
          <w:tcPr>
            <w:tcW w:w="2833" w:type="dxa"/>
            <w:tcBorders/>
            <w:vAlign w:val="center"/>
          </w:tcPr>
          <w:p>
            <w:pPr>
              <w:pStyle w:val="Normal"/>
              <w:widowControl/>
              <w:suppressAutoHyphens w:val="true"/>
              <w:spacing w:lineRule="auto" w:line="240" w:before="0" w:after="0"/>
              <w:jc w:val="start"/>
              <w:rPr>
                <w:rFonts w:cs="Arial"/>
                <w:lang w:val="fr-FR"/>
              </w:rPr>
            </w:pPr>
            <w:r>
              <w:rPr>
                <w:rFonts w:cs="Arial"/>
                <w:kern w:val="0"/>
                <w:sz w:val="16"/>
                <w:szCs w:val="22"/>
                <w:lang w:val="fr-FR" w:eastAsia="en-US" w:bidi="ar-SA"/>
              </w:rPr>
              <w:t>H. Démarche environnementale et gestion des déchets</w:t>
            </w:r>
          </w:p>
        </w:tc>
        <w:tc>
          <w:tcPr>
            <w:tcW w:w="1134" w:type="dxa"/>
            <w:tcBorders/>
            <w:vAlign w:val="center"/>
          </w:tcPr>
          <w:p>
            <w:pPr>
              <w:pStyle w:val="Normal"/>
              <w:widowControl/>
              <w:suppressAutoHyphens w:val="true"/>
              <w:spacing w:lineRule="auto" w:line="240" w:before="0" w:after="0"/>
              <w:jc w:val="center"/>
              <w:rPr>
                <w:rFonts w:cs="Arial"/>
                <w:sz w:val="16"/>
                <w:szCs w:val="16"/>
              </w:rPr>
            </w:pPr>
            <w:r>
              <w:rPr>
                <w:rFonts w:cs="Arial"/>
                <w:kern w:val="0"/>
                <w:sz w:val="16"/>
                <w:szCs w:val="16"/>
                <w:lang w:val="en-US" w:eastAsia="en-US" w:bidi="ar-SA"/>
              </w:rPr>
              <w:t>5</w:t>
            </w:r>
          </w:p>
        </w:tc>
        <w:tc>
          <w:tcPr>
            <w:tcW w:w="5104"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Tri, évacuation et traçabilité des déchets ; réduction des nuisances ; choix de produits à faible impact ; optimisation des déplacements et livraisons.</w:t>
            </w:r>
          </w:p>
          <w:p>
            <w:pPr>
              <w:pStyle w:val="Normal"/>
              <w:widowControl/>
              <w:suppressAutoHyphens w:val="true"/>
              <w:spacing w:lineRule="auto" w:line="240" w:before="0" w:after="0"/>
              <w:jc w:val="start"/>
              <w:rPr>
                <w:rFonts w:cs="Arial"/>
                <w:lang w:val="fr-FR"/>
              </w:rPr>
            </w:pPr>
            <w:r>
              <w:rPr>
                <w:rFonts w:cs="Arial"/>
                <w:lang w:val="fr-FR"/>
              </w:rPr>
            </w:r>
          </w:p>
        </w:tc>
      </w:tr>
    </w:tbl>
    <w:p>
      <w:pPr>
        <w:pStyle w:val="Heading2"/>
        <w:rPr>
          <w:rFonts w:ascii="Arial" w:hAnsi="Arial" w:cs="Arial"/>
        </w:rPr>
      </w:pPr>
      <w:r>
        <w:rPr>
          <w:rFonts w:cs="Arial" w:ascii="Arial" w:hAnsi="Arial"/>
        </w:rPr>
        <w:t>4.3. Barème indicatif de notation technique</w:t>
      </w:r>
    </w:p>
    <w:tbl>
      <w:tblPr>
        <w:tblStyle w:val="Grilledutableau"/>
        <w:tblW w:w="9071"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266"/>
        <w:gridCol w:w="6805"/>
      </w:tblGrid>
      <w:tr>
        <w:trPr/>
        <w:tc>
          <w:tcPr>
            <w:tcW w:w="2266"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Appréciation</w:t>
            </w:r>
          </w:p>
        </w:tc>
        <w:tc>
          <w:tcPr>
            <w:tcW w:w="6805" w:type="dxa"/>
            <w:tcBorders/>
            <w:shd w:color="auto" w:fill="EDEDED" w:val="clear"/>
          </w:tcPr>
          <w:p>
            <w:pPr>
              <w:pStyle w:val="Normal"/>
              <w:widowControl/>
              <w:suppressAutoHyphens w:val="true"/>
              <w:spacing w:lineRule="auto" w:line="240" w:before="0" w:after="0"/>
              <w:jc w:val="center"/>
              <w:rPr>
                <w:rFonts w:cs="Arial"/>
              </w:rPr>
            </w:pPr>
            <w:r>
              <w:rPr>
                <w:rFonts w:cs="Arial"/>
                <w:b/>
                <w:kern w:val="0"/>
                <w:sz w:val="16"/>
                <w:szCs w:val="22"/>
                <w:lang w:val="en-US" w:eastAsia="en-US" w:bidi="ar-SA"/>
              </w:rPr>
              <w:t>Niveau indicatif</w:t>
            </w:r>
          </w:p>
        </w:tc>
      </w:tr>
      <w:tr>
        <w:trPr/>
        <w:tc>
          <w:tcPr>
            <w:tcW w:w="2266" w:type="dxa"/>
            <w:tcBorders/>
            <w:vAlign w:val="center"/>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Très satisfaisant</w:t>
            </w:r>
          </w:p>
        </w:tc>
        <w:tc>
          <w:tcPr>
            <w:tcW w:w="6805"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Réponse complète, précise, contextualisée, démontrant une maîtrise élevée du lot et des contraintes du site.</w:t>
            </w:r>
          </w:p>
          <w:p>
            <w:pPr>
              <w:pStyle w:val="Normal"/>
              <w:widowControl/>
              <w:suppressAutoHyphens w:val="true"/>
              <w:spacing w:lineRule="auto" w:line="240" w:before="0" w:after="0"/>
              <w:jc w:val="start"/>
              <w:rPr>
                <w:rFonts w:cs="Arial"/>
                <w:lang w:val="fr-FR"/>
              </w:rPr>
            </w:pPr>
            <w:r>
              <w:rPr>
                <w:rFonts w:cs="Arial"/>
                <w:lang w:val="fr-FR"/>
              </w:rPr>
            </w:r>
          </w:p>
        </w:tc>
      </w:tr>
      <w:tr>
        <w:trPr/>
        <w:tc>
          <w:tcPr>
            <w:tcW w:w="2266" w:type="dxa"/>
            <w:tcBorders/>
            <w:vAlign w:val="center"/>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Satisfaisant</w:t>
            </w:r>
          </w:p>
        </w:tc>
        <w:tc>
          <w:tcPr>
            <w:tcW w:w="6805"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Réponse adaptée au projet, comportant les informations utiles, avec quelques précisions mineures manquantes.</w:t>
            </w:r>
          </w:p>
          <w:p>
            <w:pPr>
              <w:pStyle w:val="Normal"/>
              <w:widowControl/>
              <w:suppressAutoHyphens w:val="true"/>
              <w:spacing w:lineRule="auto" w:line="240" w:before="0" w:after="0"/>
              <w:jc w:val="start"/>
              <w:rPr>
                <w:rFonts w:cs="Arial"/>
                <w:lang w:val="fr-FR"/>
              </w:rPr>
            </w:pPr>
            <w:r>
              <w:rPr>
                <w:rFonts w:cs="Arial"/>
                <w:lang w:val="fr-FR"/>
              </w:rPr>
            </w:r>
          </w:p>
        </w:tc>
      </w:tr>
      <w:tr>
        <w:trPr/>
        <w:tc>
          <w:tcPr>
            <w:tcW w:w="2266" w:type="dxa"/>
            <w:tcBorders/>
            <w:vAlign w:val="center"/>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Moyen</w:t>
            </w:r>
          </w:p>
        </w:tc>
        <w:tc>
          <w:tcPr>
            <w:tcW w:w="6805"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Réponse partiellement adaptée, comportant des éléments génériques ou des imprécisions.</w:t>
            </w:r>
          </w:p>
          <w:p>
            <w:pPr>
              <w:pStyle w:val="Normal"/>
              <w:widowControl/>
              <w:suppressAutoHyphens w:val="true"/>
              <w:spacing w:lineRule="auto" w:line="240" w:before="0" w:after="0"/>
              <w:jc w:val="start"/>
              <w:rPr>
                <w:rFonts w:cs="Arial"/>
                <w:lang w:val="fr-FR"/>
              </w:rPr>
            </w:pPr>
            <w:r>
              <w:rPr>
                <w:rFonts w:cs="Arial"/>
                <w:lang w:val="fr-FR"/>
              </w:rPr>
            </w:r>
          </w:p>
        </w:tc>
      </w:tr>
      <w:tr>
        <w:trPr/>
        <w:tc>
          <w:tcPr>
            <w:tcW w:w="2266" w:type="dxa"/>
            <w:tcBorders/>
            <w:vAlign w:val="center"/>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Insuffisant</w:t>
            </w:r>
          </w:p>
        </w:tc>
        <w:tc>
          <w:tcPr>
            <w:tcW w:w="6805"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Réponse peu adaptée, lacunaire, ou ne permettant pas d’apprécier correctement l’organisation et la qualité d’exécution.</w:t>
            </w:r>
          </w:p>
          <w:p>
            <w:pPr>
              <w:pStyle w:val="Normal"/>
              <w:widowControl/>
              <w:suppressAutoHyphens w:val="true"/>
              <w:spacing w:lineRule="auto" w:line="240" w:before="0" w:after="0"/>
              <w:jc w:val="start"/>
              <w:rPr>
                <w:rFonts w:cs="Arial"/>
                <w:lang w:val="fr-FR"/>
              </w:rPr>
            </w:pPr>
            <w:r>
              <w:rPr>
                <w:rFonts w:cs="Arial"/>
                <w:lang w:val="fr-FR"/>
              </w:rPr>
            </w:r>
          </w:p>
        </w:tc>
      </w:tr>
      <w:tr>
        <w:trPr/>
        <w:tc>
          <w:tcPr>
            <w:tcW w:w="2266" w:type="dxa"/>
            <w:tcBorders/>
            <w:vAlign w:val="center"/>
          </w:tcPr>
          <w:p>
            <w:pPr>
              <w:pStyle w:val="Normal"/>
              <w:widowControl/>
              <w:suppressAutoHyphens w:val="true"/>
              <w:spacing w:lineRule="auto" w:line="240" w:before="0" w:after="0"/>
              <w:jc w:val="start"/>
              <w:rPr>
                <w:rFonts w:cs="Arial"/>
              </w:rPr>
            </w:pPr>
            <w:r>
              <w:rPr>
                <w:rFonts w:cs="Arial"/>
                <w:kern w:val="0"/>
                <w:sz w:val="16"/>
                <w:szCs w:val="22"/>
                <w:lang w:val="en-US" w:eastAsia="en-US" w:bidi="ar-SA"/>
              </w:rPr>
              <w:t>Non renseigné</w:t>
            </w:r>
          </w:p>
        </w:tc>
        <w:tc>
          <w:tcPr>
            <w:tcW w:w="6805" w:type="dxa"/>
            <w:tcBorders/>
            <w:vAlign w:val="center"/>
          </w:tcPr>
          <w:p>
            <w:pPr>
              <w:pStyle w:val="Normal"/>
              <w:widowControl/>
              <w:suppressAutoHyphens w:val="true"/>
              <w:spacing w:lineRule="auto" w:line="240" w:before="0" w:after="0"/>
              <w:jc w:val="start"/>
              <w:rPr>
                <w:rFonts w:cs="Arial"/>
                <w:sz w:val="16"/>
                <w:lang w:val="fr-FR"/>
              </w:rPr>
            </w:pPr>
            <w:r>
              <w:rPr>
                <w:rFonts w:cs="Arial"/>
                <w:sz w:val="16"/>
                <w:lang w:val="fr-FR"/>
              </w:rPr>
            </w:r>
          </w:p>
          <w:p>
            <w:pPr>
              <w:pStyle w:val="Normal"/>
              <w:widowControl/>
              <w:suppressAutoHyphens w:val="true"/>
              <w:spacing w:lineRule="auto" w:line="240" w:before="0" w:after="0"/>
              <w:jc w:val="start"/>
              <w:rPr>
                <w:rFonts w:cs="Arial"/>
                <w:sz w:val="16"/>
                <w:lang w:val="fr-FR"/>
              </w:rPr>
            </w:pPr>
            <w:r>
              <w:rPr>
                <w:rFonts w:cs="Arial"/>
                <w:kern w:val="0"/>
                <w:sz w:val="16"/>
                <w:szCs w:val="22"/>
                <w:lang w:val="fr-FR" w:eastAsia="en-US" w:bidi="ar-SA"/>
              </w:rPr>
              <w:t>Absence d’information ou élément sans lien avec le sous-critère.</w:t>
            </w:r>
          </w:p>
          <w:p>
            <w:pPr>
              <w:pStyle w:val="Normal"/>
              <w:widowControl/>
              <w:suppressAutoHyphens w:val="true"/>
              <w:spacing w:lineRule="auto" w:line="240" w:before="0" w:after="0"/>
              <w:jc w:val="start"/>
              <w:rPr>
                <w:rFonts w:cs="Arial"/>
                <w:lang w:val="fr-FR"/>
              </w:rPr>
            </w:pPr>
            <w:r>
              <w:rPr>
                <w:rFonts w:cs="Arial"/>
                <w:lang w:val="fr-FR"/>
              </w:rPr>
            </w:r>
          </w:p>
        </w:tc>
      </w:tr>
    </w:tbl>
    <w:p>
      <w:pPr>
        <w:pStyle w:val="Heading2"/>
        <w:rPr>
          <w:rFonts w:ascii="Arial" w:hAnsi="Arial" w:cs="Arial"/>
          <w:lang w:val="fr-FR"/>
        </w:rPr>
      </w:pPr>
      <w:r>
        <w:rPr>
          <w:rFonts w:cs="Arial" w:ascii="Arial" w:hAnsi="Arial"/>
          <w:lang w:val="fr-FR"/>
        </w:rPr>
        <w:t>4.4. Erreurs matérielles et cohérence des prix</w:t>
      </w:r>
    </w:p>
    <w:p>
      <w:pPr>
        <w:pStyle w:val="Normal"/>
        <w:jc w:val="both"/>
        <w:rPr>
          <w:rFonts w:cs="Arial"/>
          <w:lang w:val="fr-FR"/>
        </w:rPr>
      </w:pPr>
      <w:r>
        <w:rPr>
          <w:rFonts w:cs="Arial"/>
          <w:lang w:val="fr-FR"/>
        </w:rPr>
        <w:t>En cas d’erreurs de multiplication, d’addition ou de report constatées dans la DPGF, le montant de l’acte d’engagement prévaudra pour le jugement de l’offre. Si le candidat est pressenti attributaire, il pourra être invité à mettre sa DPGF en cohérence avec son acte d’engagement. En cas de refus, son offre pourra être éliminée comme irrégulière ou incohérente.</w:t>
      </w:r>
    </w:p>
    <w:p>
      <w:pPr>
        <w:pStyle w:val="Heading2"/>
        <w:rPr>
          <w:rFonts w:ascii="Arial" w:hAnsi="Arial" w:cs="Arial"/>
          <w:lang w:val="fr-FR"/>
        </w:rPr>
      </w:pPr>
      <w:r>
        <w:rPr>
          <w:rFonts w:cs="Arial" w:ascii="Arial" w:hAnsi="Arial"/>
          <w:lang w:val="fr-FR"/>
        </w:rPr>
        <w:t>4.5. Négociation</w:t>
      </w:r>
    </w:p>
    <w:p>
      <w:pPr>
        <w:pStyle w:val="Normal"/>
        <w:jc w:val="both"/>
        <w:rPr>
          <w:rFonts w:cs="Arial"/>
          <w:lang w:val="fr-FR"/>
        </w:rPr>
      </w:pPr>
      <w:r>
        <w:rPr>
          <w:rFonts w:cs="Arial"/>
          <w:lang w:val="fr-FR"/>
        </w:rPr>
        <w:t>Le pouvoir adjudicateur se réserve la possibilité de négocier avec les candidats ayant remis les offres les mieux classées, lot par lot, au regard des critères ci-dessus. La négociation pourra porter sur tous les éléments de l’offre, notamment la méthodologie, le planning, les fiches techniques et le prix. Le pouvoir adjudicateur se réserve également la possibilité d’attribuer le marché sur la base des offres initiales sans négociation.</w:t>
      </w:r>
    </w:p>
    <w:p>
      <w:pPr>
        <w:pStyle w:val="Heading1"/>
        <w:rPr>
          <w:rFonts w:ascii="Arial" w:hAnsi="Arial" w:cs="Arial"/>
          <w:lang w:val="fr-FR"/>
        </w:rPr>
      </w:pPr>
      <w:r>
        <w:rPr>
          <w:rFonts w:cs="Arial" w:ascii="Arial" w:hAnsi="Arial"/>
          <w:lang w:val="fr-FR"/>
        </w:rPr>
        <w:t>5 - CONDITIONS D’ENVOI OU DE REMISE DES OFFRES</w:t>
      </w:r>
    </w:p>
    <w:p>
      <w:pPr>
        <w:pStyle w:val="Normal"/>
        <w:rPr>
          <w:rFonts w:cs="Arial"/>
          <w:lang w:val="fr-FR"/>
        </w:rPr>
      </w:pPr>
      <w:r>
        <w:rPr>
          <w:rFonts w:cs="Arial"/>
          <w:lang w:val="fr-FR"/>
        </w:rPr>
        <w:t>Les offres seront transmises par voie dématérialisée sur le profil acheteur indiqué dans l’avis de publicité, avant la date et l’heure limites de réception des offres.</w:t>
      </w:r>
    </w:p>
    <w:p>
      <w:pPr>
        <w:pStyle w:val="Normal"/>
        <w:rPr>
          <w:rFonts w:cs="Arial"/>
          <w:lang w:val="fr-FR"/>
        </w:rPr>
      </w:pPr>
      <w:r>
        <w:rPr>
          <w:rFonts w:cs="Arial"/>
          <w:lang w:val="fr-FR"/>
        </w:rPr>
        <w:t>Date limite de remise des offres : le 28/08/2026</w:t>
      </w:r>
    </w:p>
    <w:p>
      <w:pPr>
        <w:pStyle w:val="Normal"/>
        <w:rPr>
          <w:rFonts w:cs="Arial"/>
          <w:lang w:val="fr-FR"/>
        </w:rPr>
      </w:pPr>
      <w:r>
        <w:rPr>
          <w:rFonts w:cs="Arial"/>
          <w:lang w:val="fr-FR"/>
        </w:rPr>
        <w:t>Heure limite : 18h</w:t>
      </w:r>
    </w:p>
    <w:p>
      <w:pPr>
        <w:pStyle w:val="Heading2"/>
        <w:rPr>
          <w:rFonts w:ascii="Arial" w:hAnsi="Arial" w:cs="Arial"/>
          <w:lang w:val="fr-FR"/>
        </w:rPr>
      </w:pPr>
      <w:r>
        <w:rPr>
          <w:rFonts w:cs="Arial" w:ascii="Arial" w:hAnsi="Arial"/>
          <w:lang w:val="fr-FR"/>
        </w:rPr>
        <w:t>5.1. Formats de documents</w:t>
      </w:r>
    </w:p>
    <w:p>
      <w:pPr>
        <w:pStyle w:val="Normal"/>
        <w:jc w:val="both"/>
        <w:rPr>
          <w:rFonts w:cs="Arial"/>
          <w:lang w:val="fr-FR"/>
        </w:rPr>
      </w:pPr>
      <w:r>
        <w:rPr>
          <w:rFonts w:cs="Arial"/>
          <w:lang w:val="fr-FR"/>
        </w:rPr>
        <w:t>Les documents devront être remis de préférence au format PDF. Les fichiers bureautiques nécessaires à l’analyse pourront être transmis aux formats courants : DOCX, XLSX, ODT, ODS, DWG/DXF pour les plans lorsque demandés. Les fichiers exécutables, scripts ou fichiers contenant des macros sont interdits.</w:t>
      </w:r>
    </w:p>
    <w:p>
      <w:pPr>
        <w:pStyle w:val="Heading2"/>
        <w:rPr>
          <w:rFonts w:ascii="Arial" w:hAnsi="Arial" w:cs="Arial"/>
          <w:lang w:val="fr-FR"/>
        </w:rPr>
      </w:pPr>
      <w:r>
        <w:rPr>
          <w:rFonts w:cs="Arial" w:ascii="Arial" w:hAnsi="Arial"/>
          <w:lang w:val="fr-FR"/>
        </w:rPr>
        <w:t>5.2. Signature électronique</w:t>
      </w:r>
    </w:p>
    <w:p>
      <w:pPr>
        <w:pStyle w:val="Normal"/>
        <w:rPr>
          <w:rFonts w:cs="Arial"/>
          <w:lang w:val="fr-FR"/>
        </w:rPr>
      </w:pPr>
      <w:r>
        <w:rPr>
          <w:rFonts w:cs="Arial"/>
          <w:lang w:val="fr-FR"/>
        </w:rPr>
        <w:t>Lorsque la signature électronique n’est pas exigée.</w:t>
      </w:r>
    </w:p>
    <w:p>
      <w:pPr>
        <w:pStyle w:val="Heading2"/>
        <w:rPr>
          <w:rFonts w:ascii="Arial" w:hAnsi="Arial" w:cs="Arial"/>
          <w:lang w:val="fr-FR"/>
        </w:rPr>
      </w:pPr>
      <w:r>
        <w:rPr>
          <w:rFonts w:cs="Arial" w:ascii="Arial" w:hAnsi="Arial"/>
          <w:lang w:val="fr-FR"/>
        </w:rPr>
        <w:t>5.3. Copie de sauvegarde</w:t>
      </w:r>
    </w:p>
    <w:p>
      <w:pPr>
        <w:pStyle w:val="Normal"/>
        <w:jc w:val="both"/>
        <w:rPr>
          <w:rFonts w:cs="Arial"/>
          <w:lang w:val="fr-FR"/>
        </w:rPr>
      </w:pPr>
      <w:r>
        <w:rPr>
          <w:rFonts w:cs="Arial"/>
          <w:lang w:val="fr-FR"/>
        </w:rPr>
        <w:t>Le candidat peut transmettre une copie de sauvegarde dans les conditions prévues par la réglementation et les indications du profil acheteur. Elle devra parvenir avant la date et l’heure limites de remise des offres et porter la mention lisible : "copie de sauvegarde - marché de travaux - réhabilitation du passage couvert de la Sous-Préfecture de Roanne".</w:t>
      </w:r>
    </w:p>
    <w:p>
      <w:pPr>
        <w:pStyle w:val="Heading2"/>
        <w:rPr>
          <w:rFonts w:ascii="Arial" w:hAnsi="Arial" w:cs="Arial"/>
          <w:lang w:val="fr-FR"/>
        </w:rPr>
      </w:pPr>
      <w:r>
        <w:rPr>
          <w:rFonts w:cs="Arial" w:ascii="Arial" w:hAnsi="Arial"/>
          <w:lang w:val="fr-FR"/>
        </w:rPr>
        <w:t>5.4. Traitement des virus et fichiers illisibles</w:t>
      </w:r>
    </w:p>
    <w:p>
      <w:pPr>
        <w:pStyle w:val="Normal"/>
        <w:jc w:val="both"/>
        <w:rPr>
          <w:rFonts w:cs="Arial"/>
          <w:lang w:val="fr-FR"/>
        </w:rPr>
      </w:pPr>
      <w:r>
        <w:rPr>
          <w:rFonts w:cs="Arial"/>
          <w:lang w:val="fr-FR"/>
        </w:rPr>
        <w:t>Tout pli contenant un virus ou un fichier illisible pourra être écarté si sa réparation est impossible et si aucune copie de sauvegarde régulière ne peut être ouverte.</w:t>
      </w:r>
    </w:p>
    <w:p>
      <w:pPr>
        <w:pStyle w:val="Heading1"/>
        <w:rPr>
          <w:rFonts w:ascii="Arial" w:hAnsi="Arial" w:cs="Arial"/>
          <w:lang w:val="fr-FR"/>
        </w:rPr>
      </w:pPr>
      <w:r>
        <w:rPr>
          <w:rFonts w:cs="Arial" w:ascii="Arial" w:hAnsi="Arial"/>
          <w:lang w:val="fr-FR"/>
        </w:rPr>
        <w:t>6 - RENSEIGNEMENTS COMPLEMENTAIRES</w:t>
      </w:r>
    </w:p>
    <w:p>
      <w:pPr>
        <w:pStyle w:val="Normal"/>
        <w:jc w:val="both"/>
        <w:rPr>
          <w:rFonts w:cs="Arial"/>
          <w:lang w:val="fr-FR"/>
        </w:rPr>
      </w:pPr>
      <w:r>
        <w:rPr>
          <w:rFonts w:cs="Arial"/>
          <w:lang w:val="fr-FR"/>
        </w:rPr>
        <w:t>Les demandes de renseignements complémentaires devront être adressées exclusivement via le profil acheteur, au plus tard 10 jours calendaires avant la date limite de remise des offres, sauf délai différent indiqué dans l’avis de publicité.</w:t>
      </w:r>
    </w:p>
    <w:p>
      <w:pPr>
        <w:pStyle w:val="Normal"/>
        <w:jc w:val="both"/>
        <w:rPr>
          <w:rFonts w:cs="Arial"/>
          <w:lang w:val="fr-FR"/>
        </w:rPr>
      </w:pPr>
      <w:r>
        <w:rPr>
          <w:rFonts w:cs="Arial"/>
          <w:lang w:val="fr-FR"/>
        </w:rPr>
        <w:t>Une réponse sera communiquée à l’ensemble des candidats ayant retiré le dossier, dans un délai compatible avec la remise des offres.</w:t>
      </w:r>
    </w:p>
    <w:p>
      <w:pPr>
        <w:pStyle w:val="Normal"/>
        <w:jc w:val="both"/>
        <w:rPr>
          <w:rFonts w:cs="Arial"/>
          <w:lang w:val="fr-FR"/>
        </w:rPr>
      </w:pPr>
      <w:r>
        <w:rPr>
          <w:rFonts w:cs="Arial"/>
          <w:lang w:val="fr-FR"/>
        </w:rPr>
        <w:t>Renseignements administratifs :</w:t>
      </w:r>
      <w:r>
        <w:rPr>
          <w:rFonts w:cs="Arial"/>
          <w:shd w:fill="FFFFFF" w:val="clear"/>
          <w:lang w:val="fr-FR"/>
        </w:rPr>
        <w:t xml:space="preserve"> Mme VARAGNAT : </w:t>
      </w:r>
      <w:r>
        <w:rPr>
          <w:rFonts w:cs="Arial"/>
          <w:shd w:fill="FFFFFF" w:val="clear"/>
          <w:lang w:val="fr-FR"/>
        </w:rPr>
        <w:t>estelle.varagnat@loire.gouv.fr</w:t>
      </w:r>
    </w:p>
    <w:p>
      <w:pPr>
        <w:pStyle w:val="Normal"/>
        <w:spacing w:before="0" w:after="200"/>
        <w:jc w:val="both"/>
        <w:rPr>
          <w:rFonts w:cs="Arial"/>
          <w:lang w:val="fr-FR"/>
        </w:rPr>
      </w:pPr>
      <w:r>
        <w:rPr>
          <w:rFonts w:cs="Arial"/>
          <w:lang w:val="fr-FR"/>
        </w:rPr>
        <w:t>Renseignements techniques : KEOPS ARCHITECTURE : keops@keopsarchitecture.com</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20" w:right="1020" w:gutter="0" w:header="340" w:top="964" w:footer="17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1"/>
    <w:family w:val="auto"/>
    <w:pitch w:val="default"/>
  </w:font>
  <w:font w:name="Arial">
    <w:charset w:val="01"/>
    <w:family w:val="swiss"/>
    <w:pitch w:val="default"/>
  </w:font>
  <w:font w:name="Calibri">
    <w:charset w:val="01"/>
    <w:family w:val="swiss"/>
    <w:pitch w:val="default"/>
  </w:font>
  <w:font w:name="Courier">
    <w:altName w:val="Courier New"/>
    <w:charset w:val="01"/>
    <w:family w:val="auto"/>
    <w:pitch w:val="default"/>
  </w:font>
  <w:font w:name="Marianne">
    <w:charset w:val="01"/>
    <w:family w:val="auto"/>
    <w:pitch w:val="default"/>
  </w:font>
  <w:font w:name="Marianne">
    <w:charset w:val="01"/>
    <w:family w:val="swiss"/>
    <w:pitch w:val="default"/>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fr-FR"/>
      </w:rPr>
    </w:pPr>
    <w:r>
      <w:rPr>
        <w:sz w:val="14"/>
        <w:lang w:val="fr-FR"/>
      </w:rPr>
      <w:t>RC - Passage couvert de la sous-prefecture de Roanne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fr-FR"/>
      </w:rPr>
    </w:pPr>
    <w:r>
      <w:rPr>
        <w:sz w:val="14"/>
        <w:lang w:val="fr-FR"/>
      </w:rPr>
      <w:t>RC - Passage couvert de la sous-prefecture de Roanne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fr-FR"/>
      </w:rPr>
    </w:pPr>
    <w:r>
      <w:rPr>
        <w:color w:val="505050"/>
        <w:sz w:val="14"/>
        <w:lang w:val="fr-FR"/>
      </w:rPr>
      <w:t>REGLEMENT DE CONSULTATION - MARCHE DE TRAVAUX - REHABILITATION DU PASSAGE COUVERT</w:t>
      <w:br/>
      <w:t>SOUS-PREFECTURE DE ROANNE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fr-FR"/>
      </w:rPr>
    </w:pPr>
    <w:r>
      <w:rPr>
        <w:color w:val="505050"/>
        <w:sz w:val="14"/>
        <w:lang w:val="fr-FR"/>
      </w:rPr>
      <w:t>REGLEMENT DE CONSULTATION - MARCHE DE TRAVAUX - REHABILITATION DU PASSAGE COUVERT</w:t>
      <w:br/>
      <w:t>SOUS-PREFECTURE DE ROANNE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start"/>
    </w:pPr>
    <w:rPr>
      <w:rFonts w:ascii="Arial" w:hAnsi="Arial" w:eastAsia="Arial" w:cs="" w:cstheme="minorBidi"/>
      <w:color w:val="auto"/>
      <w:kern w:val="0"/>
      <w:sz w:val="18"/>
      <w:szCs w:val="22"/>
      <w:lang w:val="en-US" w:eastAsia="en-US" w:bidi="ar-SA"/>
    </w:rPr>
  </w:style>
  <w:style w:type="paragraph" w:styleId="Heading1">
    <w:name w:val="heading 1"/>
    <w:basedOn w:val="Normal"/>
    <w:next w:val="Normal"/>
    <w:link w:val="Titre1C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000000"/>
      <w:sz w:val="24"/>
      <w:szCs w:val="28"/>
    </w:rPr>
  </w:style>
  <w:style w:type="paragraph" w:styleId="Heading2">
    <w:name w:val="heading 2"/>
    <w:basedOn w:val="Normal"/>
    <w:next w:val="Normal"/>
    <w:link w:val="Titre2C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00000"/>
      <w:sz w:val="20"/>
      <w:szCs w:val="26"/>
    </w:rPr>
  </w:style>
  <w:style w:type="paragraph" w:styleId="Heading3">
    <w:name w:val="heading 3"/>
    <w:basedOn w:val="Normal"/>
    <w:next w:val="Normal"/>
    <w:link w:val="Titre3C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000000"/>
      <w:sz w:val="20"/>
    </w:rPr>
  </w:style>
  <w:style w:type="paragraph" w:styleId="Heading4">
    <w:name w:val="heading 4"/>
    <w:basedOn w:val="Normal"/>
    <w:next w:val="Normal"/>
    <w:link w:val="Titre4C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Titre5C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Titre6C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Titre7C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Titre8C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Titre9C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e618bf"/>
    <w:rPr/>
  </w:style>
  <w:style w:type="character" w:styleId="PieddepageCar" w:customStyle="1">
    <w:name w:val="Pied de page Car"/>
    <w:basedOn w:val="DefaultParagraphFont"/>
    <w:uiPriority w:val="99"/>
    <w:qFormat/>
    <w:rsid w:val="00e618bf"/>
    <w:rPr/>
  </w:style>
  <w:style w:type="character" w:styleId="Titre1Car" w:customStyle="1">
    <w:name w:val="Titre 1 C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Titre2Car" w:customStyle="1">
    <w:name w:val="Titre 2 C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Titre3Car" w:customStyle="1">
    <w:name w:val="Titre 3 C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reCar" w:customStyle="1">
    <w:name w:val="Titre C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ous-titreCar" w:customStyle="1">
    <w:name w:val="Sous-titre C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CorpsdetexteCar" w:customStyle="1">
    <w:name w:val="Corps de texte Car"/>
    <w:basedOn w:val="DefaultParagraphFont"/>
    <w:uiPriority w:val="99"/>
    <w:qFormat/>
    <w:rsid w:val="00aa1d8d"/>
    <w:rPr/>
  </w:style>
  <w:style w:type="character" w:styleId="Corpsdetexte2Car" w:customStyle="1">
    <w:name w:val="Corps de texte 2 Car"/>
    <w:basedOn w:val="DefaultParagraphFont"/>
    <w:link w:val="BodyText2"/>
    <w:uiPriority w:val="99"/>
    <w:qFormat/>
    <w:rsid w:val="00aa1d8d"/>
    <w:rPr/>
  </w:style>
  <w:style w:type="character" w:styleId="Corpsdetexte3Car" w:customStyle="1">
    <w:name w:val="Corps de texte 3 Car"/>
    <w:basedOn w:val="DefaultParagraphFont"/>
    <w:link w:val="BodyText3"/>
    <w:uiPriority w:val="99"/>
    <w:qFormat/>
    <w:rsid w:val="00aa1d8d"/>
    <w:rPr>
      <w:sz w:val="16"/>
      <w:szCs w:val="16"/>
    </w:rPr>
  </w:style>
  <w:style w:type="character" w:styleId="TextedemacroCar" w:customStyle="1">
    <w:name w:val="Texte de macro Car"/>
    <w:basedOn w:val="DefaultParagraphFont"/>
    <w:link w:val="MacroText"/>
    <w:uiPriority w:val="99"/>
    <w:qFormat/>
    <w:rsid w:val="0029639d"/>
    <w:rPr>
      <w:rFonts w:ascii="Courier" w:hAnsi="Courier"/>
      <w:sz w:val="20"/>
      <w:szCs w:val="20"/>
    </w:rPr>
  </w:style>
  <w:style w:type="character" w:styleId="CitationCar" w:customStyle="1">
    <w:name w:val="Citation Car"/>
    <w:basedOn w:val="DefaultParagraphFont"/>
    <w:link w:val="Quote"/>
    <w:uiPriority w:val="29"/>
    <w:qFormat/>
    <w:rsid w:val="00fc693f"/>
    <w:rPr>
      <w:i/>
      <w:iCs/>
      <w:color w:themeColor="text1" w:val="000000"/>
    </w:rPr>
  </w:style>
  <w:style w:type="character" w:styleId="Titre4Car" w:customStyle="1">
    <w:name w:val="Titre 4 C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Titre5Car" w:customStyle="1">
    <w:name w:val="Titre 5 C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Titre6Car" w:customStyle="1">
    <w:name w:val="Titre 6 C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Titre7Car" w:customStyle="1">
    <w:name w:val="Titre 7 C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Titre8Car" w:customStyle="1">
    <w:name w:val="Titre 8 C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Titre9Car" w:customStyle="1">
    <w:name w:val="Titre 9 C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CitationintenseCar" w:customStyle="1">
    <w:name w:val="Citation intense C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Policepardfaut">
    <w:name w:val="Police par défaut"/>
    <w:qFormat/>
    <w:rPr/>
  </w:style>
  <w:style w:type="paragraph" w:styleId="Titre">
    <w:name w:val="Titre"/>
    <w:basedOn w:val="Normal"/>
    <w:next w:val="BodyText"/>
    <w:qFormat/>
    <w:pPr>
      <w:keepNext w:val="true"/>
      <w:spacing w:before="240" w:after="120"/>
    </w:pPr>
    <w:rPr>
      <w:rFonts w:ascii="Marianne" w:hAnsi="Marianne" w:eastAsia="Microsoft YaHei" w:cs="Arial"/>
      <w:sz w:val="28"/>
      <w:szCs w:val="28"/>
    </w:rPr>
  </w:style>
  <w:style w:type="paragraph" w:styleId="BodyText">
    <w:name w:val="Body Text"/>
    <w:basedOn w:val="Normal"/>
    <w:link w:val="CorpsdetexteC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Cs w:val="18"/>
    </w:rPr>
  </w:style>
  <w:style w:type="paragraph" w:styleId="Index">
    <w:name w:val="Index"/>
    <w:basedOn w:val="Normal"/>
    <w:qFormat/>
    <w:pPr>
      <w:suppressLineNumbers/>
    </w:pPr>
    <w:rPr>
      <w:rFonts w:ascii="Marianne" w:hAnsi="Marianne" w:cs="Arial"/>
    </w:rPr>
  </w:style>
  <w:style w:type="paragraph" w:styleId="Titreuser">
    <w:name w:val="Titre (user)"/>
    <w:basedOn w:val="Normal"/>
    <w:next w:val="BodyText"/>
    <w:qFormat/>
    <w:pPr>
      <w:keepNext w:val="true"/>
      <w:spacing w:before="240" w:after="120"/>
    </w:pPr>
    <w:rPr>
      <w:rFonts w:ascii="Marianne" w:hAnsi="Marianne" w:eastAsia="Microsoft YaHei" w:cs="Arial"/>
      <w:sz w:val="28"/>
      <w:szCs w:val="28"/>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PieddepageC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reC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ous-titreC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Corpsdetexte2Car"/>
    <w:uiPriority w:val="99"/>
    <w:unhideWhenUsed/>
    <w:qFormat/>
    <w:rsid w:val="00aa1d8d"/>
    <w:pPr>
      <w:spacing w:lineRule="auto" w:line="480" w:before="0" w:after="120"/>
    </w:pPr>
    <w:rPr/>
  </w:style>
  <w:style w:type="paragraph" w:styleId="BodyText3">
    <w:name w:val="Body Text 3"/>
    <w:basedOn w:val="Normal"/>
    <w:link w:val="Corpsdetexte3C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TextedemacroC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CitationCar"/>
    <w:uiPriority w:val="29"/>
    <w:qFormat/>
    <w:rsid w:val="00fc693f"/>
    <w:pPr/>
    <w:rPr>
      <w:i/>
      <w:iCs/>
      <w:color w:themeColor="text1" w:val="000000"/>
    </w:rPr>
  </w:style>
  <w:style w:type="paragraph" w:styleId="IntenseQuote">
    <w:name w:val="Intense Quote"/>
    <w:basedOn w:val="Normal"/>
    <w:next w:val="Normal"/>
    <w:link w:val="CitationintenseC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Titreuser"/>
    <w:pPr/>
    <w:rPr/>
  </w:style>
  <w:style w:type="paragraph" w:styleId="TOCHeading">
    <w:name w:val="TOC Heading"/>
    <w:basedOn w:val="Heading1"/>
    <w:next w:val="Normal"/>
    <w:uiPriority w:val="39"/>
    <w:semiHidden/>
    <w:unhideWhenUsed/>
    <w:qFormat/>
    <w:rsid w:val="00fc693f"/>
    <w:pPr>
      <w:outlineLvl w:val="9"/>
    </w:pPr>
    <w:rPr/>
  </w:style>
  <w:style w:type="paragraph" w:styleId="FooterChar">
    <w:name w:val="Footer Char"/>
    <w:qFormat/>
    <w:pPr>
      <w:widowControl/>
      <w:suppressAutoHyphens w:val="true"/>
      <w:autoSpaceDE w:val="false"/>
      <w:bidi w:val="0"/>
      <w:spacing w:before="0" w:after="0"/>
      <w:jc w:val="center"/>
    </w:pPr>
    <w:rPr>
      <w:rFonts w:ascii="Calibri" w:hAnsi="Calibri" w:eastAsia="Times New Roman" w:cs="Calibri"/>
      <w:color w:val="0892AF"/>
      <w:kern w:val="0"/>
      <w:sz w:val="18"/>
      <w:szCs w:val="18"/>
      <w:lang w:bidi="ar-SA" w:val="en-US" w:eastAsia="en-US"/>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LibreOffice/25.8.4.2$Windows_X86_64 LibreOffice_project/290daaa01b999472f0c7a3890eb6a550fd74c6df</Application>
  <AppVersion>15.0000</AppVersion>
  <Pages>7</Pages>
  <Words>2374</Words>
  <Characters>14031</Characters>
  <CharactersWithSpaces>16179</CharactersWithSpaces>
  <Paragraphs>195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dc:language>fr-FR</dc:language>
  <dc:subject/>
  <dc:title/>
</cp:coreProperties>
</file>

<file path=docProps/custom.xml><?xml version="1.0" encoding="utf-8"?>
<Properties xmlns="http://schemas.openxmlformats.org/officeDocument/2006/custom-properties" xmlns:vt="http://schemas.openxmlformats.org/officeDocument/2006/docPropsVTypes"/>
</file>