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Document.xml" ContentType="application/vnd.openxmlformats-officedocument.wordprocessingml.comments+xml"/>
  <Override PartName="/word/commentsIdsDocument.xml" ContentType="application/vnd.openxmlformats-officedocument.wordprocessingml.commentsIds+xml"/>
  <Override PartName="/word/commentsExtendedDocument.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460CF2" w14:textId="77777777" w:rsidR="006D181A" w:rsidRDefault="006D181A">
      <w:pPr>
        <w:rPr>
          <w:rFonts w:asciiTheme="minorHAnsi" w:hAnsiTheme="minorHAnsi" w:cstheme="minorHAnsi"/>
          <w:sz w:val="22"/>
          <w:szCs w:val="22"/>
        </w:rPr>
      </w:pPr>
    </w:p>
    <w:tbl>
      <w:tblPr>
        <w:tblStyle w:val="Grilledutableau"/>
        <w:tblW w:w="0" w:type="auto"/>
        <w:tblInd w:w="1134" w:type="dxa"/>
        <w:tblLook w:val="04A0" w:firstRow="1" w:lastRow="0" w:firstColumn="1" w:lastColumn="0" w:noHBand="0" w:noVBand="1"/>
      </w:tblPr>
      <w:tblGrid>
        <w:gridCol w:w="236"/>
        <w:gridCol w:w="7944"/>
        <w:gridCol w:w="15"/>
      </w:tblGrid>
      <w:tr w:rsidR="006D181A" w14:paraId="41C5566E" w14:textId="77777777">
        <w:trPr>
          <w:gridAfter w:val="1"/>
          <w:wAfter w:w="15" w:type="dxa"/>
          <w:trHeight w:val="318"/>
        </w:trPr>
        <w:tc>
          <w:tcPr>
            <w:tcW w:w="8190" w:type="dxa"/>
            <w:gridSpan w:val="2"/>
            <w:tcBorders>
              <w:top w:val="single" w:sz="4" w:space="0" w:color="auto"/>
              <w:left w:val="single" w:sz="4" w:space="0" w:color="auto"/>
              <w:bottom w:val="single" w:sz="4" w:space="0" w:color="auto"/>
              <w:right w:val="single" w:sz="4" w:space="0" w:color="auto"/>
            </w:tcBorders>
          </w:tcPr>
          <w:p w14:paraId="25AA8B5F" w14:textId="77777777" w:rsidR="006D181A" w:rsidRDefault="006D181A">
            <w:pPr>
              <w:rPr>
                <w:rFonts w:asciiTheme="minorHAnsi" w:hAnsiTheme="minorHAnsi" w:cstheme="minorHAnsi"/>
                <w:b/>
                <w:sz w:val="32"/>
                <w:szCs w:val="22"/>
              </w:rPr>
            </w:pPr>
          </w:p>
          <w:p w14:paraId="1AB18698" w14:textId="26E9C3A1" w:rsidR="006D181A" w:rsidRDefault="00195005">
            <w:pPr>
              <w:jc w:val="center"/>
              <w:rPr>
                <w:rFonts w:asciiTheme="minorHAnsi" w:hAnsiTheme="minorHAnsi" w:cstheme="minorHAnsi"/>
                <w:b/>
                <w:sz w:val="32"/>
                <w:szCs w:val="22"/>
              </w:rPr>
            </w:pPr>
            <w:r>
              <w:rPr>
                <w:rFonts w:asciiTheme="minorHAnsi" w:hAnsiTheme="minorHAnsi" w:cstheme="minorHAnsi"/>
                <w:b/>
                <w:sz w:val="32"/>
                <w:szCs w:val="22"/>
              </w:rPr>
              <w:t>REGLEMENT DE LA CONSULTATION (RC)</w:t>
            </w:r>
          </w:p>
          <w:p w14:paraId="278528D9" w14:textId="77777777" w:rsidR="006D181A" w:rsidRDefault="006D181A">
            <w:pPr>
              <w:rPr>
                <w:rFonts w:asciiTheme="minorHAnsi" w:hAnsiTheme="minorHAnsi" w:cstheme="minorHAnsi"/>
                <w:b/>
                <w:sz w:val="32"/>
                <w:szCs w:val="22"/>
              </w:rPr>
            </w:pPr>
          </w:p>
        </w:tc>
      </w:tr>
      <w:tr w:rsidR="006D181A" w14:paraId="4A918470" w14:textId="77777777">
        <w:trPr>
          <w:gridAfter w:val="1"/>
          <w:wAfter w:w="15" w:type="dxa"/>
          <w:trHeight w:val="318"/>
        </w:trPr>
        <w:tc>
          <w:tcPr>
            <w:tcW w:w="8190" w:type="dxa"/>
            <w:gridSpan w:val="2"/>
            <w:tcBorders>
              <w:top w:val="none" w:sz="4" w:space="0" w:color="000000"/>
              <w:left w:val="none" w:sz="4" w:space="0" w:color="000000"/>
              <w:bottom w:val="none" w:sz="4" w:space="0" w:color="000000"/>
              <w:right w:val="none" w:sz="4" w:space="0" w:color="000000"/>
            </w:tcBorders>
          </w:tcPr>
          <w:p w14:paraId="5FC7BE69" w14:textId="77777777" w:rsidR="006D181A" w:rsidRDefault="006D181A">
            <w:pPr>
              <w:rPr>
                <w:rFonts w:asciiTheme="minorHAnsi" w:hAnsiTheme="minorHAnsi" w:cstheme="minorHAnsi"/>
                <w:b/>
                <w:sz w:val="22"/>
                <w:szCs w:val="22"/>
              </w:rPr>
            </w:pPr>
          </w:p>
        </w:tc>
      </w:tr>
      <w:tr w:rsidR="006D181A" w14:paraId="4B92ABA8" w14:textId="77777777">
        <w:tc>
          <w:tcPr>
            <w:tcW w:w="236" w:type="dxa"/>
            <w:tcBorders>
              <w:top w:val="none" w:sz="4" w:space="0" w:color="000000"/>
              <w:left w:val="none" w:sz="4" w:space="0" w:color="000000"/>
              <w:bottom w:val="none" w:sz="4" w:space="0" w:color="000000"/>
              <w:right w:val="single" w:sz="4" w:space="0" w:color="auto"/>
            </w:tcBorders>
          </w:tcPr>
          <w:p w14:paraId="23EBD4C2" w14:textId="77777777" w:rsidR="006D181A" w:rsidRDefault="006D181A">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294DDF9C" w14:textId="5F0EE230" w:rsidR="006D181A" w:rsidRDefault="00195005">
            <w:pPr>
              <w:rPr>
                <w:rFonts w:asciiTheme="minorHAnsi" w:hAnsiTheme="minorHAnsi" w:cstheme="minorHAnsi"/>
                <w:b/>
                <w:caps/>
                <w:smallCaps/>
                <w:sz w:val="22"/>
                <w:szCs w:val="22"/>
              </w:rPr>
            </w:pPr>
            <w:r>
              <w:rPr>
                <w:rFonts w:asciiTheme="minorHAnsi" w:hAnsiTheme="minorHAnsi" w:cstheme="minorHAnsi"/>
                <w:b/>
                <w:smallCaps/>
                <w:sz w:val="22"/>
                <w:szCs w:val="22"/>
              </w:rPr>
              <w:t>O</w:t>
            </w:r>
            <w:r>
              <w:rPr>
                <w:rFonts w:asciiTheme="minorHAnsi" w:hAnsiTheme="minorHAnsi" w:cstheme="minorHAnsi"/>
                <w:b/>
                <w:caps/>
                <w:sz w:val="22"/>
                <w:szCs w:val="22"/>
              </w:rPr>
              <w:t>BJET Du projet de contrat :</w:t>
            </w:r>
          </w:p>
          <w:p w14:paraId="2B8821F0" w14:textId="164A8B89" w:rsidR="006D181A" w:rsidRDefault="00195005">
            <w:pPr>
              <w:rPr>
                <w:rFonts w:asciiTheme="minorHAnsi" w:hAnsiTheme="minorHAnsi" w:cstheme="minorHAnsi"/>
                <w:bCs/>
                <w:sz w:val="22"/>
                <w:szCs w:val="22"/>
              </w:rPr>
            </w:pPr>
            <w:bookmarkStart w:id="0" w:name="_Hlk224217708"/>
            <w:r>
              <w:rPr>
                <w:rFonts w:asciiTheme="minorHAnsi" w:hAnsiTheme="minorHAnsi" w:cstheme="minorHAnsi"/>
                <w:sz w:val="22"/>
                <w:szCs w:val="22"/>
              </w:rPr>
              <w:t>Services de traduction et d’interprétariat au Cap-Vert pour les activités de WASOP mis en œuvre par Expertise France</w:t>
            </w:r>
            <w:r>
              <w:rPr>
                <w:rFonts w:asciiTheme="minorHAnsi" w:hAnsiTheme="minorHAnsi" w:cstheme="minorHAnsi"/>
                <w:bCs/>
                <w:caps/>
                <w:sz w:val="22"/>
                <w:szCs w:val="22"/>
              </w:rPr>
              <w:t xml:space="preserve"> </w:t>
            </w:r>
            <w:bookmarkEnd w:id="0"/>
          </w:p>
        </w:tc>
      </w:tr>
      <w:tr w:rsidR="006D181A" w14:paraId="54D0263E" w14:textId="77777777">
        <w:tc>
          <w:tcPr>
            <w:tcW w:w="236" w:type="dxa"/>
            <w:tcBorders>
              <w:top w:val="none" w:sz="4" w:space="0" w:color="000000"/>
              <w:left w:val="none" w:sz="4" w:space="0" w:color="000000"/>
              <w:bottom w:val="none" w:sz="4" w:space="0" w:color="000000"/>
              <w:right w:val="single" w:sz="4" w:space="0" w:color="auto"/>
            </w:tcBorders>
          </w:tcPr>
          <w:p w14:paraId="07BB57F8" w14:textId="77777777" w:rsidR="006D181A" w:rsidRDefault="006D181A">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392A7C8B" w14:textId="77777777" w:rsidR="006D181A" w:rsidRDefault="00195005">
            <w:pPr>
              <w:rPr>
                <w:rFonts w:asciiTheme="minorHAnsi" w:hAnsiTheme="minorHAnsi" w:cstheme="minorHAnsi"/>
                <w:b/>
                <w:caps/>
                <w:smallCaps/>
                <w:sz w:val="22"/>
                <w:szCs w:val="22"/>
              </w:rPr>
            </w:pPr>
            <w:r>
              <w:rPr>
                <w:rFonts w:asciiTheme="minorHAnsi" w:hAnsiTheme="minorHAnsi" w:cstheme="minorHAnsi"/>
                <w:b/>
                <w:smallCaps/>
                <w:sz w:val="22"/>
                <w:szCs w:val="22"/>
              </w:rPr>
              <w:t>REPRESENTANT LEGAL DU POUVOIR ADJUDICATEUR :</w:t>
            </w:r>
          </w:p>
          <w:p w14:paraId="2DF8A3DC" w14:textId="77777777" w:rsidR="006D181A" w:rsidRDefault="00195005">
            <w:pPr>
              <w:rPr>
                <w:rFonts w:asciiTheme="minorHAnsi" w:hAnsiTheme="minorHAnsi" w:cstheme="minorHAnsi"/>
                <w:sz w:val="22"/>
                <w:szCs w:val="22"/>
              </w:rPr>
            </w:pPr>
            <w:r>
              <w:rPr>
                <w:rFonts w:asciiTheme="minorHAnsi" w:hAnsiTheme="minorHAnsi" w:cstheme="minorHAnsi"/>
                <w:sz w:val="22"/>
                <w:szCs w:val="22"/>
              </w:rPr>
              <w:t>Jérémie PELLET, Directeur général d’EXPERTISE FRANCE</w:t>
            </w:r>
          </w:p>
        </w:tc>
      </w:tr>
      <w:tr w:rsidR="006D181A" w14:paraId="50580D09" w14:textId="77777777">
        <w:trPr>
          <w:gridAfter w:val="1"/>
          <w:wAfter w:w="15" w:type="dxa"/>
          <w:trHeight w:val="60"/>
        </w:trPr>
        <w:tc>
          <w:tcPr>
            <w:tcW w:w="8190" w:type="dxa"/>
            <w:gridSpan w:val="2"/>
            <w:tcBorders>
              <w:top w:val="none" w:sz="4" w:space="0" w:color="000000"/>
              <w:left w:val="none" w:sz="4" w:space="0" w:color="000000"/>
              <w:bottom w:val="none" w:sz="4" w:space="0" w:color="000000"/>
              <w:right w:val="none" w:sz="4" w:space="0" w:color="000000"/>
            </w:tcBorders>
          </w:tcPr>
          <w:p w14:paraId="09564134" w14:textId="77777777" w:rsidR="006D181A" w:rsidRDefault="006D181A">
            <w:pPr>
              <w:rPr>
                <w:rFonts w:asciiTheme="minorHAnsi" w:hAnsiTheme="minorHAnsi" w:cstheme="minorHAnsi"/>
                <w:b/>
                <w:sz w:val="22"/>
                <w:szCs w:val="22"/>
              </w:rPr>
            </w:pPr>
          </w:p>
        </w:tc>
      </w:tr>
      <w:tr w:rsidR="006D181A" w14:paraId="5CF8FD6A" w14:textId="77777777">
        <w:tc>
          <w:tcPr>
            <w:tcW w:w="236" w:type="dxa"/>
            <w:tcBorders>
              <w:top w:val="none" w:sz="4" w:space="0" w:color="000000"/>
              <w:left w:val="none" w:sz="4" w:space="0" w:color="000000"/>
              <w:bottom w:val="none" w:sz="4" w:space="0" w:color="000000"/>
              <w:right w:val="single" w:sz="4" w:space="0" w:color="auto"/>
            </w:tcBorders>
          </w:tcPr>
          <w:p w14:paraId="7CA0A635" w14:textId="77777777" w:rsidR="006D181A" w:rsidRDefault="006D181A">
            <w:pPr>
              <w:rPr>
                <w:rFonts w:asciiTheme="minorHAnsi" w:hAnsiTheme="minorHAnsi" w:cstheme="minorHAnsi"/>
                <w:b/>
                <w:sz w:val="22"/>
                <w:szCs w:val="22"/>
              </w:rPr>
            </w:pPr>
          </w:p>
        </w:tc>
        <w:tc>
          <w:tcPr>
            <w:tcW w:w="7969" w:type="dxa"/>
            <w:gridSpan w:val="2"/>
            <w:tcBorders>
              <w:top w:val="none" w:sz="4" w:space="0" w:color="000000"/>
              <w:left w:val="single" w:sz="4" w:space="0" w:color="auto"/>
              <w:bottom w:val="single" w:sz="4" w:space="0" w:color="auto"/>
              <w:right w:val="none" w:sz="4" w:space="0" w:color="000000"/>
            </w:tcBorders>
          </w:tcPr>
          <w:p w14:paraId="3A1536B1" w14:textId="77777777" w:rsidR="006D181A" w:rsidRDefault="00195005">
            <w:pPr>
              <w:rPr>
                <w:rFonts w:asciiTheme="minorHAnsi" w:hAnsiTheme="minorHAnsi" w:cstheme="minorHAnsi"/>
                <w:b/>
                <w:caps/>
                <w:smallCaps/>
                <w:sz w:val="22"/>
                <w:szCs w:val="22"/>
              </w:rPr>
            </w:pPr>
            <w:r>
              <w:rPr>
                <w:rFonts w:asciiTheme="minorHAnsi" w:hAnsiTheme="minorHAnsi" w:cstheme="minorHAnsi"/>
                <w:b/>
                <w:smallCaps/>
                <w:sz w:val="22"/>
                <w:szCs w:val="22"/>
              </w:rPr>
              <w:t>DATE ET HEURE LIMITES DE REMISE DES OFFRES :</w:t>
            </w:r>
          </w:p>
          <w:p w14:paraId="5ADFEC75" w14:textId="230882D3" w:rsidR="006D181A" w:rsidRDefault="0040798D">
            <w:pPr>
              <w:rPr>
                <w:rFonts w:asciiTheme="minorHAnsi" w:hAnsiTheme="minorHAnsi" w:cstheme="minorHAnsi"/>
                <w:sz w:val="22"/>
                <w:szCs w:val="22"/>
              </w:rPr>
            </w:pPr>
            <w:r>
              <w:rPr>
                <w:rFonts w:asciiTheme="minorHAnsi" w:hAnsiTheme="minorHAnsi" w:cstheme="minorHAnsi"/>
                <w:b/>
                <w:sz w:val="22"/>
                <w:szCs w:val="22"/>
                <w:highlight w:val="yellow"/>
              </w:rPr>
              <w:t>17</w:t>
            </w:r>
            <w:r w:rsidR="00195005">
              <w:rPr>
                <w:rFonts w:asciiTheme="minorHAnsi" w:hAnsiTheme="minorHAnsi" w:cstheme="minorHAnsi"/>
                <w:b/>
                <w:sz w:val="22"/>
                <w:szCs w:val="22"/>
                <w:highlight w:val="yellow"/>
              </w:rPr>
              <w:t>/0</w:t>
            </w:r>
            <w:r>
              <w:rPr>
                <w:rFonts w:asciiTheme="minorHAnsi" w:hAnsiTheme="minorHAnsi" w:cstheme="minorHAnsi"/>
                <w:b/>
                <w:sz w:val="22"/>
                <w:szCs w:val="22"/>
                <w:highlight w:val="yellow"/>
              </w:rPr>
              <w:t>7</w:t>
            </w:r>
            <w:r w:rsidR="00195005">
              <w:rPr>
                <w:rFonts w:asciiTheme="minorHAnsi" w:hAnsiTheme="minorHAnsi" w:cstheme="minorHAnsi"/>
                <w:b/>
                <w:sz w:val="22"/>
                <w:szCs w:val="22"/>
                <w:highlight w:val="yellow"/>
              </w:rPr>
              <w:t xml:space="preserve">/2026 à </w:t>
            </w:r>
            <w:r w:rsidR="007C54C2">
              <w:rPr>
                <w:rFonts w:asciiTheme="minorHAnsi" w:hAnsiTheme="minorHAnsi" w:cstheme="minorHAnsi"/>
                <w:b/>
                <w:sz w:val="22"/>
                <w:szCs w:val="22"/>
                <w:highlight w:val="yellow"/>
              </w:rPr>
              <w:t>23</w:t>
            </w:r>
            <w:r w:rsidR="00195005">
              <w:rPr>
                <w:rFonts w:asciiTheme="minorHAnsi" w:hAnsiTheme="minorHAnsi" w:cstheme="minorHAnsi"/>
                <w:b/>
                <w:sz w:val="22"/>
                <w:szCs w:val="22"/>
                <w:highlight w:val="yellow"/>
              </w:rPr>
              <w:t>h00</w:t>
            </w:r>
            <w:r w:rsidR="00195005">
              <w:rPr>
                <w:rFonts w:asciiTheme="minorHAnsi" w:hAnsiTheme="minorHAnsi" w:cstheme="minorHAnsi"/>
                <w:b/>
                <w:smallCaps/>
                <w:sz w:val="22"/>
                <w:szCs w:val="22"/>
              </w:rPr>
              <w:t xml:space="preserve"> (Heure de Paris)</w:t>
            </w:r>
          </w:p>
        </w:tc>
      </w:tr>
    </w:tbl>
    <w:p w14:paraId="2927EF1D" w14:textId="2BD41489" w:rsidR="006D181A" w:rsidRDefault="006D181A">
      <w:pPr>
        <w:rPr>
          <w:rFonts w:asciiTheme="minorHAnsi" w:hAnsiTheme="minorHAnsi" w:cstheme="minorHAnsi"/>
          <w:sz w:val="22"/>
          <w:szCs w:val="22"/>
        </w:rPr>
      </w:pPr>
    </w:p>
    <w:p w14:paraId="74B5FD87" w14:textId="1F6C0C63" w:rsidR="006D181A" w:rsidRDefault="00195005">
      <w:pPr>
        <w:spacing w:line="240" w:lineRule="auto"/>
        <w:rPr>
          <w:rFonts w:asciiTheme="minorHAnsi" w:hAnsiTheme="minorHAnsi" w:cstheme="minorHAnsi"/>
          <w:sz w:val="22"/>
          <w:szCs w:val="22"/>
        </w:rPr>
      </w:pPr>
      <w:r>
        <w:rPr>
          <w:rFonts w:asciiTheme="minorHAnsi" w:hAnsiTheme="minorHAnsi" w:cstheme="minorHAnsi"/>
          <w:sz w:val="22"/>
          <w:szCs w:val="22"/>
        </w:rPr>
        <w:br w:type="page" w:clear="all"/>
      </w:r>
    </w:p>
    <w:sdt>
      <w:sdtPr>
        <w:rPr>
          <w:rFonts w:asciiTheme="minorHAnsi" w:eastAsia="Times" w:hAnsiTheme="minorHAnsi" w:cstheme="minorHAnsi"/>
          <w:b w:val="0"/>
          <w:bCs w:val="0"/>
          <w:color w:val="auto"/>
          <w:sz w:val="22"/>
          <w:szCs w:val="22"/>
          <w:highlight w:val="yellow"/>
        </w:rPr>
        <w:id w:val="-549693124"/>
        <w:docPartObj>
          <w:docPartGallery w:val="Table of Contents"/>
          <w:docPartUnique/>
        </w:docPartObj>
      </w:sdtPr>
      <w:sdtEndPr/>
      <w:sdtContent>
        <w:p w14:paraId="7C0CE2C1" w14:textId="77777777" w:rsidR="006D181A" w:rsidRDefault="00195005">
          <w:pPr>
            <w:pStyle w:val="En-ttedetabledesmatires"/>
            <w:rPr>
              <w:rFonts w:asciiTheme="minorHAnsi" w:hAnsiTheme="minorHAnsi" w:cstheme="minorHAnsi"/>
              <w:color w:val="auto"/>
              <w:sz w:val="22"/>
              <w:szCs w:val="22"/>
            </w:rPr>
          </w:pPr>
          <w:r>
            <w:rPr>
              <w:rFonts w:asciiTheme="minorHAnsi" w:hAnsiTheme="minorHAnsi" w:cstheme="minorHAnsi"/>
              <w:color w:val="auto"/>
              <w:sz w:val="22"/>
              <w:szCs w:val="22"/>
              <w:u w:val="single"/>
            </w:rPr>
            <w:t>SOMMAIRE</w:t>
          </w:r>
        </w:p>
        <w:p w14:paraId="1564014C" w14:textId="67DA96D0" w:rsidR="006D181A" w:rsidRDefault="006D181A">
          <w:pPr>
            <w:tabs>
              <w:tab w:val="left" w:pos="2265"/>
            </w:tabs>
            <w:rPr>
              <w:rFonts w:asciiTheme="minorHAnsi" w:hAnsiTheme="minorHAnsi" w:cstheme="minorHAnsi"/>
              <w:sz w:val="22"/>
              <w:szCs w:val="22"/>
            </w:rPr>
          </w:pPr>
        </w:p>
        <w:p w14:paraId="2A1845BE" w14:textId="058345D1" w:rsidR="006D181A" w:rsidRDefault="00195005">
          <w:pPr>
            <w:pStyle w:val="TM1"/>
            <w:tabs>
              <w:tab w:val="left" w:pos="1540"/>
              <w:tab w:val="right" w:leader="dot" w:pos="9329"/>
            </w:tabs>
            <w:rPr>
              <w:rFonts w:asciiTheme="minorHAnsi" w:eastAsiaTheme="minorEastAsia" w:hAnsiTheme="minorHAnsi" w:cstheme="minorBidi"/>
              <w:sz w:val="22"/>
              <w:szCs w:val="22"/>
            </w:rPr>
          </w:pPr>
          <w:r>
            <w:rPr>
              <w:rFonts w:asciiTheme="minorHAnsi" w:hAnsiTheme="minorHAnsi" w:cstheme="minorHAnsi"/>
              <w:sz w:val="22"/>
              <w:szCs w:val="22"/>
              <w:highlight w:val="yellow"/>
            </w:rPr>
            <w:fldChar w:fldCharType="begin"/>
          </w:r>
          <w:r>
            <w:rPr>
              <w:rFonts w:asciiTheme="minorHAnsi" w:hAnsiTheme="minorHAnsi" w:cstheme="minorHAnsi"/>
              <w:sz w:val="22"/>
              <w:szCs w:val="22"/>
              <w:highlight w:val="yellow"/>
            </w:rPr>
            <w:instrText xml:space="preserve"> TOC \o "1-3" \h \z \u </w:instrText>
          </w:r>
          <w:r>
            <w:rPr>
              <w:rFonts w:asciiTheme="minorHAnsi" w:hAnsiTheme="minorHAnsi" w:cstheme="minorHAnsi"/>
              <w:sz w:val="22"/>
              <w:szCs w:val="22"/>
              <w:highlight w:val="yellow"/>
            </w:rPr>
            <w:fldChar w:fldCharType="separate"/>
          </w:r>
          <w:hyperlink w:anchor="_Toc224222950" w:tooltip="#_Toc224222950" w:history="1">
            <w:r>
              <w:rPr>
                <w:rStyle w:val="Lienhypertexte"/>
                <w:rFonts w:cstheme="minorHAnsi"/>
                <w:b/>
                <w:caps/>
              </w:rPr>
              <w:t>ARTICLE 1 :</w:t>
            </w:r>
            <w:r>
              <w:rPr>
                <w:rFonts w:asciiTheme="minorHAnsi" w:eastAsiaTheme="minorEastAsia" w:hAnsiTheme="minorHAnsi" w:cstheme="minorBidi"/>
                <w:sz w:val="22"/>
                <w:szCs w:val="22"/>
              </w:rPr>
              <w:tab/>
            </w:r>
            <w:r>
              <w:rPr>
                <w:rStyle w:val="Lienhypertexte"/>
                <w:rFonts w:cstheme="minorHAnsi"/>
                <w:b/>
                <w:caps/>
              </w:rPr>
              <w:t>Objet et étendue de la consultation</w:t>
            </w:r>
            <w:r>
              <w:tab/>
            </w:r>
            <w:r>
              <w:fldChar w:fldCharType="begin"/>
            </w:r>
            <w:r>
              <w:instrText xml:space="preserve"> PAGEREF _Toc224222950 \h </w:instrText>
            </w:r>
            <w:r>
              <w:fldChar w:fldCharType="separate"/>
            </w:r>
            <w:r>
              <w:t>4</w:t>
            </w:r>
            <w:r>
              <w:fldChar w:fldCharType="end"/>
            </w:r>
          </w:hyperlink>
        </w:p>
        <w:p w14:paraId="003848E5" w14:textId="24C276D9" w:rsidR="006D181A" w:rsidRDefault="00531D1F">
          <w:pPr>
            <w:pStyle w:val="TM2"/>
          </w:pPr>
          <w:hyperlink w:anchor="_Toc224222951" w:tooltip="#_Toc224222951" w:history="1">
            <w:r w:rsidR="00195005">
              <w:rPr>
                <w:rStyle w:val="Lienhypertexte"/>
                <w:rFonts w:cstheme="minorHAnsi"/>
              </w:rPr>
              <w:t>Objet de la consultation</w:t>
            </w:r>
            <w:r w:rsidR="00195005">
              <w:tab/>
            </w:r>
            <w:r w:rsidR="00195005">
              <w:fldChar w:fldCharType="begin"/>
            </w:r>
            <w:r w:rsidR="00195005">
              <w:instrText xml:space="preserve"> PAGEREF _Toc224222951 \h </w:instrText>
            </w:r>
            <w:r w:rsidR="00195005">
              <w:fldChar w:fldCharType="separate"/>
            </w:r>
            <w:r w:rsidR="00195005">
              <w:t>4</w:t>
            </w:r>
            <w:r w:rsidR="00195005">
              <w:fldChar w:fldCharType="end"/>
            </w:r>
          </w:hyperlink>
        </w:p>
        <w:p w14:paraId="0A512C85" w14:textId="2FABE755" w:rsidR="006D181A" w:rsidRDefault="00531D1F">
          <w:pPr>
            <w:pStyle w:val="TM2"/>
          </w:pPr>
          <w:hyperlink w:anchor="_Toc224222952" w:tooltip="#_Toc224222952" w:history="1">
            <w:r w:rsidR="00195005">
              <w:rPr>
                <w:rStyle w:val="Lienhypertexte"/>
                <w:rFonts w:cstheme="minorHAnsi"/>
              </w:rPr>
              <w:t>Etendue de la consultation</w:t>
            </w:r>
            <w:r w:rsidR="00195005">
              <w:tab/>
            </w:r>
            <w:r w:rsidR="00195005">
              <w:fldChar w:fldCharType="begin"/>
            </w:r>
            <w:r w:rsidR="00195005">
              <w:instrText xml:space="preserve"> PAGEREF _Toc224222952 \h </w:instrText>
            </w:r>
            <w:r w:rsidR="00195005">
              <w:fldChar w:fldCharType="separate"/>
            </w:r>
            <w:r w:rsidR="00195005">
              <w:t>4</w:t>
            </w:r>
            <w:r w:rsidR="00195005">
              <w:fldChar w:fldCharType="end"/>
            </w:r>
          </w:hyperlink>
        </w:p>
        <w:p w14:paraId="6725AE0D" w14:textId="2E34228F" w:rsidR="006D181A" w:rsidRDefault="00531D1F">
          <w:pPr>
            <w:pStyle w:val="TM2"/>
          </w:pPr>
          <w:hyperlink w:anchor="_Toc224222953" w:tooltip="#_Toc224222953" w:history="1">
            <w:r w:rsidR="00195005">
              <w:rPr>
                <w:rStyle w:val="Lienhypertexte"/>
                <w:rFonts w:cstheme="minorHAnsi"/>
              </w:rPr>
              <w:t>Calendrier prévisionnel de la consultation</w:t>
            </w:r>
            <w:r w:rsidR="00195005">
              <w:tab/>
            </w:r>
            <w:r w:rsidR="00195005">
              <w:fldChar w:fldCharType="begin"/>
            </w:r>
            <w:r w:rsidR="00195005">
              <w:instrText xml:space="preserve"> PAGEREF _Toc224222953 \h </w:instrText>
            </w:r>
            <w:r w:rsidR="00195005">
              <w:fldChar w:fldCharType="separate"/>
            </w:r>
            <w:r w:rsidR="00195005">
              <w:t>4</w:t>
            </w:r>
            <w:r w:rsidR="00195005">
              <w:fldChar w:fldCharType="end"/>
            </w:r>
          </w:hyperlink>
        </w:p>
        <w:p w14:paraId="2B9318BC" w14:textId="61859F46" w:rsidR="006D181A" w:rsidRDefault="00531D1F">
          <w:pPr>
            <w:pStyle w:val="TM2"/>
          </w:pPr>
          <w:hyperlink w:anchor="_Toc224222954" w:tooltip="#_Toc224222954" w:history="1">
            <w:r w:rsidR="00195005">
              <w:rPr>
                <w:rStyle w:val="Lienhypertexte"/>
                <w:rFonts w:cstheme="minorHAnsi"/>
              </w:rPr>
              <w:t>Langue de la consultation – unité monétaire</w:t>
            </w:r>
            <w:r w:rsidR="00195005">
              <w:tab/>
            </w:r>
            <w:r w:rsidR="00195005">
              <w:fldChar w:fldCharType="begin"/>
            </w:r>
            <w:r w:rsidR="00195005">
              <w:instrText xml:space="preserve"> PAGEREF _Toc224222954 \h </w:instrText>
            </w:r>
            <w:r w:rsidR="00195005">
              <w:fldChar w:fldCharType="separate"/>
            </w:r>
            <w:r w:rsidR="00195005">
              <w:t>4</w:t>
            </w:r>
            <w:r w:rsidR="00195005">
              <w:fldChar w:fldCharType="end"/>
            </w:r>
          </w:hyperlink>
        </w:p>
        <w:p w14:paraId="45289DB1" w14:textId="6EFDAD14" w:rsidR="006D181A" w:rsidRDefault="00531D1F">
          <w:pPr>
            <w:pStyle w:val="TM2"/>
          </w:pPr>
          <w:hyperlink w:anchor="_Toc224222955" w:tooltip="#_Toc224222955" w:history="1">
            <w:r w:rsidR="00195005">
              <w:rPr>
                <w:rStyle w:val="Lienhypertexte"/>
                <w:rFonts w:cstheme="minorHAnsi"/>
              </w:rPr>
              <w:t>Composition du dossier de consultation</w:t>
            </w:r>
            <w:r w:rsidR="00195005">
              <w:tab/>
            </w:r>
            <w:r w:rsidR="00195005">
              <w:fldChar w:fldCharType="begin"/>
            </w:r>
            <w:r w:rsidR="00195005">
              <w:instrText xml:space="preserve"> PAGEREF _Toc224222955 \h </w:instrText>
            </w:r>
            <w:r w:rsidR="00195005">
              <w:fldChar w:fldCharType="separate"/>
            </w:r>
            <w:r w:rsidR="00195005">
              <w:t>4</w:t>
            </w:r>
            <w:r w:rsidR="00195005">
              <w:fldChar w:fldCharType="end"/>
            </w:r>
          </w:hyperlink>
        </w:p>
        <w:p w14:paraId="42366E63" w14:textId="433088FC" w:rsidR="006D181A" w:rsidRDefault="00531D1F">
          <w:pPr>
            <w:pStyle w:val="TM2"/>
          </w:pPr>
          <w:hyperlink w:anchor="_Toc224222956" w:tooltip="#_Toc224222956" w:history="1">
            <w:r w:rsidR="00195005">
              <w:rPr>
                <w:rStyle w:val="Lienhypertexte"/>
                <w:rFonts w:cstheme="minorHAnsi"/>
              </w:rPr>
              <w:t>Modification du dossier de consultation</w:t>
            </w:r>
            <w:r w:rsidR="00195005">
              <w:tab/>
            </w:r>
            <w:r w:rsidR="00195005">
              <w:fldChar w:fldCharType="begin"/>
            </w:r>
            <w:r w:rsidR="00195005">
              <w:instrText xml:space="preserve"> PAGEREF _Toc224222956 \h </w:instrText>
            </w:r>
            <w:r w:rsidR="00195005">
              <w:fldChar w:fldCharType="separate"/>
            </w:r>
            <w:r w:rsidR="00195005">
              <w:t>4</w:t>
            </w:r>
            <w:r w:rsidR="00195005">
              <w:fldChar w:fldCharType="end"/>
            </w:r>
          </w:hyperlink>
        </w:p>
        <w:p w14:paraId="3D3592B3" w14:textId="523C1FBC"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57" w:tooltip="#_Toc224222957" w:history="1">
            <w:r w:rsidR="00195005">
              <w:rPr>
                <w:rStyle w:val="Lienhypertexte"/>
                <w:rFonts w:cstheme="minorHAnsi"/>
                <w:b/>
                <w:caps/>
              </w:rPr>
              <w:t>ARTICLE 2 :</w:t>
            </w:r>
            <w:r w:rsidR="00195005">
              <w:rPr>
                <w:rFonts w:asciiTheme="minorHAnsi" w:eastAsiaTheme="minorEastAsia" w:hAnsiTheme="minorHAnsi" w:cstheme="minorBidi"/>
                <w:sz w:val="22"/>
                <w:szCs w:val="22"/>
              </w:rPr>
              <w:tab/>
            </w:r>
            <w:r w:rsidR="00195005">
              <w:rPr>
                <w:rStyle w:val="Lienhypertexte"/>
                <w:rFonts w:cstheme="minorHAnsi"/>
                <w:b/>
                <w:caps/>
              </w:rPr>
              <w:t>Caracteristiques GENERALES du projet de contrat</w:t>
            </w:r>
            <w:r w:rsidR="00195005">
              <w:tab/>
            </w:r>
            <w:r w:rsidR="00195005">
              <w:fldChar w:fldCharType="begin"/>
            </w:r>
            <w:r w:rsidR="00195005">
              <w:instrText xml:space="preserve"> PAGEREF _Toc224222957 \h </w:instrText>
            </w:r>
            <w:r w:rsidR="00195005">
              <w:fldChar w:fldCharType="separate"/>
            </w:r>
            <w:r w:rsidR="00195005">
              <w:t>5</w:t>
            </w:r>
            <w:r w:rsidR="00195005">
              <w:fldChar w:fldCharType="end"/>
            </w:r>
          </w:hyperlink>
        </w:p>
        <w:p w14:paraId="4B49A27C" w14:textId="6FA730EE" w:rsidR="006D181A" w:rsidRDefault="00531D1F">
          <w:pPr>
            <w:pStyle w:val="TM2"/>
          </w:pPr>
          <w:hyperlink w:anchor="_Toc224222958" w:tooltip="#_Toc224222958" w:history="1">
            <w:r w:rsidR="00195005">
              <w:rPr>
                <w:rStyle w:val="Lienhypertexte"/>
                <w:rFonts w:cstheme="minorHAnsi"/>
              </w:rPr>
              <w:t>Forme du contrat</w:t>
            </w:r>
            <w:r w:rsidR="00195005">
              <w:tab/>
            </w:r>
            <w:r w:rsidR="00195005">
              <w:fldChar w:fldCharType="begin"/>
            </w:r>
            <w:r w:rsidR="00195005">
              <w:instrText xml:space="preserve"> PAGEREF _Toc224222958 \h </w:instrText>
            </w:r>
            <w:r w:rsidR="00195005">
              <w:fldChar w:fldCharType="separate"/>
            </w:r>
            <w:r w:rsidR="00195005">
              <w:t>5</w:t>
            </w:r>
            <w:r w:rsidR="00195005">
              <w:fldChar w:fldCharType="end"/>
            </w:r>
          </w:hyperlink>
        </w:p>
        <w:p w14:paraId="62EB577F" w14:textId="5AE5A423" w:rsidR="006D181A" w:rsidRDefault="00531D1F">
          <w:pPr>
            <w:pStyle w:val="TM2"/>
          </w:pPr>
          <w:hyperlink w:anchor="_Toc224222959" w:tooltip="#_Toc224222959" w:history="1">
            <w:r w:rsidR="00195005">
              <w:rPr>
                <w:rStyle w:val="Lienhypertexte"/>
                <w:rFonts w:cstheme="minorHAnsi"/>
              </w:rPr>
              <w:t>Montant estimatif du besoin</w:t>
            </w:r>
            <w:r w:rsidR="00195005">
              <w:tab/>
            </w:r>
            <w:r w:rsidR="00195005">
              <w:fldChar w:fldCharType="begin"/>
            </w:r>
            <w:r w:rsidR="00195005">
              <w:instrText xml:space="preserve"> PAGEREF _Toc224222959 \h </w:instrText>
            </w:r>
            <w:r w:rsidR="00195005">
              <w:fldChar w:fldCharType="separate"/>
            </w:r>
            <w:r w:rsidR="00195005">
              <w:t>5</w:t>
            </w:r>
            <w:r w:rsidR="00195005">
              <w:fldChar w:fldCharType="end"/>
            </w:r>
          </w:hyperlink>
        </w:p>
        <w:p w14:paraId="798884EA" w14:textId="34981E61" w:rsidR="006D181A" w:rsidRDefault="00531D1F">
          <w:pPr>
            <w:pStyle w:val="TM2"/>
          </w:pPr>
          <w:hyperlink w:anchor="_Toc224222960" w:tooltip="#_Toc224222960" w:history="1">
            <w:r w:rsidR="00195005">
              <w:rPr>
                <w:rStyle w:val="Lienhypertexte"/>
                <w:rFonts w:cstheme="minorHAnsi"/>
              </w:rPr>
              <w:t>Durée du contrat</w:t>
            </w:r>
            <w:r w:rsidR="00195005">
              <w:tab/>
            </w:r>
            <w:r w:rsidR="00195005">
              <w:fldChar w:fldCharType="begin"/>
            </w:r>
            <w:r w:rsidR="00195005">
              <w:instrText xml:space="preserve"> PAGEREF _Toc224222960 \h </w:instrText>
            </w:r>
            <w:r w:rsidR="00195005">
              <w:fldChar w:fldCharType="separate"/>
            </w:r>
            <w:r w:rsidR="00195005">
              <w:t>5</w:t>
            </w:r>
            <w:r w:rsidR="00195005">
              <w:fldChar w:fldCharType="end"/>
            </w:r>
          </w:hyperlink>
        </w:p>
        <w:p w14:paraId="056006CA" w14:textId="115D9C9D" w:rsidR="006D181A" w:rsidRDefault="00531D1F">
          <w:pPr>
            <w:pStyle w:val="TM2"/>
          </w:pPr>
          <w:hyperlink w:anchor="_Toc224222961" w:tooltip="#_Toc224222961" w:history="1">
            <w:r w:rsidR="00195005">
              <w:rPr>
                <w:rStyle w:val="Lienhypertexte"/>
                <w:rFonts w:cstheme="minorHAnsi"/>
              </w:rPr>
              <w:t>Allotissement</w:t>
            </w:r>
            <w:r w:rsidR="00195005">
              <w:tab/>
            </w:r>
            <w:r w:rsidR="00195005">
              <w:fldChar w:fldCharType="begin"/>
            </w:r>
            <w:r w:rsidR="00195005">
              <w:instrText xml:space="preserve"> PAGEREF _Toc224222961 \h </w:instrText>
            </w:r>
            <w:r w:rsidR="00195005">
              <w:fldChar w:fldCharType="separate"/>
            </w:r>
            <w:r w:rsidR="00195005">
              <w:t>5</w:t>
            </w:r>
            <w:r w:rsidR="00195005">
              <w:fldChar w:fldCharType="end"/>
            </w:r>
          </w:hyperlink>
        </w:p>
        <w:p w14:paraId="4FF11793" w14:textId="01C6F70A" w:rsidR="006D181A" w:rsidRDefault="00531D1F">
          <w:pPr>
            <w:pStyle w:val="TM2"/>
          </w:pPr>
          <w:hyperlink w:anchor="_Toc224222962" w:tooltip="#_Toc224222962" w:history="1">
            <w:r w:rsidR="00195005">
              <w:rPr>
                <w:rStyle w:val="Lienhypertexte"/>
                <w:rFonts w:cstheme="minorHAnsi"/>
              </w:rPr>
              <w:t>Options</w:t>
            </w:r>
            <w:r w:rsidR="00195005">
              <w:tab/>
            </w:r>
            <w:r w:rsidR="00195005">
              <w:fldChar w:fldCharType="begin"/>
            </w:r>
            <w:r w:rsidR="00195005">
              <w:instrText xml:space="preserve"> PAGEREF _Toc224222962 \h </w:instrText>
            </w:r>
            <w:r w:rsidR="00195005">
              <w:fldChar w:fldCharType="separate"/>
            </w:r>
            <w:r w:rsidR="00195005">
              <w:t>5</w:t>
            </w:r>
            <w:r w:rsidR="00195005">
              <w:fldChar w:fldCharType="end"/>
            </w:r>
          </w:hyperlink>
        </w:p>
        <w:p w14:paraId="6F2231F9" w14:textId="46C097AB" w:rsidR="006D181A" w:rsidRDefault="00531D1F">
          <w:pPr>
            <w:pStyle w:val="TM2"/>
          </w:pPr>
          <w:hyperlink w:anchor="_Toc224222963" w:tooltip="#_Toc224222963" w:history="1">
            <w:r w:rsidR="00195005">
              <w:rPr>
                <w:rStyle w:val="Lienhypertexte"/>
                <w:rFonts w:cstheme="minorHAnsi"/>
                <w:i/>
              </w:rPr>
              <w:t>Prestations similaires</w:t>
            </w:r>
            <w:r w:rsidR="00195005">
              <w:tab/>
            </w:r>
            <w:r w:rsidR="00195005">
              <w:fldChar w:fldCharType="begin"/>
            </w:r>
            <w:r w:rsidR="00195005">
              <w:instrText xml:space="preserve"> PAGEREF _Toc224222963 \h </w:instrText>
            </w:r>
            <w:r w:rsidR="00195005">
              <w:fldChar w:fldCharType="separate"/>
            </w:r>
            <w:r w:rsidR="00195005">
              <w:t>5</w:t>
            </w:r>
            <w:r w:rsidR="00195005">
              <w:fldChar w:fldCharType="end"/>
            </w:r>
          </w:hyperlink>
        </w:p>
        <w:p w14:paraId="0DE419EB" w14:textId="418FE948" w:rsidR="006D181A" w:rsidRDefault="00531D1F">
          <w:pPr>
            <w:pStyle w:val="TM2"/>
          </w:pPr>
          <w:hyperlink w:anchor="_Toc224222964" w:tooltip="#_Toc224222964" w:history="1">
            <w:r w:rsidR="00195005">
              <w:rPr>
                <w:rStyle w:val="Lienhypertexte"/>
                <w:rFonts w:cstheme="minorHAnsi"/>
                <w:i/>
              </w:rPr>
              <w:t>Reconductions</w:t>
            </w:r>
            <w:r w:rsidR="00195005">
              <w:tab/>
            </w:r>
            <w:r w:rsidR="00195005">
              <w:fldChar w:fldCharType="begin"/>
            </w:r>
            <w:r w:rsidR="00195005">
              <w:instrText xml:space="preserve"> PAGEREF _Toc224222964 \h </w:instrText>
            </w:r>
            <w:r w:rsidR="00195005">
              <w:fldChar w:fldCharType="separate"/>
            </w:r>
            <w:r w:rsidR="00195005">
              <w:t>5</w:t>
            </w:r>
            <w:r w:rsidR="00195005">
              <w:fldChar w:fldCharType="end"/>
            </w:r>
          </w:hyperlink>
        </w:p>
        <w:p w14:paraId="02C2F49D" w14:textId="4654A149"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65" w:tooltip="#_Toc224222965" w:history="1">
            <w:r w:rsidR="00195005">
              <w:rPr>
                <w:rStyle w:val="Lienhypertexte"/>
                <w:rFonts w:cstheme="minorHAnsi"/>
                <w:b/>
                <w:caps/>
              </w:rPr>
              <w:t>ARTICLE 3 :</w:t>
            </w:r>
            <w:r w:rsidR="00195005">
              <w:rPr>
                <w:rFonts w:asciiTheme="minorHAnsi" w:eastAsiaTheme="minorEastAsia" w:hAnsiTheme="minorHAnsi" w:cstheme="minorBidi"/>
                <w:sz w:val="22"/>
                <w:szCs w:val="22"/>
              </w:rPr>
              <w:tab/>
            </w:r>
            <w:r w:rsidR="00195005">
              <w:rPr>
                <w:rStyle w:val="Lienhypertexte"/>
                <w:rFonts w:cstheme="minorHAnsi"/>
                <w:b/>
                <w:caps/>
              </w:rPr>
              <w:t>Conditions de participation de candidats</w:t>
            </w:r>
            <w:r w:rsidR="00195005">
              <w:tab/>
            </w:r>
            <w:r w:rsidR="00195005">
              <w:fldChar w:fldCharType="begin"/>
            </w:r>
            <w:r w:rsidR="00195005">
              <w:instrText xml:space="preserve"> PAGEREF _Toc224222965 \h </w:instrText>
            </w:r>
            <w:r w:rsidR="00195005">
              <w:fldChar w:fldCharType="separate"/>
            </w:r>
            <w:r w:rsidR="00195005">
              <w:t>5</w:t>
            </w:r>
            <w:r w:rsidR="00195005">
              <w:fldChar w:fldCharType="end"/>
            </w:r>
          </w:hyperlink>
        </w:p>
        <w:p w14:paraId="0C2ECCE8" w14:textId="16D77916" w:rsidR="006D181A" w:rsidRDefault="00531D1F">
          <w:pPr>
            <w:pStyle w:val="TM2"/>
          </w:pPr>
          <w:hyperlink w:anchor="_Toc224222966" w:tooltip="#_Toc224222966" w:history="1">
            <w:r w:rsidR="00195005">
              <w:rPr>
                <w:rStyle w:val="Lienhypertexte"/>
                <w:rFonts w:cstheme="minorHAnsi"/>
              </w:rPr>
              <w:t>Conditions de présentation des candidatures</w:t>
            </w:r>
            <w:r w:rsidR="00195005">
              <w:tab/>
            </w:r>
            <w:r w:rsidR="00195005">
              <w:fldChar w:fldCharType="begin"/>
            </w:r>
            <w:r w:rsidR="00195005">
              <w:instrText xml:space="preserve"> PAGEREF _Toc224222966 \h </w:instrText>
            </w:r>
            <w:r w:rsidR="00195005">
              <w:fldChar w:fldCharType="separate"/>
            </w:r>
            <w:r w:rsidR="00195005">
              <w:t>5</w:t>
            </w:r>
            <w:r w:rsidR="00195005">
              <w:fldChar w:fldCharType="end"/>
            </w:r>
          </w:hyperlink>
        </w:p>
        <w:p w14:paraId="7A7797A7" w14:textId="4D1B0EE6" w:rsidR="006D181A" w:rsidRDefault="00531D1F">
          <w:pPr>
            <w:pStyle w:val="TM2"/>
          </w:pPr>
          <w:hyperlink w:anchor="_Toc224222967" w:tooltip="#_Toc224222967" w:history="1">
            <w:r w:rsidR="00195005">
              <w:rPr>
                <w:rStyle w:val="Lienhypertexte"/>
                <w:rFonts w:cstheme="minorHAnsi"/>
              </w:rPr>
              <w:t>Motifs et conditions d’exclusion</w:t>
            </w:r>
            <w:r w:rsidR="00195005">
              <w:tab/>
            </w:r>
            <w:r w:rsidR="00195005">
              <w:fldChar w:fldCharType="begin"/>
            </w:r>
            <w:r w:rsidR="00195005">
              <w:instrText xml:space="preserve"> PAGEREF _Toc224222967 \h </w:instrText>
            </w:r>
            <w:r w:rsidR="00195005">
              <w:fldChar w:fldCharType="separate"/>
            </w:r>
            <w:r w:rsidR="00195005">
              <w:t>5</w:t>
            </w:r>
            <w:r w:rsidR="00195005">
              <w:fldChar w:fldCharType="end"/>
            </w:r>
          </w:hyperlink>
        </w:p>
        <w:p w14:paraId="5901DB6A" w14:textId="59C9761B" w:rsidR="006D181A" w:rsidRDefault="00531D1F">
          <w:pPr>
            <w:pStyle w:val="TM2"/>
          </w:pPr>
          <w:hyperlink w:anchor="_Toc224222968" w:tooltip="#_Toc224222968" w:history="1">
            <w:r w:rsidR="00195005">
              <w:rPr>
                <w:rStyle w:val="Lienhypertexte"/>
                <w:rFonts w:cstheme="minorHAnsi"/>
              </w:rPr>
              <w:t>Niveaux minimaux requis en termes de capacités économiques, techniques et professionnelles</w:t>
            </w:r>
            <w:r w:rsidR="00195005">
              <w:tab/>
            </w:r>
            <w:r w:rsidR="00195005">
              <w:fldChar w:fldCharType="begin"/>
            </w:r>
            <w:r w:rsidR="00195005">
              <w:instrText xml:space="preserve"> PAGEREF _Toc224222968 \h </w:instrText>
            </w:r>
            <w:r w:rsidR="00195005">
              <w:fldChar w:fldCharType="separate"/>
            </w:r>
            <w:r w:rsidR="00195005">
              <w:t>6</w:t>
            </w:r>
            <w:r w:rsidR="00195005">
              <w:fldChar w:fldCharType="end"/>
            </w:r>
          </w:hyperlink>
        </w:p>
        <w:p w14:paraId="374B68DF" w14:textId="155E66BF" w:rsidR="006D181A" w:rsidRDefault="00531D1F">
          <w:pPr>
            <w:pStyle w:val="TM2"/>
          </w:pPr>
          <w:hyperlink w:anchor="_Toc224222969" w:tooltip="#_Toc224222969" w:history="1">
            <w:r w:rsidR="00195005">
              <w:rPr>
                <w:rStyle w:val="Lienhypertexte"/>
                <w:rFonts w:cstheme="minorHAnsi"/>
              </w:rPr>
              <w:t>Précisions concernant les groupements d'opérateurs économiques (consortium)</w:t>
            </w:r>
            <w:r w:rsidR="00195005">
              <w:tab/>
            </w:r>
            <w:r w:rsidR="00195005">
              <w:fldChar w:fldCharType="begin"/>
            </w:r>
            <w:r w:rsidR="00195005">
              <w:instrText xml:space="preserve"> PAGEREF _Toc224222969 \h </w:instrText>
            </w:r>
            <w:r w:rsidR="00195005">
              <w:fldChar w:fldCharType="separate"/>
            </w:r>
            <w:r w:rsidR="00195005">
              <w:t>7</w:t>
            </w:r>
            <w:r w:rsidR="00195005">
              <w:fldChar w:fldCharType="end"/>
            </w:r>
          </w:hyperlink>
        </w:p>
        <w:p w14:paraId="6302F40C" w14:textId="78000F01" w:rsidR="006D181A" w:rsidRDefault="00531D1F">
          <w:pPr>
            <w:pStyle w:val="TM2"/>
          </w:pPr>
          <w:hyperlink w:anchor="_Toc224222970" w:tooltip="#_Toc224222970" w:history="1">
            <w:r w:rsidR="00195005">
              <w:rPr>
                <w:rStyle w:val="Lienhypertexte"/>
                <w:rFonts w:cstheme="minorHAnsi"/>
                <w:i/>
              </w:rPr>
              <w:t>Motifs d'exclusion en cas de groupement d'opérateurs économiques</w:t>
            </w:r>
            <w:r w:rsidR="00195005">
              <w:tab/>
            </w:r>
            <w:r w:rsidR="00195005">
              <w:fldChar w:fldCharType="begin"/>
            </w:r>
            <w:r w:rsidR="00195005">
              <w:instrText xml:space="preserve"> PAGEREF _Toc224222970 \h </w:instrText>
            </w:r>
            <w:r w:rsidR="00195005">
              <w:fldChar w:fldCharType="separate"/>
            </w:r>
            <w:r w:rsidR="00195005">
              <w:t>7</w:t>
            </w:r>
            <w:r w:rsidR="00195005">
              <w:fldChar w:fldCharType="end"/>
            </w:r>
          </w:hyperlink>
        </w:p>
        <w:p w14:paraId="035963AE" w14:textId="6FBBA195" w:rsidR="006D181A" w:rsidRDefault="00531D1F">
          <w:pPr>
            <w:pStyle w:val="TM2"/>
          </w:pPr>
          <w:hyperlink w:anchor="_Toc224222971" w:tooltip="#_Toc224222971" w:history="1">
            <w:r w:rsidR="00195005">
              <w:rPr>
                <w:rStyle w:val="Lienhypertexte"/>
                <w:rFonts w:cstheme="minorHAnsi"/>
                <w:i/>
              </w:rPr>
              <w:t>Forme du groupement</w:t>
            </w:r>
            <w:r w:rsidR="00195005">
              <w:tab/>
            </w:r>
            <w:r w:rsidR="00195005">
              <w:fldChar w:fldCharType="begin"/>
            </w:r>
            <w:r w:rsidR="00195005">
              <w:instrText xml:space="preserve"> PAGEREF _Toc224222971 \h </w:instrText>
            </w:r>
            <w:r w:rsidR="00195005">
              <w:fldChar w:fldCharType="separate"/>
            </w:r>
            <w:r w:rsidR="00195005">
              <w:t>7</w:t>
            </w:r>
            <w:r w:rsidR="00195005">
              <w:fldChar w:fldCharType="end"/>
            </w:r>
          </w:hyperlink>
        </w:p>
        <w:p w14:paraId="1751AC3B" w14:textId="618C2572" w:rsidR="006D181A" w:rsidRDefault="00531D1F">
          <w:pPr>
            <w:pStyle w:val="TM2"/>
          </w:pPr>
          <w:hyperlink w:anchor="_Toc224222972" w:tooltip="#_Toc224222972" w:history="1">
            <w:r w:rsidR="00195005">
              <w:rPr>
                <w:rStyle w:val="Lienhypertexte"/>
                <w:rFonts w:cstheme="minorHAnsi"/>
              </w:rPr>
              <w:t>Précisions concernant la sous-traitance</w:t>
            </w:r>
            <w:r w:rsidR="00195005">
              <w:tab/>
            </w:r>
            <w:r w:rsidR="00195005">
              <w:fldChar w:fldCharType="begin"/>
            </w:r>
            <w:r w:rsidR="00195005">
              <w:instrText xml:space="preserve"> PAGEREF _Toc224222972 \h </w:instrText>
            </w:r>
            <w:r w:rsidR="00195005">
              <w:fldChar w:fldCharType="separate"/>
            </w:r>
            <w:r w:rsidR="00195005">
              <w:t>7</w:t>
            </w:r>
            <w:r w:rsidR="00195005">
              <w:fldChar w:fldCharType="end"/>
            </w:r>
          </w:hyperlink>
        </w:p>
        <w:p w14:paraId="334918BE" w14:textId="1336DBBA" w:rsidR="006D181A" w:rsidRDefault="00531D1F">
          <w:pPr>
            <w:pStyle w:val="TM2"/>
          </w:pPr>
          <w:hyperlink w:anchor="_Toc224222973" w:tooltip="#_Toc224222973" w:history="1">
            <w:r w:rsidR="00195005">
              <w:rPr>
                <w:rStyle w:val="Lienhypertexte"/>
                <w:rFonts w:cstheme="minorHAnsi"/>
                <w:i/>
              </w:rPr>
              <w:t>Motifs d'exclusion en cas de sous-traitance</w:t>
            </w:r>
            <w:r w:rsidR="00195005">
              <w:tab/>
            </w:r>
            <w:r w:rsidR="00195005">
              <w:fldChar w:fldCharType="begin"/>
            </w:r>
            <w:r w:rsidR="00195005">
              <w:instrText xml:space="preserve"> PAGEREF _Toc224222973 \h </w:instrText>
            </w:r>
            <w:r w:rsidR="00195005">
              <w:fldChar w:fldCharType="separate"/>
            </w:r>
            <w:r w:rsidR="00195005">
              <w:t>7</w:t>
            </w:r>
            <w:r w:rsidR="00195005">
              <w:fldChar w:fldCharType="end"/>
            </w:r>
          </w:hyperlink>
        </w:p>
        <w:p w14:paraId="16470B8A" w14:textId="7241C152" w:rsidR="006D181A" w:rsidRDefault="00531D1F">
          <w:pPr>
            <w:pStyle w:val="TM2"/>
          </w:pPr>
          <w:hyperlink w:anchor="_Toc224222974" w:tooltip="#_Toc224222974" w:history="1">
            <w:r w:rsidR="00195005">
              <w:rPr>
                <w:rStyle w:val="Lienhypertexte"/>
                <w:rFonts w:cstheme="minorHAnsi"/>
                <w:i/>
              </w:rPr>
              <w:t>Présentation d’un sous-traitant</w:t>
            </w:r>
            <w:r w:rsidR="00195005">
              <w:tab/>
            </w:r>
            <w:r w:rsidR="00195005">
              <w:fldChar w:fldCharType="begin"/>
            </w:r>
            <w:r w:rsidR="00195005">
              <w:instrText xml:space="preserve"> PAGEREF _Toc224222974 \h </w:instrText>
            </w:r>
            <w:r w:rsidR="00195005">
              <w:fldChar w:fldCharType="separate"/>
            </w:r>
            <w:r w:rsidR="00195005">
              <w:t>7</w:t>
            </w:r>
            <w:r w:rsidR="00195005">
              <w:fldChar w:fldCharType="end"/>
            </w:r>
          </w:hyperlink>
        </w:p>
        <w:p w14:paraId="3E9270CB" w14:textId="53C73FF9"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75" w:tooltip="#_Toc224222975" w:history="1">
            <w:r w:rsidR="00195005">
              <w:rPr>
                <w:rStyle w:val="Lienhypertexte"/>
                <w:rFonts w:cstheme="minorHAnsi"/>
                <w:b/>
                <w:caps/>
              </w:rPr>
              <w:t>ARTICLE 4 :</w:t>
            </w:r>
            <w:r w:rsidR="00195005">
              <w:rPr>
                <w:rFonts w:asciiTheme="minorHAnsi" w:eastAsiaTheme="minorEastAsia" w:hAnsiTheme="minorHAnsi" w:cstheme="minorBidi"/>
                <w:sz w:val="22"/>
                <w:szCs w:val="22"/>
              </w:rPr>
              <w:tab/>
            </w:r>
            <w:r w:rsidR="00195005">
              <w:rPr>
                <w:rStyle w:val="Lienhypertexte"/>
                <w:rFonts w:cstheme="minorHAnsi"/>
                <w:b/>
                <w:caps/>
              </w:rPr>
              <w:t>Présentation des plis et modalités de depôt</w:t>
            </w:r>
            <w:r w:rsidR="00195005">
              <w:tab/>
            </w:r>
            <w:r w:rsidR="00195005">
              <w:fldChar w:fldCharType="begin"/>
            </w:r>
            <w:r w:rsidR="00195005">
              <w:instrText xml:space="preserve"> PAGEREF _Toc224222975 \h </w:instrText>
            </w:r>
            <w:r w:rsidR="00195005">
              <w:fldChar w:fldCharType="separate"/>
            </w:r>
            <w:r w:rsidR="00195005">
              <w:t>7</w:t>
            </w:r>
            <w:r w:rsidR="00195005">
              <w:fldChar w:fldCharType="end"/>
            </w:r>
          </w:hyperlink>
        </w:p>
        <w:p w14:paraId="12FDF66A" w14:textId="1AC25F5D" w:rsidR="006D181A" w:rsidRDefault="00531D1F">
          <w:pPr>
            <w:pStyle w:val="TM2"/>
          </w:pPr>
          <w:hyperlink w:anchor="_Toc224222976" w:tooltip="#_Toc224222976" w:history="1">
            <w:r w:rsidR="00195005">
              <w:rPr>
                <w:rStyle w:val="Lienhypertexte"/>
                <w:rFonts w:cstheme="minorHAnsi"/>
              </w:rPr>
              <w:t>Pièces constitutives de la candidature</w:t>
            </w:r>
            <w:r w:rsidR="00195005">
              <w:tab/>
            </w:r>
            <w:r w:rsidR="00195005">
              <w:fldChar w:fldCharType="begin"/>
            </w:r>
            <w:r w:rsidR="00195005">
              <w:instrText xml:space="preserve"> PAGEREF _Toc224222976 \h </w:instrText>
            </w:r>
            <w:r w:rsidR="00195005">
              <w:fldChar w:fldCharType="separate"/>
            </w:r>
            <w:r w:rsidR="00195005">
              <w:t>7</w:t>
            </w:r>
            <w:r w:rsidR="00195005">
              <w:fldChar w:fldCharType="end"/>
            </w:r>
          </w:hyperlink>
        </w:p>
        <w:p w14:paraId="33E2EBBE" w14:textId="62274E7E" w:rsidR="006D181A" w:rsidRDefault="00531D1F">
          <w:pPr>
            <w:pStyle w:val="TM2"/>
          </w:pPr>
          <w:hyperlink w:anchor="_Toc224222977" w:tooltip="#_Toc224222977" w:history="1">
            <w:r w:rsidR="00195005">
              <w:rPr>
                <w:rStyle w:val="Lienhypertexte"/>
                <w:rFonts w:cstheme="minorHAnsi"/>
              </w:rPr>
              <w:t>Pièces constitutives de l’offre</w:t>
            </w:r>
            <w:r w:rsidR="00195005">
              <w:tab/>
            </w:r>
            <w:r w:rsidR="00195005">
              <w:fldChar w:fldCharType="begin"/>
            </w:r>
            <w:r w:rsidR="00195005">
              <w:instrText xml:space="preserve"> PAGEREF _Toc224222977 \h </w:instrText>
            </w:r>
            <w:r w:rsidR="00195005">
              <w:fldChar w:fldCharType="separate"/>
            </w:r>
            <w:r w:rsidR="00195005">
              <w:t>8</w:t>
            </w:r>
            <w:r w:rsidR="00195005">
              <w:fldChar w:fldCharType="end"/>
            </w:r>
          </w:hyperlink>
        </w:p>
        <w:p w14:paraId="237AAA72" w14:textId="56A7352D" w:rsidR="006D181A" w:rsidRDefault="00531D1F">
          <w:pPr>
            <w:pStyle w:val="TM2"/>
          </w:pPr>
          <w:hyperlink w:anchor="_Toc224222978" w:tooltip="#_Toc224222978" w:history="1">
            <w:r w:rsidR="00195005">
              <w:rPr>
                <w:rStyle w:val="Lienhypertexte"/>
                <w:rFonts w:cstheme="minorHAnsi"/>
              </w:rPr>
              <w:t>Durée de validité des offres</w:t>
            </w:r>
            <w:r w:rsidR="00195005">
              <w:tab/>
            </w:r>
            <w:r w:rsidR="00195005">
              <w:fldChar w:fldCharType="begin"/>
            </w:r>
            <w:r w:rsidR="00195005">
              <w:instrText xml:space="preserve"> PAGEREF _Toc224222978 \h </w:instrText>
            </w:r>
            <w:r w:rsidR="00195005">
              <w:fldChar w:fldCharType="separate"/>
            </w:r>
            <w:r w:rsidR="00195005">
              <w:t>8</w:t>
            </w:r>
            <w:r w:rsidR="00195005">
              <w:fldChar w:fldCharType="end"/>
            </w:r>
          </w:hyperlink>
        </w:p>
        <w:p w14:paraId="33E9A9C3" w14:textId="53786792" w:rsidR="006D181A" w:rsidRDefault="00531D1F">
          <w:pPr>
            <w:pStyle w:val="TM2"/>
          </w:pPr>
          <w:hyperlink w:anchor="_Toc224222979" w:tooltip="#_Toc224222979" w:history="1">
            <w:r w:rsidR="00195005">
              <w:rPr>
                <w:rStyle w:val="Lienhypertexte"/>
                <w:rFonts w:cstheme="minorHAnsi"/>
              </w:rPr>
              <w:t>Modalités de remise des plis</w:t>
            </w:r>
            <w:r w:rsidR="00195005">
              <w:tab/>
            </w:r>
            <w:r w:rsidR="00195005">
              <w:fldChar w:fldCharType="begin"/>
            </w:r>
            <w:r w:rsidR="00195005">
              <w:instrText xml:space="preserve"> PAGEREF _Toc224222979 \h </w:instrText>
            </w:r>
            <w:r w:rsidR="00195005">
              <w:fldChar w:fldCharType="separate"/>
            </w:r>
            <w:r w:rsidR="00195005">
              <w:t>8</w:t>
            </w:r>
            <w:r w:rsidR="00195005">
              <w:fldChar w:fldCharType="end"/>
            </w:r>
          </w:hyperlink>
        </w:p>
        <w:p w14:paraId="26226938" w14:textId="338A2E7E" w:rsidR="006D181A" w:rsidRDefault="00531D1F">
          <w:pPr>
            <w:pStyle w:val="TM2"/>
          </w:pPr>
          <w:hyperlink w:anchor="_Toc224222980" w:tooltip="#_Toc224222980" w:history="1">
            <w:r w:rsidR="00195005">
              <w:rPr>
                <w:rStyle w:val="Lienhypertexte"/>
                <w:rFonts w:cstheme="minorHAnsi"/>
                <w:i/>
              </w:rPr>
              <w:t>Remise des plis sous format papier</w:t>
            </w:r>
            <w:r w:rsidR="00195005">
              <w:tab/>
            </w:r>
            <w:r w:rsidR="00195005">
              <w:fldChar w:fldCharType="begin"/>
            </w:r>
            <w:r w:rsidR="00195005">
              <w:instrText xml:space="preserve"> PAGEREF _Toc224222980 \h </w:instrText>
            </w:r>
            <w:r w:rsidR="00195005">
              <w:fldChar w:fldCharType="separate"/>
            </w:r>
            <w:r w:rsidR="00195005">
              <w:t>8</w:t>
            </w:r>
            <w:r w:rsidR="00195005">
              <w:fldChar w:fldCharType="end"/>
            </w:r>
          </w:hyperlink>
        </w:p>
        <w:p w14:paraId="112B58D9" w14:textId="3178A7DB" w:rsidR="006D181A" w:rsidRDefault="00531D1F">
          <w:pPr>
            <w:pStyle w:val="TM2"/>
          </w:pPr>
          <w:hyperlink w:anchor="_Toc224222981" w:tooltip="#_Toc224222981" w:history="1">
            <w:r w:rsidR="00195005">
              <w:rPr>
                <w:rStyle w:val="Lienhypertexte"/>
                <w:rFonts w:cstheme="minorHAnsi"/>
                <w:i/>
              </w:rPr>
              <w:t>Remise électronique</w:t>
            </w:r>
            <w:r w:rsidR="00195005">
              <w:tab/>
            </w:r>
            <w:r w:rsidR="00195005">
              <w:fldChar w:fldCharType="begin"/>
            </w:r>
            <w:r w:rsidR="00195005">
              <w:instrText xml:space="preserve"> PAGEREF _Toc224222981 \h </w:instrText>
            </w:r>
            <w:r w:rsidR="00195005">
              <w:fldChar w:fldCharType="separate"/>
            </w:r>
            <w:r w:rsidR="00195005">
              <w:t>8</w:t>
            </w:r>
            <w:r w:rsidR="00195005">
              <w:fldChar w:fldCharType="end"/>
            </w:r>
          </w:hyperlink>
        </w:p>
        <w:p w14:paraId="46FC2598" w14:textId="7AA8828C"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82" w:tooltip="#_Toc224222982" w:history="1">
            <w:r w:rsidR="00195005">
              <w:rPr>
                <w:rStyle w:val="Lienhypertexte"/>
                <w:rFonts w:cstheme="minorHAnsi"/>
                <w:b/>
                <w:caps/>
              </w:rPr>
              <w:t>ARTICLE 5 :</w:t>
            </w:r>
            <w:r w:rsidR="00195005">
              <w:rPr>
                <w:rFonts w:asciiTheme="minorHAnsi" w:eastAsiaTheme="minorEastAsia" w:hAnsiTheme="minorHAnsi" w:cstheme="minorBidi"/>
                <w:sz w:val="22"/>
                <w:szCs w:val="22"/>
              </w:rPr>
              <w:tab/>
            </w:r>
            <w:r w:rsidR="00195005">
              <w:rPr>
                <w:rStyle w:val="Lienhypertexte"/>
                <w:rFonts w:cstheme="minorHAnsi"/>
                <w:b/>
                <w:caps/>
              </w:rPr>
              <w:t>Analyse des candidatures</w:t>
            </w:r>
            <w:r w:rsidR="00195005">
              <w:tab/>
            </w:r>
            <w:r w:rsidR="00195005">
              <w:fldChar w:fldCharType="begin"/>
            </w:r>
            <w:r w:rsidR="00195005">
              <w:instrText xml:space="preserve"> PAGEREF _Toc224222982 \h </w:instrText>
            </w:r>
            <w:r w:rsidR="00195005">
              <w:fldChar w:fldCharType="separate"/>
            </w:r>
            <w:r w:rsidR="00195005">
              <w:t>9</w:t>
            </w:r>
            <w:r w:rsidR="00195005">
              <w:fldChar w:fldCharType="end"/>
            </w:r>
          </w:hyperlink>
        </w:p>
        <w:p w14:paraId="523B0ADD" w14:textId="13E4E7F8" w:rsidR="006D181A" w:rsidRDefault="00531D1F">
          <w:pPr>
            <w:pStyle w:val="TM2"/>
          </w:pPr>
          <w:hyperlink w:anchor="_Toc224222983" w:tooltip="#_Toc224222983" w:history="1">
            <w:r w:rsidR="00195005">
              <w:rPr>
                <w:rStyle w:val="Lienhypertexte"/>
                <w:rFonts w:cstheme="minorHAnsi"/>
              </w:rPr>
              <w:t>Demande de compléments de candidature</w:t>
            </w:r>
            <w:r w:rsidR="00195005">
              <w:tab/>
            </w:r>
            <w:r w:rsidR="00195005">
              <w:fldChar w:fldCharType="begin"/>
            </w:r>
            <w:r w:rsidR="00195005">
              <w:instrText xml:space="preserve"> PAGEREF _Toc224222983 \h </w:instrText>
            </w:r>
            <w:r w:rsidR="00195005">
              <w:fldChar w:fldCharType="separate"/>
            </w:r>
            <w:r w:rsidR="00195005">
              <w:t>9</w:t>
            </w:r>
            <w:r w:rsidR="00195005">
              <w:fldChar w:fldCharType="end"/>
            </w:r>
          </w:hyperlink>
        </w:p>
        <w:p w14:paraId="3E1CA789" w14:textId="701A357D" w:rsidR="006D181A" w:rsidRDefault="00531D1F">
          <w:pPr>
            <w:pStyle w:val="TM2"/>
          </w:pPr>
          <w:hyperlink w:anchor="_Toc224222984" w:tooltip="#_Toc224222984" w:history="1">
            <w:r w:rsidR="00195005">
              <w:rPr>
                <w:rStyle w:val="Lienhypertexte"/>
                <w:rFonts w:cstheme="minorHAnsi"/>
              </w:rPr>
              <w:t>Rejet des candidatures hors délais - Ouverture des plis</w:t>
            </w:r>
            <w:r w:rsidR="00195005">
              <w:tab/>
            </w:r>
            <w:r w:rsidR="00195005">
              <w:fldChar w:fldCharType="begin"/>
            </w:r>
            <w:r w:rsidR="00195005">
              <w:instrText xml:space="preserve"> PAGEREF _Toc224222984 \h </w:instrText>
            </w:r>
            <w:r w:rsidR="00195005">
              <w:fldChar w:fldCharType="separate"/>
            </w:r>
            <w:r w:rsidR="00195005">
              <w:t>9</w:t>
            </w:r>
            <w:r w:rsidR="00195005">
              <w:fldChar w:fldCharType="end"/>
            </w:r>
          </w:hyperlink>
        </w:p>
        <w:p w14:paraId="6C541825" w14:textId="46BD43AB" w:rsidR="006D181A" w:rsidRDefault="00531D1F">
          <w:pPr>
            <w:pStyle w:val="TM2"/>
          </w:pPr>
          <w:hyperlink w:anchor="_Toc224222985" w:tooltip="#_Toc224222985" w:history="1">
            <w:r w:rsidR="00195005">
              <w:rPr>
                <w:rStyle w:val="Lienhypertexte"/>
                <w:rFonts w:cstheme="minorHAnsi"/>
              </w:rPr>
              <w:t>Recevabilité des candidatures</w:t>
            </w:r>
            <w:r w:rsidR="00195005">
              <w:tab/>
            </w:r>
            <w:r w:rsidR="00195005">
              <w:fldChar w:fldCharType="begin"/>
            </w:r>
            <w:r w:rsidR="00195005">
              <w:instrText xml:space="preserve"> PAGEREF _Toc224222985 \h </w:instrText>
            </w:r>
            <w:r w:rsidR="00195005">
              <w:fldChar w:fldCharType="separate"/>
            </w:r>
            <w:r w:rsidR="00195005">
              <w:t>10</w:t>
            </w:r>
            <w:r w:rsidR="00195005">
              <w:fldChar w:fldCharType="end"/>
            </w:r>
          </w:hyperlink>
        </w:p>
        <w:p w14:paraId="712F3A6D" w14:textId="001B50FE"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86" w:tooltip="#_Toc224222986" w:history="1">
            <w:r w:rsidR="00195005">
              <w:rPr>
                <w:rStyle w:val="Lienhypertexte"/>
                <w:rFonts w:cstheme="minorHAnsi"/>
                <w:b/>
                <w:caps/>
              </w:rPr>
              <w:t>ARTICLE 6 :</w:t>
            </w:r>
            <w:r w:rsidR="00195005">
              <w:rPr>
                <w:rFonts w:asciiTheme="minorHAnsi" w:eastAsiaTheme="minorEastAsia" w:hAnsiTheme="minorHAnsi" w:cstheme="minorBidi"/>
                <w:sz w:val="22"/>
                <w:szCs w:val="22"/>
              </w:rPr>
              <w:tab/>
            </w:r>
            <w:r w:rsidR="00195005">
              <w:rPr>
                <w:rStyle w:val="Lienhypertexte"/>
                <w:rFonts w:cstheme="minorHAnsi"/>
                <w:b/>
                <w:caps/>
              </w:rPr>
              <w:t>Evaluation des offres, négociation et attribution</w:t>
            </w:r>
            <w:r w:rsidR="00195005">
              <w:tab/>
            </w:r>
            <w:r w:rsidR="00195005">
              <w:fldChar w:fldCharType="begin"/>
            </w:r>
            <w:r w:rsidR="00195005">
              <w:instrText xml:space="preserve"> PAGEREF _Toc224222986 \h </w:instrText>
            </w:r>
            <w:r w:rsidR="00195005">
              <w:fldChar w:fldCharType="separate"/>
            </w:r>
            <w:r w:rsidR="00195005">
              <w:t>10</w:t>
            </w:r>
            <w:r w:rsidR="00195005">
              <w:fldChar w:fldCharType="end"/>
            </w:r>
          </w:hyperlink>
        </w:p>
        <w:p w14:paraId="3BE15285" w14:textId="58301AB2" w:rsidR="006D181A" w:rsidRDefault="00531D1F">
          <w:pPr>
            <w:pStyle w:val="TM2"/>
          </w:pPr>
          <w:hyperlink w:anchor="_Toc224222987" w:tooltip="#_Toc224222987" w:history="1">
            <w:r w:rsidR="00195005">
              <w:rPr>
                <w:rStyle w:val="Lienhypertexte"/>
                <w:rFonts w:cstheme="minorHAnsi"/>
              </w:rPr>
              <w:t>Rejet des offres hors délais - Ouverture des offres</w:t>
            </w:r>
            <w:r w:rsidR="00195005">
              <w:tab/>
            </w:r>
            <w:r w:rsidR="00195005">
              <w:fldChar w:fldCharType="begin"/>
            </w:r>
            <w:r w:rsidR="00195005">
              <w:instrText xml:space="preserve"> PAGEREF _Toc224222987 \h </w:instrText>
            </w:r>
            <w:r w:rsidR="00195005">
              <w:fldChar w:fldCharType="separate"/>
            </w:r>
            <w:r w:rsidR="00195005">
              <w:t>10</w:t>
            </w:r>
            <w:r w:rsidR="00195005">
              <w:fldChar w:fldCharType="end"/>
            </w:r>
          </w:hyperlink>
        </w:p>
        <w:p w14:paraId="4E2799F3" w14:textId="1603F772" w:rsidR="006D181A" w:rsidRDefault="00531D1F">
          <w:pPr>
            <w:pStyle w:val="TM2"/>
          </w:pPr>
          <w:hyperlink w:anchor="_Toc224222988" w:tooltip="#_Toc224222988" w:history="1">
            <w:r w:rsidR="00195005">
              <w:rPr>
                <w:rStyle w:val="Lienhypertexte"/>
                <w:rFonts w:cstheme="minorHAnsi"/>
              </w:rPr>
              <w:t>Analyse des offres</w:t>
            </w:r>
            <w:r w:rsidR="00195005">
              <w:tab/>
            </w:r>
            <w:r w:rsidR="00195005">
              <w:fldChar w:fldCharType="begin"/>
            </w:r>
            <w:r w:rsidR="00195005">
              <w:instrText xml:space="preserve"> PAGEREF _Toc224222988 \h </w:instrText>
            </w:r>
            <w:r w:rsidR="00195005">
              <w:fldChar w:fldCharType="separate"/>
            </w:r>
            <w:r w:rsidR="00195005">
              <w:t>10</w:t>
            </w:r>
            <w:r w:rsidR="00195005">
              <w:fldChar w:fldCharType="end"/>
            </w:r>
          </w:hyperlink>
        </w:p>
        <w:p w14:paraId="6049CCC0" w14:textId="74160D23" w:rsidR="006D181A" w:rsidRDefault="00531D1F">
          <w:pPr>
            <w:pStyle w:val="TM2"/>
          </w:pPr>
          <w:hyperlink w:anchor="_Toc224222989" w:tooltip="#_Toc224222989" w:history="1">
            <w:r w:rsidR="00195005">
              <w:rPr>
                <w:rStyle w:val="Lienhypertexte"/>
                <w:rFonts w:cstheme="minorHAnsi"/>
              </w:rPr>
              <w:t>Rejet des offres irrégulières, inacceptables et inappropriées</w:t>
            </w:r>
            <w:r w:rsidR="00195005">
              <w:tab/>
            </w:r>
            <w:r w:rsidR="00195005">
              <w:fldChar w:fldCharType="begin"/>
            </w:r>
            <w:r w:rsidR="00195005">
              <w:instrText xml:space="preserve"> PAGEREF _Toc224222989 \h </w:instrText>
            </w:r>
            <w:r w:rsidR="00195005">
              <w:fldChar w:fldCharType="separate"/>
            </w:r>
            <w:r w:rsidR="00195005">
              <w:t>10</w:t>
            </w:r>
            <w:r w:rsidR="00195005">
              <w:fldChar w:fldCharType="end"/>
            </w:r>
          </w:hyperlink>
        </w:p>
        <w:p w14:paraId="0A40DAEA" w14:textId="7EE5AD95" w:rsidR="006D181A" w:rsidRDefault="00531D1F">
          <w:pPr>
            <w:pStyle w:val="TM2"/>
          </w:pPr>
          <w:hyperlink w:anchor="_Toc224222990" w:tooltip="#_Toc224222990" w:history="1">
            <w:r w:rsidR="00195005">
              <w:rPr>
                <w:rStyle w:val="Lienhypertexte"/>
                <w:rFonts w:cstheme="minorHAnsi"/>
              </w:rPr>
              <w:t>Comparaison des offres pour sélection de l’offre économiquement la plus avantageuse</w:t>
            </w:r>
            <w:r w:rsidR="00195005">
              <w:tab/>
            </w:r>
            <w:r w:rsidR="00195005">
              <w:fldChar w:fldCharType="begin"/>
            </w:r>
            <w:r w:rsidR="00195005">
              <w:instrText xml:space="preserve"> PAGEREF _Toc224222990 \h </w:instrText>
            </w:r>
            <w:r w:rsidR="00195005">
              <w:fldChar w:fldCharType="separate"/>
            </w:r>
            <w:r w:rsidR="00195005">
              <w:t>11</w:t>
            </w:r>
            <w:r w:rsidR="00195005">
              <w:fldChar w:fldCharType="end"/>
            </w:r>
          </w:hyperlink>
        </w:p>
        <w:p w14:paraId="751AEB77" w14:textId="0DF35374" w:rsidR="006D181A" w:rsidRDefault="00531D1F">
          <w:pPr>
            <w:pStyle w:val="TM2"/>
          </w:pPr>
          <w:hyperlink w:anchor="_Toc224222991" w:tooltip="#_Toc224222991" w:history="1">
            <w:r w:rsidR="00195005">
              <w:rPr>
                <w:rStyle w:val="Lienhypertexte"/>
                <w:rFonts w:cstheme="minorHAnsi"/>
                <w:i/>
              </w:rPr>
              <w:t>Critère 1 : prix des prestations</w:t>
            </w:r>
            <w:r w:rsidR="00195005">
              <w:tab/>
            </w:r>
            <w:r w:rsidR="00195005">
              <w:fldChar w:fldCharType="begin"/>
            </w:r>
            <w:r w:rsidR="00195005">
              <w:instrText xml:space="preserve"> PAGEREF _Toc224222991 \h </w:instrText>
            </w:r>
            <w:r w:rsidR="00195005">
              <w:fldChar w:fldCharType="separate"/>
            </w:r>
            <w:r w:rsidR="00195005">
              <w:t>11</w:t>
            </w:r>
            <w:r w:rsidR="00195005">
              <w:fldChar w:fldCharType="end"/>
            </w:r>
          </w:hyperlink>
        </w:p>
        <w:p w14:paraId="24C837BB" w14:textId="27337BC0" w:rsidR="006D181A" w:rsidRDefault="00531D1F">
          <w:pPr>
            <w:pStyle w:val="TM2"/>
          </w:pPr>
          <w:hyperlink w:anchor="_Toc224222992" w:tooltip="#_Toc224222992" w:history="1">
            <w:r w:rsidR="00195005">
              <w:rPr>
                <w:rStyle w:val="Lienhypertexte"/>
                <w:rFonts w:cstheme="minorHAnsi"/>
                <w:i/>
              </w:rPr>
              <w:t>Critère 2 : Qualité technique</w:t>
            </w:r>
            <w:r w:rsidR="00195005">
              <w:tab/>
            </w:r>
            <w:r w:rsidR="00195005">
              <w:fldChar w:fldCharType="begin"/>
            </w:r>
            <w:r w:rsidR="00195005">
              <w:instrText xml:space="preserve"> PAGEREF _Toc224222992 \h </w:instrText>
            </w:r>
            <w:r w:rsidR="00195005">
              <w:fldChar w:fldCharType="separate"/>
            </w:r>
            <w:r w:rsidR="00195005">
              <w:t>11</w:t>
            </w:r>
            <w:r w:rsidR="00195005">
              <w:fldChar w:fldCharType="end"/>
            </w:r>
          </w:hyperlink>
        </w:p>
        <w:p w14:paraId="300ED262" w14:textId="71A2ED55" w:rsidR="006D181A" w:rsidRDefault="00531D1F">
          <w:pPr>
            <w:pStyle w:val="TM2"/>
          </w:pPr>
          <w:hyperlink w:anchor="_Toc224222993" w:tooltip="#_Toc224222993" w:history="1">
            <w:r w:rsidR="00195005">
              <w:rPr>
                <w:rStyle w:val="Lienhypertexte"/>
                <w:rFonts w:cstheme="minorHAnsi"/>
              </w:rPr>
              <w:t>Attribution</w:t>
            </w:r>
            <w:r w:rsidR="00195005">
              <w:tab/>
            </w:r>
            <w:r w:rsidR="00195005">
              <w:fldChar w:fldCharType="begin"/>
            </w:r>
            <w:r w:rsidR="00195005">
              <w:instrText xml:space="preserve"> PAGEREF _Toc224222993 \h </w:instrText>
            </w:r>
            <w:r w:rsidR="00195005">
              <w:fldChar w:fldCharType="separate"/>
            </w:r>
            <w:r w:rsidR="00195005">
              <w:t>11</w:t>
            </w:r>
            <w:r w:rsidR="00195005">
              <w:fldChar w:fldCharType="end"/>
            </w:r>
          </w:hyperlink>
        </w:p>
        <w:p w14:paraId="43A9BE16" w14:textId="13938395"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2994" w:tooltip="#_Toc224222994" w:history="1">
            <w:r w:rsidR="00195005">
              <w:rPr>
                <w:rStyle w:val="Lienhypertexte"/>
                <w:rFonts w:cstheme="minorHAnsi"/>
                <w:b/>
                <w:caps/>
              </w:rPr>
              <w:t>ARTICLE 7 :</w:t>
            </w:r>
            <w:r w:rsidR="00195005">
              <w:rPr>
                <w:rFonts w:asciiTheme="minorHAnsi" w:eastAsiaTheme="minorEastAsia" w:hAnsiTheme="minorHAnsi" w:cstheme="minorBidi"/>
                <w:sz w:val="22"/>
                <w:szCs w:val="22"/>
              </w:rPr>
              <w:tab/>
            </w:r>
            <w:r w:rsidR="00195005">
              <w:rPr>
                <w:rStyle w:val="Lienhypertexte"/>
                <w:rFonts w:cstheme="minorHAnsi"/>
                <w:b/>
                <w:caps/>
              </w:rPr>
              <w:t>Traitement des données à caractère personnel dans le cadre de la présente consultation et pour le suivi d’exécution du contrat</w:t>
            </w:r>
            <w:r w:rsidR="00195005">
              <w:tab/>
            </w:r>
            <w:r w:rsidR="00195005">
              <w:fldChar w:fldCharType="begin"/>
            </w:r>
            <w:r w:rsidR="00195005">
              <w:instrText xml:space="preserve"> PAGEREF _Toc224222994 \h </w:instrText>
            </w:r>
            <w:r w:rsidR="00195005">
              <w:fldChar w:fldCharType="separate"/>
            </w:r>
            <w:r w:rsidR="00195005">
              <w:t>11</w:t>
            </w:r>
            <w:r w:rsidR="00195005">
              <w:fldChar w:fldCharType="end"/>
            </w:r>
          </w:hyperlink>
        </w:p>
        <w:p w14:paraId="61EE2C94" w14:textId="76F95BFB" w:rsidR="006D181A" w:rsidRDefault="00531D1F">
          <w:pPr>
            <w:pStyle w:val="TM2"/>
          </w:pPr>
          <w:hyperlink w:anchor="_Toc224222995" w:tooltip="#_Toc224222995" w:history="1">
            <w:r w:rsidR="00195005">
              <w:rPr>
                <w:rStyle w:val="Lienhypertexte"/>
                <w:rFonts w:cstheme="minorHAnsi"/>
              </w:rPr>
              <w:t>Identité et coordonnées du responsable de traitement et de son représentant :</w:t>
            </w:r>
            <w:r w:rsidR="00195005">
              <w:tab/>
            </w:r>
            <w:r w:rsidR="00195005">
              <w:fldChar w:fldCharType="begin"/>
            </w:r>
            <w:r w:rsidR="00195005">
              <w:instrText xml:space="preserve"> PAGEREF _Toc224222995 \h </w:instrText>
            </w:r>
            <w:r w:rsidR="00195005">
              <w:fldChar w:fldCharType="separate"/>
            </w:r>
            <w:r w:rsidR="00195005">
              <w:t>12</w:t>
            </w:r>
            <w:r w:rsidR="00195005">
              <w:fldChar w:fldCharType="end"/>
            </w:r>
          </w:hyperlink>
        </w:p>
        <w:p w14:paraId="09311AC3" w14:textId="09EF1254" w:rsidR="006D181A" w:rsidRDefault="00531D1F">
          <w:pPr>
            <w:pStyle w:val="TM2"/>
          </w:pPr>
          <w:hyperlink w:anchor="_Toc224222996" w:tooltip="#_Toc224222996" w:history="1">
            <w:r w:rsidR="00195005">
              <w:rPr>
                <w:rStyle w:val="Lienhypertexte"/>
                <w:rFonts w:cstheme="minorHAnsi"/>
              </w:rPr>
              <w:t>Pour la plateforme PLACE :</w:t>
            </w:r>
            <w:r w:rsidR="00195005">
              <w:tab/>
            </w:r>
            <w:r w:rsidR="00195005">
              <w:fldChar w:fldCharType="begin"/>
            </w:r>
            <w:r w:rsidR="00195005">
              <w:instrText xml:space="preserve"> PAGEREF _Toc224222996 \h </w:instrText>
            </w:r>
            <w:r w:rsidR="00195005">
              <w:fldChar w:fldCharType="separate"/>
            </w:r>
            <w:r w:rsidR="00195005">
              <w:t>12</w:t>
            </w:r>
            <w:r w:rsidR="00195005">
              <w:fldChar w:fldCharType="end"/>
            </w:r>
          </w:hyperlink>
        </w:p>
        <w:p w14:paraId="3BDC5B05" w14:textId="20E82137" w:rsidR="006D181A" w:rsidRDefault="00531D1F">
          <w:pPr>
            <w:pStyle w:val="TM2"/>
          </w:pPr>
          <w:hyperlink w:anchor="_Toc224222997" w:tooltip="#_Toc224222997" w:history="1">
            <w:r w:rsidR="00195005">
              <w:rPr>
                <w:rStyle w:val="Lienhypertexte"/>
                <w:rFonts w:cstheme="minorHAnsi"/>
              </w:rPr>
              <w:t>Coordonnées du délégué à la protection des données personnelles :</w:t>
            </w:r>
            <w:r w:rsidR="00195005">
              <w:tab/>
            </w:r>
            <w:r w:rsidR="00195005">
              <w:fldChar w:fldCharType="begin"/>
            </w:r>
            <w:r w:rsidR="00195005">
              <w:instrText xml:space="preserve"> PAGEREF _Toc224222997 \h </w:instrText>
            </w:r>
            <w:r w:rsidR="00195005">
              <w:fldChar w:fldCharType="separate"/>
            </w:r>
            <w:r w:rsidR="00195005">
              <w:t>12</w:t>
            </w:r>
            <w:r w:rsidR="00195005">
              <w:fldChar w:fldCharType="end"/>
            </w:r>
          </w:hyperlink>
        </w:p>
        <w:p w14:paraId="0F9CA0CB" w14:textId="3B8E801F" w:rsidR="006D181A" w:rsidRDefault="00531D1F">
          <w:pPr>
            <w:pStyle w:val="TM2"/>
          </w:pPr>
          <w:hyperlink w:anchor="_Toc224222998" w:tooltip="#_Toc224222998" w:history="1">
            <w:r w:rsidR="00195005">
              <w:rPr>
                <w:rStyle w:val="Lienhypertexte"/>
                <w:rFonts w:cstheme="minorHAnsi"/>
              </w:rPr>
              <w:t>Pour l’autorité contractante :</w:t>
            </w:r>
            <w:r w:rsidR="00195005">
              <w:tab/>
            </w:r>
            <w:r w:rsidR="00195005">
              <w:fldChar w:fldCharType="begin"/>
            </w:r>
            <w:r w:rsidR="00195005">
              <w:instrText xml:space="preserve"> PAGEREF _Toc224222998 \h </w:instrText>
            </w:r>
            <w:r w:rsidR="00195005">
              <w:fldChar w:fldCharType="separate"/>
            </w:r>
            <w:r w:rsidR="00195005">
              <w:t>12</w:t>
            </w:r>
            <w:r w:rsidR="00195005">
              <w:fldChar w:fldCharType="end"/>
            </w:r>
          </w:hyperlink>
        </w:p>
        <w:p w14:paraId="06D13449" w14:textId="305B171D" w:rsidR="006D181A" w:rsidRDefault="00531D1F">
          <w:pPr>
            <w:pStyle w:val="TM2"/>
          </w:pPr>
          <w:hyperlink w:anchor="_Toc224222999" w:tooltip="#_Toc224222999" w:history="1">
            <w:r w:rsidR="00195005">
              <w:rPr>
                <w:rStyle w:val="Lienhypertexte"/>
                <w:rFonts w:cstheme="minorHAnsi"/>
              </w:rPr>
              <w:t>Coordonnées du délégué à la protection des données personnelles :</w:t>
            </w:r>
            <w:r w:rsidR="00195005">
              <w:tab/>
            </w:r>
            <w:r w:rsidR="00195005">
              <w:fldChar w:fldCharType="begin"/>
            </w:r>
            <w:r w:rsidR="00195005">
              <w:instrText xml:space="preserve"> PAGEREF _Toc224222999 \h </w:instrText>
            </w:r>
            <w:r w:rsidR="00195005">
              <w:fldChar w:fldCharType="separate"/>
            </w:r>
            <w:r w:rsidR="00195005">
              <w:t>12</w:t>
            </w:r>
            <w:r w:rsidR="00195005">
              <w:fldChar w:fldCharType="end"/>
            </w:r>
          </w:hyperlink>
        </w:p>
        <w:p w14:paraId="22CF9243" w14:textId="397D2C1F"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3000" w:tooltip="#_Toc224223000" w:history="1">
            <w:r w:rsidR="00195005">
              <w:rPr>
                <w:rStyle w:val="Lienhypertexte"/>
                <w:rFonts w:cstheme="minorHAnsi"/>
                <w:b/>
                <w:caps/>
              </w:rPr>
              <w:t>ARTICLE 8 :</w:t>
            </w:r>
            <w:r w:rsidR="00195005">
              <w:rPr>
                <w:rFonts w:asciiTheme="minorHAnsi" w:eastAsiaTheme="minorEastAsia" w:hAnsiTheme="minorHAnsi" w:cstheme="minorBidi"/>
                <w:sz w:val="22"/>
                <w:szCs w:val="22"/>
              </w:rPr>
              <w:tab/>
            </w:r>
            <w:r w:rsidR="00195005">
              <w:rPr>
                <w:rStyle w:val="Lienhypertexte"/>
                <w:rFonts w:cstheme="minorHAnsi"/>
                <w:b/>
                <w:caps/>
              </w:rPr>
              <w:t>AUTRES RENSEIGNEMENTS</w:t>
            </w:r>
            <w:r w:rsidR="00195005">
              <w:tab/>
            </w:r>
            <w:r w:rsidR="00195005">
              <w:fldChar w:fldCharType="begin"/>
            </w:r>
            <w:r w:rsidR="00195005">
              <w:instrText xml:space="preserve"> PAGEREF _Toc224223000 \h </w:instrText>
            </w:r>
            <w:r w:rsidR="00195005">
              <w:fldChar w:fldCharType="separate"/>
            </w:r>
            <w:r w:rsidR="00195005">
              <w:t>13</w:t>
            </w:r>
            <w:r w:rsidR="00195005">
              <w:fldChar w:fldCharType="end"/>
            </w:r>
          </w:hyperlink>
        </w:p>
        <w:p w14:paraId="102AE198" w14:textId="62C7CB9A" w:rsidR="006D181A" w:rsidRDefault="00531D1F">
          <w:pPr>
            <w:pStyle w:val="TM1"/>
            <w:tabs>
              <w:tab w:val="left" w:pos="1540"/>
              <w:tab w:val="right" w:leader="dot" w:pos="9329"/>
            </w:tabs>
            <w:rPr>
              <w:rFonts w:asciiTheme="minorHAnsi" w:eastAsiaTheme="minorEastAsia" w:hAnsiTheme="minorHAnsi" w:cstheme="minorBidi"/>
              <w:sz w:val="22"/>
              <w:szCs w:val="22"/>
            </w:rPr>
          </w:pPr>
          <w:hyperlink w:anchor="_Toc224223001" w:tooltip="#_Toc224223001" w:history="1">
            <w:r w:rsidR="00195005">
              <w:rPr>
                <w:rStyle w:val="Lienhypertexte"/>
                <w:rFonts w:cstheme="minorHAnsi"/>
                <w:b/>
                <w:caps/>
              </w:rPr>
              <w:t>ARTICLE 9 :</w:t>
            </w:r>
            <w:r w:rsidR="00195005">
              <w:rPr>
                <w:rFonts w:asciiTheme="minorHAnsi" w:eastAsiaTheme="minorEastAsia" w:hAnsiTheme="minorHAnsi" w:cstheme="minorBidi"/>
                <w:sz w:val="22"/>
                <w:szCs w:val="22"/>
              </w:rPr>
              <w:tab/>
            </w:r>
            <w:r w:rsidR="00195005">
              <w:rPr>
                <w:rStyle w:val="Lienhypertexte"/>
                <w:rFonts w:cstheme="minorHAnsi"/>
                <w:b/>
                <w:caps/>
              </w:rPr>
              <w:t>Voies et délais de recours</w:t>
            </w:r>
            <w:r w:rsidR="00195005">
              <w:tab/>
            </w:r>
            <w:r w:rsidR="00195005">
              <w:fldChar w:fldCharType="begin"/>
            </w:r>
            <w:r w:rsidR="00195005">
              <w:instrText xml:space="preserve"> PAGEREF _Toc224223001 \h </w:instrText>
            </w:r>
            <w:r w:rsidR="00195005">
              <w:fldChar w:fldCharType="separate"/>
            </w:r>
            <w:r w:rsidR="00195005">
              <w:t>13</w:t>
            </w:r>
            <w:r w:rsidR="00195005">
              <w:fldChar w:fldCharType="end"/>
            </w:r>
          </w:hyperlink>
        </w:p>
        <w:p w14:paraId="1F57A7CE" w14:textId="581D421C" w:rsidR="006D181A" w:rsidRDefault="00195005">
          <w:pPr>
            <w:rPr>
              <w:rFonts w:asciiTheme="minorHAnsi" w:hAnsiTheme="minorHAnsi" w:cstheme="minorHAnsi"/>
              <w:sz w:val="22"/>
              <w:szCs w:val="22"/>
            </w:rPr>
          </w:pPr>
          <w:r>
            <w:rPr>
              <w:rFonts w:asciiTheme="minorHAnsi" w:hAnsiTheme="minorHAnsi" w:cstheme="minorHAnsi"/>
              <w:sz w:val="22"/>
              <w:szCs w:val="22"/>
              <w:highlight w:val="yellow"/>
            </w:rPr>
            <w:fldChar w:fldCharType="end"/>
          </w:r>
        </w:p>
      </w:sdtContent>
    </w:sdt>
    <w:p w14:paraId="36474558" w14:textId="77777777" w:rsidR="006D181A" w:rsidRDefault="006D181A">
      <w:pPr>
        <w:widowControl w:val="0"/>
        <w:jc w:val="right"/>
        <w:rPr>
          <w:rFonts w:asciiTheme="minorHAnsi" w:hAnsiTheme="minorHAnsi" w:cstheme="minorHAnsi"/>
          <w:b/>
          <w:sz w:val="22"/>
          <w:szCs w:val="22"/>
        </w:rPr>
        <w:sectPr w:rsidR="006D181A">
          <w:headerReference w:type="even" r:id="rId8"/>
          <w:headerReference w:type="default" r:id="rId9"/>
          <w:footerReference w:type="even" r:id="rId10"/>
          <w:footerReference w:type="default" r:id="rId11"/>
          <w:headerReference w:type="first" r:id="rId12"/>
          <w:footerReference w:type="first" r:id="rId13"/>
          <w:pgSz w:w="11906" w:h="16838"/>
          <w:pgMar w:top="902" w:right="1416" w:bottom="1616" w:left="1151" w:header="431" w:footer="567" w:gutter="0"/>
          <w:cols w:space="708"/>
          <w:titlePg/>
        </w:sectPr>
      </w:pPr>
    </w:p>
    <w:p w14:paraId="673C1868" w14:textId="2B26FB39"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 w:name="_Toc224222950"/>
      <w:r>
        <w:rPr>
          <w:rFonts w:asciiTheme="minorHAnsi" w:hAnsiTheme="minorHAnsi" w:cstheme="minorHAnsi"/>
          <w:b/>
          <w:caps/>
          <w:sz w:val="28"/>
          <w:szCs w:val="22"/>
          <w:u w:val="single"/>
        </w:rPr>
        <w:lastRenderedPageBreak/>
        <w:t>Objet et étendue de la consultation</w:t>
      </w:r>
      <w:bookmarkEnd w:id="3"/>
    </w:p>
    <w:p w14:paraId="07814D03"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4" w:name="_Toc417653412"/>
      <w:bookmarkStart w:id="5" w:name="_Toc419212425"/>
      <w:bookmarkStart w:id="6" w:name="_Toc443657762"/>
      <w:bookmarkStart w:id="7" w:name="_Toc446628681"/>
      <w:bookmarkStart w:id="8" w:name="_Toc452049137"/>
      <w:bookmarkStart w:id="9" w:name="_Toc455587875"/>
      <w:bookmarkStart w:id="10" w:name="_Toc455679200"/>
      <w:bookmarkStart w:id="11" w:name="_Toc455768059"/>
      <w:bookmarkStart w:id="12" w:name="_Toc224222951"/>
      <w:r>
        <w:rPr>
          <w:rFonts w:asciiTheme="minorHAnsi" w:hAnsiTheme="minorHAnsi" w:cstheme="minorHAnsi"/>
          <w:sz w:val="22"/>
          <w:szCs w:val="22"/>
          <w:u w:val="single"/>
        </w:rPr>
        <w:t>Objet de la consultation</w:t>
      </w:r>
      <w:bookmarkEnd w:id="4"/>
      <w:bookmarkEnd w:id="5"/>
      <w:bookmarkEnd w:id="6"/>
      <w:bookmarkEnd w:id="7"/>
      <w:bookmarkEnd w:id="8"/>
      <w:bookmarkEnd w:id="9"/>
      <w:bookmarkEnd w:id="10"/>
      <w:bookmarkEnd w:id="11"/>
      <w:bookmarkEnd w:id="12"/>
    </w:p>
    <w:p w14:paraId="06742FE7" w14:textId="36E7CEED" w:rsidR="006D181A" w:rsidRDefault="00195005">
      <w:pPr>
        <w:pStyle w:val="u"/>
        <w:spacing w:before="120"/>
        <w:ind w:left="0"/>
        <w:rPr>
          <w:rFonts w:asciiTheme="minorHAnsi" w:hAnsiTheme="minorHAnsi" w:cstheme="minorHAnsi"/>
          <w:szCs w:val="22"/>
        </w:rPr>
      </w:pPr>
      <w:r>
        <w:rPr>
          <w:rFonts w:asciiTheme="minorHAnsi" w:hAnsiTheme="minorHAnsi" w:cstheme="minorHAnsi"/>
          <w:szCs w:val="22"/>
        </w:rPr>
        <w:t>La consultation porte sur la passation d’un contrat de service ayant pour objet « </w:t>
      </w:r>
      <w:r>
        <w:rPr>
          <w:rFonts w:asciiTheme="minorHAnsi" w:hAnsiTheme="minorHAnsi" w:cstheme="minorHAnsi"/>
          <w:i/>
          <w:szCs w:val="22"/>
        </w:rPr>
        <w:t xml:space="preserve">Prestation de services de traduction et d’interprétariat au Cap-Vert pour les activités de WASOP mis en œuvre par Expertise France </w:t>
      </w:r>
      <w:r>
        <w:rPr>
          <w:rFonts w:asciiTheme="minorHAnsi" w:hAnsiTheme="minorHAnsi" w:cstheme="minorHAnsi"/>
          <w:szCs w:val="22"/>
        </w:rPr>
        <w:t>».</w:t>
      </w:r>
    </w:p>
    <w:p w14:paraId="32837BEE" w14:textId="1F5280C6"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L’étendue des besoins à couvrir sont décrits dans le Cahier de charges.</w:t>
      </w:r>
    </w:p>
    <w:p w14:paraId="48781D4B"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13" w:name="_Toc224222952"/>
      <w:r>
        <w:rPr>
          <w:rFonts w:asciiTheme="minorHAnsi" w:hAnsiTheme="minorHAnsi" w:cstheme="minorHAnsi"/>
          <w:sz w:val="22"/>
          <w:szCs w:val="22"/>
          <w:u w:val="single"/>
        </w:rPr>
        <w:t>Etendue de la consultation</w:t>
      </w:r>
      <w:bookmarkEnd w:id="13"/>
    </w:p>
    <w:p w14:paraId="4308B165" w14:textId="77777777" w:rsidR="006D181A" w:rsidRDefault="00195005">
      <w:pPr>
        <w:pStyle w:val="u"/>
        <w:spacing w:before="120"/>
        <w:ind w:left="0"/>
        <w:rPr>
          <w:rFonts w:asciiTheme="minorHAnsi" w:hAnsiTheme="minorHAnsi" w:cstheme="minorHAnsi"/>
          <w:szCs w:val="22"/>
        </w:rPr>
      </w:pPr>
      <w:r>
        <w:rPr>
          <w:rFonts w:asciiTheme="minorHAnsi" w:hAnsiTheme="minorHAnsi" w:cstheme="minorHAnsi"/>
          <w:szCs w:val="22"/>
        </w:rPr>
        <w:t>Le présent contrat est soumis au Code de la commande publique (CCP)</w:t>
      </w:r>
      <w:r>
        <w:rPr>
          <w:rFonts w:asciiTheme="minorHAnsi" w:hAnsiTheme="minorHAnsi" w:cstheme="minorHAnsi"/>
        </w:rPr>
        <w:t xml:space="preserve"> </w:t>
      </w:r>
      <w:r>
        <w:rPr>
          <w:rFonts w:asciiTheme="minorHAnsi" w:hAnsiTheme="minorHAnsi" w:cstheme="minorHAnsi"/>
          <w:szCs w:val="22"/>
        </w:rPr>
        <w:t xml:space="preserve">dans sa version en vigueur issue de l'ordonnance n° 2018-1074 du 26 novembre 2018 portant partie législative et du décret n° 2018-1075 du 3 décembre 2018 portant partie réglementaire du Code de la commande publique. </w:t>
      </w:r>
    </w:p>
    <w:p w14:paraId="597715FC" w14:textId="6CE9DB1D" w:rsidR="006D181A" w:rsidRDefault="00195005">
      <w:pPr>
        <w:pStyle w:val="u"/>
        <w:spacing w:before="120"/>
        <w:ind w:left="0"/>
        <w:rPr>
          <w:rFonts w:asciiTheme="minorHAnsi" w:hAnsiTheme="minorHAnsi" w:cstheme="minorHAnsi"/>
          <w:szCs w:val="22"/>
        </w:rPr>
      </w:pPr>
      <w:r>
        <w:rPr>
          <w:rFonts w:asciiTheme="minorHAnsi" w:hAnsiTheme="minorHAnsi" w:cstheme="minorHAnsi"/>
          <w:szCs w:val="22"/>
        </w:rPr>
        <w:t>Il est passé par procédure adaptée en application des articles L. 2123-1 et R. 2123-1 au R. 2123-7 du CCP</w:t>
      </w:r>
    </w:p>
    <w:p w14:paraId="0EDA0005"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14" w:name="_Toc224222953"/>
      <w:r>
        <w:rPr>
          <w:rFonts w:asciiTheme="minorHAnsi" w:hAnsiTheme="minorHAnsi" w:cstheme="minorHAnsi"/>
          <w:sz w:val="22"/>
          <w:szCs w:val="22"/>
          <w:u w:val="single"/>
        </w:rPr>
        <w:t>Calendrier prévisionnel de la consultation</w:t>
      </w:r>
      <w:bookmarkEnd w:id="14"/>
      <w:r>
        <w:rPr>
          <w:rFonts w:asciiTheme="minorHAnsi" w:hAnsiTheme="minorHAnsi" w:cstheme="minorHAnsi"/>
          <w:sz w:val="22"/>
          <w:szCs w:val="22"/>
          <w:u w:val="single"/>
        </w:rPr>
        <w:t xml:space="preserve"> </w:t>
      </w:r>
    </w:p>
    <w:tbl>
      <w:tblPr>
        <w:tblStyle w:val="Grilledutableau"/>
        <w:tblW w:w="0" w:type="auto"/>
        <w:tblLook w:val="04A0" w:firstRow="1" w:lastRow="0" w:firstColumn="1" w:lastColumn="0" w:noHBand="0" w:noVBand="1"/>
      </w:tblPr>
      <w:tblGrid>
        <w:gridCol w:w="2830"/>
        <w:gridCol w:w="5103"/>
      </w:tblGrid>
      <w:tr w:rsidR="006D181A" w14:paraId="50C3E17A" w14:textId="77777777" w:rsidTr="00B73E40">
        <w:tc>
          <w:tcPr>
            <w:tcW w:w="2830" w:type="dxa"/>
            <w:tcBorders>
              <w:top w:val="single" w:sz="4" w:space="0" w:color="auto"/>
              <w:left w:val="single" w:sz="4" w:space="0" w:color="auto"/>
              <w:bottom w:val="single" w:sz="4" w:space="0" w:color="auto"/>
              <w:right w:val="single" w:sz="4" w:space="0" w:color="auto"/>
            </w:tcBorders>
          </w:tcPr>
          <w:p w14:paraId="5C3F7E3B" w14:textId="77777777" w:rsidR="006D181A" w:rsidRPr="0016685F" w:rsidRDefault="00195005">
            <w:pPr>
              <w:spacing w:line="240" w:lineRule="auto"/>
              <w:jc w:val="center"/>
              <w:rPr>
                <w:rFonts w:asciiTheme="minorHAnsi" w:hAnsiTheme="minorHAnsi" w:cstheme="minorHAnsi"/>
                <w:b/>
                <w:sz w:val="22"/>
                <w:szCs w:val="22"/>
              </w:rPr>
            </w:pPr>
            <w:r w:rsidRPr="0016685F">
              <w:rPr>
                <w:rFonts w:asciiTheme="minorHAnsi" w:hAnsiTheme="minorHAnsi" w:cstheme="minorHAnsi"/>
                <w:b/>
                <w:sz w:val="22"/>
                <w:szCs w:val="22"/>
              </w:rPr>
              <w:t>Date estimative</w:t>
            </w:r>
          </w:p>
        </w:tc>
        <w:tc>
          <w:tcPr>
            <w:tcW w:w="5103" w:type="dxa"/>
            <w:tcBorders>
              <w:top w:val="single" w:sz="4" w:space="0" w:color="auto"/>
              <w:left w:val="single" w:sz="4" w:space="0" w:color="auto"/>
              <w:bottom w:val="single" w:sz="4" w:space="0" w:color="auto"/>
              <w:right w:val="single" w:sz="4" w:space="0" w:color="auto"/>
            </w:tcBorders>
          </w:tcPr>
          <w:p w14:paraId="0ADA830A" w14:textId="77777777" w:rsidR="006D181A" w:rsidRPr="0016685F" w:rsidRDefault="00195005">
            <w:pPr>
              <w:spacing w:line="240" w:lineRule="auto"/>
              <w:jc w:val="both"/>
              <w:rPr>
                <w:rFonts w:asciiTheme="minorHAnsi" w:hAnsiTheme="minorHAnsi" w:cstheme="minorHAnsi"/>
                <w:b/>
                <w:sz w:val="22"/>
                <w:szCs w:val="22"/>
              </w:rPr>
            </w:pPr>
            <w:r w:rsidRPr="0016685F">
              <w:rPr>
                <w:rFonts w:asciiTheme="minorHAnsi" w:hAnsiTheme="minorHAnsi" w:cstheme="minorHAnsi"/>
                <w:b/>
                <w:sz w:val="22"/>
                <w:szCs w:val="22"/>
              </w:rPr>
              <w:t>Etape</w:t>
            </w:r>
          </w:p>
        </w:tc>
      </w:tr>
      <w:tr w:rsidR="006D181A" w14:paraId="1537500D" w14:textId="77777777" w:rsidTr="00B73E40">
        <w:tc>
          <w:tcPr>
            <w:tcW w:w="2830" w:type="dxa"/>
            <w:tcBorders>
              <w:top w:val="single" w:sz="4" w:space="0" w:color="auto"/>
              <w:left w:val="single" w:sz="4" w:space="0" w:color="auto"/>
              <w:bottom w:val="single" w:sz="4" w:space="0" w:color="auto"/>
              <w:right w:val="single" w:sz="4" w:space="0" w:color="auto"/>
            </w:tcBorders>
            <w:vAlign w:val="center"/>
          </w:tcPr>
          <w:p w14:paraId="449308F2" w14:textId="617D0299" w:rsidR="006D181A" w:rsidRPr="0016685F" w:rsidRDefault="00CF6B6B" w:rsidP="00B73E40">
            <w:r>
              <w:t>17</w:t>
            </w:r>
            <w:r w:rsidR="00195005" w:rsidRPr="0016685F">
              <w:t>/0</w:t>
            </w:r>
            <w:r>
              <w:t>7</w:t>
            </w:r>
            <w:r w:rsidR="00195005" w:rsidRPr="0016685F">
              <w:t>/2026</w:t>
            </w:r>
          </w:p>
        </w:tc>
        <w:tc>
          <w:tcPr>
            <w:tcW w:w="5103" w:type="dxa"/>
            <w:tcBorders>
              <w:top w:val="single" w:sz="4" w:space="0" w:color="auto"/>
              <w:left w:val="single" w:sz="4" w:space="0" w:color="auto"/>
              <w:bottom w:val="single" w:sz="4" w:space="0" w:color="auto"/>
              <w:right w:val="single" w:sz="4" w:space="0" w:color="auto"/>
            </w:tcBorders>
            <w:vAlign w:val="center"/>
          </w:tcPr>
          <w:p w14:paraId="561F6FF3" w14:textId="77777777" w:rsidR="006D181A" w:rsidRPr="0016685F" w:rsidRDefault="00195005" w:rsidP="00B73E40">
            <w:pPr>
              <w:spacing w:line="240" w:lineRule="auto"/>
              <w:rPr>
                <w:rFonts w:asciiTheme="minorHAnsi" w:hAnsiTheme="minorHAnsi" w:cstheme="minorHAnsi"/>
                <w:sz w:val="22"/>
                <w:szCs w:val="22"/>
              </w:rPr>
            </w:pPr>
            <w:r w:rsidRPr="0016685F">
              <w:rPr>
                <w:rFonts w:asciiTheme="minorHAnsi" w:hAnsiTheme="minorHAnsi" w:cstheme="minorHAnsi"/>
                <w:sz w:val="22"/>
                <w:szCs w:val="22"/>
              </w:rPr>
              <w:t>Date limite de réception des offres</w:t>
            </w:r>
          </w:p>
        </w:tc>
      </w:tr>
      <w:tr w:rsidR="006D181A" w14:paraId="4E096BD9" w14:textId="77777777" w:rsidTr="00B73E40">
        <w:tc>
          <w:tcPr>
            <w:tcW w:w="2830" w:type="dxa"/>
            <w:tcBorders>
              <w:top w:val="single" w:sz="4" w:space="0" w:color="auto"/>
              <w:left w:val="single" w:sz="4" w:space="0" w:color="auto"/>
              <w:bottom w:val="single" w:sz="4" w:space="0" w:color="auto"/>
              <w:right w:val="single" w:sz="4" w:space="0" w:color="auto"/>
            </w:tcBorders>
            <w:vAlign w:val="center"/>
          </w:tcPr>
          <w:p w14:paraId="02EF9677" w14:textId="351E3A20" w:rsidR="006D181A" w:rsidRPr="0016685F" w:rsidRDefault="00B73E40" w:rsidP="00B73E40">
            <w:r>
              <w:t>Semaine du 2</w:t>
            </w:r>
            <w:r w:rsidR="00F834D0">
              <w:t>7</w:t>
            </w:r>
            <w:r>
              <w:t xml:space="preserve"> juillet 2026</w:t>
            </w:r>
          </w:p>
        </w:tc>
        <w:tc>
          <w:tcPr>
            <w:tcW w:w="5103" w:type="dxa"/>
            <w:tcBorders>
              <w:top w:val="single" w:sz="4" w:space="0" w:color="auto"/>
              <w:left w:val="single" w:sz="4" w:space="0" w:color="auto"/>
              <w:bottom w:val="single" w:sz="4" w:space="0" w:color="auto"/>
              <w:right w:val="single" w:sz="4" w:space="0" w:color="auto"/>
            </w:tcBorders>
            <w:vAlign w:val="center"/>
          </w:tcPr>
          <w:p w14:paraId="21505B37" w14:textId="77777777" w:rsidR="006D181A" w:rsidRPr="0016685F" w:rsidRDefault="00195005" w:rsidP="00B73E40">
            <w:pPr>
              <w:spacing w:line="240" w:lineRule="auto"/>
              <w:rPr>
                <w:rFonts w:asciiTheme="minorHAnsi" w:hAnsiTheme="minorHAnsi" w:cstheme="minorHAnsi"/>
                <w:sz w:val="22"/>
                <w:szCs w:val="22"/>
              </w:rPr>
            </w:pPr>
            <w:r w:rsidRPr="0016685F">
              <w:rPr>
                <w:rFonts w:asciiTheme="minorHAnsi" w:hAnsiTheme="minorHAnsi" w:cstheme="minorHAnsi"/>
                <w:sz w:val="22"/>
                <w:szCs w:val="22"/>
              </w:rPr>
              <w:t>Envoi des courriers de rejet aux candidats non retenus</w:t>
            </w:r>
          </w:p>
        </w:tc>
      </w:tr>
      <w:tr w:rsidR="006D181A" w14:paraId="5A7B4FCD" w14:textId="77777777" w:rsidTr="00B73E40">
        <w:tc>
          <w:tcPr>
            <w:tcW w:w="2830" w:type="dxa"/>
            <w:tcBorders>
              <w:top w:val="single" w:sz="4" w:space="0" w:color="auto"/>
              <w:left w:val="single" w:sz="4" w:space="0" w:color="auto"/>
              <w:bottom w:val="single" w:sz="4" w:space="0" w:color="auto"/>
              <w:right w:val="single" w:sz="4" w:space="0" w:color="auto"/>
            </w:tcBorders>
            <w:vAlign w:val="center"/>
          </w:tcPr>
          <w:p w14:paraId="247AA344" w14:textId="5E3BB62E" w:rsidR="006D181A" w:rsidRPr="0016685F" w:rsidRDefault="00B73E40" w:rsidP="00B73E40">
            <w:r>
              <w:t xml:space="preserve">Semaine du </w:t>
            </w:r>
            <w:r w:rsidR="00F834D0">
              <w:t>03</w:t>
            </w:r>
            <w:r>
              <w:t xml:space="preserve"> </w:t>
            </w:r>
            <w:r w:rsidR="00F834D0">
              <w:t>aout</w:t>
            </w:r>
            <w:r>
              <w:t xml:space="preserve"> 2026</w:t>
            </w:r>
          </w:p>
        </w:tc>
        <w:tc>
          <w:tcPr>
            <w:tcW w:w="5103" w:type="dxa"/>
            <w:tcBorders>
              <w:top w:val="single" w:sz="4" w:space="0" w:color="auto"/>
              <w:left w:val="single" w:sz="4" w:space="0" w:color="auto"/>
              <w:bottom w:val="single" w:sz="4" w:space="0" w:color="auto"/>
              <w:right w:val="single" w:sz="4" w:space="0" w:color="auto"/>
            </w:tcBorders>
            <w:vAlign w:val="center"/>
          </w:tcPr>
          <w:p w14:paraId="3A386B79" w14:textId="77777777" w:rsidR="006D181A" w:rsidRPr="0016685F" w:rsidRDefault="00195005" w:rsidP="00B73E40">
            <w:pPr>
              <w:spacing w:line="240" w:lineRule="auto"/>
              <w:rPr>
                <w:rFonts w:asciiTheme="minorHAnsi" w:hAnsiTheme="minorHAnsi" w:cstheme="minorHAnsi"/>
                <w:sz w:val="22"/>
                <w:szCs w:val="22"/>
              </w:rPr>
            </w:pPr>
            <w:r w:rsidRPr="0016685F">
              <w:rPr>
                <w:rFonts w:asciiTheme="minorHAnsi" w:hAnsiTheme="minorHAnsi" w:cstheme="minorHAnsi"/>
                <w:sz w:val="22"/>
                <w:szCs w:val="22"/>
              </w:rPr>
              <w:t>Notification du marché</w:t>
            </w:r>
          </w:p>
        </w:tc>
      </w:tr>
    </w:tbl>
    <w:p w14:paraId="32F1A50D" w14:textId="629872D2" w:rsidR="006D181A" w:rsidRDefault="00195005">
      <w:pPr>
        <w:pStyle w:val="Titre2"/>
        <w:spacing w:before="120" w:after="120" w:line="240" w:lineRule="auto"/>
        <w:jc w:val="both"/>
        <w:rPr>
          <w:rFonts w:asciiTheme="minorHAnsi" w:hAnsiTheme="minorHAnsi" w:cstheme="minorHAnsi"/>
          <w:sz w:val="22"/>
          <w:szCs w:val="22"/>
          <w:u w:val="single"/>
        </w:rPr>
      </w:pPr>
      <w:bookmarkStart w:id="15" w:name="_Toc224222954"/>
      <w:r>
        <w:rPr>
          <w:rFonts w:asciiTheme="minorHAnsi" w:hAnsiTheme="minorHAnsi" w:cstheme="minorHAnsi"/>
          <w:sz w:val="22"/>
          <w:szCs w:val="22"/>
          <w:u w:val="single"/>
        </w:rPr>
        <w:t>Langue de la consultation – unité monétaire</w:t>
      </w:r>
      <w:bookmarkEnd w:id="15"/>
    </w:p>
    <w:p w14:paraId="16D24AA3" w14:textId="77777777"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L’ensemble des documents de la présente consultation doivent être rédigés en langue française. </w:t>
      </w:r>
    </w:p>
    <w:p w14:paraId="7B55A535" w14:textId="1C85FC40"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Pouvoir adjudicateur conclura les marchés dans l’unité monétaire suivante : euro (€).</w:t>
      </w:r>
    </w:p>
    <w:p w14:paraId="4966A990" w14:textId="77777777" w:rsidR="006D181A" w:rsidRDefault="006D181A">
      <w:pPr>
        <w:spacing w:before="120" w:line="240" w:lineRule="auto"/>
        <w:jc w:val="both"/>
        <w:rPr>
          <w:rFonts w:asciiTheme="minorHAnsi" w:hAnsiTheme="minorHAnsi" w:cstheme="minorHAnsi"/>
          <w:sz w:val="22"/>
          <w:szCs w:val="22"/>
        </w:rPr>
      </w:pPr>
    </w:p>
    <w:p w14:paraId="59164E6E" w14:textId="443CB7DB" w:rsidR="006D181A" w:rsidRDefault="00195005">
      <w:pPr>
        <w:pStyle w:val="Titre2"/>
        <w:spacing w:before="120" w:after="120" w:line="240" w:lineRule="auto"/>
        <w:jc w:val="both"/>
        <w:rPr>
          <w:rFonts w:asciiTheme="minorHAnsi" w:hAnsiTheme="minorHAnsi" w:cstheme="minorHAnsi"/>
          <w:sz w:val="22"/>
          <w:szCs w:val="22"/>
          <w:u w:val="single"/>
        </w:rPr>
      </w:pPr>
      <w:bookmarkStart w:id="16" w:name="_Toc224222955"/>
      <w:r>
        <w:rPr>
          <w:rFonts w:asciiTheme="minorHAnsi" w:hAnsiTheme="minorHAnsi" w:cstheme="minorHAnsi"/>
          <w:sz w:val="22"/>
          <w:szCs w:val="22"/>
          <w:u w:val="single"/>
        </w:rPr>
        <w:t>Composition du dossier de consultation</w:t>
      </w:r>
      <w:bookmarkEnd w:id="16"/>
    </w:p>
    <w:p w14:paraId="47CBB10B" w14:textId="77777777"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dossier de consultation est composé des documents suivants :</w:t>
      </w:r>
    </w:p>
    <w:p w14:paraId="6C53E017" w14:textId="3027901C" w:rsidR="006D181A" w:rsidRDefault="00195005" w:rsidP="00CF6B6B">
      <w:pPr>
        <w:pStyle w:val="v"/>
        <w:widowControl w:val="0"/>
        <w:numPr>
          <w:ilvl w:val="0"/>
          <w:numId w:val="59"/>
        </w:numPr>
        <w:rPr>
          <w:rFonts w:asciiTheme="minorHAnsi" w:hAnsiTheme="minorHAnsi" w:cstheme="minorHAnsi"/>
          <w:szCs w:val="22"/>
        </w:rPr>
      </w:pPr>
      <w:r>
        <w:rPr>
          <w:rFonts w:asciiTheme="minorHAnsi" w:hAnsiTheme="minorHAnsi" w:cstheme="minorHAnsi"/>
          <w:szCs w:val="22"/>
        </w:rPr>
        <w:t>Le présent Règlement de la consultation (R.C.) ;</w:t>
      </w:r>
    </w:p>
    <w:p w14:paraId="02AFAB97" w14:textId="40AA05D1" w:rsidR="00AB409F" w:rsidRDefault="00AB409F" w:rsidP="00CF6B6B">
      <w:pPr>
        <w:pStyle w:val="v"/>
        <w:widowControl w:val="0"/>
        <w:numPr>
          <w:ilvl w:val="0"/>
          <w:numId w:val="59"/>
        </w:numPr>
        <w:rPr>
          <w:rFonts w:asciiTheme="minorHAnsi" w:hAnsiTheme="minorHAnsi" w:cstheme="minorHAnsi"/>
          <w:szCs w:val="22"/>
        </w:rPr>
      </w:pPr>
      <w:r>
        <w:rPr>
          <w:rFonts w:asciiTheme="minorHAnsi" w:hAnsiTheme="minorHAnsi" w:cstheme="minorHAnsi"/>
          <w:szCs w:val="22"/>
        </w:rPr>
        <w:t xml:space="preserve"> Le cahier des charges ; </w:t>
      </w:r>
    </w:p>
    <w:p w14:paraId="68C8BE2D" w14:textId="55ADFDF6" w:rsidR="006D181A" w:rsidRDefault="00195005" w:rsidP="00CF6B6B">
      <w:pPr>
        <w:pStyle w:val="Paragraphedeliste"/>
        <w:numPr>
          <w:ilvl w:val="0"/>
          <w:numId w:val="59"/>
        </w:numPr>
        <w:spacing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Le projet de contrat d’achat (conditions particulières et conditions générales) et ses annexes </w:t>
      </w:r>
      <w:r>
        <w:rPr>
          <w:rFonts w:asciiTheme="minorHAnsi" w:hAnsiTheme="minorHAnsi" w:cstheme="minorHAnsi"/>
          <w:szCs w:val="22"/>
        </w:rPr>
        <w:t>;</w:t>
      </w:r>
    </w:p>
    <w:p w14:paraId="26915B9B" w14:textId="5DAF5503" w:rsidR="006D181A" w:rsidRDefault="00195005" w:rsidP="00CF6B6B">
      <w:pPr>
        <w:pStyle w:val="v"/>
        <w:widowControl w:val="0"/>
        <w:numPr>
          <w:ilvl w:val="0"/>
          <w:numId w:val="59"/>
        </w:numPr>
        <w:rPr>
          <w:rFonts w:asciiTheme="minorHAnsi" w:hAnsiTheme="minorHAnsi" w:cstheme="minorHAnsi"/>
        </w:rPr>
      </w:pPr>
      <w:r>
        <w:rPr>
          <w:rFonts w:asciiTheme="minorHAnsi" w:hAnsiTheme="minorHAnsi" w:cstheme="minorHAnsi"/>
          <w:szCs w:val="22"/>
        </w:rPr>
        <w:t>Le formulaire de candidature, et ses annexes </w:t>
      </w:r>
    </w:p>
    <w:p w14:paraId="537B1495" w14:textId="2A5D4EAD" w:rsidR="006D181A" w:rsidRDefault="00195005" w:rsidP="00CF6B6B">
      <w:pPr>
        <w:pStyle w:val="v"/>
        <w:widowControl w:val="0"/>
        <w:numPr>
          <w:ilvl w:val="1"/>
          <w:numId w:val="59"/>
        </w:numPr>
        <w:rPr>
          <w:rFonts w:asciiTheme="minorHAnsi" w:hAnsiTheme="minorHAnsi" w:cstheme="minorHAnsi"/>
        </w:rPr>
      </w:pPr>
      <w:proofErr w:type="gramStart"/>
      <w:r>
        <w:rPr>
          <w:rFonts w:asciiTheme="minorHAnsi" w:hAnsiTheme="minorHAnsi" w:cstheme="minorHAnsi"/>
          <w:szCs w:val="22"/>
        </w:rPr>
        <w:t>la</w:t>
      </w:r>
      <w:proofErr w:type="gramEnd"/>
      <w:r>
        <w:rPr>
          <w:rFonts w:asciiTheme="minorHAnsi" w:hAnsiTheme="minorHAnsi" w:cstheme="minorHAnsi"/>
          <w:szCs w:val="22"/>
        </w:rPr>
        <w:t xml:space="preserve"> déclaration sur l'honneur relative aux critères d'exclusion, à l'absence de conflit d'intérêt</w:t>
      </w:r>
    </w:p>
    <w:p w14:paraId="40138C5F" w14:textId="0CAB14F7" w:rsidR="006D181A" w:rsidRDefault="00195005" w:rsidP="00CF6B6B">
      <w:pPr>
        <w:pStyle w:val="v"/>
        <w:widowControl w:val="0"/>
        <w:numPr>
          <w:ilvl w:val="1"/>
          <w:numId w:val="59"/>
        </w:numPr>
        <w:rPr>
          <w:rFonts w:asciiTheme="minorHAnsi" w:hAnsiTheme="minorHAnsi" w:cstheme="minorHAnsi"/>
        </w:rPr>
      </w:pPr>
      <w:proofErr w:type="gramStart"/>
      <w:r>
        <w:rPr>
          <w:rFonts w:asciiTheme="minorHAnsi" w:hAnsiTheme="minorHAnsi" w:cstheme="minorHAnsi"/>
          <w:szCs w:val="22"/>
        </w:rPr>
        <w:t>la</w:t>
      </w:r>
      <w:proofErr w:type="gramEnd"/>
      <w:r>
        <w:rPr>
          <w:rFonts w:asciiTheme="minorHAnsi" w:hAnsiTheme="minorHAnsi" w:cstheme="minorHAnsi"/>
          <w:szCs w:val="22"/>
        </w:rPr>
        <w:t xml:space="preserve"> fiche d’identité tiers </w:t>
      </w:r>
    </w:p>
    <w:p w14:paraId="43D9EBDD" w14:textId="234FE7FD" w:rsidR="006D181A" w:rsidRDefault="00195005" w:rsidP="00CF6B6B">
      <w:pPr>
        <w:pStyle w:val="v"/>
        <w:widowControl w:val="0"/>
        <w:numPr>
          <w:ilvl w:val="0"/>
          <w:numId w:val="59"/>
        </w:numPr>
        <w:rPr>
          <w:rFonts w:asciiTheme="minorHAnsi" w:hAnsiTheme="minorHAnsi" w:cstheme="minorHAnsi"/>
          <w:szCs w:val="22"/>
        </w:rPr>
      </w:pPr>
      <w:r>
        <w:rPr>
          <w:rFonts w:asciiTheme="minorHAnsi" w:hAnsiTheme="minorHAnsi" w:cstheme="minorHAnsi"/>
          <w:szCs w:val="22"/>
        </w:rPr>
        <w:t xml:space="preserve">Le formulaire de vérification de conformité au RGPD du candidat ; Le questionnaire sécurité-sûreté Pour tout contrat dont l’exécution implique un déplacement de son personnel (ou de son sous-traitant) en zone orange ou rouge (conformément aux cartes régionales de vigilance mises à disposition par le Ministère de l’Europe et des Affaires étrangères </w:t>
      </w:r>
      <w:hyperlink r:id="rId14" w:tooltip="https://www.diplomatie.gouv.fr/fr/conseils-aux-voyageurs/)" w:history="1">
        <w:r>
          <w:rPr>
            <w:rStyle w:val="Lienhypertexte"/>
            <w:rFonts w:asciiTheme="minorHAnsi" w:hAnsiTheme="minorHAnsi" w:cstheme="minorHAnsi"/>
            <w:szCs w:val="22"/>
          </w:rPr>
          <w:t>https://www.diplomatie.gouv.fr/fr/conseils-aux-voyageurs/)</w:t>
        </w:r>
      </w:hyperlink>
      <w:r>
        <w:rPr>
          <w:rFonts w:asciiTheme="minorHAnsi" w:hAnsiTheme="minorHAnsi" w:cstheme="minorHAnsi"/>
          <w:szCs w:val="22"/>
        </w:rPr>
        <w:t xml:space="preserve"> ;</w:t>
      </w:r>
    </w:p>
    <w:p w14:paraId="5DB6BB86" w14:textId="11B7BCC2" w:rsidR="006D181A" w:rsidRDefault="00195005" w:rsidP="00CF6B6B">
      <w:pPr>
        <w:pStyle w:val="v"/>
        <w:widowControl w:val="0"/>
        <w:numPr>
          <w:ilvl w:val="0"/>
          <w:numId w:val="59"/>
        </w:numPr>
      </w:pPr>
      <w:r>
        <w:rPr>
          <w:rFonts w:asciiTheme="minorHAnsi" w:hAnsiTheme="minorHAnsi" w:cstheme="minorHAnsi"/>
          <w:szCs w:val="22"/>
        </w:rPr>
        <w:t>Le cadre de réponse technique ;</w:t>
      </w:r>
    </w:p>
    <w:p w14:paraId="08ADCE7C" w14:textId="50D11DA4" w:rsidR="00FF2379" w:rsidRDefault="00FF2379" w:rsidP="00FF2379">
      <w:pPr>
        <w:pStyle w:val="v"/>
        <w:widowControl w:val="0"/>
        <w:numPr>
          <w:ilvl w:val="0"/>
          <w:numId w:val="59"/>
        </w:numPr>
      </w:pPr>
      <w:r>
        <w:rPr>
          <w:rFonts w:asciiTheme="minorHAnsi" w:hAnsiTheme="minorHAnsi" w:cstheme="minorHAnsi"/>
          <w:szCs w:val="22"/>
        </w:rPr>
        <w:t>Le cadre de réponse financier.</w:t>
      </w:r>
    </w:p>
    <w:p w14:paraId="03F60029" w14:textId="1AF01DA4" w:rsidR="00FF2379" w:rsidRPr="00CF6B6B" w:rsidRDefault="00FF2379" w:rsidP="00FF2379">
      <w:pPr>
        <w:pStyle w:val="v"/>
        <w:widowControl w:val="0"/>
        <w:numPr>
          <w:ilvl w:val="0"/>
          <w:numId w:val="59"/>
        </w:numPr>
      </w:pPr>
      <w:r w:rsidRPr="00FF2379">
        <w:rPr>
          <w:rFonts w:asciiTheme="minorHAnsi" w:hAnsiTheme="minorHAnsi" w:cstheme="minorHAnsi"/>
          <w:szCs w:val="22"/>
        </w:rPr>
        <w:t>DAJ_GU006_v01 - Guide utilisation PLACE pour les entreprises.</w:t>
      </w:r>
    </w:p>
    <w:p w14:paraId="0CBD669D" w14:textId="77777777" w:rsidR="006D181A" w:rsidRDefault="006D181A">
      <w:pPr>
        <w:spacing w:line="240" w:lineRule="auto"/>
        <w:rPr>
          <w:rFonts w:asciiTheme="minorHAnsi" w:eastAsia="Times New Roman" w:hAnsiTheme="minorHAnsi" w:cstheme="minorHAnsi"/>
          <w:b/>
          <w:caps/>
          <w:sz w:val="28"/>
          <w:szCs w:val="22"/>
          <w:u w:val="single"/>
        </w:rPr>
      </w:pPr>
    </w:p>
    <w:p w14:paraId="0A96F8D8" w14:textId="238B4BA1" w:rsidR="006D181A" w:rsidRDefault="00195005">
      <w:pPr>
        <w:pStyle w:val="Titre2"/>
        <w:spacing w:before="120" w:after="120" w:line="240" w:lineRule="auto"/>
        <w:jc w:val="both"/>
        <w:rPr>
          <w:rFonts w:asciiTheme="minorHAnsi" w:hAnsiTheme="minorHAnsi" w:cstheme="minorHAnsi"/>
          <w:sz w:val="22"/>
          <w:szCs w:val="22"/>
          <w:u w:val="single"/>
        </w:rPr>
      </w:pPr>
      <w:bookmarkStart w:id="17" w:name="_Toc224222956"/>
      <w:r>
        <w:rPr>
          <w:rFonts w:asciiTheme="minorHAnsi" w:hAnsiTheme="minorHAnsi" w:cstheme="minorHAnsi"/>
          <w:sz w:val="22"/>
          <w:szCs w:val="22"/>
          <w:u w:val="single"/>
        </w:rPr>
        <w:t>Modification du dossier de consultation</w:t>
      </w:r>
      <w:bookmarkEnd w:id="17"/>
    </w:p>
    <w:p w14:paraId="5CD530C3" w14:textId="7F5EE13E"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Des modifications peuvent être apportées aux documents de la consultation au plus tard quatre (04) jours avant la date limite de réception des plis</w:t>
      </w:r>
    </w:p>
    <w:p w14:paraId="79BC8ED0" w14:textId="0E5E0D1B"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modifications sont communiquées aux seuls opérateurs économiques dûment identifiés lors du retrait des documents de la consultation.</w:t>
      </w:r>
    </w:p>
    <w:p w14:paraId="5A32D067" w14:textId="77777777" w:rsidR="006D181A" w:rsidRDefault="006D181A">
      <w:pPr>
        <w:spacing w:before="120" w:line="240" w:lineRule="auto"/>
        <w:jc w:val="both"/>
        <w:rPr>
          <w:rFonts w:asciiTheme="minorHAnsi" w:hAnsiTheme="minorHAnsi" w:cstheme="minorHAnsi"/>
          <w:sz w:val="22"/>
          <w:szCs w:val="22"/>
        </w:rPr>
      </w:pPr>
    </w:p>
    <w:p w14:paraId="77C1A062" w14:textId="7BAB85C7" w:rsidR="006D181A" w:rsidRDefault="00195005">
      <w:pPr>
        <w:spacing w:line="240" w:lineRule="auto"/>
        <w:rPr>
          <w:rFonts w:asciiTheme="minorHAnsi" w:hAnsiTheme="minorHAnsi" w:cstheme="minorHAnsi"/>
          <w:b/>
          <w:caps/>
          <w:sz w:val="28"/>
          <w:szCs w:val="22"/>
          <w:u w:val="single"/>
        </w:rPr>
      </w:pPr>
      <w:r>
        <w:rPr>
          <w:rFonts w:asciiTheme="minorHAnsi" w:hAnsiTheme="minorHAnsi" w:cstheme="minorHAnsi"/>
          <w:sz w:val="22"/>
          <w:szCs w:val="22"/>
        </w:rPr>
        <w:t xml:space="preserve">Les candidats/soumissionnaires devront répondre sur la base du dernier dossier modifié. Dans le cas où un candidat/soumissionnaire aurait remis une candidature et/ou une offre avant les modifications, il pourra en </w:t>
      </w:r>
      <w:r>
        <w:rPr>
          <w:rFonts w:asciiTheme="minorHAnsi" w:hAnsiTheme="minorHAnsi" w:cstheme="minorHAnsi"/>
          <w:sz w:val="22"/>
          <w:szCs w:val="22"/>
        </w:rPr>
        <w:lastRenderedPageBreak/>
        <w:t>remettre une nouvelle sur la base du dernier dossier modifié, avant la date et heure limites de réception des plis.</w:t>
      </w:r>
    </w:p>
    <w:p w14:paraId="22C5B967" w14:textId="22D7FCF2"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8" w:name="_Toc224222957"/>
      <w:r>
        <w:rPr>
          <w:rFonts w:asciiTheme="minorHAnsi" w:hAnsiTheme="minorHAnsi" w:cstheme="minorHAnsi"/>
          <w:b/>
          <w:caps/>
          <w:sz w:val="28"/>
          <w:szCs w:val="22"/>
          <w:u w:val="single"/>
        </w:rPr>
        <w:t>Caracteristiques GENERALES du projet de contrat</w:t>
      </w:r>
      <w:bookmarkEnd w:id="18"/>
    </w:p>
    <w:p w14:paraId="36C3BC5F" w14:textId="753C4DEE" w:rsidR="006D181A" w:rsidRDefault="00195005">
      <w:pPr>
        <w:pStyle w:val="Titre2"/>
        <w:spacing w:before="120" w:after="120" w:line="240" w:lineRule="auto"/>
        <w:jc w:val="both"/>
        <w:rPr>
          <w:rFonts w:asciiTheme="minorHAnsi" w:hAnsiTheme="minorHAnsi" w:cstheme="minorHAnsi"/>
          <w:sz w:val="22"/>
          <w:szCs w:val="22"/>
          <w:u w:val="single"/>
        </w:rPr>
      </w:pPr>
      <w:bookmarkStart w:id="19" w:name="_Toc224222958"/>
      <w:bookmarkStart w:id="20" w:name="_Toc452049140"/>
      <w:bookmarkStart w:id="21" w:name="_Toc455587878"/>
      <w:bookmarkStart w:id="22" w:name="_Toc455679203"/>
      <w:bookmarkStart w:id="23" w:name="_Toc455768062"/>
      <w:bookmarkStart w:id="24" w:name="_Toc417653416"/>
      <w:bookmarkStart w:id="25" w:name="_Toc419212432"/>
      <w:bookmarkStart w:id="26" w:name="_Toc443657766"/>
      <w:bookmarkStart w:id="27" w:name="_Toc446628685"/>
      <w:bookmarkStart w:id="28" w:name="_Toc379270787"/>
      <w:r>
        <w:rPr>
          <w:rFonts w:asciiTheme="minorHAnsi" w:hAnsiTheme="minorHAnsi" w:cstheme="minorHAnsi"/>
          <w:sz w:val="22"/>
          <w:szCs w:val="22"/>
          <w:u w:val="single"/>
        </w:rPr>
        <w:t>Forme du contrat</w:t>
      </w:r>
      <w:bookmarkEnd w:id="19"/>
    </w:p>
    <w:p w14:paraId="7EEBAC5D" w14:textId="00315066" w:rsidR="006D181A" w:rsidRDefault="00195005">
      <w:pPr>
        <w:spacing w:line="240" w:lineRule="auto"/>
        <w:rPr>
          <w:rFonts w:asciiTheme="minorHAnsi" w:hAnsiTheme="minorHAnsi" w:cstheme="minorHAnsi"/>
        </w:rPr>
      </w:pPr>
      <w:r>
        <w:rPr>
          <w:rFonts w:asciiTheme="minorHAnsi" w:hAnsiTheme="minorHAnsi" w:cstheme="minorHAnsi"/>
          <w:sz w:val="22"/>
          <w:szCs w:val="22"/>
        </w:rPr>
        <w:t xml:space="preserve">Le contrat est accord cadre mono attributaire, </w:t>
      </w:r>
      <w:r>
        <w:rPr>
          <w:rFonts w:asciiTheme="minorHAnsi" w:hAnsiTheme="minorHAnsi" w:cstheme="minorHAnsi"/>
          <w:szCs w:val="22"/>
        </w:rPr>
        <w:t xml:space="preserve">au sens de l’article L. 2125-1 du CCP. </w:t>
      </w:r>
    </w:p>
    <w:p w14:paraId="056DB4B4" w14:textId="77777777" w:rsidR="006D181A" w:rsidRDefault="00195005">
      <w:pPr>
        <w:spacing w:line="240" w:lineRule="auto"/>
        <w:rPr>
          <w:rFonts w:asciiTheme="minorHAnsi" w:hAnsiTheme="minorHAnsi" w:cstheme="minorHAnsi"/>
          <w:sz w:val="22"/>
          <w:szCs w:val="22"/>
        </w:rPr>
      </w:pPr>
      <w:r>
        <w:rPr>
          <w:rFonts w:asciiTheme="minorHAnsi" w:hAnsiTheme="minorHAnsi" w:cstheme="minorHAnsi"/>
          <w:szCs w:val="22"/>
        </w:rPr>
        <w:t xml:space="preserve">Il s’exécute au fur et à mesure de l’émission de bons de commande conformément aux articles R. 2162-13 et R.2162-14 du CCP et aux stipulations contractuelles fixées dans ses conditions particulières et générales. </w:t>
      </w:r>
    </w:p>
    <w:p w14:paraId="16666276" w14:textId="4F20DEE5" w:rsidR="006D181A" w:rsidRDefault="00195005">
      <w:pPr>
        <w:pStyle w:val="Titre2"/>
        <w:spacing w:before="120" w:after="120" w:line="240" w:lineRule="auto"/>
        <w:jc w:val="both"/>
        <w:rPr>
          <w:rFonts w:asciiTheme="minorHAnsi" w:hAnsiTheme="minorHAnsi" w:cstheme="minorHAnsi"/>
          <w:sz w:val="22"/>
          <w:szCs w:val="22"/>
          <w:u w:val="single"/>
        </w:rPr>
      </w:pPr>
      <w:bookmarkStart w:id="29" w:name="_Toc224222959"/>
      <w:r>
        <w:rPr>
          <w:rFonts w:asciiTheme="minorHAnsi" w:hAnsiTheme="minorHAnsi" w:cstheme="minorHAnsi"/>
          <w:sz w:val="22"/>
          <w:szCs w:val="22"/>
          <w:u w:val="single"/>
        </w:rPr>
        <w:t>Montant estimatif du besoin</w:t>
      </w:r>
      <w:bookmarkEnd w:id="20"/>
      <w:bookmarkEnd w:id="21"/>
      <w:bookmarkEnd w:id="22"/>
      <w:bookmarkEnd w:id="23"/>
      <w:bookmarkEnd w:id="29"/>
    </w:p>
    <w:p w14:paraId="29B3A32A" w14:textId="56DAED2F" w:rsidR="006D181A" w:rsidRDefault="00195005">
      <w:pPr>
        <w:spacing w:line="240" w:lineRule="auto"/>
        <w:jc w:val="both"/>
        <w:rPr>
          <w:rFonts w:asciiTheme="minorHAnsi" w:hAnsiTheme="minorHAnsi" w:cstheme="minorHAnsi"/>
          <w:sz w:val="22"/>
          <w:szCs w:val="22"/>
        </w:rPr>
      </w:pPr>
      <w:r>
        <w:rPr>
          <w:rFonts w:asciiTheme="minorHAnsi" w:hAnsiTheme="minorHAnsi" w:cstheme="minorHAnsi"/>
          <w:sz w:val="22"/>
          <w:szCs w:val="22"/>
        </w:rPr>
        <w:t>Le montant prévisionnel du contrat est fixé à 60 000 € HT maximum.</w:t>
      </w:r>
    </w:p>
    <w:p w14:paraId="2C3E545C" w14:textId="5A0B75D3" w:rsidR="006D181A" w:rsidRDefault="00195005">
      <w:pPr>
        <w:pStyle w:val="Titre2"/>
        <w:spacing w:before="120" w:after="120" w:line="240" w:lineRule="auto"/>
        <w:jc w:val="both"/>
        <w:rPr>
          <w:rFonts w:asciiTheme="minorHAnsi" w:hAnsiTheme="minorHAnsi" w:cstheme="minorHAnsi"/>
          <w:sz w:val="22"/>
          <w:szCs w:val="22"/>
          <w:u w:val="single"/>
        </w:rPr>
      </w:pPr>
      <w:bookmarkStart w:id="30" w:name="_Toc224222960"/>
      <w:r>
        <w:rPr>
          <w:rFonts w:asciiTheme="minorHAnsi" w:hAnsiTheme="minorHAnsi" w:cstheme="minorHAnsi"/>
          <w:sz w:val="22"/>
          <w:szCs w:val="22"/>
          <w:u w:val="single"/>
        </w:rPr>
        <w:t>Durée du contrat</w:t>
      </w:r>
      <w:bookmarkEnd w:id="30"/>
    </w:p>
    <w:p w14:paraId="0CCE311C" w14:textId="77777777" w:rsidR="006D181A" w:rsidRDefault="00195005" w:rsidP="00CF6B6B">
      <w:pPr>
        <w:pStyle w:val="v"/>
        <w:widowControl w:val="0"/>
        <w:spacing w:before="120" w:after="120"/>
        <w:ind w:left="0" w:firstLine="0"/>
        <w:rPr>
          <w:rFonts w:asciiTheme="minorHAnsi" w:hAnsiTheme="minorHAnsi" w:cs="Arial"/>
        </w:rPr>
      </w:pPr>
      <w:r>
        <w:rPr>
          <w:rFonts w:asciiTheme="minorHAnsi" w:hAnsiTheme="minorHAnsi" w:cs="Arial"/>
        </w:rPr>
        <w:t>Le contrat</w:t>
      </w:r>
      <w:r>
        <w:rPr>
          <w:rFonts w:asciiTheme="minorHAnsi" w:hAnsiTheme="minorHAnsi" w:cs="Arial"/>
          <w:smallCaps/>
        </w:rPr>
        <w:t xml:space="preserve"> </w:t>
      </w:r>
      <w:r>
        <w:rPr>
          <w:rFonts w:asciiTheme="minorHAnsi" w:hAnsiTheme="minorHAnsi" w:cs="Arial"/>
        </w:rPr>
        <w:t xml:space="preserve">est conclu pour une première période de validité de 12 mois à compter de sa date de notification. </w:t>
      </w:r>
    </w:p>
    <w:p w14:paraId="2B5F5736" w14:textId="77777777" w:rsidR="006D181A" w:rsidRDefault="00195005" w:rsidP="00CF6B6B">
      <w:pPr>
        <w:pStyle w:val="Titre2"/>
        <w:pBdr>
          <w:top w:val="none" w:sz="4" w:space="0" w:color="000000"/>
          <w:left w:val="none" w:sz="4" w:space="0" w:color="000000"/>
          <w:bottom w:val="none" w:sz="4" w:space="0" w:color="000000"/>
          <w:right w:val="none" w:sz="4" w:space="0" w:color="000000"/>
        </w:pBdr>
        <w:spacing w:before="120" w:after="120"/>
        <w:jc w:val="both"/>
      </w:pPr>
      <w:r>
        <w:rPr>
          <w:rFonts w:ascii="Calibri" w:eastAsia="Calibri" w:hAnsi="Calibri" w:cs="Calibri"/>
          <w:color w:val="000000"/>
          <w:sz w:val="22"/>
          <w:u w:val="single"/>
        </w:rPr>
        <w:t>Reconductions</w:t>
      </w:r>
    </w:p>
    <w:p w14:paraId="554E37E1" w14:textId="77777777" w:rsidR="006D181A" w:rsidRDefault="00195005" w:rsidP="00CF6B6B">
      <w:p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 xml:space="preserve">Il est reconductible deux (02) fois </w:t>
      </w:r>
      <w:r>
        <w:rPr>
          <w:rFonts w:ascii="Calibri" w:eastAsia="Calibri" w:hAnsi="Calibri" w:cs="Calibri"/>
          <w:color w:val="008080"/>
          <w:sz w:val="22"/>
          <w:u w:val="single"/>
        </w:rPr>
        <w:t xml:space="preserve">pour une durée de 12 mois chacune </w:t>
      </w:r>
      <w:r>
        <w:rPr>
          <w:rFonts w:ascii="Calibri" w:eastAsia="Calibri" w:hAnsi="Calibri" w:cs="Calibri"/>
          <w:color w:val="000000"/>
          <w:sz w:val="22"/>
        </w:rPr>
        <w:t>par décision tacite prise par l’autorité contractante sans pouvoir excéder une durée totale de 36 mois.</w:t>
      </w:r>
      <w:bookmarkStart w:id="31" w:name="_Toc224222961"/>
    </w:p>
    <w:p w14:paraId="622D2D99" w14:textId="77777777" w:rsidR="006D181A" w:rsidRDefault="00195005">
      <w:pPr>
        <w:pStyle w:val="Titre2"/>
        <w:spacing w:before="120" w:after="120" w:line="240" w:lineRule="auto"/>
        <w:jc w:val="both"/>
        <w:rPr>
          <w:rFonts w:asciiTheme="minorHAnsi" w:hAnsiTheme="minorHAnsi" w:cstheme="minorHAnsi"/>
          <w:sz w:val="22"/>
          <w:szCs w:val="22"/>
          <w:u w:val="single"/>
        </w:rPr>
      </w:pPr>
      <w:r>
        <w:rPr>
          <w:rFonts w:asciiTheme="minorHAnsi" w:hAnsiTheme="minorHAnsi" w:cstheme="minorHAnsi"/>
          <w:sz w:val="22"/>
          <w:szCs w:val="22"/>
          <w:u w:val="single"/>
        </w:rPr>
        <w:t>Allotissement</w:t>
      </w:r>
      <w:bookmarkEnd w:id="31"/>
    </w:p>
    <w:p w14:paraId="3E3AFBAC" w14:textId="63E58DBA" w:rsidR="006D181A" w:rsidRDefault="00195005">
      <w:pPr>
        <w:spacing w:line="240" w:lineRule="auto"/>
        <w:jc w:val="both"/>
        <w:rPr>
          <w:rFonts w:asciiTheme="minorHAnsi" w:hAnsiTheme="minorHAnsi" w:cstheme="minorHAnsi"/>
          <w:sz w:val="22"/>
          <w:szCs w:val="22"/>
        </w:rPr>
      </w:pPr>
      <w:r>
        <w:rPr>
          <w:rFonts w:asciiTheme="minorHAnsi" w:hAnsiTheme="minorHAnsi" w:cstheme="minorHAnsi"/>
          <w:sz w:val="22"/>
          <w:szCs w:val="22"/>
        </w:rPr>
        <w:t>La présente consultation n’est pas allotie.</w:t>
      </w:r>
      <w:bookmarkStart w:id="32" w:name="_Toc417653425"/>
      <w:bookmarkStart w:id="33" w:name="_Toc419212441"/>
      <w:bookmarkStart w:id="34" w:name="_Toc443657775"/>
      <w:bookmarkStart w:id="35" w:name="_Toc446628694"/>
      <w:bookmarkEnd w:id="24"/>
      <w:bookmarkEnd w:id="25"/>
      <w:bookmarkEnd w:id="26"/>
      <w:bookmarkEnd w:id="27"/>
      <w:bookmarkEnd w:id="28"/>
    </w:p>
    <w:p w14:paraId="78157605" w14:textId="77777777" w:rsidR="006D181A" w:rsidRPr="00CF6B6B" w:rsidRDefault="00195005" w:rsidP="00CF6B6B">
      <w:pPr>
        <w:pStyle w:val="Titre2"/>
        <w:spacing w:before="120" w:after="120" w:line="240" w:lineRule="auto"/>
        <w:jc w:val="both"/>
        <w:rPr>
          <w:rFonts w:asciiTheme="minorHAnsi" w:hAnsiTheme="minorHAnsi" w:cstheme="minorHAnsi"/>
          <w:bCs w:val="0"/>
          <w:sz w:val="22"/>
          <w:szCs w:val="22"/>
          <w:u w:val="single"/>
        </w:rPr>
      </w:pPr>
      <w:bookmarkStart w:id="36" w:name="_Toc224222963"/>
      <w:r w:rsidRPr="00CF6B6B">
        <w:rPr>
          <w:rFonts w:asciiTheme="minorHAnsi" w:hAnsiTheme="minorHAnsi" w:cstheme="minorHAnsi"/>
          <w:sz w:val="22"/>
          <w:szCs w:val="22"/>
          <w:u w:val="single"/>
        </w:rPr>
        <w:t>Prestations similaires</w:t>
      </w:r>
      <w:bookmarkEnd w:id="36"/>
    </w:p>
    <w:p w14:paraId="6A5DA150" w14:textId="77777777" w:rsidR="006D181A" w:rsidRDefault="00195005">
      <w:pPr>
        <w:jc w:val="both"/>
        <w:rPr>
          <w:rFonts w:asciiTheme="minorHAnsi" w:hAnsiTheme="minorHAnsi" w:cstheme="minorHAnsi"/>
          <w:bCs/>
          <w:iCs/>
          <w:sz w:val="22"/>
          <w:szCs w:val="22"/>
        </w:rPr>
      </w:pPr>
      <w:r>
        <w:rPr>
          <w:rFonts w:asciiTheme="minorHAnsi" w:hAnsiTheme="minorHAnsi" w:cstheme="minorHAnsi"/>
          <w:bCs/>
          <w:iCs/>
          <w:sz w:val="22"/>
          <w:szCs w:val="22"/>
        </w:rPr>
        <w:t>En application de l’article R.2122-7 du code de la commande publique, le titulaire du contrat pourra se voir confier, dans le cadre d’une procédure négociée sans mise en concurrence, la réalisation de prestations similaires à celles du contrat initial. La durée pendant laquelle ce ou ces contrats peuvent être conclu(s) ne peut dépasser trois ans à compter de la notification du contrat initial.</w:t>
      </w:r>
    </w:p>
    <w:p w14:paraId="4A0051AA" w14:textId="7E74EE1D"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37" w:name="_Toc491193961"/>
      <w:bookmarkStart w:id="38" w:name="_Toc224222965"/>
      <w:bookmarkEnd w:id="32"/>
      <w:bookmarkEnd w:id="33"/>
      <w:bookmarkEnd w:id="34"/>
      <w:bookmarkEnd w:id="35"/>
      <w:bookmarkEnd w:id="37"/>
      <w:r>
        <w:rPr>
          <w:rFonts w:asciiTheme="minorHAnsi" w:hAnsiTheme="minorHAnsi" w:cstheme="minorHAnsi"/>
          <w:b/>
          <w:caps/>
          <w:sz w:val="28"/>
          <w:szCs w:val="22"/>
          <w:u w:val="single"/>
        </w:rPr>
        <w:t>Conditions de participation de candidats</w:t>
      </w:r>
      <w:bookmarkEnd w:id="38"/>
    </w:p>
    <w:p w14:paraId="3F106B79" w14:textId="7FCACD01" w:rsidR="006D181A" w:rsidRDefault="00195005">
      <w:pPr>
        <w:pStyle w:val="Titre2"/>
        <w:spacing w:before="120" w:after="120" w:line="240" w:lineRule="auto"/>
        <w:jc w:val="both"/>
        <w:rPr>
          <w:rFonts w:asciiTheme="minorHAnsi" w:hAnsiTheme="minorHAnsi" w:cstheme="minorHAnsi"/>
          <w:sz w:val="22"/>
          <w:szCs w:val="22"/>
          <w:u w:val="single"/>
        </w:rPr>
      </w:pPr>
      <w:bookmarkStart w:id="39" w:name="_Toc224222966"/>
      <w:r>
        <w:rPr>
          <w:rFonts w:asciiTheme="minorHAnsi" w:hAnsiTheme="minorHAnsi" w:cstheme="minorHAnsi"/>
          <w:sz w:val="22"/>
          <w:szCs w:val="22"/>
          <w:u w:val="single"/>
        </w:rPr>
        <w:t>Conditions de présentation des candidatures</w:t>
      </w:r>
      <w:bookmarkEnd w:id="39"/>
    </w:p>
    <w:p w14:paraId="73F7C4C4" w14:textId="1349E9EC" w:rsidR="006D181A" w:rsidRDefault="00195005">
      <w:pPr>
        <w:pStyle w:val="Standard"/>
        <w:rPr>
          <w:rFonts w:asciiTheme="minorHAnsi" w:hAnsiTheme="minorHAnsi" w:cstheme="minorHAnsi"/>
          <w:bCs/>
          <w:iCs/>
          <w:sz w:val="22"/>
          <w:szCs w:val="22"/>
          <w:lang w:bidi="ar-SA"/>
        </w:rPr>
      </w:pPr>
      <w:r>
        <w:rPr>
          <w:rFonts w:asciiTheme="minorHAnsi" w:eastAsia="Times" w:hAnsiTheme="minorHAnsi" w:cstheme="minorHAnsi"/>
          <w:bCs/>
          <w:iCs/>
          <w:sz w:val="22"/>
          <w:szCs w:val="22"/>
          <w:lang w:eastAsia="fr-FR" w:bidi="ar-SA"/>
        </w:rPr>
        <w:t>Une même personne ne peut représenter plus d'un candidat pour un même marché (article R. 2142-4 du code de la commande publique).</w:t>
      </w:r>
      <w:r>
        <w:rPr>
          <w:rFonts w:asciiTheme="minorHAnsi" w:hAnsiTheme="minorHAnsi" w:cstheme="minorHAnsi"/>
          <w:bCs/>
          <w:iCs/>
          <w:sz w:val="22"/>
          <w:szCs w:val="22"/>
          <w:lang w:bidi="ar-SA"/>
        </w:rPr>
        <w:t xml:space="preserve"> Dans le cadre de la consultation, le pouvoir adjudicateur n’autorise pas le candidat à présenter plusieurs offres en agissant à la fois :</w:t>
      </w:r>
    </w:p>
    <w:p w14:paraId="03447BCF" w14:textId="77777777" w:rsidR="006D181A" w:rsidRDefault="00195005">
      <w:pPr>
        <w:pStyle w:val="Standard"/>
        <w:numPr>
          <w:ilvl w:val="0"/>
          <w:numId w:val="35"/>
        </w:numPr>
        <w:rPr>
          <w:rFonts w:asciiTheme="minorHAnsi" w:hAnsiTheme="minorHAnsi" w:cstheme="minorHAnsi"/>
          <w:bCs/>
          <w:iCs/>
          <w:sz w:val="22"/>
          <w:szCs w:val="22"/>
          <w:lang w:bidi="ar-SA"/>
        </w:rPr>
      </w:pPr>
      <w:proofErr w:type="gramStart"/>
      <w:r>
        <w:rPr>
          <w:rFonts w:asciiTheme="minorHAnsi" w:hAnsiTheme="minorHAnsi" w:cstheme="minorHAnsi"/>
          <w:bCs/>
          <w:iCs/>
          <w:sz w:val="22"/>
          <w:szCs w:val="22"/>
          <w:lang w:bidi="ar-SA"/>
        </w:rPr>
        <w:t>en</w:t>
      </w:r>
      <w:proofErr w:type="gramEnd"/>
      <w:r>
        <w:rPr>
          <w:rFonts w:asciiTheme="minorHAnsi" w:hAnsiTheme="minorHAnsi" w:cstheme="minorHAnsi"/>
          <w:bCs/>
          <w:iCs/>
          <w:sz w:val="22"/>
          <w:szCs w:val="22"/>
          <w:lang w:bidi="ar-SA"/>
        </w:rPr>
        <w:t xml:space="preserve"> qualité de candidat individuel et de membre d'un ou plusieurs groupements d'opérateurs économiques;</w:t>
      </w:r>
    </w:p>
    <w:p w14:paraId="754E5730" w14:textId="77777777" w:rsidR="006D181A" w:rsidRDefault="00195005">
      <w:pPr>
        <w:pStyle w:val="Standard"/>
        <w:numPr>
          <w:ilvl w:val="0"/>
          <w:numId w:val="35"/>
        </w:numPr>
        <w:rPr>
          <w:rFonts w:asciiTheme="minorHAnsi" w:hAnsiTheme="minorHAnsi" w:cstheme="minorHAnsi"/>
          <w:bCs/>
          <w:iCs/>
          <w:sz w:val="22"/>
          <w:szCs w:val="22"/>
          <w:lang w:bidi="ar-SA"/>
        </w:rPr>
      </w:pPr>
      <w:proofErr w:type="gramStart"/>
      <w:r>
        <w:rPr>
          <w:rFonts w:asciiTheme="minorHAnsi" w:hAnsiTheme="minorHAnsi" w:cstheme="minorHAnsi"/>
          <w:bCs/>
          <w:iCs/>
          <w:sz w:val="22"/>
          <w:szCs w:val="22"/>
          <w:lang w:bidi="ar-SA"/>
        </w:rPr>
        <w:t>en</w:t>
      </w:r>
      <w:proofErr w:type="gramEnd"/>
      <w:r>
        <w:rPr>
          <w:rFonts w:asciiTheme="minorHAnsi" w:hAnsiTheme="minorHAnsi" w:cstheme="minorHAnsi"/>
          <w:bCs/>
          <w:iCs/>
          <w:sz w:val="22"/>
          <w:szCs w:val="22"/>
          <w:lang w:bidi="ar-SA"/>
        </w:rPr>
        <w:t xml:space="preserve"> qualité de membres de plusieurs groupements d'opérateurs économiques.</w:t>
      </w:r>
    </w:p>
    <w:p w14:paraId="5973C5F9" w14:textId="77777777" w:rsidR="006D181A" w:rsidRDefault="006D181A">
      <w:pPr>
        <w:pStyle w:val="Standard"/>
        <w:ind w:left="1066"/>
        <w:rPr>
          <w:rFonts w:asciiTheme="minorHAnsi" w:hAnsiTheme="minorHAnsi" w:cstheme="minorHAnsi"/>
          <w:bCs/>
          <w:iCs/>
          <w:sz w:val="22"/>
          <w:szCs w:val="22"/>
          <w:lang w:bidi="ar-SA"/>
        </w:rPr>
      </w:pPr>
    </w:p>
    <w:p w14:paraId="1341165C" w14:textId="66DFBAE1" w:rsidR="006D181A" w:rsidRDefault="00195005">
      <w:pPr>
        <w:pStyle w:val="Standard"/>
        <w:rPr>
          <w:rFonts w:asciiTheme="minorHAnsi" w:eastAsia="Times" w:hAnsiTheme="minorHAnsi" w:cstheme="minorHAnsi"/>
          <w:bCs/>
          <w:iCs/>
          <w:sz w:val="22"/>
          <w:szCs w:val="22"/>
          <w:lang w:eastAsia="fr-FR" w:bidi="ar-SA"/>
        </w:rPr>
      </w:pPr>
      <w:r>
        <w:rPr>
          <w:rFonts w:asciiTheme="minorHAnsi" w:hAnsiTheme="minorHAnsi" w:cstheme="minorHAnsi"/>
          <w:bCs/>
          <w:iCs/>
          <w:sz w:val="22"/>
          <w:szCs w:val="22"/>
          <w:lang w:bidi="ar-SA"/>
        </w:rPr>
        <w:t>Dans le cas d'une candidature d'un groupement d'opérateurs économiques, chaque membre du groupement doit fournir l'ensemble des documents et renseignements attestant de ses capacités juridiques, professionnelles, techniques et financières. L'appréciation des capacités du groupement est globale.</w:t>
      </w:r>
    </w:p>
    <w:p w14:paraId="78E99918" w14:textId="77777777" w:rsidR="006D181A" w:rsidRDefault="006D181A">
      <w:pPr>
        <w:pStyle w:val="Standard"/>
        <w:rPr>
          <w:rFonts w:asciiTheme="minorHAnsi" w:eastAsia="Times" w:hAnsiTheme="minorHAnsi" w:cstheme="minorHAnsi"/>
          <w:bCs/>
          <w:iCs/>
          <w:sz w:val="22"/>
          <w:szCs w:val="22"/>
          <w:lang w:eastAsia="fr-FR" w:bidi="ar-SA"/>
        </w:rPr>
      </w:pPr>
    </w:p>
    <w:p w14:paraId="0E818944" w14:textId="2378B55A" w:rsidR="006D181A" w:rsidRDefault="00195005">
      <w:pPr>
        <w:pStyle w:val="Titre2"/>
        <w:spacing w:before="120" w:after="120" w:line="240" w:lineRule="auto"/>
        <w:jc w:val="both"/>
        <w:rPr>
          <w:rFonts w:asciiTheme="minorHAnsi" w:hAnsiTheme="minorHAnsi" w:cstheme="minorHAnsi"/>
          <w:sz w:val="22"/>
          <w:szCs w:val="22"/>
          <w:u w:val="single"/>
        </w:rPr>
      </w:pPr>
      <w:bookmarkStart w:id="40" w:name="_Toc224222967"/>
      <w:r>
        <w:rPr>
          <w:rFonts w:asciiTheme="minorHAnsi" w:hAnsiTheme="minorHAnsi" w:cstheme="minorHAnsi"/>
          <w:sz w:val="22"/>
          <w:szCs w:val="22"/>
          <w:u w:val="single"/>
        </w:rPr>
        <w:t>Motifs et conditions d’exclusion</w:t>
      </w:r>
      <w:bookmarkEnd w:id="40"/>
      <w:r>
        <w:rPr>
          <w:rFonts w:asciiTheme="minorHAnsi" w:hAnsiTheme="minorHAnsi" w:cstheme="minorHAnsi"/>
          <w:sz w:val="22"/>
          <w:szCs w:val="22"/>
          <w:u w:val="single"/>
        </w:rPr>
        <w:t xml:space="preserve"> </w:t>
      </w:r>
    </w:p>
    <w:p w14:paraId="763C5260" w14:textId="0A6FE1D2" w:rsidR="006D181A" w:rsidRDefault="00195005">
      <w:pPr>
        <w:pStyle w:val="Standard"/>
        <w:rPr>
          <w:rFonts w:asciiTheme="minorHAnsi" w:hAnsiTheme="minorHAnsi" w:cstheme="minorHAnsi"/>
          <w:bCs/>
          <w:iCs/>
          <w:sz w:val="22"/>
          <w:szCs w:val="22"/>
        </w:rPr>
      </w:pPr>
      <w:r>
        <w:rPr>
          <w:rFonts w:asciiTheme="minorHAnsi" w:hAnsiTheme="minorHAnsi" w:cstheme="minorHAnsi"/>
          <w:bCs/>
          <w:iCs/>
          <w:sz w:val="22"/>
          <w:szCs w:val="22"/>
        </w:rPr>
        <w:t xml:space="preserve">En application, notamment : </w:t>
      </w:r>
    </w:p>
    <w:p w14:paraId="03311E18" w14:textId="77777777" w:rsidR="006D181A" w:rsidRDefault="00195005">
      <w:pPr>
        <w:pStyle w:val="Standard"/>
        <w:numPr>
          <w:ilvl w:val="0"/>
          <w:numId w:val="38"/>
        </w:numPr>
        <w:rPr>
          <w:rFonts w:asciiTheme="minorHAnsi" w:hAnsiTheme="minorHAnsi" w:cstheme="minorHAnsi"/>
          <w:bCs/>
          <w:iCs/>
          <w:sz w:val="22"/>
          <w:szCs w:val="22"/>
        </w:rPr>
      </w:pPr>
      <w:proofErr w:type="gramStart"/>
      <w:r>
        <w:rPr>
          <w:rFonts w:asciiTheme="minorHAnsi" w:hAnsiTheme="minorHAnsi" w:cstheme="minorHAnsi"/>
          <w:bCs/>
          <w:iCs/>
          <w:sz w:val="22"/>
          <w:szCs w:val="22"/>
        </w:rPr>
        <w:t>de</w:t>
      </w:r>
      <w:proofErr w:type="gramEnd"/>
      <w:r>
        <w:rPr>
          <w:rFonts w:asciiTheme="minorHAnsi" w:hAnsiTheme="minorHAnsi" w:cstheme="minorHAnsi"/>
          <w:bCs/>
          <w:iCs/>
          <w:sz w:val="22"/>
          <w:szCs w:val="22"/>
        </w:rPr>
        <w:t xml:space="preserve"> la loi n°2016-1691 du 9 décembre 2016 relative à la transparence, à la lutte contre la corruption et à la modernisation de la vie économique, dite loi « Sapin II »,</w:t>
      </w:r>
    </w:p>
    <w:p w14:paraId="0E5C43E2" w14:textId="77777777" w:rsidR="006D181A" w:rsidRDefault="00195005">
      <w:pPr>
        <w:pStyle w:val="Standard"/>
        <w:numPr>
          <w:ilvl w:val="0"/>
          <w:numId w:val="38"/>
        </w:numPr>
        <w:rPr>
          <w:rFonts w:asciiTheme="minorHAnsi" w:hAnsiTheme="minorHAnsi" w:cstheme="minorHAnsi"/>
          <w:bCs/>
          <w:iCs/>
          <w:sz w:val="22"/>
          <w:szCs w:val="22"/>
        </w:rPr>
      </w:pPr>
      <w:proofErr w:type="gramStart"/>
      <w:r>
        <w:rPr>
          <w:rFonts w:asciiTheme="minorHAnsi" w:hAnsiTheme="minorHAnsi" w:cstheme="minorHAnsi"/>
          <w:bCs/>
          <w:iCs/>
          <w:sz w:val="22"/>
          <w:szCs w:val="22"/>
        </w:rPr>
        <w:t>du</w:t>
      </w:r>
      <w:proofErr w:type="gramEnd"/>
      <w:r>
        <w:rPr>
          <w:rFonts w:asciiTheme="minorHAnsi" w:hAnsiTheme="minorHAnsi" w:cstheme="minorHAnsi"/>
          <w:bCs/>
          <w:iCs/>
          <w:sz w:val="22"/>
          <w:szCs w:val="22"/>
        </w:rPr>
        <w:t xml:space="preserve"> chapitre II du Code monétaire et financier français portant sur les « dispositions relatives au gel des avoirs et à l'interdiction de mise à disposition » (notamment les articles L562-4 et 5),</w:t>
      </w:r>
    </w:p>
    <w:p w14:paraId="372EA7B5" w14:textId="11395F17" w:rsidR="006D181A" w:rsidRDefault="00195005">
      <w:pPr>
        <w:pStyle w:val="Standard"/>
        <w:numPr>
          <w:ilvl w:val="0"/>
          <w:numId w:val="38"/>
        </w:numPr>
        <w:rPr>
          <w:rFonts w:asciiTheme="minorHAnsi" w:hAnsiTheme="minorHAnsi" w:cstheme="minorHAnsi"/>
          <w:bCs/>
          <w:iCs/>
          <w:sz w:val="22"/>
          <w:szCs w:val="22"/>
        </w:rPr>
      </w:pPr>
      <w:proofErr w:type="gramStart"/>
      <w:r>
        <w:rPr>
          <w:rFonts w:asciiTheme="minorHAnsi" w:hAnsiTheme="minorHAnsi" w:cstheme="minorHAnsi"/>
          <w:bCs/>
          <w:iCs/>
          <w:sz w:val="22"/>
          <w:szCs w:val="22"/>
        </w:rPr>
        <w:t>des</w:t>
      </w:r>
      <w:proofErr w:type="gramEnd"/>
      <w:r>
        <w:rPr>
          <w:rFonts w:asciiTheme="minorHAnsi" w:hAnsiTheme="minorHAnsi" w:cstheme="minorHAnsi"/>
          <w:bCs/>
          <w:iCs/>
          <w:sz w:val="22"/>
          <w:szCs w:val="22"/>
        </w:rPr>
        <w:t xml:space="preserve"> exigences en la matière découlant de l’accréditation pour la gestion des fonds délégués de l’Union européenne (pilier 7 relatif à l’exclusion à l’accès aux financements),</w:t>
      </w:r>
    </w:p>
    <w:p w14:paraId="1121E9CB" w14:textId="77777777" w:rsidR="006D181A" w:rsidRDefault="006D181A">
      <w:pPr>
        <w:pStyle w:val="Standard"/>
        <w:rPr>
          <w:rFonts w:asciiTheme="minorHAnsi" w:hAnsiTheme="minorHAnsi" w:cstheme="minorHAnsi"/>
          <w:bCs/>
          <w:iCs/>
          <w:sz w:val="22"/>
          <w:szCs w:val="22"/>
        </w:rPr>
      </w:pPr>
    </w:p>
    <w:p w14:paraId="19C06C33" w14:textId="30113CC1" w:rsidR="006D181A" w:rsidRDefault="00195005">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r>
        <w:rPr>
          <w:rFonts w:asciiTheme="minorHAnsi" w:eastAsia="Times" w:hAnsiTheme="minorHAnsi" w:cstheme="minorHAnsi"/>
          <w:bCs/>
          <w:iCs/>
          <w:sz w:val="22"/>
          <w:szCs w:val="22"/>
          <w:lang w:eastAsia="fr-FR" w:bidi="ar-SA"/>
        </w:rPr>
        <w:t>Les candidats ou leur représentant se trouvant dans un des cas énumérés aux articles L.2141-1 à L.2141-10 du code de la commande publique, ou qui figurent sur une liste d’exclusion officielle sont exclus de la procédure, que leur situation soit révélée par leurs propres déclarations ou par la mise en œuvre des mesures de vigilance par l’autorité contractante.</w:t>
      </w:r>
    </w:p>
    <w:p w14:paraId="43A66929" w14:textId="77777777" w:rsidR="006D181A" w:rsidRDefault="006D181A">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p>
    <w:p w14:paraId="06039189" w14:textId="365AE9FC" w:rsidR="006D181A" w:rsidRDefault="00195005">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r>
        <w:rPr>
          <w:rFonts w:asciiTheme="minorHAnsi" w:eastAsia="Times" w:hAnsiTheme="minorHAnsi" w:cstheme="minorHAnsi"/>
          <w:bCs/>
          <w:iCs/>
          <w:sz w:val="22"/>
          <w:szCs w:val="22"/>
          <w:lang w:eastAsia="fr-FR" w:bidi="ar-SA"/>
        </w:rPr>
        <w:t xml:space="preserve">Toutefois, lorsque la décision d’exclusion est laissée à l’appréciation de l’autorité contractante, </w:t>
      </w:r>
      <w:r>
        <w:rPr>
          <w:rFonts w:asciiTheme="minorHAnsi" w:hAnsiTheme="minorHAnsi" w:cstheme="minorHAnsi"/>
          <w:bCs/>
          <w:iCs/>
          <w:sz w:val="22"/>
          <w:szCs w:val="22"/>
        </w:rPr>
        <w:t xml:space="preserve">celle-ci invite le(s) candidat(s) susceptible(s) d’être exclu(s) à présenter ses(leurs) observations afin d'établir dans un délai raisonnable n’excédant pas 10 jours, et par tout moyen, que les mesures nécessaires pour corriger les manquements à l’origine de l’exclusion ont été prises et, le cas échéant, que sa(leur) participation à la consultation n'est pas susceptible de porter atteinte à l'égalité de </w:t>
      </w:r>
      <w:r>
        <w:rPr>
          <w:rFonts w:asciiTheme="minorHAnsi" w:eastAsia="Times" w:hAnsiTheme="minorHAnsi" w:cstheme="minorHAnsi"/>
          <w:bCs/>
          <w:iCs/>
          <w:sz w:val="22"/>
          <w:szCs w:val="22"/>
          <w:lang w:eastAsia="fr-FR" w:bidi="ar-SA"/>
        </w:rPr>
        <w:t>traitement.</w:t>
      </w:r>
    </w:p>
    <w:p w14:paraId="5EA27560" w14:textId="77777777" w:rsidR="006D181A" w:rsidRDefault="006D181A">
      <w:pPr>
        <w:pStyle w:val="Standard"/>
        <w:pBdr>
          <w:top w:val="single" w:sz="4" w:space="1" w:color="000000"/>
          <w:left w:val="single" w:sz="4" w:space="1" w:color="000000"/>
          <w:bottom w:val="single" w:sz="4" w:space="1" w:color="000000"/>
          <w:right w:val="single" w:sz="4" w:space="1" w:color="000000"/>
        </w:pBdr>
        <w:rPr>
          <w:rFonts w:asciiTheme="minorHAnsi" w:hAnsiTheme="minorHAnsi" w:cstheme="minorHAnsi"/>
          <w:bCs/>
          <w:iCs/>
          <w:sz w:val="22"/>
          <w:szCs w:val="22"/>
        </w:rPr>
      </w:pPr>
    </w:p>
    <w:p w14:paraId="70770D49" w14:textId="00E65D29" w:rsidR="006D181A" w:rsidRDefault="00195005">
      <w:pPr>
        <w:pStyle w:val="Standard"/>
        <w:pBdr>
          <w:top w:val="single" w:sz="4" w:space="1" w:color="000000"/>
          <w:left w:val="single" w:sz="4" w:space="1" w:color="000000"/>
          <w:bottom w:val="single" w:sz="4" w:space="1" w:color="000000"/>
          <w:right w:val="single" w:sz="4" w:space="1" w:color="000000"/>
        </w:pBdr>
        <w:rPr>
          <w:rFonts w:asciiTheme="minorHAnsi" w:eastAsia="Times" w:hAnsiTheme="minorHAnsi" w:cstheme="minorHAnsi"/>
          <w:bCs/>
          <w:iCs/>
          <w:sz w:val="22"/>
          <w:szCs w:val="22"/>
          <w:lang w:eastAsia="fr-FR" w:bidi="ar-SA"/>
        </w:rPr>
      </w:pPr>
      <w:r>
        <w:rPr>
          <w:rFonts w:asciiTheme="minorHAnsi" w:eastAsia="Times" w:hAnsiTheme="minorHAnsi" w:cstheme="minorHAnsi"/>
          <w:bCs/>
          <w:iCs/>
          <w:sz w:val="22"/>
          <w:szCs w:val="22"/>
          <w:lang w:eastAsia="fr-FR" w:bidi="ar-SA"/>
        </w:rPr>
        <w:t>Lorsqu'un opérateur économique se trouve, en cours de procédure, en situation d'exclusion, il en informe sans délai le pouvoir adjudicateur qui l'exclut pour ce motif.</w:t>
      </w:r>
    </w:p>
    <w:p w14:paraId="71B216E2" w14:textId="77777777" w:rsidR="006D181A" w:rsidRDefault="006D181A">
      <w:pPr>
        <w:pStyle w:val="Standard"/>
        <w:rPr>
          <w:rFonts w:asciiTheme="minorHAnsi" w:eastAsia="Times" w:hAnsiTheme="minorHAnsi" w:cstheme="minorHAnsi"/>
          <w:bCs/>
          <w:iCs/>
          <w:sz w:val="22"/>
          <w:szCs w:val="22"/>
          <w:lang w:eastAsia="fr-FR" w:bidi="ar-SA"/>
        </w:rPr>
      </w:pPr>
    </w:p>
    <w:p w14:paraId="559B79B2" w14:textId="4E12F3BB" w:rsidR="006D181A" w:rsidRDefault="00195005">
      <w:pPr>
        <w:pStyle w:val="Titre2"/>
        <w:spacing w:before="120" w:after="120" w:line="240" w:lineRule="auto"/>
        <w:jc w:val="both"/>
        <w:rPr>
          <w:rFonts w:asciiTheme="minorHAnsi" w:hAnsiTheme="minorHAnsi" w:cstheme="minorHAnsi"/>
          <w:sz w:val="22"/>
          <w:szCs w:val="22"/>
          <w:u w:val="single"/>
        </w:rPr>
      </w:pPr>
      <w:bookmarkStart w:id="41" w:name="_Toc224222968"/>
      <w:r>
        <w:rPr>
          <w:rFonts w:asciiTheme="minorHAnsi" w:hAnsiTheme="minorHAnsi" w:cstheme="minorHAnsi"/>
          <w:sz w:val="22"/>
          <w:szCs w:val="22"/>
          <w:u w:val="single"/>
        </w:rPr>
        <w:t>Niveaux minimaux requis en termes de capacités économiques, techniques et professionnelles</w:t>
      </w:r>
      <w:bookmarkEnd w:id="41"/>
      <w:r>
        <w:rPr>
          <w:rFonts w:asciiTheme="minorHAnsi" w:hAnsiTheme="minorHAnsi" w:cstheme="minorHAnsi"/>
          <w:sz w:val="22"/>
          <w:szCs w:val="22"/>
          <w:u w:val="single"/>
        </w:rPr>
        <w:t xml:space="preserve"> </w:t>
      </w:r>
    </w:p>
    <w:p w14:paraId="7AE603D1" w14:textId="6417A029" w:rsidR="006D181A" w:rsidRDefault="00195005">
      <w:pPr>
        <w:pStyle w:val="Default"/>
        <w:spacing w:before="120"/>
        <w:jc w:val="both"/>
        <w:rPr>
          <w:rFonts w:asciiTheme="minorHAnsi" w:hAnsiTheme="minorHAnsi" w:cstheme="minorHAnsi"/>
          <w:sz w:val="22"/>
          <w:szCs w:val="22"/>
        </w:rPr>
      </w:pPr>
      <w:r>
        <w:rPr>
          <w:rFonts w:asciiTheme="minorHAnsi" w:hAnsiTheme="minorHAnsi" w:cstheme="minorHAnsi"/>
          <w:sz w:val="22"/>
          <w:szCs w:val="22"/>
        </w:rPr>
        <w:t>L’autorité contractante impose aux candidats les niveaux minimaux de capacité suivants :</w:t>
      </w:r>
    </w:p>
    <w:p w14:paraId="2D2D446A" w14:textId="4978396A" w:rsidR="001547E5" w:rsidRDefault="001547E5" w:rsidP="001547E5">
      <w:pPr>
        <w:pStyle w:val="Titre2"/>
        <w:spacing w:before="120" w:after="120" w:line="240" w:lineRule="auto"/>
        <w:ind w:left="708"/>
        <w:jc w:val="both"/>
        <w:rPr>
          <w:rFonts w:asciiTheme="minorHAnsi" w:hAnsiTheme="minorHAnsi" w:cstheme="minorHAnsi"/>
          <w:i/>
          <w:sz w:val="22"/>
          <w:szCs w:val="22"/>
        </w:rPr>
      </w:pPr>
      <w:r>
        <w:rPr>
          <w:rFonts w:asciiTheme="minorHAnsi" w:hAnsiTheme="minorHAnsi" w:cstheme="minorHAnsi"/>
          <w:i/>
          <w:sz w:val="22"/>
          <w:szCs w:val="22"/>
        </w:rPr>
        <w:t>CAPACITE ECONOMIQUE</w:t>
      </w:r>
      <w:r w:rsidR="006B12C8">
        <w:rPr>
          <w:rFonts w:asciiTheme="minorHAnsi" w:hAnsiTheme="minorHAnsi" w:cstheme="minorHAnsi"/>
          <w:i/>
          <w:sz w:val="22"/>
          <w:szCs w:val="22"/>
        </w:rPr>
        <w:t xml:space="preserve"> ET FINANCIERE</w:t>
      </w:r>
    </w:p>
    <w:p w14:paraId="1AC94B7E" w14:textId="6102B579" w:rsidR="008C4DE8" w:rsidRDefault="008C4DE8" w:rsidP="008C4DE8">
      <w:pPr>
        <w:pStyle w:val="Default"/>
        <w:numPr>
          <w:ilvl w:val="0"/>
          <w:numId w:val="34"/>
        </w:numPr>
        <w:jc w:val="both"/>
        <w:rPr>
          <w:rFonts w:asciiTheme="minorHAnsi" w:hAnsiTheme="minorHAnsi" w:cstheme="minorHAnsi"/>
          <w:sz w:val="22"/>
          <w:szCs w:val="22"/>
        </w:rPr>
      </w:pPr>
      <w:r w:rsidRPr="008C4DE8">
        <w:rPr>
          <w:rFonts w:asciiTheme="minorHAnsi" w:hAnsiTheme="minorHAnsi" w:cstheme="minorHAnsi"/>
          <w:sz w:val="22"/>
          <w:szCs w:val="22"/>
        </w:rPr>
        <w:t xml:space="preserve">Déclaration du chiffre d'affaires global </w:t>
      </w:r>
      <w:r>
        <w:rPr>
          <w:rFonts w:asciiTheme="minorHAnsi" w:hAnsiTheme="minorHAnsi" w:cstheme="minorHAnsi"/>
          <w:sz w:val="22"/>
          <w:szCs w:val="22"/>
        </w:rPr>
        <w:t xml:space="preserve">(ou </w:t>
      </w:r>
      <w:r w:rsidR="00924C55">
        <w:rPr>
          <w:rFonts w:asciiTheme="minorHAnsi" w:hAnsiTheme="minorHAnsi" w:cstheme="minorHAnsi"/>
          <w:sz w:val="22"/>
          <w:szCs w:val="22"/>
        </w:rPr>
        <w:t>attestation bancaire justifiant d’une capacité financière minimale de 60 000€</w:t>
      </w:r>
      <w:r>
        <w:rPr>
          <w:rFonts w:asciiTheme="minorHAnsi" w:hAnsiTheme="minorHAnsi" w:cstheme="minorHAnsi"/>
          <w:sz w:val="22"/>
          <w:szCs w:val="22"/>
        </w:rPr>
        <w:t>)</w:t>
      </w:r>
      <w:r w:rsidR="00924C55">
        <w:rPr>
          <w:rFonts w:asciiTheme="minorHAnsi" w:hAnsiTheme="minorHAnsi" w:cstheme="minorHAnsi"/>
          <w:sz w:val="22"/>
          <w:szCs w:val="22"/>
        </w:rPr>
        <w:t> : l</w:t>
      </w:r>
      <w:r w:rsidR="00924C55" w:rsidRPr="00924C55">
        <w:rPr>
          <w:rFonts w:asciiTheme="minorHAnsi" w:hAnsiTheme="minorHAnsi" w:cstheme="minorHAnsi"/>
          <w:sz w:val="22"/>
          <w:szCs w:val="22"/>
        </w:rPr>
        <w:t xml:space="preserve">e chiffre d'affaires minimal exigé </w:t>
      </w:r>
      <w:r w:rsidR="00924C55">
        <w:rPr>
          <w:rFonts w:asciiTheme="minorHAnsi" w:hAnsiTheme="minorHAnsi" w:cstheme="minorHAnsi"/>
          <w:sz w:val="22"/>
          <w:szCs w:val="22"/>
        </w:rPr>
        <w:t>est de 60 000 €</w:t>
      </w:r>
      <w:r w:rsidR="00A9201B">
        <w:rPr>
          <w:rStyle w:val="Appelnotedebasdep"/>
          <w:sz w:val="22"/>
          <w:szCs w:val="22"/>
        </w:rPr>
        <w:footnoteReference w:id="1"/>
      </w:r>
    </w:p>
    <w:p w14:paraId="79683103" w14:textId="0778FFDD" w:rsidR="001547E5" w:rsidRDefault="001547E5" w:rsidP="009D1FEF">
      <w:pPr>
        <w:pStyle w:val="Default"/>
        <w:ind w:left="360"/>
        <w:jc w:val="both"/>
        <w:rPr>
          <w:rFonts w:asciiTheme="minorHAnsi" w:hAnsiTheme="minorHAnsi" w:cstheme="minorHAnsi"/>
          <w:sz w:val="22"/>
          <w:szCs w:val="22"/>
        </w:rPr>
      </w:pPr>
    </w:p>
    <w:p w14:paraId="43FCB74A"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42" w:name="_Toc63783784"/>
      <w:r>
        <w:rPr>
          <w:rFonts w:asciiTheme="minorHAnsi" w:hAnsiTheme="minorHAnsi" w:cstheme="minorHAnsi"/>
          <w:i/>
          <w:sz w:val="22"/>
          <w:szCs w:val="22"/>
        </w:rPr>
        <w:t>CAPACITE TECHNIQUE ET PROFESSIONNELLE</w:t>
      </w:r>
      <w:bookmarkEnd w:id="42"/>
    </w:p>
    <w:p w14:paraId="51106773" w14:textId="4BF92F5A" w:rsidR="006D181A" w:rsidRDefault="00195005">
      <w:pPr>
        <w:pStyle w:val="Default"/>
        <w:numPr>
          <w:ilvl w:val="0"/>
          <w:numId w:val="34"/>
        </w:numPr>
        <w:jc w:val="both"/>
        <w:rPr>
          <w:rFonts w:asciiTheme="minorHAnsi" w:hAnsiTheme="minorHAnsi" w:cstheme="minorHAnsi"/>
          <w:sz w:val="22"/>
          <w:szCs w:val="22"/>
        </w:rPr>
      </w:pPr>
      <w:r>
        <w:rPr>
          <w:rFonts w:asciiTheme="minorHAnsi" w:hAnsiTheme="minorHAnsi" w:cstheme="minorHAnsi"/>
          <w:sz w:val="22"/>
          <w:szCs w:val="22"/>
        </w:rPr>
        <w:t>Capacité technique et professionnelle du candidat (personne morale) :</w:t>
      </w:r>
    </w:p>
    <w:p w14:paraId="715B4B64" w14:textId="77777777" w:rsidR="00470B3B" w:rsidRPr="00910F8E" w:rsidRDefault="00470B3B" w:rsidP="00470B3B">
      <w:pPr>
        <w:numPr>
          <w:ilvl w:val="1"/>
          <w:numId w:val="34"/>
        </w:numPr>
        <w:spacing w:after="4" w:line="267" w:lineRule="auto"/>
        <w:ind w:right="181"/>
        <w:jc w:val="both"/>
        <w:rPr>
          <w:rFonts w:asciiTheme="minorHAnsi" w:hAnsiTheme="minorHAnsi" w:cstheme="minorHAnsi"/>
          <w:sz w:val="22"/>
          <w:szCs w:val="22"/>
        </w:rPr>
      </w:pPr>
      <w:r w:rsidRPr="00910F8E">
        <w:rPr>
          <w:rFonts w:asciiTheme="minorHAnsi" w:hAnsiTheme="minorHAnsi" w:cstheme="minorHAnsi"/>
          <w:sz w:val="22"/>
          <w:szCs w:val="22"/>
        </w:rPr>
        <w:t xml:space="preserve">Disposer d’une expérience avérée dans les prestations de traduction et/ou d’interprétariat (fournir les justificatifs d’expérience) ; </w:t>
      </w:r>
    </w:p>
    <w:p w14:paraId="56682F51" w14:textId="77777777" w:rsidR="00470B3B" w:rsidRPr="00910F8E" w:rsidRDefault="00470B3B" w:rsidP="00470B3B">
      <w:pPr>
        <w:numPr>
          <w:ilvl w:val="1"/>
          <w:numId w:val="34"/>
        </w:numPr>
        <w:spacing w:after="4" w:line="267" w:lineRule="auto"/>
        <w:ind w:right="181"/>
        <w:jc w:val="both"/>
        <w:rPr>
          <w:rFonts w:asciiTheme="minorHAnsi" w:hAnsiTheme="minorHAnsi" w:cstheme="minorHAnsi"/>
          <w:sz w:val="22"/>
          <w:szCs w:val="22"/>
        </w:rPr>
      </w:pPr>
      <w:r w:rsidRPr="00910F8E">
        <w:rPr>
          <w:rFonts w:asciiTheme="minorHAnsi" w:hAnsiTheme="minorHAnsi" w:cstheme="minorHAnsi"/>
          <w:sz w:val="22"/>
          <w:szCs w:val="22"/>
        </w:rPr>
        <w:t xml:space="preserve">Justifier d’au moins cinq (05) années d’existence ou d’expérience professionnelle dans le domaine (la date de constitution de la personnalité morale sera pris en compte : enregistrement au registre de commerce et des sociétés ou équivalent) ; </w:t>
      </w:r>
    </w:p>
    <w:p w14:paraId="75EC1728" w14:textId="77777777" w:rsidR="00470B3B" w:rsidRPr="00910F8E" w:rsidRDefault="00470B3B" w:rsidP="00470B3B">
      <w:pPr>
        <w:numPr>
          <w:ilvl w:val="1"/>
          <w:numId w:val="34"/>
        </w:numPr>
        <w:spacing w:after="4" w:line="267" w:lineRule="auto"/>
        <w:ind w:right="181"/>
        <w:jc w:val="both"/>
        <w:rPr>
          <w:rFonts w:asciiTheme="minorHAnsi" w:hAnsiTheme="minorHAnsi" w:cstheme="minorHAnsi"/>
          <w:sz w:val="22"/>
          <w:szCs w:val="22"/>
        </w:rPr>
      </w:pPr>
      <w:r w:rsidRPr="00910F8E">
        <w:rPr>
          <w:rFonts w:asciiTheme="minorHAnsi" w:hAnsiTheme="minorHAnsi" w:cstheme="minorHAnsi"/>
          <w:sz w:val="22"/>
          <w:szCs w:val="22"/>
        </w:rPr>
        <w:t xml:space="preserve">Avoir exécuté avec satisfaction au moins trois (03) prestations similaires au cours des cinq (05) dernières années, idéalement au profit : </w:t>
      </w:r>
    </w:p>
    <w:p w14:paraId="7D414679" w14:textId="77777777" w:rsidR="00470B3B" w:rsidRPr="00910F8E" w:rsidRDefault="00470B3B" w:rsidP="00470B3B">
      <w:pPr>
        <w:numPr>
          <w:ilvl w:val="2"/>
          <w:numId w:val="34"/>
        </w:numPr>
        <w:spacing w:after="4" w:line="267" w:lineRule="auto"/>
        <w:ind w:right="181"/>
        <w:jc w:val="both"/>
        <w:rPr>
          <w:rFonts w:asciiTheme="minorHAnsi" w:hAnsiTheme="minorHAnsi" w:cstheme="minorHAnsi"/>
          <w:sz w:val="22"/>
          <w:szCs w:val="22"/>
        </w:rPr>
      </w:pPr>
      <w:proofErr w:type="gramStart"/>
      <w:r w:rsidRPr="00910F8E">
        <w:rPr>
          <w:rFonts w:asciiTheme="minorHAnsi" w:hAnsiTheme="minorHAnsi" w:cstheme="minorHAnsi"/>
          <w:sz w:val="22"/>
          <w:szCs w:val="22"/>
        </w:rPr>
        <w:t>d’organisations</w:t>
      </w:r>
      <w:proofErr w:type="gramEnd"/>
      <w:r w:rsidRPr="00910F8E">
        <w:rPr>
          <w:rFonts w:asciiTheme="minorHAnsi" w:hAnsiTheme="minorHAnsi" w:cstheme="minorHAnsi"/>
          <w:sz w:val="22"/>
          <w:szCs w:val="22"/>
        </w:rPr>
        <w:t xml:space="preserve"> internationales ; </w:t>
      </w:r>
    </w:p>
    <w:p w14:paraId="4C39945B" w14:textId="77777777" w:rsidR="00470B3B" w:rsidRPr="00910F8E" w:rsidRDefault="00470B3B" w:rsidP="00470B3B">
      <w:pPr>
        <w:numPr>
          <w:ilvl w:val="2"/>
          <w:numId w:val="34"/>
        </w:numPr>
        <w:spacing w:after="4" w:line="267" w:lineRule="auto"/>
        <w:ind w:right="181"/>
        <w:jc w:val="both"/>
        <w:rPr>
          <w:rFonts w:asciiTheme="minorHAnsi" w:hAnsiTheme="minorHAnsi" w:cstheme="minorHAnsi"/>
          <w:sz w:val="22"/>
          <w:szCs w:val="22"/>
        </w:rPr>
      </w:pPr>
      <w:proofErr w:type="gramStart"/>
      <w:r w:rsidRPr="00910F8E">
        <w:rPr>
          <w:rFonts w:asciiTheme="minorHAnsi" w:hAnsiTheme="minorHAnsi" w:cstheme="minorHAnsi"/>
          <w:sz w:val="22"/>
          <w:szCs w:val="22"/>
        </w:rPr>
        <w:t>de</w:t>
      </w:r>
      <w:proofErr w:type="gramEnd"/>
      <w:r w:rsidRPr="00910F8E">
        <w:rPr>
          <w:rFonts w:asciiTheme="minorHAnsi" w:hAnsiTheme="minorHAnsi" w:cstheme="minorHAnsi"/>
          <w:sz w:val="22"/>
          <w:szCs w:val="22"/>
        </w:rPr>
        <w:t xml:space="preserve"> projets financés par des bailleurs de fonds ; </w:t>
      </w:r>
    </w:p>
    <w:p w14:paraId="57FD3F66" w14:textId="77777777" w:rsidR="00470B3B" w:rsidRPr="00910F8E" w:rsidRDefault="00470B3B" w:rsidP="00470B3B">
      <w:pPr>
        <w:numPr>
          <w:ilvl w:val="2"/>
          <w:numId w:val="34"/>
        </w:numPr>
        <w:spacing w:after="4" w:line="267" w:lineRule="auto"/>
        <w:ind w:right="181"/>
        <w:jc w:val="both"/>
        <w:rPr>
          <w:rFonts w:asciiTheme="minorHAnsi" w:hAnsiTheme="minorHAnsi" w:cstheme="minorHAnsi"/>
          <w:sz w:val="22"/>
          <w:szCs w:val="22"/>
        </w:rPr>
      </w:pPr>
      <w:proofErr w:type="gramStart"/>
      <w:r w:rsidRPr="00910F8E">
        <w:rPr>
          <w:rFonts w:asciiTheme="minorHAnsi" w:hAnsiTheme="minorHAnsi" w:cstheme="minorHAnsi"/>
          <w:sz w:val="22"/>
          <w:szCs w:val="22"/>
        </w:rPr>
        <w:t>d’administrations</w:t>
      </w:r>
      <w:proofErr w:type="gramEnd"/>
      <w:r w:rsidRPr="00910F8E">
        <w:rPr>
          <w:rFonts w:asciiTheme="minorHAnsi" w:hAnsiTheme="minorHAnsi" w:cstheme="minorHAnsi"/>
          <w:sz w:val="22"/>
          <w:szCs w:val="22"/>
        </w:rPr>
        <w:t xml:space="preserve"> publiques ; </w:t>
      </w:r>
    </w:p>
    <w:p w14:paraId="29760BD1" w14:textId="77777777" w:rsidR="00470B3B" w:rsidRPr="00910F8E" w:rsidRDefault="00470B3B" w:rsidP="00470B3B">
      <w:pPr>
        <w:numPr>
          <w:ilvl w:val="2"/>
          <w:numId w:val="34"/>
        </w:numPr>
        <w:spacing w:after="4" w:line="267" w:lineRule="auto"/>
        <w:ind w:right="181"/>
        <w:jc w:val="both"/>
        <w:rPr>
          <w:rFonts w:asciiTheme="minorHAnsi" w:hAnsiTheme="minorHAnsi" w:cstheme="minorHAnsi"/>
          <w:sz w:val="22"/>
          <w:szCs w:val="22"/>
        </w:rPr>
      </w:pPr>
      <w:proofErr w:type="gramStart"/>
      <w:r w:rsidRPr="00910F8E">
        <w:rPr>
          <w:rFonts w:asciiTheme="minorHAnsi" w:hAnsiTheme="minorHAnsi" w:cstheme="minorHAnsi"/>
          <w:sz w:val="22"/>
          <w:szCs w:val="22"/>
        </w:rPr>
        <w:t>d’institutions</w:t>
      </w:r>
      <w:proofErr w:type="gramEnd"/>
      <w:r w:rsidRPr="00910F8E">
        <w:rPr>
          <w:rFonts w:asciiTheme="minorHAnsi" w:hAnsiTheme="minorHAnsi" w:cstheme="minorHAnsi"/>
          <w:sz w:val="22"/>
          <w:szCs w:val="22"/>
        </w:rPr>
        <w:t xml:space="preserve"> régionales ou diplomatiques. </w:t>
      </w:r>
    </w:p>
    <w:p w14:paraId="30B009A6" w14:textId="77777777" w:rsidR="00470B3B" w:rsidRPr="00910F8E" w:rsidRDefault="00470B3B" w:rsidP="00470B3B">
      <w:pPr>
        <w:numPr>
          <w:ilvl w:val="1"/>
          <w:numId w:val="34"/>
        </w:numPr>
        <w:spacing w:after="4" w:line="267" w:lineRule="auto"/>
        <w:ind w:right="181"/>
        <w:jc w:val="both"/>
        <w:rPr>
          <w:rFonts w:asciiTheme="minorHAnsi" w:hAnsiTheme="minorHAnsi" w:cstheme="minorHAnsi"/>
          <w:sz w:val="22"/>
          <w:szCs w:val="22"/>
        </w:rPr>
      </w:pPr>
      <w:r w:rsidRPr="00910F8E">
        <w:rPr>
          <w:rFonts w:asciiTheme="minorHAnsi" w:hAnsiTheme="minorHAnsi" w:cstheme="minorHAnsi"/>
          <w:sz w:val="22"/>
          <w:szCs w:val="22"/>
        </w:rPr>
        <w:t>Les références portant sur des conférences internationales, ateliers régionaux, réunions ministérielles, projets de développement ou missions de coopération technique seront particulièrement appréciées.</w:t>
      </w:r>
    </w:p>
    <w:p w14:paraId="6C6EEC09" w14:textId="625F3634" w:rsidR="00470B3B" w:rsidRPr="00910F8E" w:rsidRDefault="00470B3B" w:rsidP="00470B3B">
      <w:pPr>
        <w:numPr>
          <w:ilvl w:val="1"/>
          <w:numId w:val="34"/>
        </w:numPr>
        <w:spacing w:after="4" w:line="267" w:lineRule="auto"/>
        <w:ind w:right="181"/>
        <w:jc w:val="both"/>
        <w:rPr>
          <w:rFonts w:asciiTheme="minorHAnsi" w:hAnsiTheme="minorHAnsi" w:cstheme="minorHAnsi"/>
          <w:sz w:val="22"/>
          <w:szCs w:val="22"/>
        </w:rPr>
      </w:pPr>
      <w:r w:rsidRPr="00910F8E">
        <w:rPr>
          <w:rFonts w:ascii="Tahoma" w:hAnsi="Tahoma" w:cs="Tahoma"/>
          <w:sz w:val="22"/>
          <w:szCs w:val="22"/>
        </w:rPr>
        <w:t>⁠</w:t>
      </w:r>
      <w:r w:rsidRPr="00910F8E">
        <w:rPr>
          <w:rFonts w:asciiTheme="minorHAnsi" w:hAnsiTheme="minorHAnsi" w:cstheme="minorHAnsi"/>
          <w:sz w:val="22"/>
          <w:szCs w:val="22"/>
        </w:rPr>
        <w:t xml:space="preserve">Un nombre de </w:t>
      </w:r>
      <w:r w:rsidR="007F4429">
        <w:rPr>
          <w:rFonts w:asciiTheme="minorHAnsi" w:hAnsiTheme="minorHAnsi" w:cstheme="minorHAnsi"/>
          <w:sz w:val="22"/>
          <w:szCs w:val="22"/>
        </w:rPr>
        <w:t xml:space="preserve">deux </w:t>
      </w:r>
      <w:r w:rsidRPr="00910F8E">
        <w:rPr>
          <w:rFonts w:asciiTheme="minorHAnsi" w:hAnsiTheme="minorHAnsi" w:cstheme="minorHAnsi"/>
          <w:sz w:val="22"/>
          <w:szCs w:val="22"/>
        </w:rPr>
        <w:t>traducteurs et interprètes minimum par catégorie pour chaque langue afin de pouvoir faire preuve d’une grande réactivité (joindre les CV et les attestations de disponibilité.</w:t>
      </w:r>
    </w:p>
    <w:p w14:paraId="0C6D6FE6" w14:textId="77777777" w:rsidR="006D181A" w:rsidRDefault="006D181A">
      <w:pPr>
        <w:pStyle w:val="Default"/>
        <w:ind w:left="1440"/>
        <w:jc w:val="both"/>
        <w:rPr>
          <w:rFonts w:asciiTheme="minorHAnsi" w:hAnsiTheme="minorHAnsi" w:cstheme="minorHAnsi"/>
          <w:sz w:val="22"/>
          <w:szCs w:val="22"/>
        </w:rPr>
      </w:pPr>
    </w:p>
    <w:p w14:paraId="259A5104" w14:textId="652D63BB" w:rsidR="006D181A" w:rsidRDefault="00195005">
      <w:pPr>
        <w:pStyle w:val="Default"/>
        <w:spacing w:before="120"/>
        <w:jc w:val="both"/>
        <w:rPr>
          <w:rFonts w:asciiTheme="minorHAnsi" w:hAnsiTheme="minorHAnsi" w:cstheme="minorHAnsi"/>
          <w:sz w:val="22"/>
          <w:szCs w:val="22"/>
        </w:rPr>
      </w:pPr>
      <w:r>
        <w:rPr>
          <w:rFonts w:asciiTheme="minorHAnsi" w:hAnsiTheme="minorHAnsi" w:cstheme="minorHAnsi"/>
          <w:sz w:val="22"/>
          <w:szCs w:val="22"/>
        </w:rPr>
        <w:lastRenderedPageBreak/>
        <w:t>Chaque cotraitant membre du groupement doit fournir l’ensemble des pièces exigées au titre du présent règlement de consultation. Pour justifier de ses capacités professionnelles, techniques et financières, le candidat peut demander que soient prises en compte les capacités professionnelles, techniques et financières d'un ou de plusieurs opérateurs économiques. Dans ce cas, il doit justifier des capacités de ce ou ces autres opérateurs économiques et du fait qu'il en dispose pour l'exécution du marché.</w:t>
      </w:r>
    </w:p>
    <w:p w14:paraId="2C22D4D4" w14:textId="77777777" w:rsidR="006D181A" w:rsidRDefault="00195005">
      <w:pPr>
        <w:pStyle w:val="Default"/>
        <w:jc w:val="both"/>
        <w:rPr>
          <w:rFonts w:asciiTheme="minorHAnsi" w:hAnsiTheme="minorHAnsi" w:cstheme="minorHAnsi"/>
          <w:sz w:val="22"/>
          <w:szCs w:val="22"/>
        </w:rPr>
      </w:pPr>
      <w:r>
        <w:rPr>
          <w:rFonts w:asciiTheme="minorHAnsi" w:hAnsiTheme="minorHAnsi" w:cstheme="minorHAnsi"/>
          <w:sz w:val="22"/>
          <w:szCs w:val="22"/>
        </w:rPr>
        <w:t>En cas de groupement momentané d'entreprises, l'appréciation de ces conditions de participation est globale ; le dossier de candidature devra comporter une habilitation du mandataire par ses cotraitants pouvant prendre la forme du formulaire DC1 en vigueur.</w:t>
      </w:r>
    </w:p>
    <w:p w14:paraId="116472F9" w14:textId="77777777" w:rsidR="006D181A" w:rsidRDefault="006D181A">
      <w:pPr>
        <w:pStyle w:val="Standard"/>
        <w:rPr>
          <w:rFonts w:asciiTheme="minorHAnsi" w:eastAsia="Times" w:hAnsiTheme="minorHAnsi" w:cstheme="minorHAnsi"/>
          <w:bCs/>
          <w:iCs/>
          <w:sz w:val="22"/>
          <w:szCs w:val="22"/>
          <w:lang w:eastAsia="fr-FR" w:bidi="ar-SA"/>
        </w:rPr>
      </w:pPr>
    </w:p>
    <w:p w14:paraId="68701A51" w14:textId="7EF8D550" w:rsidR="006D181A" w:rsidRDefault="00195005">
      <w:pPr>
        <w:pStyle w:val="Titre2"/>
        <w:spacing w:before="120" w:after="120" w:line="240" w:lineRule="auto"/>
        <w:jc w:val="both"/>
        <w:rPr>
          <w:rFonts w:asciiTheme="minorHAnsi" w:hAnsiTheme="minorHAnsi" w:cstheme="minorHAnsi"/>
          <w:sz w:val="22"/>
          <w:szCs w:val="22"/>
          <w:u w:val="single"/>
        </w:rPr>
      </w:pPr>
      <w:bookmarkStart w:id="43" w:name="__RefHeading__47578_1391709442"/>
      <w:bookmarkStart w:id="44" w:name="_Toc55543747"/>
      <w:bookmarkStart w:id="45" w:name="_Toc55543797"/>
      <w:bookmarkStart w:id="46" w:name="_Toc224222969"/>
      <w:r>
        <w:rPr>
          <w:rFonts w:asciiTheme="minorHAnsi" w:hAnsiTheme="minorHAnsi" w:cstheme="minorHAnsi"/>
          <w:sz w:val="22"/>
          <w:szCs w:val="22"/>
          <w:u w:val="single"/>
        </w:rPr>
        <w:t>Précisions concernant les groupements d'opérateurs économiques</w:t>
      </w:r>
      <w:bookmarkEnd w:id="43"/>
      <w:bookmarkEnd w:id="44"/>
      <w:bookmarkEnd w:id="45"/>
      <w:r>
        <w:rPr>
          <w:rFonts w:asciiTheme="minorHAnsi" w:hAnsiTheme="minorHAnsi" w:cstheme="minorHAnsi"/>
          <w:sz w:val="22"/>
          <w:szCs w:val="22"/>
          <w:u w:val="single"/>
        </w:rPr>
        <w:t xml:space="preserve"> (consortium)</w:t>
      </w:r>
      <w:bookmarkEnd w:id="46"/>
    </w:p>
    <w:p w14:paraId="05C8477C" w14:textId="4B25AA67" w:rsidR="006D181A" w:rsidRDefault="006D181A">
      <w:pPr>
        <w:pStyle w:val="Standard"/>
        <w:rPr>
          <w:rFonts w:asciiTheme="minorHAnsi" w:hAnsiTheme="minorHAnsi" w:cstheme="minorHAnsi"/>
          <w:bCs/>
          <w:iCs/>
          <w:sz w:val="22"/>
          <w:szCs w:val="22"/>
          <w:lang w:bidi="ar-SA"/>
        </w:rPr>
      </w:pPr>
    </w:p>
    <w:p w14:paraId="2FAE8572"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47" w:name="_Toc55543798"/>
      <w:bookmarkStart w:id="48" w:name="_Toc224222970"/>
      <w:r>
        <w:rPr>
          <w:rFonts w:asciiTheme="minorHAnsi" w:hAnsiTheme="minorHAnsi" w:cstheme="minorHAnsi"/>
          <w:i/>
          <w:sz w:val="22"/>
          <w:szCs w:val="22"/>
        </w:rPr>
        <w:t>Motifs d'exclusion en cas de groupement d'opérateurs économiques</w:t>
      </w:r>
      <w:bookmarkEnd w:id="47"/>
      <w:bookmarkEnd w:id="48"/>
    </w:p>
    <w:p w14:paraId="55422F18" w14:textId="04677305" w:rsidR="006D181A" w:rsidRDefault="00195005">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Lorsque le motif d'exclusion de la procédure de passation concerne un des membres du groupement, l’autorité contractante exige son remplacement par une personne qui ne fait pas l'objet d'un motif d'exclusion dans un délai de 10 jours à compter de la réception de cette demande par le mandataire du groupement. A défaut, le groupement est exclu de la procédure ;</w:t>
      </w:r>
    </w:p>
    <w:p w14:paraId="5D6B7599"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49" w:name="_Toc55543800"/>
      <w:bookmarkStart w:id="50" w:name="_Toc224222971"/>
      <w:r>
        <w:rPr>
          <w:rFonts w:asciiTheme="minorHAnsi" w:hAnsiTheme="minorHAnsi" w:cstheme="minorHAnsi"/>
          <w:i/>
          <w:sz w:val="22"/>
          <w:szCs w:val="22"/>
        </w:rPr>
        <w:t>Forme du groupement</w:t>
      </w:r>
      <w:bookmarkEnd w:id="49"/>
      <w:bookmarkEnd w:id="50"/>
    </w:p>
    <w:p w14:paraId="3D1E6E72" w14:textId="13ECEE8E" w:rsidR="006D181A" w:rsidRDefault="00195005">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La forme du groupement est conjointe. Le mandataire est solidaire pour l'exécution du marché de chacun des membres du groupement pour ses obligations contractuelles à l'égard d’Expertise France.</w:t>
      </w:r>
    </w:p>
    <w:p w14:paraId="3BC3F89E" w14:textId="77777777" w:rsidR="006D181A" w:rsidRDefault="006D181A">
      <w:pPr>
        <w:pStyle w:val="Standard"/>
        <w:rPr>
          <w:rFonts w:asciiTheme="minorHAnsi" w:hAnsiTheme="minorHAnsi" w:cstheme="minorHAnsi"/>
          <w:bCs/>
          <w:iCs/>
          <w:sz w:val="22"/>
          <w:szCs w:val="22"/>
          <w:lang w:bidi="ar-SA"/>
        </w:rPr>
      </w:pPr>
    </w:p>
    <w:p w14:paraId="537FED1F"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51" w:name="__RefHeading__47580_1391709442"/>
      <w:bookmarkStart w:id="52" w:name="_Toc55543748"/>
      <w:bookmarkStart w:id="53" w:name="_Toc55543801"/>
      <w:bookmarkStart w:id="54" w:name="_Toc224222972"/>
      <w:r>
        <w:rPr>
          <w:rFonts w:asciiTheme="minorHAnsi" w:hAnsiTheme="minorHAnsi" w:cstheme="minorHAnsi"/>
          <w:sz w:val="22"/>
          <w:szCs w:val="22"/>
          <w:u w:val="single"/>
        </w:rPr>
        <w:t>Précisions concernant la sous-traitance</w:t>
      </w:r>
      <w:bookmarkEnd w:id="51"/>
      <w:bookmarkEnd w:id="52"/>
      <w:bookmarkEnd w:id="53"/>
      <w:bookmarkEnd w:id="54"/>
    </w:p>
    <w:p w14:paraId="6DB892B4"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55" w:name="_Toc55543802"/>
      <w:bookmarkStart w:id="56" w:name="_Toc224222973"/>
      <w:r>
        <w:rPr>
          <w:rFonts w:asciiTheme="minorHAnsi" w:hAnsiTheme="minorHAnsi" w:cstheme="minorHAnsi"/>
          <w:i/>
          <w:sz w:val="22"/>
          <w:szCs w:val="22"/>
        </w:rPr>
        <w:t>Motifs d'exclusion en cas de sous-traitance</w:t>
      </w:r>
      <w:bookmarkEnd w:id="55"/>
      <w:bookmarkEnd w:id="56"/>
    </w:p>
    <w:p w14:paraId="5CE0F86D" w14:textId="77777777" w:rsidR="006D181A" w:rsidRDefault="00195005">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Les personnes à l'encontre desquelles il existe un motif d'exclusion ne peuvent être acceptées en tant que sous-traitant.</w:t>
      </w:r>
    </w:p>
    <w:p w14:paraId="3DA7634F" w14:textId="77777777" w:rsidR="006D181A" w:rsidRDefault="00195005">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Lorsque le sous-traitant à l'encontre duquel il existe un motif d'exclusion est présenté au stade de la candidature, le pouvoir adjudicateur exige son remplacement par une personne qui ne fait pas l'objet d'un motif d'exclusion, dans un délai de 10 jours à compter de la réception de cette demande par le candidat. A défaut, le candidat est exclu de la procédure.</w:t>
      </w:r>
    </w:p>
    <w:p w14:paraId="78CB3323" w14:textId="4CA731AF" w:rsidR="006D181A" w:rsidRDefault="00195005">
      <w:pPr>
        <w:pStyle w:val="Titre2"/>
        <w:spacing w:before="120" w:after="120" w:line="240" w:lineRule="auto"/>
        <w:ind w:left="708"/>
        <w:jc w:val="both"/>
        <w:rPr>
          <w:rFonts w:asciiTheme="minorHAnsi" w:hAnsiTheme="minorHAnsi" w:cstheme="minorHAnsi"/>
          <w:i/>
          <w:sz w:val="22"/>
          <w:szCs w:val="22"/>
        </w:rPr>
      </w:pPr>
      <w:r>
        <w:rPr>
          <w:rFonts w:asciiTheme="minorHAnsi" w:hAnsiTheme="minorHAnsi" w:cstheme="minorHAnsi"/>
          <w:i/>
          <w:sz w:val="22"/>
          <w:szCs w:val="22"/>
        </w:rPr>
        <w:t xml:space="preserve"> </w:t>
      </w:r>
      <w:bookmarkStart w:id="57" w:name="_Toc55543803"/>
      <w:bookmarkStart w:id="58" w:name="_Toc224222974"/>
      <w:r>
        <w:rPr>
          <w:rFonts w:asciiTheme="minorHAnsi" w:hAnsiTheme="minorHAnsi" w:cstheme="minorHAnsi"/>
          <w:i/>
          <w:sz w:val="22"/>
          <w:szCs w:val="22"/>
        </w:rPr>
        <w:t>Présentation d’un sous-traitant</w:t>
      </w:r>
      <w:bookmarkEnd w:id="57"/>
      <w:bookmarkEnd w:id="58"/>
    </w:p>
    <w:p w14:paraId="2675AC38" w14:textId="4044A137" w:rsidR="006D181A" w:rsidRDefault="00195005">
      <w:pPr>
        <w:pStyle w:val="Standard"/>
        <w:rPr>
          <w:rFonts w:asciiTheme="minorHAnsi" w:hAnsiTheme="minorHAnsi" w:cstheme="minorHAnsi"/>
          <w:bCs/>
          <w:iCs/>
          <w:sz w:val="22"/>
          <w:szCs w:val="22"/>
          <w:lang w:bidi="ar-SA"/>
        </w:rPr>
      </w:pPr>
      <w:r>
        <w:rPr>
          <w:rFonts w:asciiTheme="minorHAnsi" w:hAnsiTheme="minorHAnsi" w:cstheme="minorHAnsi"/>
          <w:bCs/>
          <w:iCs/>
          <w:sz w:val="22"/>
          <w:szCs w:val="22"/>
          <w:lang w:bidi="ar-SA"/>
        </w:rPr>
        <w:t>La présentation d'un sous-traitant se fait à l'aide de l'imprimé DC 4 (Déclaration de sous-traitance)</w:t>
      </w:r>
      <w:r>
        <w:rPr>
          <w:rStyle w:val="Appelnotedebasdep"/>
          <w:rFonts w:asciiTheme="minorHAnsi" w:hAnsiTheme="minorHAnsi" w:cstheme="minorHAnsi"/>
          <w:bCs/>
          <w:iCs/>
          <w:sz w:val="22"/>
          <w:szCs w:val="22"/>
          <w:lang w:bidi="ar-SA"/>
        </w:rPr>
        <w:footnoteReference w:id="2"/>
      </w:r>
      <w:r>
        <w:rPr>
          <w:rFonts w:asciiTheme="minorHAnsi" w:hAnsiTheme="minorHAnsi" w:cstheme="minorHAnsi"/>
          <w:bCs/>
          <w:iCs/>
          <w:sz w:val="22"/>
          <w:szCs w:val="22"/>
          <w:lang w:bidi="ar-SA"/>
        </w:rPr>
        <w:t xml:space="preserve"> dûment rempli par le sous-traitant et le candidat, comportant l'indication des capacités professionnelles, techniques et financières du sous-traitant ainsi que la déclaration sur l'honneur que le sous-traitant ne se trouve pas sous le coup d'une interdiction d'accéder aux marchés publics. </w:t>
      </w:r>
    </w:p>
    <w:p w14:paraId="1A7BA67C" w14:textId="77777777" w:rsidR="006D181A" w:rsidRDefault="006D181A">
      <w:pPr>
        <w:pStyle w:val="Standard"/>
        <w:rPr>
          <w:rFonts w:asciiTheme="minorHAnsi" w:eastAsia="Times" w:hAnsiTheme="minorHAnsi" w:cstheme="minorHAnsi"/>
          <w:bCs/>
          <w:iCs/>
          <w:sz w:val="22"/>
          <w:szCs w:val="22"/>
          <w:lang w:eastAsia="fr-FR" w:bidi="ar-SA"/>
        </w:rPr>
      </w:pPr>
    </w:p>
    <w:p w14:paraId="0D18B94D" w14:textId="54AB5AB1"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59" w:name="_Toc56722965"/>
      <w:bookmarkStart w:id="60" w:name="_Toc56789984"/>
      <w:bookmarkStart w:id="61" w:name="_Toc56790441"/>
      <w:bookmarkStart w:id="62" w:name="_Toc63419888"/>
      <w:bookmarkStart w:id="63" w:name="_Toc224222975"/>
      <w:bookmarkEnd w:id="59"/>
      <w:bookmarkEnd w:id="60"/>
      <w:bookmarkEnd w:id="61"/>
      <w:bookmarkEnd w:id="62"/>
      <w:r>
        <w:rPr>
          <w:rFonts w:asciiTheme="minorHAnsi" w:hAnsiTheme="minorHAnsi" w:cstheme="minorHAnsi"/>
          <w:b/>
          <w:caps/>
          <w:sz w:val="28"/>
          <w:szCs w:val="22"/>
          <w:u w:val="single"/>
        </w:rPr>
        <w:t>Présentation des plis et modalités de depôt</w:t>
      </w:r>
      <w:bookmarkEnd w:id="63"/>
    </w:p>
    <w:p w14:paraId="04029397" w14:textId="4CC31177" w:rsidR="006D181A" w:rsidRDefault="00195005">
      <w:pPr>
        <w:pStyle w:val="v"/>
        <w:widowControl w:val="0"/>
        <w:ind w:left="0" w:firstLine="0"/>
        <w:rPr>
          <w:rFonts w:asciiTheme="minorHAnsi" w:hAnsiTheme="minorHAnsi" w:cstheme="minorHAnsi"/>
          <w:szCs w:val="22"/>
        </w:rPr>
      </w:pPr>
      <w:bookmarkStart w:id="64" w:name="_Toc417653428"/>
      <w:bookmarkStart w:id="65" w:name="_Toc419212444"/>
      <w:bookmarkStart w:id="66" w:name="_Toc443657778"/>
      <w:bookmarkStart w:id="67" w:name="_Toc446628697"/>
      <w:r>
        <w:rPr>
          <w:rFonts w:asciiTheme="minorHAnsi" w:hAnsiTheme="minorHAnsi" w:cstheme="minorHAnsi"/>
          <w:szCs w:val="22"/>
        </w:rPr>
        <w:t>Les soumissionnaires remettent un dossier complet comprenant les pièces mentionnées ci-après. Les documents demandés doivent être signés par le soumissionnaire, le mandataire du groupement momentané d'entreprises ou chacun des membres de ce même groupement.</w:t>
      </w:r>
    </w:p>
    <w:p w14:paraId="25672A12" w14:textId="7C1F0393" w:rsidR="006D181A" w:rsidRDefault="00195005">
      <w:pPr>
        <w:pStyle w:val="Titre2"/>
        <w:spacing w:before="120" w:after="120" w:line="240" w:lineRule="auto"/>
        <w:jc w:val="both"/>
        <w:rPr>
          <w:rFonts w:asciiTheme="minorHAnsi" w:hAnsiTheme="minorHAnsi" w:cstheme="minorHAnsi"/>
          <w:sz w:val="22"/>
          <w:szCs w:val="22"/>
          <w:u w:val="single"/>
        </w:rPr>
      </w:pPr>
      <w:bookmarkStart w:id="68" w:name="_Toc452049149"/>
      <w:bookmarkStart w:id="69" w:name="_Toc455587889"/>
      <w:bookmarkStart w:id="70" w:name="_Toc455679215"/>
      <w:bookmarkStart w:id="71" w:name="_Toc455768072"/>
      <w:bookmarkStart w:id="72" w:name="_Toc224222976"/>
      <w:bookmarkEnd w:id="64"/>
      <w:bookmarkEnd w:id="65"/>
      <w:bookmarkEnd w:id="66"/>
      <w:bookmarkEnd w:id="67"/>
      <w:r>
        <w:rPr>
          <w:rFonts w:asciiTheme="minorHAnsi" w:hAnsiTheme="minorHAnsi" w:cstheme="minorHAnsi"/>
          <w:sz w:val="22"/>
          <w:szCs w:val="22"/>
          <w:u w:val="single"/>
        </w:rPr>
        <w:t xml:space="preserve">Pièces constitutives de </w:t>
      </w:r>
      <w:bookmarkEnd w:id="68"/>
      <w:bookmarkEnd w:id="69"/>
      <w:bookmarkEnd w:id="70"/>
      <w:bookmarkEnd w:id="71"/>
      <w:r>
        <w:rPr>
          <w:rFonts w:asciiTheme="minorHAnsi" w:hAnsiTheme="minorHAnsi" w:cstheme="minorHAnsi"/>
          <w:sz w:val="22"/>
          <w:szCs w:val="22"/>
          <w:u w:val="single"/>
        </w:rPr>
        <w:t>la candidature</w:t>
      </w:r>
      <w:bookmarkEnd w:id="72"/>
      <w:r>
        <w:rPr>
          <w:rFonts w:asciiTheme="minorHAnsi" w:hAnsiTheme="minorHAnsi" w:cstheme="minorHAnsi"/>
          <w:sz w:val="22"/>
          <w:szCs w:val="22"/>
          <w:u w:val="single"/>
        </w:rPr>
        <w:tab/>
      </w:r>
    </w:p>
    <w:p w14:paraId="63C29446" w14:textId="77777777" w:rsidR="006D181A" w:rsidRDefault="00195005">
      <w:pPr>
        <w:spacing w:line="240" w:lineRule="auto"/>
        <w:jc w:val="both"/>
        <w:rPr>
          <w:rFonts w:asciiTheme="minorHAnsi" w:hAnsiTheme="minorHAnsi" w:cstheme="minorHAnsi"/>
          <w:sz w:val="22"/>
          <w:szCs w:val="22"/>
        </w:rPr>
      </w:pPr>
      <w:r>
        <w:rPr>
          <w:rFonts w:asciiTheme="minorHAnsi" w:hAnsiTheme="minorHAnsi" w:cstheme="minorHAnsi"/>
          <w:sz w:val="22"/>
          <w:szCs w:val="22"/>
        </w:rPr>
        <w:t>Les candidats remettent les éléments de candidatures suivants :</w:t>
      </w:r>
    </w:p>
    <w:p w14:paraId="1C8D9BB7" w14:textId="6B180448" w:rsidR="006D181A" w:rsidRDefault="00195005">
      <w:pPr>
        <w:pStyle w:val="Default"/>
        <w:numPr>
          <w:ilvl w:val="0"/>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Une preuve de l’enregistrement du candidat au registre des sociétés (K-bis ou équivalent) ;</w:t>
      </w:r>
    </w:p>
    <w:p w14:paraId="3C4FE779" w14:textId="77777777" w:rsidR="006D181A" w:rsidRDefault="00195005" w:rsidP="00CF6B6B">
      <w:pPr>
        <w:pStyle w:val="Default"/>
        <w:numPr>
          <w:ilvl w:val="0"/>
          <w:numId w:val="18"/>
        </w:numPr>
        <w:jc w:val="both"/>
      </w:pPr>
      <w:r>
        <w:rPr>
          <w:rFonts w:ascii="Calibri" w:eastAsia="Calibri" w:hAnsi="Calibri" w:cs="Calibri"/>
          <w:sz w:val="22"/>
        </w:rPr>
        <w:lastRenderedPageBreak/>
        <w:t xml:space="preserve">Une preuve de satisfaction aux obligations fiscales et sociales </w:t>
      </w:r>
      <w:r>
        <w:rPr>
          <w:rFonts w:ascii="Calibri" w:eastAsia="Calibri" w:hAnsi="Calibri" w:cs="Calibri"/>
          <w:i/>
          <w:color w:val="0070C0"/>
          <w:sz w:val="22"/>
        </w:rPr>
        <w:t>(</w:t>
      </w:r>
      <w:r>
        <w:rPr>
          <w:rFonts w:ascii="Calibri" w:eastAsia="Calibri" w:hAnsi="Calibri" w:cs="Calibri"/>
          <w:color w:val="0070C0"/>
          <w:sz w:val="22"/>
        </w:rPr>
        <w:t>dernière attestation URSSAF ou équivalent disponible, dernière attestation fiscale ou équivalent disponible)</w:t>
      </w:r>
    </w:p>
    <w:p w14:paraId="1F829D9E" w14:textId="77777777" w:rsidR="006D181A" w:rsidRDefault="00195005" w:rsidP="00CF6B6B">
      <w:pPr>
        <w:pStyle w:val="Default"/>
        <w:numPr>
          <w:ilvl w:val="0"/>
          <w:numId w:val="18"/>
        </w:numPr>
        <w:jc w:val="both"/>
      </w:pPr>
      <w:r>
        <w:rPr>
          <w:rFonts w:ascii="Calibri" w:eastAsia="Calibri" w:hAnsi="Calibri" w:cs="Calibri"/>
          <w:sz w:val="22"/>
        </w:rPr>
        <w:t>Attestation d’assurance responsabilité civile et/ou professionnelle en cours de validité ;</w:t>
      </w:r>
    </w:p>
    <w:p w14:paraId="1369CD1A" w14:textId="4E49C8C2" w:rsidR="006D181A" w:rsidRDefault="00195005">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 xml:space="preserve">Le formulaire de candidature complété, et ses annexes : </w:t>
      </w:r>
    </w:p>
    <w:p w14:paraId="4DA7830F" w14:textId="77777777" w:rsidR="006D181A" w:rsidRDefault="00195005">
      <w:pPr>
        <w:pStyle w:val="Default"/>
        <w:numPr>
          <w:ilvl w:val="1"/>
          <w:numId w:val="18"/>
        </w:numPr>
        <w:jc w:val="both"/>
        <w:rPr>
          <w:rFonts w:asciiTheme="minorHAnsi" w:hAnsiTheme="minorHAnsi" w:cstheme="minorHAnsi"/>
          <w:sz w:val="22"/>
          <w:szCs w:val="22"/>
        </w:rPr>
      </w:pPr>
      <w:proofErr w:type="gramStart"/>
      <w:r>
        <w:rPr>
          <w:rFonts w:asciiTheme="minorHAnsi" w:hAnsiTheme="minorHAnsi" w:cstheme="minorHAnsi"/>
          <w:sz w:val="22"/>
          <w:szCs w:val="22"/>
        </w:rPr>
        <w:t>la</w:t>
      </w:r>
      <w:proofErr w:type="gramEnd"/>
      <w:r>
        <w:rPr>
          <w:rFonts w:asciiTheme="minorHAnsi" w:hAnsiTheme="minorHAnsi" w:cstheme="minorHAnsi"/>
          <w:sz w:val="22"/>
          <w:szCs w:val="22"/>
        </w:rPr>
        <w:t xml:space="preserve"> déclaration sur l'honneur relative aux critères d'exclusion, à l'absence de conflit d'intérêt</w:t>
      </w:r>
    </w:p>
    <w:p w14:paraId="2365C73F" w14:textId="59CC864A" w:rsidR="006D181A" w:rsidRDefault="00195005">
      <w:pPr>
        <w:pStyle w:val="Default"/>
        <w:numPr>
          <w:ilvl w:val="1"/>
          <w:numId w:val="18"/>
        </w:numPr>
        <w:jc w:val="both"/>
        <w:rPr>
          <w:rFonts w:asciiTheme="minorHAnsi" w:hAnsiTheme="minorHAnsi" w:cstheme="minorHAnsi"/>
          <w:sz w:val="22"/>
          <w:szCs w:val="22"/>
        </w:rPr>
      </w:pPr>
      <w:proofErr w:type="gramStart"/>
      <w:r>
        <w:rPr>
          <w:rFonts w:asciiTheme="minorHAnsi" w:hAnsiTheme="minorHAnsi" w:cstheme="minorHAnsi"/>
          <w:sz w:val="22"/>
          <w:szCs w:val="22"/>
        </w:rPr>
        <w:t>la</w:t>
      </w:r>
      <w:proofErr w:type="gramEnd"/>
      <w:r>
        <w:rPr>
          <w:rFonts w:asciiTheme="minorHAnsi" w:hAnsiTheme="minorHAnsi" w:cstheme="minorHAnsi"/>
          <w:sz w:val="22"/>
          <w:szCs w:val="22"/>
        </w:rPr>
        <w:t xml:space="preserve"> fiche d’identité tiers </w:t>
      </w:r>
    </w:p>
    <w:p w14:paraId="3F4E4C18" w14:textId="77777777" w:rsidR="006D181A" w:rsidRDefault="006D181A" w:rsidP="00CF6B6B">
      <w:pPr>
        <w:pStyle w:val="Default"/>
        <w:ind w:left="720"/>
        <w:jc w:val="both"/>
        <w:rPr>
          <w:rFonts w:asciiTheme="minorHAnsi" w:eastAsia="Times" w:hAnsiTheme="minorHAnsi" w:cstheme="minorHAnsi"/>
          <w:color w:val="auto"/>
          <w:sz w:val="22"/>
          <w:szCs w:val="22"/>
        </w:rPr>
      </w:pPr>
    </w:p>
    <w:p w14:paraId="44856DAA" w14:textId="16489CA0" w:rsidR="006D181A" w:rsidRDefault="00195005">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 xml:space="preserve">Le formulaire de vérification de conformité au RGPD </w:t>
      </w:r>
      <w:proofErr w:type="gramStart"/>
      <w:r>
        <w:rPr>
          <w:rFonts w:asciiTheme="minorHAnsi" w:hAnsiTheme="minorHAnsi" w:cstheme="minorHAnsi"/>
          <w:sz w:val="22"/>
          <w:szCs w:val="22"/>
        </w:rPr>
        <w:t>joint ,</w:t>
      </w:r>
      <w:proofErr w:type="gramEnd"/>
      <w:r>
        <w:rPr>
          <w:rFonts w:asciiTheme="minorHAnsi" w:hAnsiTheme="minorHAnsi" w:cstheme="minorHAnsi"/>
          <w:sz w:val="22"/>
          <w:szCs w:val="22"/>
        </w:rPr>
        <w:t xml:space="preserve"> permettant de vérifier la mise en œuvre par le soumissionnaire de mesures techniques et organisationnelles appropriées, de sorte que le traitement soit conforme aux obligations réglementaires et légales en matière de protection des données (RGPD et loi Informatique et Libertés) et garantisse bien à cet égard la protection des droits de la personne concernée ; </w:t>
      </w:r>
    </w:p>
    <w:p w14:paraId="62951418" w14:textId="77777777" w:rsidR="006D181A" w:rsidRDefault="00195005">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Le cas échéant, jugement(s) prononçant le redressement judiciaire (en cas de redressement judiciaire) ;</w:t>
      </w:r>
    </w:p>
    <w:p w14:paraId="6B977B5C" w14:textId="77777777" w:rsidR="006D181A" w:rsidRDefault="00195005" w:rsidP="00CF6B6B">
      <w:pPr>
        <w:numPr>
          <w:ilvl w:val="0"/>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Un descriptif des moyens humains répondant aux conditions de participation décrites ci-après</w:t>
      </w:r>
    </w:p>
    <w:p w14:paraId="590887F7" w14:textId="77777777" w:rsidR="006D181A" w:rsidRDefault="00195005" w:rsidP="00CF6B6B">
      <w:pPr>
        <w:numPr>
          <w:ilvl w:val="1"/>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Déclaration indiquant les effectifs actuels de l'entreprise et l’importance du personnel d’encadrement ;</w:t>
      </w:r>
    </w:p>
    <w:p w14:paraId="0038AACE" w14:textId="0BAD30B9" w:rsidR="006D181A" w:rsidRPr="00A117C3" w:rsidRDefault="00195005" w:rsidP="006D181A">
      <w:pPr>
        <w:numPr>
          <w:ilvl w:val="0"/>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Un descriptif des moyens techniques répondant aux conditions de participation décrites ci-après</w:t>
      </w:r>
    </w:p>
    <w:p w14:paraId="37617CD8" w14:textId="5CF89B87" w:rsidR="006D181A" w:rsidRDefault="00A117C3" w:rsidP="00CF6B6B">
      <w:pPr>
        <w:numPr>
          <w:ilvl w:val="1"/>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Déclaration indiquant les moyens techniques actuels de l’entreprise (matériel de communication et de traduction, matériel informatique, etc.) ;</w:t>
      </w:r>
    </w:p>
    <w:p w14:paraId="72A041CD" w14:textId="77777777" w:rsidR="006D181A" w:rsidRDefault="00195005" w:rsidP="00CF6B6B">
      <w:pPr>
        <w:numPr>
          <w:ilvl w:val="0"/>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Un descriptif des capacités économiques et financières répondant aux conditions de participation décrites ci-après :</w:t>
      </w:r>
    </w:p>
    <w:p w14:paraId="1BB70E41" w14:textId="77777777" w:rsidR="006D181A" w:rsidRDefault="00195005" w:rsidP="00CF6B6B">
      <w:pPr>
        <w:numPr>
          <w:ilvl w:val="1"/>
          <w:numId w:val="61"/>
        </w:numPr>
        <w:pBdr>
          <w:top w:val="none" w:sz="4" w:space="0" w:color="000000"/>
          <w:left w:val="none" w:sz="4" w:space="0" w:color="000000"/>
          <w:bottom w:val="none" w:sz="4" w:space="0" w:color="000000"/>
          <w:right w:val="none" w:sz="4" w:space="0" w:color="000000"/>
        </w:pBdr>
        <w:jc w:val="both"/>
      </w:pPr>
      <w:r>
        <w:rPr>
          <w:rFonts w:ascii="Calibri" w:eastAsia="Calibri" w:hAnsi="Calibri" w:cs="Calibri"/>
          <w:color w:val="000000"/>
          <w:sz w:val="22"/>
        </w:rPr>
        <w:t>Déclarations de chiffres d'affaires des trois derniers exercices comptables disponibles ;</w:t>
      </w:r>
    </w:p>
    <w:p w14:paraId="1A57CA43" w14:textId="77777777" w:rsidR="006D181A" w:rsidRDefault="00195005">
      <w:pPr>
        <w:pStyle w:val="Titre2"/>
        <w:spacing w:before="240" w:after="120" w:line="240" w:lineRule="auto"/>
        <w:jc w:val="both"/>
        <w:rPr>
          <w:rFonts w:asciiTheme="minorHAnsi" w:hAnsiTheme="minorHAnsi" w:cstheme="minorHAnsi"/>
          <w:sz w:val="22"/>
          <w:szCs w:val="22"/>
          <w:u w:val="single"/>
        </w:rPr>
      </w:pPr>
      <w:bookmarkStart w:id="73" w:name="_Toc224222977"/>
      <w:r>
        <w:rPr>
          <w:rFonts w:asciiTheme="minorHAnsi" w:hAnsiTheme="minorHAnsi" w:cstheme="minorHAnsi"/>
          <w:sz w:val="22"/>
          <w:szCs w:val="22"/>
          <w:u w:val="single"/>
        </w:rPr>
        <w:t>Pièces constitutives de l’offre</w:t>
      </w:r>
      <w:bookmarkEnd w:id="73"/>
    </w:p>
    <w:p w14:paraId="34F72178" w14:textId="77777777" w:rsidR="006D181A" w:rsidRDefault="00195005">
      <w:pPr>
        <w:spacing w:line="240" w:lineRule="auto"/>
        <w:jc w:val="both"/>
        <w:rPr>
          <w:rFonts w:asciiTheme="minorHAnsi" w:hAnsiTheme="minorHAnsi" w:cstheme="minorHAnsi"/>
          <w:sz w:val="22"/>
          <w:szCs w:val="22"/>
        </w:rPr>
      </w:pPr>
      <w:r>
        <w:rPr>
          <w:rFonts w:asciiTheme="minorHAnsi" w:hAnsiTheme="minorHAnsi" w:cstheme="minorHAnsi"/>
          <w:sz w:val="22"/>
          <w:szCs w:val="22"/>
        </w:rPr>
        <w:t>Les candidats remettent un dossier complet comprenant les pièces suivantes :</w:t>
      </w:r>
    </w:p>
    <w:p w14:paraId="6D3DFE1C" w14:textId="77777777" w:rsidR="006D181A" w:rsidRDefault="006D181A">
      <w:pPr>
        <w:spacing w:line="240" w:lineRule="auto"/>
        <w:jc w:val="both"/>
        <w:rPr>
          <w:rFonts w:asciiTheme="minorHAnsi" w:hAnsiTheme="minorHAnsi" w:cstheme="minorHAnsi"/>
          <w:sz w:val="22"/>
          <w:szCs w:val="22"/>
        </w:rPr>
      </w:pPr>
    </w:p>
    <w:p w14:paraId="78DB3FA9" w14:textId="3F7171A5" w:rsidR="006D181A" w:rsidRDefault="00195005">
      <w:pPr>
        <w:pStyle w:val="Default"/>
        <w:numPr>
          <w:ilvl w:val="0"/>
          <w:numId w:val="18"/>
        </w:numPr>
        <w:jc w:val="both"/>
        <w:rPr>
          <w:rFonts w:asciiTheme="minorHAnsi" w:eastAsia="Times" w:hAnsiTheme="minorHAnsi" w:cstheme="minorHAnsi"/>
          <w:color w:val="auto"/>
          <w:sz w:val="22"/>
          <w:szCs w:val="22"/>
        </w:rPr>
      </w:pPr>
      <w:r>
        <w:rPr>
          <w:rFonts w:asciiTheme="minorHAnsi" w:hAnsiTheme="minorHAnsi" w:cstheme="minorHAnsi"/>
          <w:sz w:val="22"/>
          <w:szCs w:val="22"/>
        </w:rPr>
        <w:t xml:space="preserve">Le projet de contrat </w:t>
      </w:r>
      <w:r>
        <w:rPr>
          <w:rFonts w:asciiTheme="minorHAnsi" w:eastAsia="Times" w:hAnsiTheme="minorHAnsi" w:cstheme="minorHAnsi"/>
          <w:color w:val="auto"/>
          <w:sz w:val="22"/>
          <w:szCs w:val="22"/>
        </w:rPr>
        <w:t xml:space="preserve">dûment renseigné, daté et signé et ses annexes : </w:t>
      </w:r>
    </w:p>
    <w:p w14:paraId="1E8A844A" w14:textId="77777777" w:rsidR="006D181A" w:rsidRDefault="00195005">
      <w:pPr>
        <w:pStyle w:val="Default"/>
        <w:numPr>
          <w:ilvl w:val="1"/>
          <w:numId w:val="18"/>
        </w:numPr>
        <w:jc w:val="both"/>
      </w:pPr>
      <w:r>
        <w:rPr>
          <w:rFonts w:asciiTheme="minorHAnsi" w:eastAsia="Times" w:hAnsiTheme="minorHAnsi" w:cstheme="minorHAnsi"/>
          <w:color w:val="auto"/>
          <w:sz w:val="22"/>
          <w:szCs w:val="22"/>
        </w:rPr>
        <w:t xml:space="preserve">Cahier des charges, </w:t>
      </w:r>
      <w:r>
        <w:rPr>
          <w:rFonts w:asciiTheme="minorHAnsi" w:hAnsiTheme="minorHAnsi" w:cstheme="minorHAnsi"/>
          <w:sz w:val="22"/>
          <w:szCs w:val="22"/>
        </w:rPr>
        <w:t>à</w:t>
      </w:r>
      <w:r>
        <w:rPr>
          <w:rFonts w:asciiTheme="minorHAnsi" w:eastAsia="Times" w:hAnsiTheme="minorHAnsi" w:cstheme="minorHAnsi"/>
          <w:color w:val="auto"/>
          <w:sz w:val="22"/>
          <w:szCs w:val="22"/>
        </w:rPr>
        <w:t xml:space="preserve"> parapher</w:t>
      </w:r>
      <w:r>
        <w:t xml:space="preserve"> (</w:t>
      </w:r>
      <w:r>
        <w:rPr>
          <w:rFonts w:asciiTheme="minorHAnsi" w:eastAsia="Times" w:hAnsiTheme="minorHAnsi" w:cstheme="minorHAnsi"/>
          <w:color w:val="auto"/>
          <w:sz w:val="22"/>
          <w:szCs w:val="22"/>
        </w:rPr>
        <w:t>annexe 1 du Contrat) ;</w:t>
      </w:r>
    </w:p>
    <w:p w14:paraId="47B2AB42" w14:textId="77777777" w:rsidR="006D181A" w:rsidRDefault="00195005">
      <w:pPr>
        <w:pStyle w:val="Default"/>
        <w:numPr>
          <w:ilvl w:val="1"/>
          <w:numId w:val="18"/>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Modèle de Bon de Commande, paraphé (annexe 4 du Contrat) ;</w:t>
      </w:r>
    </w:p>
    <w:p w14:paraId="67B1633C" w14:textId="5B85A458" w:rsidR="006D181A" w:rsidRDefault="00195005">
      <w:pPr>
        <w:pStyle w:val="Default"/>
        <w:numPr>
          <w:ilvl w:val="1"/>
          <w:numId w:val="18"/>
        </w:numPr>
        <w:jc w:val="both"/>
      </w:pPr>
      <w:r>
        <w:rPr>
          <w:rFonts w:asciiTheme="minorHAnsi" w:eastAsia="Times" w:hAnsiTheme="minorHAnsi" w:cstheme="minorHAnsi"/>
          <w:color w:val="auto"/>
          <w:sz w:val="22"/>
          <w:szCs w:val="22"/>
        </w:rPr>
        <w:t>La définition et conditions de réalisation des opérations de traitement de données personnelles pour le compte d’Expertise France, renseigné et paraphé (annexe 5 du Contrat)</w:t>
      </w:r>
    </w:p>
    <w:p w14:paraId="6B442FE8" w14:textId="77777777" w:rsidR="006D181A" w:rsidRDefault="006D181A">
      <w:pPr>
        <w:pStyle w:val="Default"/>
        <w:ind w:left="720"/>
        <w:jc w:val="both"/>
        <w:rPr>
          <w:rFonts w:asciiTheme="minorHAnsi" w:eastAsia="Times" w:hAnsiTheme="minorHAnsi" w:cstheme="minorHAnsi"/>
          <w:color w:val="auto"/>
          <w:sz w:val="22"/>
          <w:szCs w:val="22"/>
        </w:rPr>
      </w:pPr>
    </w:p>
    <w:p w14:paraId="013362D2" w14:textId="374B8E15" w:rsidR="006D181A" w:rsidRDefault="00195005">
      <w:pPr>
        <w:pStyle w:val="Default"/>
        <w:numPr>
          <w:ilvl w:val="0"/>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 xml:space="preserve">Le cadre de réponse </w:t>
      </w:r>
      <w:proofErr w:type="gramStart"/>
      <w:r>
        <w:rPr>
          <w:rFonts w:asciiTheme="minorHAnsi" w:eastAsia="Times" w:hAnsiTheme="minorHAnsi" w:cstheme="minorHAnsi"/>
          <w:color w:val="auto"/>
          <w:sz w:val="22"/>
          <w:szCs w:val="22"/>
        </w:rPr>
        <w:t>technique  dûm</w:t>
      </w:r>
      <w:r>
        <w:rPr>
          <w:rFonts w:asciiTheme="minorHAnsi" w:hAnsiTheme="minorHAnsi" w:cstheme="minorHAnsi"/>
          <w:sz w:val="22"/>
          <w:szCs w:val="22"/>
        </w:rPr>
        <w:t>ent</w:t>
      </w:r>
      <w:proofErr w:type="gramEnd"/>
      <w:r>
        <w:rPr>
          <w:rFonts w:asciiTheme="minorHAnsi" w:hAnsiTheme="minorHAnsi" w:cstheme="minorHAnsi"/>
          <w:sz w:val="22"/>
          <w:szCs w:val="22"/>
        </w:rPr>
        <w:t xml:space="preserve"> renseigné et signé et en annexe une note technique comprenant les informations suivantes :</w:t>
      </w:r>
    </w:p>
    <w:p w14:paraId="43559D49" w14:textId="5DF1F128" w:rsidR="006D181A" w:rsidRDefault="00195005">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Description du service proposé</w:t>
      </w:r>
    </w:p>
    <w:p w14:paraId="72076B4F" w14:textId="6AFB2FEF" w:rsidR="006D181A" w:rsidRDefault="00195005">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Méthodologie</w:t>
      </w:r>
    </w:p>
    <w:p w14:paraId="416ACBE6" w14:textId="6896874E" w:rsidR="006D181A" w:rsidRDefault="00195005">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Les références du prestataire au regard des exigences du Cahier de Charge</w:t>
      </w:r>
    </w:p>
    <w:p w14:paraId="560454B0" w14:textId="77777777" w:rsidR="006D181A" w:rsidRDefault="006D181A">
      <w:pPr>
        <w:pStyle w:val="Default"/>
        <w:ind w:left="720"/>
        <w:jc w:val="both"/>
        <w:rPr>
          <w:rFonts w:asciiTheme="minorHAnsi" w:hAnsiTheme="minorHAnsi" w:cstheme="minorHAnsi"/>
          <w:sz w:val="22"/>
          <w:szCs w:val="22"/>
        </w:rPr>
      </w:pPr>
    </w:p>
    <w:p w14:paraId="084720C4" w14:textId="71D1A6B5" w:rsidR="006D181A" w:rsidRDefault="00195005">
      <w:pPr>
        <w:pStyle w:val="Default"/>
        <w:numPr>
          <w:ilvl w:val="0"/>
          <w:numId w:val="18"/>
        </w:numPr>
        <w:jc w:val="both"/>
        <w:rPr>
          <w:rFonts w:asciiTheme="minorHAnsi" w:hAnsiTheme="minorHAnsi" w:cstheme="minorHAnsi"/>
          <w:sz w:val="22"/>
          <w:szCs w:val="22"/>
        </w:rPr>
      </w:pPr>
      <w:r>
        <w:rPr>
          <w:rFonts w:asciiTheme="minorHAnsi" w:hAnsiTheme="minorHAnsi" w:cstheme="minorHAnsi"/>
          <w:sz w:val="22"/>
          <w:szCs w:val="22"/>
        </w:rPr>
        <w:t xml:space="preserve">Le cadre de réponse </w:t>
      </w:r>
      <w:proofErr w:type="gramStart"/>
      <w:r>
        <w:rPr>
          <w:rFonts w:asciiTheme="minorHAnsi" w:hAnsiTheme="minorHAnsi" w:cstheme="minorHAnsi"/>
          <w:sz w:val="22"/>
          <w:szCs w:val="22"/>
        </w:rPr>
        <w:t xml:space="preserve">financier </w:t>
      </w:r>
      <w:r>
        <w:rPr>
          <w:rFonts w:asciiTheme="minorHAnsi" w:eastAsia="Times" w:hAnsiTheme="minorHAnsi" w:cstheme="minorHAnsi"/>
          <w:color w:val="auto"/>
          <w:sz w:val="22"/>
          <w:szCs w:val="22"/>
        </w:rPr>
        <w:t xml:space="preserve"> dûment</w:t>
      </w:r>
      <w:proofErr w:type="gramEnd"/>
      <w:r>
        <w:rPr>
          <w:rFonts w:asciiTheme="minorHAnsi" w:eastAsia="Times" w:hAnsiTheme="minorHAnsi" w:cstheme="minorHAnsi"/>
          <w:color w:val="auto"/>
          <w:sz w:val="22"/>
          <w:szCs w:val="22"/>
        </w:rPr>
        <w:t xml:space="preserve"> renseigné et signé</w:t>
      </w:r>
    </w:p>
    <w:p w14:paraId="5906A2A1" w14:textId="77777777" w:rsidR="006D181A" w:rsidRDefault="00195005">
      <w:pPr>
        <w:pStyle w:val="Default"/>
        <w:numPr>
          <w:ilvl w:val="1"/>
          <w:numId w:val="62"/>
        </w:numPr>
        <w:jc w:val="both"/>
        <w:rPr>
          <w:rFonts w:asciiTheme="minorHAnsi" w:eastAsia="Times" w:hAnsiTheme="minorHAnsi" w:cstheme="minorHAnsi"/>
          <w:color w:val="auto"/>
          <w:sz w:val="22"/>
          <w:szCs w:val="22"/>
        </w:rPr>
      </w:pPr>
      <w:r>
        <w:rPr>
          <w:rFonts w:asciiTheme="minorHAnsi" w:eastAsia="Times" w:hAnsiTheme="minorHAnsi" w:cstheme="minorHAnsi"/>
          <w:color w:val="auto"/>
          <w:sz w:val="22"/>
          <w:szCs w:val="22"/>
        </w:rPr>
        <w:t>Bordereau des Prix Unitaires (BPU), renseigné et paraphé (onglet 1)</w:t>
      </w:r>
    </w:p>
    <w:p w14:paraId="34D7CA6E" w14:textId="77777777" w:rsidR="006D181A" w:rsidRDefault="00195005" w:rsidP="00CF6B6B">
      <w:pPr>
        <w:pStyle w:val="Default"/>
        <w:numPr>
          <w:ilvl w:val="1"/>
          <w:numId w:val="18"/>
        </w:numPr>
        <w:jc w:val="both"/>
        <w:rPr>
          <w:rFonts w:asciiTheme="minorHAnsi" w:hAnsiTheme="minorHAnsi" w:cstheme="minorHAnsi"/>
          <w:sz w:val="22"/>
          <w:szCs w:val="22"/>
        </w:rPr>
      </w:pPr>
      <w:r>
        <w:rPr>
          <w:rFonts w:asciiTheme="minorHAnsi" w:eastAsia="Times" w:hAnsiTheme="minorHAnsi" w:cstheme="minorHAnsi"/>
          <w:color w:val="auto"/>
          <w:sz w:val="22"/>
          <w:szCs w:val="22"/>
        </w:rPr>
        <w:t xml:space="preserve">Détail Quantitatif Estimatif (DQE), renseigné et paraphé </w:t>
      </w:r>
      <w:r>
        <w:rPr>
          <w:rFonts w:asciiTheme="minorHAnsi" w:hAnsiTheme="minorHAnsi" w:cstheme="minorHAnsi"/>
          <w:sz w:val="22"/>
          <w:szCs w:val="22"/>
        </w:rPr>
        <w:t xml:space="preserve">(onglet 2) </w:t>
      </w:r>
    </w:p>
    <w:p w14:paraId="3C6E01EE" w14:textId="24BE3196" w:rsidR="006D181A" w:rsidRDefault="00195005">
      <w:pPr>
        <w:pStyle w:val="Titre2"/>
        <w:spacing w:before="240" w:after="120" w:line="240" w:lineRule="auto"/>
        <w:jc w:val="both"/>
        <w:rPr>
          <w:rFonts w:asciiTheme="minorHAnsi" w:hAnsiTheme="minorHAnsi" w:cstheme="minorHAnsi"/>
          <w:sz w:val="22"/>
          <w:szCs w:val="22"/>
          <w:u w:val="single"/>
        </w:rPr>
      </w:pPr>
      <w:bookmarkStart w:id="74" w:name="_Toc224222978"/>
      <w:r>
        <w:rPr>
          <w:rFonts w:asciiTheme="minorHAnsi" w:hAnsiTheme="minorHAnsi" w:cstheme="minorHAnsi"/>
          <w:sz w:val="22"/>
          <w:szCs w:val="22"/>
          <w:u w:val="single"/>
        </w:rPr>
        <w:t>Durée de validité des offres</w:t>
      </w:r>
      <w:bookmarkEnd w:id="74"/>
    </w:p>
    <w:p w14:paraId="634CE425" w14:textId="77777777"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La validité des offres remises par les soumissionnaires est maintenue au moins 120 jours à compter de la date limite de remise des offres.</w:t>
      </w:r>
    </w:p>
    <w:p w14:paraId="6AF04744" w14:textId="77777777" w:rsidR="006D181A" w:rsidRDefault="006D181A">
      <w:pPr>
        <w:pStyle w:val="Default"/>
        <w:jc w:val="both"/>
        <w:rPr>
          <w:rFonts w:asciiTheme="minorHAnsi" w:hAnsiTheme="minorHAnsi" w:cstheme="minorHAnsi"/>
          <w:sz w:val="22"/>
          <w:szCs w:val="22"/>
        </w:rPr>
      </w:pPr>
    </w:p>
    <w:p w14:paraId="5BEC13C8" w14:textId="60DCB643" w:rsidR="006D181A" w:rsidRDefault="00195005">
      <w:pPr>
        <w:pStyle w:val="Titre2"/>
        <w:spacing w:before="240" w:after="120" w:line="240" w:lineRule="auto"/>
        <w:jc w:val="both"/>
        <w:rPr>
          <w:rFonts w:asciiTheme="minorHAnsi" w:hAnsiTheme="minorHAnsi" w:cstheme="minorHAnsi"/>
          <w:sz w:val="22"/>
          <w:szCs w:val="22"/>
          <w:u w:val="single"/>
        </w:rPr>
      </w:pPr>
      <w:bookmarkStart w:id="75" w:name="_Toc491193511"/>
      <w:bookmarkStart w:id="76" w:name="_Toc491193966"/>
      <w:bookmarkStart w:id="77" w:name="_Toc224222979"/>
      <w:bookmarkEnd w:id="75"/>
      <w:bookmarkEnd w:id="76"/>
      <w:r>
        <w:rPr>
          <w:rFonts w:asciiTheme="minorHAnsi" w:hAnsiTheme="minorHAnsi" w:cstheme="minorHAnsi"/>
          <w:sz w:val="22"/>
          <w:szCs w:val="22"/>
          <w:u w:val="single"/>
        </w:rPr>
        <w:t>Modalités de remise des plis</w:t>
      </w:r>
      <w:bookmarkEnd w:id="77"/>
    </w:p>
    <w:p w14:paraId="5E67A184"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78" w:name="_Toc224222980"/>
      <w:r>
        <w:rPr>
          <w:rFonts w:asciiTheme="minorHAnsi" w:hAnsiTheme="minorHAnsi" w:cstheme="minorHAnsi"/>
          <w:i/>
          <w:sz w:val="22"/>
          <w:szCs w:val="22"/>
        </w:rPr>
        <w:t>Remise des plis sous format papier</w:t>
      </w:r>
      <w:bookmarkEnd w:id="78"/>
      <w:r>
        <w:rPr>
          <w:rFonts w:asciiTheme="minorHAnsi" w:hAnsiTheme="minorHAnsi" w:cstheme="minorHAnsi"/>
          <w:i/>
          <w:sz w:val="22"/>
          <w:szCs w:val="22"/>
        </w:rPr>
        <w:t xml:space="preserve"> </w:t>
      </w:r>
    </w:p>
    <w:p w14:paraId="0F7C3408" w14:textId="2AE4D240" w:rsidR="006D181A" w:rsidRDefault="00195005">
      <w:pPr>
        <w:spacing w:before="120"/>
        <w:jc w:val="both"/>
        <w:rPr>
          <w:rFonts w:asciiTheme="minorHAnsi" w:hAnsiTheme="minorHAnsi" w:cstheme="minorHAnsi"/>
          <w:sz w:val="22"/>
          <w:szCs w:val="22"/>
        </w:rPr>
      </w:pPr>
      <w:r>
        <w:rPr>
          <w:rFonts w:asciiTheme="minorHAnsi" w:hAnsiTheme="minorHAnsi" w:cstheme="minorHAnsi"/>
          <w:sz w:val="22"/>
          <w:szCs w:val="22"/>
        </w:rPr>
        <w:t>Les plis remis sous format papier sont rejetés.</w:t>
      </w:r>
    </w:p>
    <w:p w14:paraId="1854F6BF" w14:textId="77777777" w:rsidR="006D181A" w:rsidRDefault="00195005">
      <w:pPr>
        <w:pStyle w:val="Titre2"/>
        <w:spacing w:before="120" w:after="120" w:line="240" w:lineRule="auto"/>
        <w:ind w:left="708"/>
        <w:jc w:val="both"/>
        <w:rPr>
          <w:rFonts w:asciiTheme="minorHAnsi" w:hAnsiTheme="minorHAnsi" w:cstheme="minorHAnsi"/>
          <w:i/>
          <w:sz w:val="22"/>
          <w:szCs w:val="22"/>
        </w:rPr>
      </w:pPr>
      <w:bookmarkStart w:id="79" w:name="_Toc224222981"/>
      <w:r>
        <w:rPr>
          <w:rFonts w:asciiTheme="minorHAnsi" w:hAnsiTheme="minorHAnsi" w:cstheme="minorHAnsi"/>
          <w:i/>
          <w:sz w:val="22"/>
          <w:szCs w:val="22"/>
        </w:rPr>
        <w:lastRenderedPageBreak/>
        <w:t>Remise électronique</w:t>
      </w:r>
      <w:bookmarkEnd w:id="79"/>
      <w:r>
        <w:rPr>
          <w:rFonts w:asciiTheme="minorHAnsi" w:hAnsiTheme="minorHAnsi" w:cstheme="minorHAnsi"/>
          <w:i/>
          <w:sz w:val="22"/>
          <w:szCs w:val="22"/>
        </w:rPr>
        <w:t xml:space="preserve"> </w:t>
      </w:r>
    </w:p>
    <w:p w14:paraId="53A9C8FC" w14:textId="0E8ABF67" w:rsidR="006D181A" w:rsidRDefault="00195005">
      <w:pPr>
        <w:spacing w:line="240" w:lineRule="auto"/>
        <w:jc w:val="both"/>
        <w:rPr>
          <w:rFonts w:asciiTheme="minorHAnsi" w:hAnsiTheme="minorHAnsi" w:cstheme="minorHAnsi"/>
          <w:sz w:val="22"/>
          <w:szCs w:val="22"/>
        </w:rPr>
      </w:pPr>
      <w:r>
        <w:rPr>
          <w:rFonts w:asciiTheme="minorHAnsi" w:hAnsiTheme="minorHAnsi" w:cstheme="minorHAnsi"/>
          <w:sz w:val="22"/>
          <w:szCs w:val="22"/>
        </w:rPr>
        <w:t xml:space="preserve">Pour accéder à l’espace de consultation du marché ou pour déposer leur pli, </w:t>
      </w:r>
      <w:r>
        <w:rPr>
          <w:rFonts w:asciiTheme="minorHAnsi" w:eastAsia="Times New Roman" w:hAnsiTheme="minorHAnsi" w:cstheme="minorHAnsi"/>
          <w:sz w:val="22"/>
          <w:szCs w:val="22"/>
        </w:rPr>
        <w:t>les soumissionnaires doivent se connecter à la Plateforme des Achats de l’Etat à l’adresse suivante</w:t>
      </w:r>
      <w:r>
        <w:rPr>
          <w:rFonts w:asciiTheme="minorHAnsi" w:hAnsiTheme="minorHAnsi" w:cstheme="minorHAnsi"/>
          <w:sz w:val="22"/>
          <w:szCs w:val="22"/>
        </w:rPr>
        <w:t xml:space="preserve"> : </w:t>
      </w:r>
    </w:p>
    <w:p w14:paraId="5D1E7F6A" w14:textId="0E490242" w:rsidR="006D181A" w:rsidRDefault="00531D1F">
      <w:pPr>
        <w:spacing w:line="240" w:lineRule="auto"/>
        <w:jc w:val="both"/>
        <w:rPr>
          <w:rFonts w:asciiTheme="minorHAnsi" w:hAnsiTheme="minorHAnsi" w:cstheme="minorHAnsi"/>
          <w:sz w:val="22"/>
          <w:szCs w:val="22"/>
        </w:rPr>
      </w:pPr>
      <w:hyperlink w:history="1">
        <w:r w:rsidR="00195005">
          <w:rPr>
            <w:rStyle w:val="Lienhypertexte"/>
            <w:rFonts w:asciiTheme="minorHAnsi" w:hAnsiTheme="minorHAnsi" w:cstheme="minorHAnsi"/>
            <w:sz w:val="22"/>
            <w:szCs w:val="22"/>
          </w:rPr>
          <w:t xml:space="preserve">https://www.marches-publics.gouv.fr </w:t>
        </w:r>
      </w:hyperlink>
    </w:p>
    <w:p w14:paraId="2623B2C0" w14:textId="42C2ECA7" w:rsidR="006D181A" w:rsidRDefault="00195005">
      <w:pPr>
        <w:spacing w:before="120" w:line="240" w:lineRule="auto"/>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Toute remise par un autre moyen sera rejetée.</w:t>
      </w:r>
    </w:p>
    <w:p w14:paraId="1D8767E9" w14:textId="77777777" w:rsidR="006D181A" w:rsidRDefault="00195005">
      <w:pPr>
        <w:spacing w:before="120" w:line="240" w:lineRule="auto"/>
        <w:jc w:val="both"/>
        <w:rPr>
          <w:rStyle w:val="Lienhypertexte"/>
          <w:rFonts w:asciiTheme="minorHAnsi" w:hAnsiTheme="minorHAnsi" w:cstheme="minorHAnsi"/>
          <w:sz w:val="22"/>
          <w:szCs w:val="22"/>
        </w:rPr>
      </w:pPr>
      <w:r>
        <w:rPr>
          <w:rFonts w:asciiTheme="minorHAnsi" w:hAnsiTheme="minorHAnsi" w:cstheme="minorHAnsi"/>
          <w:sz w:val="22"/>
          <w:szCs w:val="22"/>
        </w:rPr>
        <w:t xml:space="preserve">La procédure de dépôt des plis est détaillée sur le site </w:t>
      </w:r>
      <w:hyperlink r:id="rId15" w:tooltip="http://www.marches-publics.gouv.fr" w:history="1">
        <w:r>
          <w:rPr>
            <w:rStyle w:val="Lienhypertexte"/>
            <w:rFonts w:asciiTheme="minorHAnsi" w:hAnsiTheme="minorHAnsi" w:cstheme="minorHAnsi"/>
            <w:sz w:val="22"/>
            <w:szCs w:val="22"/>
          </w:rPr>
          <w:t>www.marches-publics.gouv.fr</w:t>
        </w:r>
      </w:hyperlink>
      <w:r>
        <w:rPr>
          <w:rStyle w:val="Lienhypertexte"/>
          <w:rFonts w:asciiTheme="minorHAnsi" w:hAnsiTheme="minorHAnsi" w:cstheme="minorHAnsi"/>
          <w:sz w:val="22"/>
          <w:szCs w:val="22"/>
        </w:rPr>
        <w:t xml:space="preserve">. </w:t>
      </w:r>
    </w:p>
    <w:p w14:paraId="47847862" w14:textId="6F1F3650" w:rsidR="006D181A" w:rsidRDefault="00195005">
      <w:pPr>
        <w:spacing w:before="120" w:line="240" w:lineRule="auto"/>
        <w:jc w:val="both"/>
        <w:rPr>
          <w:rFonts w:asciiTheme="minorHAnsi" w:hAnsiTheme="minorHAnsi" w:cstheme="minorHAnsi"/>
          <w:sz w:val="22"/>
          <w:szCs w:val="22"/>
        </w:rPr>
      </w:pPr>
      <w:r>
        <w:rPr>
          <w:rStyle w:val="Lienhypertexte"/>
          <w:rFonts w:asciiTheme="minorHAnsi" w:hAnsiTheme="minorHAnsi" w:cstheme="minorHAnsi"/>
          <w:color w:val="auto"/>
          <w:sz w:val="22"/>
          <w:szCs w:val="22"/>
          <w:u w:val="none"/>
        </w:rPr>
        <w:t xml:space="preserve">Les soumissionnaires y trouveront notamment </w:t>
      </w:r>
      <w:r>
        <w:rPr>
          <w:rFonts w:asciiTheme="minorHAnsi" w:hAnsiTheme="minorHAnsi" w:cstheme="minorHAnsi"/>
          <w:sz w:val="22"/>
          <w:szCs w:val="22"/>
        </w:rPr>
        <w:t xml:space="preserve">un « guide utilisateur » téléchargeable qui précise les conditions d'utilisations de la plate-forme des achats de l'État, notamment les </w:t>
      </w:r>
      <w:proofErr w:type="spellStart"/>
      <w:r>
        <w:rPr>
          <w:rFonts w:asciiTheme="minorHAnsi" w:hAnsiTheme="minorHAnsi" w:cstheme="minorHAnsi"/>
          <w:sz w:val="22"/>
          <w:szCs w:val="22"/>
        </w:rPr>
        <w:t>pré-requis</w:t>
      </w:r>
      <w:proofErr w:type="spellEnd"/>
      <w:r>
        <w:rPr>
          <w:rFonts w:asciiTheme="minorHAnsi" w:hAnsiTheme="minorHAnsi" w:cstheme="minorHAnsi"/>
          <w:sz w:val="22"/>
          <w:szCs w:val="22"/>
        </w:rPr>
        <w:t xml:space="preserve"> techniques et certificats électroniques.</w:t>
      </w:r>
    </w:p>
    <w:p w14:paraId="7DBACFCA" w14:textId="271232F7" w:rsidR="006D181A" w:rsidRDefault="00195005">
      <w:pPr>
        <w:spacing w:before="120" w:line="240" w:lineRule="auto"/>
        <w:jc w:val="both"/>
        <w:rPr>
          <w:rStyle w:val="Lienhypertexte"/>
          <w:rFonts w:asciiTheme="minorHAnsi" w:hAnsiTheme="minorHAnsi" w:cstheme="minorHAnsi"/>
          <w:color w:val="auto"/>
          <w:sz w:val="22"/>
          <w:szCs w:val="22"/>
          <w:u w:val="none"/>
        </w:rPr>
      </w:pPr>
      <w:r>
        <w:rPr>
          <w:rFonts w:asciiTheme="minorHAnsi" w:hAnsiTheme="minorHAnsi" w:cstheme="minorHAnsi"/>
          <w:sz w:val="22"/>
          <w:szCs w:val="22"/>
        </w:rPr>
        <w:t>S'ils le souhaitent, les candidats pourront prendre contact avec le 09 72 37 01 30 tous les jours ouvrés de 9h00 à 19h00 pour bénéficier d'une assistance technique de PLACE dans l'accomplissement de ces opérations.</w:t>
      </w:r>
    </w:p>
    <w:p w14:paraId="24D2097F" w14:textId="0087BCF8"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En cas d'allotissement, chaque lot doit obligatoirement faire l'objet d'un dépôt électronique. Il est toutefois possible de faire un dépôt électronique unique pour plusieurs lots à condition que l'identification des lots auxquels il est répondu soit possible et sans ambigüité.</w:t>
      </w:r>
    </w:p>
    <w:p w14:paraId="6067E5C0" w14:textId="10C90D4D"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frais d'accès au réseau et de recours à la signature électronique sont à la charge de chaque candidat.</w:t>
      </w:r>
    </w:p>
    <w:p w14:paraId="0CE5EA11" w14:textId="0C100EA7" w:rsidR="006D181A" w:rsidRDefault="00195005">
      <w:pPr>
        <w:spacing w:before="120" w:line="240" w:lineRule="auto"/>
        <w:jc w:val="both"/>
        <w:rPr>
          <w:rFonts w:asciiTheme="minorHAnsi" w:hAnsiTheme="minorHAnsi" w:cstheme="minorHAnsi"/>
          <w:sz w:val="22"/>
          <w:szCs w:val="22"/>
          <w:u w:val="single"/>
        </w:rPr>
      </w:pPr>
      <w:r>
        <w:rPr>
          <w:rFonts w:asciiTheme="minorHAnsi" w:hAnsiTheme="minorHAnsi" w:cstheme="minorHAnsi"/>
          <w:sz w:val="22"/>
          <w:szCs w:val="22"/>
        </w:rPr>
        <w:t>Les soumissionnaires sont invités à tester la configuration de leur poste de travail et répondre à une consultation test, afin de s'assurer du bon fonctionnement de l'environnement informatique.</w:t>
      </w:r>
    </w:p>
    <w:p w14:paraId="12F00841" w14:textId="10D7164C"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L'attention des soumissionnaires est attirée sur le fait qu'ils devront au moins disposer d'un logiciel de navigation sur Internet. La disposition d'un outil de signature électronique n’est pas obligatoire.</w:t>
      </w:r>
    </w:p>
    <w:p w14:paraId="56FC0F41" w14:textId="26370480"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Pour constituer son offre, le soumissionnaire devra transmettre des fichiers établis dans les formats informatiques suivants : fichiers PDF, RTF, ZIP, suite Microsoft Office, LibreOffice ou Open Office. Tout fichier informatique établi dans un format informatique différent sera déclaré nul et non avenu.</w:t>
      </w:r>
    </w:p>
    <w:p w14:paraId="6264228B" w14:textId="77777777" w:rsidR="006D181A" w:rsidRDefault="00195005">
      <w:pPr>
        <w:spacing w:before="240" w:line="240" w:lineRule="auto"/>
        <w:jc w:val="both"/>
        <w:rPr>
          <w:rFonts w:asciiTheme="minorHAnsi" w:hAnsiTheme="minorHAnsi" w:cstheme="minorHAnsi"/>
          <w:b/>
          <w:sz w:val="22"/>
          <w:szCs w:val="22"/>
        </w:rPr>
      </w:pPr>
      <w:r>
        <w:rPr>
          <w:rFonts w:asciiTheme="minorHAnsi" w:hAnsiTheme="minorHAnsi" w:cstheme="minorHAnsi"/>
          <w:b/>
          <w:sz w:val="22"/>
          <w:szCs w:val="22"/>
        </w:rPr>
        <w:t>ATTENTION !</w:t>
      </w:r>
    </w:p>
    <w:p w14:paraId="01C8BE15" w14:textId="77777777"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Tout fichier constitutif de l’offre devra être exempt d'un quelconque virus informatique et devra être préalablement traité, à cette fin, par le soumissionnaire par un anti-virus régulièrement mis à jour. Il en est de même pour tout autre fichier échangé dans le cadre de cette procédure de marché public.</w:t>
      </w:r>
    </w:p>
    <w:p w14:paraId="26A9C376" w14:textId="74BD5A22"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 pouvoir adjudicateur pourra procéder à un archivage de sécurité de tout fichier contenant un virus informatique. Dès lors, celui-ci sera réputé n'avoir jamais été reçu.</w:t>
      </w:r>
    </w:p>
    <w:p w14:paraId="59BC3B95" w14:textId="77777777"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NB : L’attention des soumissionnaires est attirée sur la durée d’acheminement des plis électroniques volumineux. Le délai moyen de téléchargement peut varier en fonction de paramètres divers comme la capacité technique du matériel, le type de raccordement à internet, le trafic sur le réseau…</w:t>
      </w:r>
    </w:p>
    <w:p w14:paraId="2013827A" w14:textId="1F37D353"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Dans la mesure où la date et l’heure de fin d’acheminement font foi lors de la remise d’une réponse dématérialisée, les soumissionnaires sont invités à intégrer des marges de manœuvre dans leur processus de réponse par voie dématérialisée.</w:t>
      </w:r>
    </w:p>
    <w:p w14:paraId="34393ADE" w14:textId="554DD193"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Même si son offre à la présente procédure de marché public a fait l'objet d'une transmission électronique, le soumissionnaire s'engage, notamment dans le cas où son offre est retenue, à accepter la re-matérialisation conforme sous forme papier de tous les documents constitutifs à valeur contractuelle. A ce titre, il s'engage également à ce que la personne physique auteur de leur signature électronique procède à leur signature manuscrite sans procéder à la moindre modification de ceux-ci et les renvoie aux pouvoirs adjudicateurs sous cette forme. Il s'engage enfin à en accepter la notification, selon les procédés habituellement en cours, sous forme papier.</w:t>
      </w:r>
    </w:p>
    <w:p w14:paraId="5BF97789" w14:textId="77777777"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0" w:name="_Toc63419901"/>
      <w:bookmarkStart w:id="81" w:name="_Toc63419905"/>
      <w:bookmarkEnd w:id="80"/>
      <w:bookmarkEnd w:id="81"/>
      <w:r>
        <w:rPr>
          <w:rFonts w:asciiTheme="minorHAnsi" w:hAnsiTheme="minorHAnsi" w:cstheme="minorHAnsi"/>
          <w:b/>
          <w:caps/>
          <w:sz w:val="28"/>
          <w:szCs w:val="22"/>
          <w:u w:val="single"/>
        </w:rPr>
        <w:t> </w:t>
      </w:r>
      <w:bookmarkStart w:id="82" w:name="_Toc224222982"/>
      <w:r>
        <w:rPr>
          <w:rFonts w:asciiTheme="minorHAnsi" w:hAnsiTheme="minorHAnsi" w:cstheme="minorHAnsi"/>
          <w:b/>
          <w:caps/>
          <w:sz w:val="28"/>
          <w:szCs w:val="22"/>
          <w:u w:val="single"/>
        </w:rPr>
        <w:t>Analyse des candidatures</w:t>
      </w:r>
      <w:bookmarkEnd w:id="82"/>
    </w:p>
    <w:p w14:paraId="52C4E165" w14:textId="77777777"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La sélection des candidatures est assurée par le Comité d’évaluation d’Expertise France et se déroule selon les modalités suivantes.</w:t>
      </w:r>
    </w:p>
    <w:p w14:paraId="520940B5" w14:textId="3142125D"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En application des dispositions de l'article R.2161-4 du code de la commande publique, le Comité d’évaluation peut décider d'examiner les offres avant les candidatures.</w:t>
      </w:r>
    </w:p>
    <w:p w14:paraId="4804346C" w14:textId="06C0E5F1"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Dans ce cas, les documents justificatifs concernant l'aptitude et les capacités ainsi que les moyens de preuve relatifs aux motifs d'exclusion ne sont demandés par l’autorité contractante qu'au(x) soumissionnaire(s) auquel(s) il est envisagé d'attribuer le marché.</w:t>
      </w:r>
    </w:p>
    <w:p w14:paraId="7DC7EEAF" w14:textId="77777777" w:rsidR="006D181A" w:rsidRDefault="006D181A">
      <w:pPr>
        <w:jc w:val="both"/>
        <w:rPr>
          <w:rFonts w:asciiTheme="minorHAnsi" w:hAnsiTheme="minorHAnsi" w:cstheme="minorHAnsi"/>
          <w:color w:val="000000"/>
          <w:sz w:val="22"/>
          <w:szCs w:val="22"/>
        </w:rPr>
      </w:pPr>
    </w:p>
    <w:p w14:paraId="3956B9A1" w14:textId="03682832" w:rsidR="006D181A" w:rsidRDefault="00195005">
      <w:pPr>
        <w:pStyle w:val="Titre2"/>
        <w:spacing w:before="120" w:after="120" w:line="240" w:lineRule="auto"/>
        <w:jc w:val="both"/>
        <w:rPr>
          <w:rFonts w:asciiTheme="minorHAnsi" w:hAnsiTheme="minorHAnsi" w:cstheme="minorHAnsi"/>
          <w:sz w:val="22"/>
          <w:szCs w:val="22"/>
          <w:u w:val="single"/>
        </w:rPr>
      </w:pPr>
      <w:bookmarkStart w:id="83" w:name="_Toc224222983"/>
      <w:r>
        <w:rPr>
          <w:rFonts w:asciiTheme="minorHAnsi" w:hAnsiTheme="minorHAnsi" w:cstheme="minorHAnsi"/>
          <w:sz w:val="22"/>
          <w:szCs w:val="22"/>
          <w:u w:val="single"/>
        </w:rPr>
        <w:t>Demande de compléments de candidature</w:t>
      </w:r>
      <w:bookmarkEnd w:id="83"/>
    </w:p>
    <w:p w14:paraId="371872C3" w14:textId="274F2702"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Si l’autorité contractante constate, avant de procéder à l'examen des candidatures, que des pièces ou des informations dont la production était réclamée sont absentes ou incomplètes, elle peut demander aux candidats concernés de compléter leur dossier de candidature dans un délai identique pour tous. Ce délai est précisé avec la demande de complément.</w:t>
      </w:r>
    </w:p>
    <w:p w14:paraId="0C6BB796" w14:textId="2298394A"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Les candidatures incomplètes ou demeurées incomplètes à la suite d'une demande de compléments sont éliminées.</w:t>
      </w:r>
    </w:p>
    <w:p w14:paraId="5929F4B1" w14:textId="0D831298" w:rsidR="006D181A" w:rsidRDefault="00195005">
      <w:pPr>
        <w:pStyle w:val="Titre2"/>
        <w:spacing w:before="120" w:after="120" w:line="240" w:lineRule="auto"/>
        <w:jc w:val="both"/>
        <w:rPr>
          <w:rFonts w:asciiTheme="minorHAnsi" w:hAnsiTheme="minorHAnsi" w:cstheme="minorHAnsi"/>
          <w:sz w:val="22"/>
          <w:szCs w:val="22"/>
          <w:u w:val="single"/>
        </w:rPr>
      </w:pPr>
      <w:bookmarkStart w:id="84" w:name="_Toc224222984"/>
      <w:r>
        <w:rPr>
          <w:rFonts w:asciiTheme="minorHAnsi" w:hAnsiTheme="minorHAnsi" w:cstheme="minorHAnsi"/>
          <w:sz w:val="22"/>
          <w:szCs w:val="22"/>
          <w:u w:val="single"/>
        </w:rPr>
        <w:t>Rejet des candidatures hors délais - Ouverture des plis</w:t>
      </w:r>
      <w:bookmarkEnd w:id="84"/>
    </w:p>
    <w:p w14:paraId="5886814F" w14:textId="2A261AC1" w:rsidR="006D181A" w:rsidRDefault="00195005">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candidats et la composition des plis déposés. </w:t>
      </w:r>
    </w:p>
    <w:p w14:paraId="3B1B9329" w14:textId="77777777" w:rsidR="006D181A" w:rsidRDefault="00195005">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plis reçus hors délais sont immédiatement écartés.</w:t>
      </w:r>
    </w:p>
    <w:p w14:paraId="2612C0FD"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85" w:name="_Toc224222985"/>
      <w:r>
        <w:rPr>
          <w:rFonts w:asciiTheme="minorHAnsi" w:hAnsiTheme="minorHAnsi" w:cstheme="minorHAnsi"/>
          <w:sz w:val="22"/>
          <w:szCs w:val="22"/>
          <w:u w:val="single"/>
        </w:rPr>
        <w:t>Recevabilité des candidatures</w:t>
      </w:r>
      <w:bookmarkEnd w:id="85"/>
    </w:p>
    <w:p w14:paraId="388277FC" w14:textId="6A25A1E3"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En conformité avec l’Article 3 du présent document portant sur les conditions de participations, Le Comité d’évaluation d’Expertise France procède à l'analyse des de la recevabilité des candidatures sur la base des critères de recevabilité suivants :</w:t>
      </w:r>
    </w:p>
    <w:p w14:paraId="0041E2BB" w14:textId="77777777"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Enregistrement du candidat au registre du commerce</w:t>
      </w:r>
    </w:p>
    <w:p w14:paraId="7AA3CDC9" w14:textId="77777777"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Satisfaction aux obligations sociales du candidat</w:t>
      </w:r>
    </w:p>
    <w:p w14:paraId="791A9E84" w14:textId="77777777"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Satisfaction aux obligations fiscales du candidat</w:t>
      </w:r>
    </w:p>
    <w:p w14:paraId="52ECC461" w14:textId="1CDB8BD6" w:rsidR="006D181A" w:rsidRDefault="00195005">
      <w:pPr>
        <w:pStyle w:val="Paragraphedeliste"/>
        <w:numPr>
          <w:ilvl w:val="0"/>
          <w:numId w:val="32"/>
        </w:numPr>
        <w:jc w:val="both"/>
        <w:rPr>
          <w:rFonts w:asciiTheme="minorHAnsi" w:hAnsiTheme="minorHAnsi" w:cstheme="minorHAnsi"/>
          <w:bCs/>
          <w:iCs/>
          <w:sz w:val="22"/>
          <w:szCs w:val="22"/>
        </w:rPr>
      </w:pPr>
      <w:r>
        <w:rPr>
          <w:rFonts w:asciiTheme="minorHAnsi" w:hAnsiTheme="minorHAnsi" w:cstheme="minorHAnsi"/>
          <w:color w:val="000000"/>
          <w:sz w:val="22"/>
          <w:szCs w:val="22"/>
        </w:rPr>
        <w:t xml:space="preserve">Le candidat ne doit pas se trouver dans une situation mentionnée des articles L. 2141-1 à L 2141-6 et L. 2141-7 à L. 2141-11 du Code de la commande publique et ne figurent pas </w:t>
      </w:r>
      <w:r>
        <w:rPr>
          <w:rFonts w:asciiTheme="minorHAnsi" w:hAnsiTheme="minorHAnsi" w:cstheme="minorHAnsi"/>
          <w:bCs/>
          <w:iCs/>
          <w:sz w:val="22"/>
          <w:szCs w:val="22"/>
        </w:rPr>
        <w:t>sur une liste d’exclusion officielle que leur situation soit révélée par leurs propres déclarations ou par la mise en œuvre des mesures de vigilance par l’autorité contractante</w:t>
      </w:r>
    </w:p>
    <w:p w14:paraId="6EE4AC8E" w14:textId="77777777"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Le candidat ou son représentant ne doit pas se trouver dans une situation de conflit d’intérêt vis-à-vis de l’autorité adjudicatrice et/ou des bénéficiaires du contrat d’achat</w:t>
      </w:r>
    </w:p>
    <w:p w14:paraId="56ABE2C5" w14:textId="71B58008"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Le candidat doit justifier d’une mise en œuvre suffisante des mesures techniques et organisationnelles appropriées, de sorte que le traitement des données à caractère personnel qu’il opère soit conforme aux obligations règlementaires et légales en matière de protection des données (RGPD et loi Informatique et Libertés) et garantisse bien à cet égard la protection des droits de la personne concernée </w:t>
      </w:r>
    </w:p>
    <w:p w14:paraId="49539DD1" w14:textId="4F10B0FD" w:rsidR="006D181A" w:rsidRDefault="00195005">
      <w:pPr>
        <w:pStyle w:val="Paragraphedeliste"/>
        <w:numPr>
          <w:ilvl w:val="0"/>
          <w:numId w:val="32"/>
        </w:numPr>
        <w:jc w:val="both"/>
        <w:rPr>
          <w:rFonts w:asciiTheme="minorHAnsi" w:hAnsiTheme="minorHAnsi" w:cstheme="minorHAnsi"/>
          <w:color w:val="000000"/>
          <w:sz w:val="22"/>
          <w:szCs w:val="22"/>
        </w:rPr>
      </w:pPr>
      <w:r>
        <w:rPr>
          <w:rFonts w:asciiTheme="minorHAnsi" w:hAnsiTheme="minorHAnsi" w:cstheme="minorHAnsi"/>
          <w:color w:val="000000"/>
          <w:sz w:val="22"/>
          <w:szCs w:val="22"/>
        </w:rPr>
        <w:t>Les candidatures qui ne justifient pas de l'aptitude professionnelle et/ou qui ne disposent manifestement pas des capacités professionnelles, techniques ou financières suffisantes demandées pour cette consultation sont éliminées.</w:t>
      </w:r>
    </w:p>
    <w:p w14:paraId="5D848059" w14:textId="502C08AF" w:rsidR="006D181A" w:rsidRDefault="00195005">
      <w:pPr>
        <w:pStyle w:val="Paragraphedeliste"/>
        <w:numPr>
          <w:ilvl w:val="0"/>
          <w:numId w:val="32"/>
        </w:numPr>
        <w:jc w:val="both"/>
        <w:rPr>
          <w:rFonts w:ascii="Calibri" w:hAnsi="Calibri" w:cs="Calibri"/>
          <w:sz w:val="22"/>
          <w:szCs w:val="22"/>
          <w:lang w:eastAsia="en-US"/>
        </w:rPr>
      </w:pPr>
      <w:r>
        <w:rPr>
          <w:rFonts w:ascii="Calibri" w:hAnsi="Calibri" w:cs="Calibri"/>
          <w:sz w:val="22"/>
          <w:szCs w:val="22"/>
          <w:lang w:eastAsia="en-US"/>
        </w:rPr>
        <w:t xml:space="preserve">Le candidat doit justifier d’un dispositif de sûreté interne fiable permettant de garantir la sécurité des personnes impliquées dans la mise en œuvre du contrat dès lors que des déplacements sont prévus en zone organe ou rouge </w:t>
      </w:r>
      <w:r>
        <w:rPr>
          <w:rFonts w:ascii="Calibri" w:hAnsi="Calibri" w:cs="Calibri"/>
          <w:sz w:val="22"/>
          <w:szCs w:val="22"/>
        </w:rPr>
        <w:t xml:space="preserve">(conformément aux cartes régionales de vigilance mises à disposition par le Ministère français de l’Europe et des Affaires étrangères </w:t>
      </w:r>
      <w:hyperlink r:id="rId16" w:tooltip="https://www.diplomatie.gouv.fr/fr/conseils-aux-voyageurs/" w:history="1">
        <w:r>
          <w:rPr>
            <w:rStyle w:val="Lienhypertexte"/>
            <w:rFonts w:ascii="Calibri" w:hAnsi="Calibri" w:cs="Calibri"/>
            <w:sz w:val="22"/>
            <w:szCs w:val="22"/>
          </w:rPr>
          <w:t>https://www.diplomatie.gouv.fr/fr/conseils-aux-voyageurs/</w:t>
        </w:r>
      </w:hyperlink>
      <w:r>
        <w:rPr>
          <w:rFonts w:ascii="Calibri" w:hAnsi="Calibri" w:cs="Calibri"/>
          <w:sz w:val="22"/>
          <w:szCs w:val="22"/>
        </w:rPr>
        <w:t>).</w:t>
      </w:r>
    </w:p>
    <w:p w14:paraId="54A18FFF" w14:textId="1F54746A" w:rsidR="006D181A" w:rsidRDefault="006D181A"/>
    <w:p w14:paraId="5E6F48B6" w14:textId="00C43B27"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86" w:name="_Toc224222986"/>
      <w:r>
        <w:rPr>
          <w:rFonts w:asciiTheme="minorHAnsi" w:hAnsiTheme="minorHAnsi" w:cstheme="minorHAnsi"/>
          <w:b/>
          <w:caps/>
          <w:sz w:val="28"/>
          <w:szCs w:val="22"/>
          <w:u w:val="single"/>
        </w:rPr>
        <w:t>Evaluation des offres, négociation et attribution</w:t>
      </w:r>
      <w:bookmarkEnd w:id="86"/>
    </w:p>
    <w:p w14:paraId="6E4569E5" w14:textId="77777777"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La procédure de sélection des offres est assurée par le Comité d’évaluation d’Expertise France et se déroule selon les modalités suivantes :</w:t>
      </w:r>
    </w:p>
    <w:p w14:paraId="77FC7917"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87" w:name="_Toc224222987"/>
      <w:r>
        <w:rPr>
          <w:rFonts w:asciiTheme="minorHAnsi" w:hAnsiTheme="minorHAnsi" w:cstheme="minorHAnsi"/>
          <w:sz w:val="22"/>
          <w:szCs w:val="22"/>
          <w:u w:val="single"/>
        </w:rPr>
        <w:t>Rejet des offres hors délais - Ouverture des offres</w:t>
      </w:r>
      <w:bookmarkEnd w:id="87"/>
    </w:p>
    <w:p w14:paraId="2BBE4DC9" w14:textId="3AC685D9" w:rsidR="006D181A" w:rsidRDefault="00195005">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Le Comité d’ouverture des plis (séance non publique) recense les plis reçus et l’identité des soumissionnaires et la composition des plis déposés. </w:t>
      </w:r>
    </w:p>
    <w:p w14:paraId="20DE04A3" w14:textId="77777777" w:rsidR="006D181A" w:rsidRDefault="00195005">
      <w:pPr>
        <w:spacing w:before="120"/>
        <w:jc w:val="both"/>
        <w:rPr>
          <w:rFonts w:asciiTheme="minorHAnsi" w:hAnsiTheme="minorHAnsi" w:cstheme="minorHAnsi"/>
          <w:color w:val="000000"/>
          <w:sz w:val="22"/>
          <w:szCs w:val="22"/>
        </w:rPr>
      </w:pPr>
      <w:r>
        <w:rPr>
          <w:rFonts w:asciiTheme="minorHAnsi" w:hAnsiTheme="minorHAnsi" w:cstheme="minorHAnsi"/>
          <w:color w:val="000000"/>
          <w:sz w:val="22"/>
          <w:szCs w:val="22"/>
        </w:rPr>
        <w:t>Les plis reçus hors délais sont immédiatement écartés.</w:t>
      </w:r>
    </w:p>
    <w:p w14:paraId="0F7F49EE"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88" w:name="_Toc224222988"/>
      <w:r>
        <w:rPr>
          <w:rFonts w:asciiTheme="minorHAnsi" w:hAnsiTheme="minorHAnsi" w:cstheme="minorHAnsi"/>
          <w:sz w:val="22"/>
          <w:szCs w:val="22"/>
          <w:u w:val="single"/>
        </w:rPr>
        <w:t>Analyse des offres</w:t>
      </w:r>
      <w:bookmarkEnd w:id="88"/>
    </w:p>
    <w:p w14:paraId="2143EBDB" w14:textId="79D6F4AB"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Après avoir vérifié que les offres reçues sont régulières, acceptables et appropriées, le Comité d’évaluation d’Expertise France procède à l'analyse des offres des soumissionnaires retenus en application des critères définis ci-après.</w:t>
      </w:r>
    </w:p>
    <w:p w14:paraId="1CC9502A" w14:textId="7B6EAFFD" w:rsidR="006D181A" w:rsidRDefault="00195005">
      <w:pPr>
        <w:pStyle w:val="Titre2"/>
        <w:spacing w:before="120" w:after="120" w:line="240" w:lineRule="auto"/>
        <w:jc w:val="both"/>
        <w:rPr>
          <w:rFonts w:asciiTheme="minorHAnsi" w:hAnsiTheme="minorHAnsi" w:cstheme="minorHAnsi"/>
          <w:sz w:val="22"/>
          <w:szCs w:val="22"/>
          <w:u w:val="single"/>
        </w:rPr>
      </w:pPr>
      <w:bookmarkStart w:id="89" w:name="_Toc224222989"/>
      <w:r>
        <w:rPr>
          <w:rFonts w:asciiTheme="minorHAnsi" w:hAnsiTheme="minorHAnsi" w:cstheme="minorHAnsi"/>
          <w:sz w:val="22"/>
          <w:szCs w:val="22"/>
          <w:u w:val="single"/>
        </w:rPr>
        <w:t>Rejet des offres irrégulières, inacceptables et inappropriées</w:t>
      </w:r>
      <w:bookmarkEnd w:id="89"/>
    </w:p>
    <w:p w14:paraId="3160E03D" w14:textId="157C9420" w:rsidR="006D181A" w:rsidRDefault="00195005">
      <w:pPr>
        <w:jc w:val="both"/>
        <w:rPr>
          <w:rFonts w:asciiTheme="minorHAnsi" w:hAnsiTheme="minorHAnsi" w:cstheme="minorHAnsi"/>
          <w:color w:val="000000"/>
          <w:sz w:val="22"/>
          <w:szCs w:val="22"/>
        </w:rPr>
      </w:pPr>
      <w:r>
        <w:rPr>
          <w:rFonts w:asciiTheme="minorHAnsi" w:hAnsiTheme="minorHAnsi" w:cstheme="minorHAnsi"/>
          <w:color w:val="000000"/>
          <w:sz w:val="22"/>
          <w:szCs w:val="22"/>
        </w:rPr>
        <w:t>Le Comité d’évaluation procède à l’examen des offres reçues et, en application de l’article R.2152-1 du code de la commande publique, rejette les offres jugées irrégulières, inacceptables ou inappropriées, le cas échéant après mise en œuvre de la procédure de régularisation prévue à l’article R.2152-2 du même code.</w:t>
      </w:r>
    </w:p>
    <w:p w14:paraId="2F01284F" w14:textId="674B5A2D" w:rsidR="006D181A" w:rsidRDefault="00195005">
      <w:pPr>
        <w:pStyle w:val="Titre2"/>
        <w:spacing w:before="120" w:after="120" w:line="240" w:lineRule="auto"/>
        <w:jc w:val="both"/>
        <w:rPr>
          <w:rFonts w:asciiTheme="minorHAnsi" w:hAnsiTheme="minorHAnsi" w:cstheme="minorHAnsi"/>
          <w:sz w:val="22"/>
          <w:szCs w:val="22"/>
          <w:u w:val="single"/>
        </w:rPr>
      </w:pPr>
      <w:bookmarkStart w:id="90" w:name="_Toc224222990"/>
      <w:r>
        <w:rPr>
          <w:rFonts w:asciiTheme="minorHAnsi" w:hAnsiTheme="minorHAnsi" w:cstheme="minorHAnsi"/>
          <w:sz w:val="22"/>
          <w:szCs w:val="22"/>
          <w:u w:val="single"/>
        </w:rPr>
        <w:t>Comparaison des offres pour sélection de l’offre économiquement la plus avantageuse</w:t>
      </w:r>
      <w:bookmarkEnd w:id="90"/>
    </w:p>
    <w:p w14:paraId="113EA4BE" w14:textId="77777777" w:rsidR="006D181A" w:rsidRDefault="00195005">
      <w:pPr>
        <w:spacing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Le jugement des offres sera effectué séparément selon les critères suivants par l’attribution d'une note à concurrence du nombre de points maximum par critère figurant ci-après :</w:t>
      </w:r>
    </w:p>
    <w:p w14:paraId="5A45F6D7" w14:textId="6F2391F5" w:rsidR="006D181A" w:rsidRDefault="00195005">
      <w:pPr>
        <w:pStyle w:val="Titre2"/>
        <w:spacing w:before="120" w:after="120" w:line="240" w:lineRule="auto"/>
        <w:ind w:left="708"/>
        <w:jc w:val="both"/>
        <w:rPr>
          <w:rFonts w:asciiTheme="minorHAnsi" w:hAnsiTheme="minorHAnsi" w:cstheme="minorHAnsi"/>
          <w:i/>
          <w:sz w:val="22"/>
          <w:szCs w:val="22"/>
        </w:rPr>
      </w:pPr>
      <w:bookmarkStart w:id="91" w:name="_Toc224222992"/>
      <w:r>
        <w:rPr>
          <w:rFonts w:asciiTheme="minorHAnsi" w:hAnsiTheme="minorHAnsi" w:cstheme="minorHAnsi"/>
          <w:i/>
          <w:sz w:val="22"/>
          <w:szCs w:val="22"/>
        </w:rPr>
        <w:t>Critère 1 : Valeur technique</w:t>
      </w:r>
      <w:bookmarkEnd w:id="91"/>
      <w:r>
        <w:rPr>
          <w:rFonts w:asciiTheme="minorHAnsi" w:hAnsiTheme="minorHAnsi" w:cstheme="minorHAnsi"/>
          <w:i/>
          <w:sz w:val="22"/>
          <w:szCs w:val="22"/>
        </w:rPr>
        <w:t xml:space="preserve"> (70 points)</w:t>
      </w:r>
    </w:p>
    <w:tbl>
      <w:tblPr>
        <w:tblStyle w:val="Grilledutableau"/>
        <w:tblW w:w="0" w:type="auto"/>
        <w:tblLook w:val="04A0" w:firstRow="1" w:lastRow="0" w:firstColumn="1" w:lastColumn="0" w:noHBand="0" w:noVBand="1"/>
      </w:tblPr>
      <w:tblGrid>
        <w:gridCol w:w="7508"/>
        <w:gridCol w:w="1838"/>
      </w:tblGrid>
      <w:tr w:rsidR="006D181A" w14:paraId="50077682" w14:textId="77777777">
        <w:tc>
          <w:tcPr>
            <w:tcW w:w="7508" w:type="dxa"/>
            <w:shd w:val="clear" w:color="auto" w:fill="F2F2F2" w:themeFill="background1" w:themeFillShade="F2"/>
            <w:vAlign w:val="center"/>
          </w:tcPr>
          <w:p w14:paraId="6AC02A4A" w14:textId="42A34F00"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Sous-critères permettant d’apprécier la qualité technique</w:t>
            </w:r>
          </w:p>
        </w:tc>
        <w:tc>
          <w:tcPr>
            <w:tcW w:w="1838" w:type="dxa"/>
            <w:shd w:val="clear" w:color="auto" w:fill="F2F2F2" w:themeFill="background1" w:themeFillShade="F2"/>
            <w:vAlign w:val="center"/>
          </w:tcPr>
          <w:p w14:paraId="692353D7" w14:textId="77777777"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Nombre de points maximum</w:t>
            </w:r>
          </w:p>
        </w:tc>
      </w:tr>
      <w:tr w:rsidR="006D181A" w14:paraId="495A492B" w14:textId="77777777">
        <w:tc>
          <w:tcPr>
            <w:tcW w:w="7508" w:type="dxa"/>
            <w:shd w:val="clear" w:color="auto" w:fill="auto"/>
          </w:tcPr>
          <w:p w14:paraId="3983C8CD" w14:textId="69028586" w:rsidR="006D181A" w:rsidRDefault="00195005">
            <w:pPr>
              <w:jc w:val="both"/>
              <w:rPr>
                <w:rFonts w:asciiTheme="minorHAnsi" w:hAnsiTheme="minorHAnsi" w:cstheme="minorHAnsi"/>
                <w:b/>
                <w:sz w:val="22"/>
                <w:szCs w:val="22"/>
              </w:rPr>
            </w:pPr>
            <w:r>
              <w:rPr>
                <w:rFonts w:asciiTheme="minorHAnsi" w:hAnsiTheme="minorHAnsi" w:cstheme="minorHAnsi"/>
                <w:b/>
                <w:sz w:val="22"/>
                <w:szCs w:val="22"/>
              </w:rPr>
              <w:t>Sous-critère 1 : Compréhension du contexte et des enjeux du projet appréciée au regard des points II et III du Cahier de Charges</w:t>
            </w:r>
          </w:p>
        </w:tc>
        <w:tc>
          <w:tcPr>
            <w:tcW w:w="1838" w:type="dxa"/>
            <w:shd w:val="clear" w:color="auto" w:fill="auto"/>
            <w:vAlign w:val="center"/>
          </w:tcPr>
          <w:p w14:paraId="0FBB3AD7" w14:textId="168F5AE5"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10</w:t>
            </w:r>
          </w:p>
        </w:tc>
      </w:tr>
      <w:tr w:rsidR="006D181A" w14:paraId="27B5DEB3" w14:textId="77777777">
        <w:tc>
          <w:tcPr>
            <w:tcW w:w="7508" w:type="dxa"/>
            <w:shd w:val="clear" w:color="auto" w:fill="auto"/>
          </w:tcPr>
          <w:p w14:paraId="7F7F4AEB" w14:textId="3B5D34BC" w:rsidR="006D181A" w:rsidRDefault="00195005">
            <w:pPr>
              <w:jc w:val="both"/>
              <w:rPr>
                <w:rFonts w:asciiTheme="minorHAnsi" w:hAnsiTheme="minorHAnsi" w:cstheme="minorHAnsi"/>
                <w:b/>
                <w:sz w:val="22"/>
                <w:szCs w:val="22"/>
              </w:rPr>
            </w:pPr>
            <w:r>
              <w:rPr>
                <w:rFonts w:asciiTheme="minorHAnsi" w:hAnsiTheme="minorHAnsi" w:cstheme="minorHAnsi"/>
                <w:b/>
                <w:sz w:val="22"/>
                <w:szCs w:val="22"/>
              </w:rPr>
              <w:t>Sous-critère 2 : Qualité de l’organisation du projet, appréciée au regard du point IV (description des prestations attendues) du Cahier de Charges</w:t>
            </w:r>
          </w:p>
        </w:tc>
        <w:tc>
          <w:tcPr>
            <w:tcW w:w="1838" w:type="dxa"/>
            <w:shd w:val="clear" w:color="auto" w:fill="auto"/>
            <w:vAlign w:val="center"/>
          </w:tcPr>
          <w:p w14:paraId="516A1095" w14:textId="1E525CBF"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10</w:t>
            </w:r>
          </w:p>
        </w:tc>
      </w:tr>
      <w:tr w:rsidR="006D181A" w14:paraId="6CC8EEBF" w14:textId="77777777">
        <w:tc>
          <w:tcPr>
            <w:tcW w:w="7508" w:type="dxa"/>
            <w:shd w:val="clear" w:color="auto" w:fill="auto"/>
          </w:tcPr>
          <w:p w14:paraId="59B26548" w14:textId="3AD51D7F" w:rsidR="006D181A" w:rsidRDefault="00195005">
            <w:pPr>
              <w:jc w:val="both"/>
              <w:rPr>
                <w:rFonts w:asciiTheme="minorHAnsi" w:hAnsiTheme="minorHAnsi" w:cstheme="minorHAnsi"/>
                <w:b/>
                <w:sz w:val="22"/>
                <w:szCs w:val="22"/>
              </w:rPr>
            </w:pPr>
            <w:r>
              <w:rPr>
                <w:rFonts w:asciiTheme="minorHAnsi" w:hAnsiTheme="minorHAnsi" w:cstheme="minorHAnsi"/>
                <w:b/>
                <w:sz w:val="22"/>
                <w:szCs w:val="22"/>
              </w:rPr>
              <w:t xml:space="preserve">Sous-critère 3 : Expérience du prestataire, appréciée au regard des références, de la liste des partenaires et du nombre de traducteurs présentés, au regard du point V « Expertise et profils demandés » du Cahier de Charges »  </w:t>
            </w:r>
          </w:p>
        </w:tc>
        <w:tc>
          <w:tcPr>
            <w:tcW w:w="1838" w:type="dxa"/>
            <w:shd w:val="clear" w:color="auto" w:fill="auto"/>
            <w:vAlign w:val="center"/>
          </w:tcPr>
          <w:p w14:paraId="2BE4652E" w14:textId="14B29B36"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25</w:t>
            </w:r>
          </w:p>
        </w:tc>
      </w:tr>
      <w:tr w:rsidR="006D181A" w14:paraId="07E4024A" w14:textId="77777777">
        <w:tc>
          <w:tcPr>
            <w:tcW w:w="7508" w:type="dxa"/>
            <w:shd w:val="clear" w:color="auto" w:fill="auto"/>
          </w:tcPr>
          <w:p w14:paraId="2C864B7D" w14:textId="4D369A94" w:rsidR="006D181A" w:rsidRDefault="00195005">
            <w:pPr>
              <w:jc w:val="both"/>
              <w:rPr>
                <w:rFonts w:asciiTheme="minorHAnsi" w:hAnsiTheme="minorHAnsi" w:cstheme="minorHAnsi"/>
                <w:b/>
                <w:sz w:val="22"/>
                <w:szCs w:val="22"/>
              </w:rPr>
            </w:pPr>
            <w:r>
              <w:rPr>
                <w:rFonts w:asciiTheme="minorHAnsi" w:hAnsiTheme="minorHAnsi" w:cstheme="minorHAnsi"/>
                <w:b/>
                <w:sz w:val="22"/>
                <w:szCs w:val="22"/>
              </w:rPr>
              <w:t xml:space="preserve">Sous-critère 4 : </w:t>
            </w:r>
            <w:r w:rsidR="00690ED3">
              <w:rPr>
                <w:rFonts w:asciiTheme="minorHAnsi" w:hAnsiTheme="minorHAnsi" w:cstheme="minorHAnsi"/>
                <w:b/>
                <w:sz w:val="22"/>
                <w:szCs w:val="22"/>
              </w:rPr>
              <w:t>P</w:t>
            </w:r>
            <w:r w:rsidR="00690ED3" w:rsidRPr="00690ED3">
              <w:rPr>
                <w:rFonts w:asciiTheme="minorHAnsi" w:hAnsiTheme="minorHAnsi" w:cstheme="minorHAnsi"/>
                <w:b/>
                <w:sz w:val="22"/>
                <w:szCs w:val="22"/>
              </w:rPr>
              <w:t>ertinence et qualité de l’équipe proposée</w:t>
            </w:r>
            <w:r>
              <w:rPr>
                <w:rFonts w:asciiTheme="minorHAnsi" w:hAnsiTheme="minorHAnsi" w:cstheme="minorHAnsi"/>
                <w:b/>
                <w:sz w:val="22"/>
                <w:szCs w:val="22"/>
              </w:rPr>
              <w:t xml:space="preserve"> </w:t>
            </w:r>
          </w:p>
        </w:tc>
        <w:tc>
          <w:tcPr>
            <w:tcW w:w="1838" w:type="dxa"/>
            <w:shd w:val="clear" w:color="auto" w:fill="auto"/>
            <w:vAlign w:val="center"/>
          </w:tcPr>
          <w:p w14:paraId="370ABFCB" w14:textId="2B6F8C30"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15</w:t>
            </w:r>
          </w:p>
        </w:tc>
      </w:tr>
      <w:tr w:rsidR="006D181A" w14:paraId="513894D8" w14:textId="77777777">
        <w:tc>
          <w:tcPr>
            <w:tcW w:w="7508" w:type="dxa"/>
            <w:shd w:val="clear" w:color="auto" w:fill="auto"/>
          </w:tcPr>
          <w:p w14:paraId="0EB186FA" w14:textId="45029B80" w:rsidR="006D181A" w:rsidRDefault="00195005">
            <w:pPr>
              <w:jc w:val="both"/>
              <w:rPr>
                <w:rFonts w:asciiTheme="minorHAnsi" w:hAnsiTheme="minorHAnsi" w:cstheme="minorHAnsi"/>
                <w:b/>
                <w:sz w:val="22"/>
                <w:szCs w:val="22"/>
              </w:rPr>
            </w:pPr>
            <w:r>
              <w:rPr>
                <w:rFonts w:asciiTheme="minorHAnsi" w:hAnsiTheme="minorHAnsi" w:cstheme="minorHAnsi"/>
                <w:b/>
                <w:sz w:val="22"/>
                <w:szCs w:val="22"/>
              </w:rPr>
              <w:t>Sous-critère 5 : Pertinence des délais maximaux de réalisation des traductions de plus de 5 000 mots en langue cible (deux délais sont attendus : le premier pour une demande standard, le second pour une demande urgente) au regard du point VI « Durée globale et délais spécifiques du cahier des charges ».</w:t>
            </w:r>
          </w:p>
        </w:tc>
        <w:tc>
          <w:tcPr>
            <w:tcW w:w="1838" w:type="dxa"/>
            <w:shd w:val="clear" w:color="auto" w:fill="auto"/>
            <w:vAlign w:val="center"/>
          </w:tcPr>
          <w:p w14:paraId="4B93D97F" w14:textId="1897F352"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10</w:t>
            </w:r>
          </w:p>
        </w:tc>
      </w:tr>
      <w:tr w:rsidR="006D181A" w14:paraId="02B2F2A5" w14:textId="77777777">
        <w:tc>
          <w:tcPr>
            <w:tcW w:w="7508" w:type="dxa"/>
            <w:shd w:val="clear" w:color="auto" w:fill="auto"/>
          </w:tcPr>
          <w:p w14:paraId="3C0DA4EC" w14:textId="628A2473" w:rsidR="006D181A" w:rsidRDefault="00195005">
            <w:pPr>
              <w:jc w:val="right"/>
              <w:rPr>
                <w:rFonts w:asciiTheme="minorHAnsi" w:hAnsiTheme="minorHAnsi" w:cstheme="minorHAnsi"/>
                <w:b/>
                <w:sz w:val="22"/>
                <w:szCs w:val="22"/>
              </w:rPr>
            </w:pPr>
            <w:r>
              <w:rPr>
                <w:rFonts w:asciiTheme="minorHAnsi" w:hAnsiTheme="minorHAnsi" w:cstheme="minorHAnsi"/>
                <w:b/>
                <w:sz w:val="22"/>
                <w:szCs w:val="22"/>
              </w:rPr>
              <w:t>TOTAL</w:t>
            </w:r>
          </w:p>
        </w:tc>
        <w:tc>
          <w:tcPr>
            <w:tcW w:w="1838" w:type="dxa"/>
            <w:shd w:val="clear" w:color="auto" w:fill="auto"/>
            <w:vAlign w:val="center"/>
          </w:tcPr>
          <w:p w14:paraId="727CD250" w14:textId="00774FAF" w:rsidR="006D181A" w:rsidRDefault="00195005">
            <w:pPr>
              <w:jc w:val="center"/>
              <w:rPr>
                <w:rFonts w:asciiTheme="minorHAnsi" w:hAnsiTheme="minorHAnsi" w:cstheme="minorHAnsi"/>
                <w:b/>
                <w:sz w:val="22"/>
                <w:szCs w:val="22"/>
              </w:rPr>
            </w:pPr>
            <w:r>
              <w:rPr>
                <w:rFonts w:asciiTheme="minorHAnsi" w:hAnsiTheme="minorHAnsi" w:cstheme="minorHAnsi"/>
                <w:b/>
                <w:sz w:val="22"/>
                <w:szCs w:val="22"/>
              </w:rPr>
              <w:t>70</w:t>
            </w:r>
          </w:p>
        </w:tc>
      </w:tr>
    </w:tbl>
    <w:p w14:paraId="4067D76C" w14:textId="00F9D416" w:rsidR="006D181A" w:rsidRDefault="00195005">
      <w:pPr>
        <w:spacing w:before="120"/>
        <w:jc w:val="both"/>
        <w:rPr>
          <w:rFonts w:asciiTheme="minorHAnsi" w:hAnsiTheme="minorHAnsi" w:cstheme="minorHAnsi"/>
          <w:sz w:val="22"/>
          <w:szCs w:val="22"/>
        </w:rPr>
      </w:pPr>
      <w:r>
        <w:rPr>
          <w:rFonts w:asciiTheme="minorHAnsi" w:hAnsiTheme="minorHAnsi" w:cstheme="minorHAnsi"/>
          <w:sz w:val="22"/>
          <w:szCs w:val="22"/>
        </w:rPr>
        <w:t xml:space="preserve">Chaque offre technique, jugée conforme techniquement, se verra attribuer une </w:t>
      </w:r>
      <w:r>
        <w:rPr>
          <w:rFonts w:asciiTheme="minorHAnsi" w:hAnsiTheme="minorHAnsi" w:cstheme="minorHAnsi"/>
          <w:b/>
          <w:sz w:val="22"/>
          <w:szCs w:val="22"/>
        </w:rPr>
        <w:t xml:space="preserve">note technique (NT sur 70 points maximum) </w:t>
      </w:r>
      <w:r>
        <w:rPr>
          <w:rFonts w:asciiTheme="minorHAnsi" w:hAnsiTheme="minorHAnsi" w:cstheme="minorHAnsi"/>
          <w:sz w:val="22"/>
          <w:szCs w:val="22"/>
        </w:rPr>
        <w:t>par addition des notes pondérées obtenues sur chaque sous-critère.</w:t>
      </w:r>
    </w:p>
    <w:p w14:paraId="24CA8EC6" w14:textId="2426F13F" w:rsidR="006D181A" w:rsidRDefault="00195005">
      <w:pPr>
        <w:spacing w:before="120"/>
        <w:jc w:val="both"/>
        <w:rPr>
          <w:rFonts w:asciiTheme="minorHAnsi" w:hAnsiTheme="minorHAnsi" w:cstheme="minorHAnsi"/>
          <w:sz w:val="22"/>
          <w:szCs w:val="22"/>
        </w:rPr>
      </w:pPr>
      <w:r>
        <w:rPr>
          <w:rFonts w:asciiTheme="minorHAnsi" w:hAnsiTheme="minorHAnsi" w:cstheme="minorHAnsi"/>
          <w:sz w:val="22"/>
          <w:szCs w:val="22"/>
        </w:rPr>
        <w:t>Les offres ayant obtenues une note technique inférieure à 50/70 seront considérées comme inappropriées.</w:t>
      </w:r>
    </w:p>
    <w:p w14:paraId="7CE391CC" w14:textId="3C54C4F3" w:rsidR="006D181A" w:rsidRDefault="006D181A" w:rsidP="00E9175F"/>
    <w:p w14:paraId="1BFFDF3A" w14:textId="6C1C731C" w:rsidR="00B97C13" w:rsidRPr="00B97C13" w:rsidRDefault="00B97C13" w:rsidP="00B97C13">
      <w:pPr>
        <w:pStyle w:val="Titre2"/>
        <w:spacing w:before="120" w:after="120" w:line="240" w:lineRule="auto"/>
        <w:jc w:val="both"/>
        <w:rPr>
          <w:rFonts w:asciiTheme="minorHAnsi" w:hAnsiTheme="minorHAnsi" w:cstheme="minorHAnsi"/>
          <w:sz w:val="22"/>
          <w:szCs w:val="22"/>
          <w:u w:val="single"/>
        </w:rPr>
      </w:pPr>
      <w:r w:rsidRPr="00B97C13">
        <w:rPr>
          <w:rFonts w:asciiTheme="minorHAnsi" w:hAnsiTheme="minorHAnsi" w:cstheme="minorHAnsi"/>
          <w:sz w:val="22"/>
          <w:szCs w:val="22"/>
          <w:u w:val="single"/>
        </w:rPr>
        <w:t>Négociations</w:t>
      </w:r>
    </w:p>
    <w:p w14:paraId="42238093" w14:textId="1A78F5A1" w:rsidR="00B97C13" w:rsidRPr="00B97C13"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Après une première analyse des offres, le Comité d’évaluation pourra négocier avec tout ou partie des soumissionnaires dans le respect du principe de l’égalité de traitement.</w:t>
      </w:r>
    </w:p>
    <w:p w14:paraId="67084C56" w14:textId="77777777" w:rsidR="00B97C13" w:rsidRPr="00B97C13" w:rsidRDefault="00B97C13" w:rsidP="00B97C13">
      <w:pPr>
        <w:spacing w:before="120"/>
        <w:jc w:val="both"/>
        <w:rPr>
          <w:rFonts w:asciiTheme="minorHAnsi" w:hAnsiTheme="minorHAnsi" w:cstheme="minorHAnsi"/>
          <w:sz w:val="22"/>
          <w:szCs w:val="22"/>
        </w:rPr>
      </w:pPr>
    </w:p>
    <w:p w14:paraId="7948D85D" w14:textId="77777777" w:rsidR="00494F9D"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 xml:space="preserve">Toutefois, le pouvoir adjudicateur se réserve le droit de procéder à l’attribution du marché sans négociation. </w:t>
      </w:r>
    </w:p>
    <w:p w14:paraId="44655D47" w14:textId="01FD9BA6" w:rsidR="00B97C13" w:rsidRPr="00494F9D" w:rsidRDefault="00B97C13" w:rsidP="00494F9D">
      <w:pPr>
        <w:spacing w:before="120"/>
        <w:jc w:val="center"/>
        <w:rPr>
          <w:rFonts w:asciiTheme="minorHAnsi" w:hAnsiTheme="minorHAnsi" w:cstheme="minorHAnsi"/>
          <w:b/>
          <w:bCs/>
          <w:i/>
          <w:iCs/>
          <w:sz w:val="22"/>
          <w:szCs w:val="22"/>
        </w:rPr>
      </w:pPr>
      <w:r w:rsidRPr="00494F9D">
        <w:rPr>
          <w:rFonts w:asciiTheme="minorHAnsi" w:hAnsiTheme="minorHAnsi" w:cstheme="minorHAnsi"/>
          <w:b/>
          <w:bCs/>
          <w:i/>
          <w:iCs/>
          <w:sz w:val="22"/>
          <w:szCs w:val="22"/>
        </w:rPr>
        <w:lastRenderedPageBreak/>
        <w:t>Audition des soumissionnaires – négociation des offres</w:t>
      </w:r>
      <w:r w:rsidR="003B2342" w:rsidRPr="00494F9D">
        <w:rPr>
          <w:rFonts w:asciiTheme="minorHAnsi" w:hAnsiTheme="minorHAnsi" w:cstheme="minorHAnsi"/>
          <w:b/>
          <w:bCs/>
          <w:i/>
          <w:iCs/>
          <w:sz w:val="22"/>
          <w:szCs w:val="22"/>
        </w:rPr>
        <w:t>.</w:t>
      </w:r>
    </w:p>
    <w:p w14:paraId="5B3E293D" w14:textId="77777777" w:rsidR="00B97C13" w:rsidRPr="00B97C13"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Les soumissionnaires seront invités à venir dans les locaux d'Expertise France présenter leur offre.</w:t>
      </w:r>
    </w:p>
    <w:p w14:paraId="563B7860" w14:textId="77777777" w:rsidR="00B97C13" w:rsidRPr="00B97C13"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Il est envisagé que ces présentations se tiennent les XXXXX mois 20XX et durent XX.</w:t>
      </w:r>
    </w:p>
    <w:p w14:paraId="25D92427" w14:textId="77777777" w:rsidR="00B97C13" w:rsidRPr="00B97C13"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Expertise France fournit pour cette présentation le vidéoprojecteur et une connexion internet.</w:t>
      </w:r>
    </w:p>
    <w:p w14:paraId="14F70A38" w14:textId="77777777" w:rsidR="00B97C13" w:rsidRPr="00B97C13" w:rsidRDefault="00B97C13" w:rsidP="00B97C13">
      <w:pPr>
        <w:spacing w:before="120"/>
        <w:jc w:val="both"/>
        <w:rPr>
          <w:rFonts w:asciiTheme="minorHAnsi" w:hAnsiTheme="minorHAnsi" w:cstheme="minorHAnsi"/>
          <w:sz w:val="22"/>
          <w:szCs w:val="22"/>
        </w:rPr>
      </w:pPr>
      <w:r w:rsidRPr="00B97C13">
        <w:rPr>
          <w:rFonts w:asciiTheme="minorHAnsi" w:hAnsiTheme="minorHAnsi" w:cstheme="minorHAnsi"/>
          <w:sz w:val="22"/>
          <w:szCs w:val="22"/>
        </w:rPr>
        <w:t>A la suite de la présentation, la séance comportera le cas échéant une phase de négociation sur tout ou partie de l’offre remise.</w:t>
      </w:r>
    </w:p>
    <w:p w14:paraId="644FC6B5" w14:textId="77777777" w:rsidR="00B97C13" w:rsidRPr="00B97C13" w:rsidRDefault="00B97C13" w:rsidP="00B97C13">
      <w:pPr>
        <w:pStyle w:val="Titre2"/>
        <w:spacing w:before="120" w:after="120" w:line="240" w:lineRule="auto"/>
        <w:ind w:left="708"/>
        <w:jc w:val="both"/>
        <w:rPr>
          <w:rFonts w:cs="Times New Roman"/>
          <w:b w:val="0"/>
          <w:bCs w:val="0"/>
          <w:sz w:val="20"/>
        </w:rPr>
      </w:pPr>
    </w:p>
    <w:p w14:paraId="76224531" w14:textId="77777777" w:rsidR="000D1A12" w:rsidRDefault="00B97C13" w:rsidP="00494F9D">
      <w:pPr>
        <w:spacing w:before="120"/>
        <w:jc w:val="both"/>
        <w:rPr>
          <w:rFonts w:asciiTheme="minorHAnsi" w:hAnsiTheme="minorHAnsi" w:cstheme="minorHAnsi"/>
          <w:i/>
          <w:iCs/>
          <w:sz w:val="22"/>
          <w:szCs w:val="22"/>
        </w:rPr>
      </w:pPr>
      <w:r w:rsidRPr="00B97C13">
        <w:t>La négociation pourra se poursuivre par échanges à distance.]</w:t>
      </w:r>
      <w:r w:rsidRPr="00B97C13">
        <w:rPr>
          <w:rFonts w:asciiTheme="minorHAnsi" w:hAnsiTheme="minorHAnsi"/>
          <w:i/>
          <w:iCs/>
          <w:szCs w:val="22"/>
        </w:rPr>
        <w:t xml:space="preserve"> </w:t>
      </w:r>
      <w:r w:rsidR="00195005">
        <w:rPr>
          <w:rFonts w:asciiTheme="minorHAnsi" w:hAnsiTheme="minorHAnsi" w:cstheme="minorHAnsi"/>
          <w:i/>
          <w:iCs/>
          <w:sz w:val="22"/>
          <w:szCs w:val="22"/>
        </w:rPr>
        <w:t xml:space="preserve">Critère 2 : </w:t>
      </w:r>
    </w:p>
    <w:p w14:paraId="7794D79E" w14:textId="07F5A75D" w:rsidR="006D181A" w:rsidRDefault="00195005" w:rsidP="00494F9D">
      <w:pPr>
        <w:spacing w:before="120"/>
        <w:jc w:val="both"/>
        <w:rPr>
          <w:rFonts w:asciiTheme="minorHAnsi" w:hAnsiTheme="minorHAnsi" w:cstheme="minorHAnsi"/>
          <w:i/>
          <w:iCs/>
          <w:sz w:val="22"/>
          <w:szCs w:val="22"/>
        </w:rPr>
      </w:pPr>
      <w:proofErr w:type="gramStart"/>
      <w:r>
        <w:rPr>
          <w:rFonts w:asciiTheme="minorHAnsi" w:hAnsiTheme="minorHAnsi" w:cstheme="minorHAnsi"/>
          <w:i/>
          <w:iCs/>
          <w:sz w:val="22"/>
          <w:szCs w:val="22"/>
        </w:rPr>
        <w:t>prix</w:t>
      </w:r>
      <w:proofErr w:type="gramEnd"/>
      <w:r>
        <w:rPr>
          <w:rFonts w:asciiTheme="minorHAnsi" w:hAnsiTheme="minorHAnsi" w:cstheme="minorHAnsi"/>
          <w:i/>
          <w:iCs/>
          <w:sz w:val="22"/>
          <w:szCs w:val="22"/>
        </w:rPr>
        <w:t xml:space="preserve"> évalué au regard du montant total du détail quantitatif estimatif (30 points)</w:t>
      </w:r>
    </w:p>
    <w:p w14:paraId="5CDC1424" w14:textId="77777777" w:rsidR="00494F9D" w:rsidRDefault="00494F9D" w:rsidP="00494F9D">
      <w:pPr>
        <w:spacing w:before="120"/>
        <w:jc w:val="both"/>
        <w:rPr>
          <w:rFonts w:asciiTheme="minorHAnsi" w:hAnsiTheme="minorHAnsi" w:cstheme="minorHAnsi"/>
          <w:i/>
          <w:sz w:val="22"/>
          <w:szCs w:val="22"/>
        </w:rPr>
      </w:pPr>
    </w:p>
    <w:p w14:paraId="3115AD67" w14:textId="77777777" w:rsidR="006D181A" w:rsidRDefault="00195005">
      <w:pPr>
        <w:spacing w:before="120"/>
        <w:jc w:val="both"/>
        <w:rPr>
          <w:rFonts w:asciiTheme="minorHAnsi" w:hAnsiTheme="minorHAnsi" w:cstheme="minorHAnsi"/>
          <w:b/>
          <w:color w:val="000000"/>
          <w:sz w:val="22"/>
          <w:szCs w:val="22"/>
        </w:rPr>
      </w:pPr>
      <w:r>
        <w:rPr>
          <w:rFonts w:asciiTheme="minorHAnsi" w:hAnsiTheme="minorHAnsi" w:cstheme="minorHAnsi"/>
          <w:sz w:val="22"/>
          <w:szCs w:val="22"/>
        </w:rPr>
        <w:t xml:space="preserve">La </w:t>
      </w:r>
      <w:r>
        <w:rPr>
          <w:rFonts w:asciiTheme="minorHAnsi" w:hAnsiTheme="minorHAnsi" w:cstheme="minorHAnsi"/>
          <w:b/>
          <w:sz w:val="22"/>
          <w:szCs w:val="22"/>
        </w:rPr>
        <w:t>notation financière (NF sur 30 points maximum)</w:t>
      </w:r>
      <w:r>
        <w:rPr>
          <w:rFonts w:asciiTheme="minorHAnsi" w:hAnsiTheme="minorHAnsi" w:cstheme="minorHAnsi"/>
          <w:sz w:val="22"/>
          <w:szCs w:val="22"/>
        </w:rPr>
        <w:t xml:space="preserve"> portera sur la comparaison des offres financières de l’ensemble des candidats dont l’offre est régulière.</w:t>
      </w:r>
    </w:p>
    <w:p w14:paraId="167A696F" w14:textId="77777777" w:rsidR="006D181A" w:rsidRDefault="006D181A">
      <w:pPr>
        <w:spacing w:before="120" w:line="240" w:lineRule="auto"/>
        <w:jc w:val="both"/>
        <w:rPr>
          <w:rFonts w:asciiTheme="minorHAnsi" w:hAnsiTheme="minorHAnsi" w:cstheme="minorHAnsi"/>
          <w:sz w:val="22"/>
          <w:szCs w:val="22"/>
        </w:rPr>
      </w:pPr>
    </w:p>
    <w:p w14:paraId="633EA52B" w14:textId="06B6349B" w:rsidR="006D181A" w:rsidRDefault="00195005">
      <w:pPr>
        <w:pStyle w:val="Titre2"/>
        <w:spacing w:before="120" w:after="120" w:line="240" w:lineRule="auto"/>
        <w:jc w:val="both"/>
        <w:rPr>
          <w:rFonts w:asciiTheme="minorHAnsi" w:hAnsiTheme="minorHAnsi" w:cstheme="minorHAnsi"/>
          <w:caps/>
          <w:sz w:val="28"/>
          <w:szCs w:val="22"/>
          <w:u w:val="single"/>
        </w:rPr>
      </w:pPr>
      <w:bookmarkStart w:id="92" w:name="_Toc224222993"/>
      <w:r>
        <w:rPr>
          <w:rFonts w:asciiTheme="minorHAnsi" w:hAnsiTheme="minorHAnsi" w:cstheme="minorHAnsi"/>
          <w:sz w:val="22"/>
          <w:szCs w:val="22"/>
          <w:u w:val="single"/>
        </w:rPr>
        <w:t>Attribution</w:t>
      </w:r>
      <w:bookmarkEnd w:id="92"/>
      <w:r>
        <w:rPr>
          <w:rFonts w:asciiTheme="minorHAnsi" w:hAnsiTheme="minorHAnsi" w:cstheme="minorHAnsi"/>
          <w:b w:val="0"/>
          <w:caps/>
          <w:sz w:val="28"/>
          <w:szCs w:val="22"/>
          <w:u w:val="single"/>
        </w:rPr>
        <w:t xml:space="preserve"> </w:t>
      </w:r>
    </w:p>
    <w:p w14:paraId="7E3F3AF3" w14:textId="72121FA4" w:rsidR="00A038E0"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 xml:space="preserve">Une </w:t>
      </w:r>
      <w:r>
        <w:rPr>
          <w:rFonts w:asciiTheme="minorHAnsi" w:hAnsiTheme="minorHAnsi" w:cstheme="minorHAnsi"/>
          <w:b/>
          <w:sz w:val="22"/>
          <w:szCs w:val="22"/>
        </w:rPr>
        <w:t>note globale (NG sur un maximum de 100 points)</w:t>
      </w:r>
      <w:r>
        <w:rPr>
          <w:rFonts w:asciiTheme="minorHAnsi" w:hAnsiTheme="minorHAnsi" w:cstheme="minorHAnsi"/>
          <w:sz w:val="22"/>
          <w:szCs w:val="22"/>
        </w:rPr>
        <w:t xml:space="preserve"> obtenue par addition des notes technique et financière (</w:t>
      </w:r>
      <w:r>
        <w:rPr>
          <w:rFonts w:asciiTheme="minorHAnsi" w:hAnsiTheme="minorHAnsi" w:cstheme="minorHAnsi"/>
          <w:b/>
          <w:sz w:val="22"/>
          <w:szCs w:val="22"/>
        </w:rPr>
        <w:t>NG=NF+NT</w:t>
      </w:r>
      <w:r>
        <w:rPr>
          <w:rFonts w:asciiTheme="minorHAnsi" w:hAnsiTheme="minorHAnsi" w:cstheme="minorHAnsi"/>
          <w:sz w:val="22"/>
          <w:szCs w:val="22"/>
        </w:rPr>
        <w:t>) sera attribuée à chaque offre évaluée techniquement et financièrement.</w:t>
      </w:r>
    </w:p>
    <w:p w14:paraId="78A0A370" w14:textId="1AEC81E0" w:rsidR="006D181A" w:rsidRDefault="00195005">
      <w:pPr>
        <w:spacing w:before="120" w:line="240" w:lineRule="auto"/>
        <w:jc w:val="both"/>
        <w:rPr>
          <w:rFonts w:asciiTheme="minorHAnsi" w:hAnsiTheme="minorHAnsi" w:cstheme="minorHAnsi"/>
          <w:sz w:val="22"/>
          <w:szCs w:val="22"/>
        </w:rPr>
      </w:pPr>
      <w:r>
        <w:rPr>
          <w:rFonts w:asciiTheme="minorHAnsi" w:hAnsiTheme="minorHAnsi" w:cstheme="minorHAnsi"/>
          <w:sz w:val="22"/>
          <w:szCs w:val="22"/>
        </w:rPr>
        <w:t>Le(s) soumissionnaire(s) ayant obtenu la note globale la plus élevée sera (seront) considéré(s) comme ayant fourni l'offre économiquement la plus avantageuse et se verra (verront) attribuer le marché.</w:t>
      </w:r>
    </w:p>
    <w:p w14:paraId="44C8804F" w14:textId="170CC546" w:rsidR="006D181A" w:rsidRDefault="00195005">
      <w:pPr>
        <w:spacing w:before="120" w:line="24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Le pouvoir adjudicateur peut ne pas donner suite à la consultation pour tout motif d'intérêt général.</w:t>
      </w:r>
    </w:p>
    <w:p w14:paraId="050A69CF" w14:textId="2A9DBE42" w:rsidR="006D181A" w:rsidRDefault="00195005">
      <w:pPr>
        <w:pStyle w:val="v"/>
        <w:widowControl w:val="0"/>
        <w:numPr>
          <w:ilvl w:val="0"/>
          <w:numId w:val="6"/>
        </w:numPr>
        <w:spacing w:before="240" w:after="120"/>
        <w:ind w:left="0" w:firstLine="0"/>
        <w:outlineLvl w:val="0"/>
        <w:rPr>
          <w:rFonts w:asciiTheme="minorHAnsi" w:hAnsiTheme="minorHAnsi" w:cstheme="minorHAnsi"/>
          <w:b/>
          <w:caps/>
          <w:sz w:val="28"/>
          <w:szCs w:val="22"/>
          <w:u w:val="single"/>
        </w:rPr>
      </w:pPr>
      <w:bookmarkStart w:id="93" w:name="_Toc491193515"/>
      <w:bookmarkStart w:id="94" w:name="_Toc491193970"/>
      <w:bookmarkStart w:id="95" w:name="_Toc224222994"/>
      <w:bookmarkEnd w:id="93"/>
      <w:bookmarkEnd w:id="94"/>
      <w:r>
        <w:rPr>
          <w:rFonts w:asciiTheme="minorHAnsi" w:hAnsiTheme="minorHAnsi" w:cstheme="minorHAnsi"/>
          <w:b/>
          <w:caps/>
          <w:sz w:val="28"/>
          <w:szCs w:val="22"/>
          <w:u w:val="single"/>
        </w:rPr>
        <w:t>Traitement des données à caractère personnel dans le cadre de la présente consultation et pour le suivi d’exécution du contrat</w:t>
      </w:r>
      <w:bookmarkEnd w:id="95"/>
    </w:p>
    <w:p w14:paraId="61DB45A9" w14:textId="4AC03B6C"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En application de l'article 13 du règlement (UE) 2016/679 du Parlement européen et du Conseil du 27 avril 2016 relatif à la protection des personnes physiques à l'égard du traitement des données à caractère personnel et à la libre circulation de ces données (RGPD), les candidats/soumissionnaires sont informés que des données à caractère personnel (notamment nom, prénom, adresse mail, données de connexion) collectées en utilisant les services de la Plateforme des Achats de l’Etat (https://www.marches-publics.gouv.fr) dans le cadre de la présente procédure de passation et dans le cadre de l'exécution du contrat sont susceptibles de faire l'objet de traitement(s).</w:t>
      </w:r>
    </w:p>
    <w:p w14:paraId="340C3C70"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Pour les traitements réalisés avec les services de la PLACE, le Ministère de l’action et des comptes publics – la Direction des Achats de l’Etat et Expertise France, autorité contractante, sont co-responsables du traitement des données à caractère personnel.</w:t>
      </w:r>
    </w:p>
    <w:p w14:paraId="54775892"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Pour les traitements réalisés en dehors des services de la PLACE, Expertise France, autorité contractante, est responsable du traitement des données à caractère personnel.</w:t>
      </w:r>
    </w:p>
    <w:p w14:paraId="018DC89D" w14:textId="77777777" w:rsidR="006D181A" w:rsidRDefault="00195005">
      <w:pPr>
        <w:pStyle w:val="Titre2"/>
        <w:spacing w:before="120" w:after="120" w:line="240" w:lineRule="auto"/>
        <w:jc w:val="both"/>
        <w:rPr>
          <w:rFonts w:asciiTheme="minorHAnsi" w:hAnsiTheme="minorHAnsi" w:cstheme="minorHAnsi"/>
          <w:sz w:val="22"/>
          <w:szCs w:val="22"/>
          <w:u w:val="single"/>
        </w:rPr>
      </w:pPr>
      <w:bookmarkStart w:id="96" w:name="_Toc224222995"/>
      <w:r>
        <w:rPr>
          <w:rFonts w:asciiTheme="minorHAnsi" w:hAnsiTheme="minorHAnsi" w:cstheme="minorHAnsi"/>
          <w:sz w:val="22"/>
          <w:szCs w:val="22"/>
          <w:u w:val="single"/>
        </w:rPr>
        <w:t>Identité et coordonnées du responsable de traitement et de son représentant :</w:t>
      </w:r>
      <w:bookmarkEnd w:id="96"/>
    </w:p>
    <w:p w14:paraId="3755CDE8" w14:textId="77777777" w:rsidR="006D181A" w:rsidRDefault="00195005">
      <w:pPr>
        <w:pStyle w:val="Titre2"/>
        <w:spacing w:before="120" w:after="120" w:line="240" w:lineRule="auto"/>
        <w:ind w:left="708"/>
        <w:jc w:val="both"/>
        <w:rPr>
          <w:rFonts w:asciiTheme="minorHAnsi" w:hAnsiTheme="minorHAnsi" w:cstheme="minorHAnsi"/>
          <w:sz w:val="22"/>
          <w:szCs w:val="22"/>
          <w:u w:val="single"/>
        </w:rPr>
      </w:pPr>
      <w:bookmarkStart w:id="97" w:name="_Toc224222996"/>
      <w:r>
        <w:rPr>
          <w:rFonts w:asciiTheme="minorHAnsi" w:hAnsiTheme="minorHAnsi" w:cstheme="minorHAnsi"/>
          <w:sz w:val="22"/>
          <w:szCs w:val="22"/>
          <w:u w:val="single"/>
        </w:rPr>
        <w:t>Pour la plateforme PLACE :</w:t>
      </w:r>
      <w:bookmarkEnd w:id="97"/>
      <w:r>
        <w:rPr>
          <w:rFonts w:asciiTheme="minorHAnsi" w:hAnsiTheme="minorHAnsi" w:cstheme="minorHAnsi"/>
          <w:sz w:val="22"/>
          <w:szCs w:val="22"/>
          <w:u w:val="single"/>
        </w:rPr>
        <w:t xml:space="preserve"> </w:t>
      </w:r>
    </w:p>
    <w:p w14:paraId="71C910D3"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Ministère de l'action et des comptes publics</w:t>
      </w:r>
    </w:p>
    <w:p w14:paraId="49976843"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59, boulevard Vincent Auriol</w:t>
      </w:r>
    </w:p>
    <w:p w14:paraId="5087A4AF"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75703 Paris Cedex 13</w:t>
      </w:r>
    </w:p>
    <w:p w14:paraId="7EC5BF50"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Représentée par le Directeur des achats de l'Etat</w:t>
      </w:r>
    </w:p>
    <w:p w14:paraId="034955EE"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p>
    <w:p w14:paraId="2F72344C"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La Direction des achats de l’Etat représenté par son Directeur</w:t>
      </w:r>
    </w:p>
    <w:p w14:paraId="4B4D213A" w14:textId="77777777" w:rsidR="006D181A" w:rsidRDefault="00195005">
      <w:pPr>
        <w:pStyle w:val="Titre2"/>
        <w:spacing w:before="120" w:after="120" w:line="240" w:lineRule="auto"/>
        <w:ind w:left="708"/>
        <w:jc w:val="both"/>
        <w:rPr>
          <w:rFonts w:asciiTheme="minorHAnsi" w:hAnsiTheme="minorHAnsi" w:cstheme="minorHAnsi"/>
          <w:sz w:val="22"/>
          <w:szCs w:val="22"/>
          <w:u w:val="single"/>
        </w:rPr>
      </w:pPr>
      <w:bookmarkStart w:id="98" w:name="_Toc224222997"/>
      <w:r>
        <w:rPr>
          <w:rFonts w:asciiTheme="minorHAnsi" w:hAnsiTheme="minorHAnsi" w:cstheme="minorHAnsi"/>
          <w:sz w:val="22"/>
          <w:szCs w:val="22"/>
          <w:u w:val="single"/>
        </w:rPr>
        <w:t>Coordonnées du délégué à la protection des données personnelles :</w:t>
      </w:r>
      <w:bookmarkEnd w:id="98"/>
    </w:p>
    <w:p w14:paraId="4A91DEFE" w14:textId="5924A205" w:rsidR="006D181A" w:rsidRDefault="00531D1F">
      <w:pPr>
        <w:pStyle w:val="Default"/>
        <w:spacing w:before="120"/>
        <w:jc w:val="both"/>
        <w:rPr>
          <w:rFonts w:asciiTheme="minorHAnsi" w:hAnsiTheme="minorHAnsi" w:cstheme="minorHAnsi"/>
          <w:color w:val="auto"/>
          <w:sz w:val="22"/>
          <w:szCs w:val="22"/>
        </w:rPr>
      </w:pPr>
      <w:hyperlink r:id="rId17" w:tooltip="mailto:le-delegue-a-la-protection-des-donnees-personnelles@finances.gouv.fr" w:history="1">
        <w:r w:rsidR="00195005">
          <w:rPr>
            <w:rFonts w:asciiTheme="minorHAnsi" w:hAnsiTheme="minorHAnsi" w:cstheme="minorHAnsi"/>
            <w:color w:val="auto"/>
            <w:sz w:val="22"/>
            <w:szCs w:val="22"/>
          </w:rPr>
          <w:t>le-delegue-a-la-protection-des-donnees-personnelles@finances.gouv.fr</w:t>
        </w:r>
      </w:hyperlink>
    </w:p>
    <w:p w14:paraId="5381F1CA" w14:textId="77777777" w:rsidR="006D181A" w:rsidRDefault="006D181A">
      <w:pPr>
        <w:pStyle w:val="Default"/>
        <w:spacing w:before="120"/>
        <w:jc w:val="both"/>
        <w:rPr>
          <w:rFonts w:asciiTheme="minorHAnsi" w:hAnsiTheme="minorHAnsi" w:cstheme="minorHAnsi"/>
          <w:color w:val="auto"/>
          <w:sz w:val="22"/>
          <w:szCs w:val="22"/>
        </w:rPr>
      </w:pPr>
    </w:p>
    <w:p w14:paraId="3B25C6AC" w14:textId="77777777" w:rsidR="006D181A" w:rsidRDefault="00195005">
      <w:pPr>
        <w:pStyle w:val="Titre2"/>
        <w:spacing w:before="120" w:after="120" w:line="240" w:lineRule="auto"/>
        <w:ind w:left="708"/>
        <w:jc w:val="both"/>
        <w:rPr>
          <w:rFonts w:asciiTheme="minorHAnsi" w:hAnsiTheme="minorHAnsi" w:cstheme="minorHAnsi"/>
          <w:sz w:val="22"/>
          <w:szCs w:val="22"/>
          <w:u w:val="single"/>
        </w:rPr>
      </w:pPr>
      <w:bookmarkStart w:id="99" w:name="_Toc224222998"/>
      <w:r>
        <w:rPr>
          <w:rFonts w:asciiTheme="minorHAnsi" w:hAnsiTheme="minorHAnsi" w:cstheme="minorHAnsi"/>
          <w:sz w:val="22"/>
          <w:szCs w:val="22"/>
          <w:u w:val="single"/>
        </w:rPr>
        <w:t>Pour l’autorité contractante :</w:t>
      </w:r>
      <w:bookmarkEnd w:id="99"/>
      <w:r>
        <w:rPr>
          <w:rFonts w:asciiTheme="minorHAnsi" w:hAnsiTheme="minorHAnsi" w:cstheme="minorHAnsi"/>
          <w:sz w:val="22"/>
          <w:szCs w:val="22"/>
          <w:u w:val="single"/>
        </w:rPr>
        <w:t xml:space="preserve"> </w:t>
      </w:r>
    </w:p>
    <w:p w14:paraId="33438ABA"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Expertise France</w:t>
      </w:r>
    </w:p>
    <w:p w14:paraId="412DDE08" w14:textId="763CF809"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40, Boulevard de Port Royal</w:t>
      </w:r>
    </w:p>
    <w:p w14:paraId="17ABB84B" w14:textId="6D4A10FE"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75005 Paris</w:t>
      </w:r>
    </w:p>
    <w:p w14:paraId="31C9D17D" w14:textId="0D66ECC6"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Représentée par son Directeur Général,</w:t>
      </w:r>
    </w:p>
    <w:p w14:paraId="267683C0"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Responsable de traitement opérationnel : </w:t>
      </w:r>
    </w:p>
    <w:p w14:paraId="2BA92056"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Département des Systèmes d’Information représenté par son Directeur</w:t>
      </w:r>
    </w:p>
    <w:p w14:paraId="124A56F1" w14:textId="77777777" w:rsidR="006D181A" w:rsidRDefault="00195005">
      <w:pPr>
        <w:pStyle w:val="Titre2"/>
        <w:spacing w:before="120" w:after="120" w:line="240" w:lineRule="auto"/>
        <w:ind w:left="708"/>
        <w:jc w:val="both"/>
        <w:rPr>
          <w:rFonts w:asciiTheme="minorHAnsi" w:hAnsiTheme="minorHAnsi" w:cstheme="minorHAnsi"/>
          <w:sz w:val="22"/>
          <w:szCs w:val="22"/>
          <w:u w:val="single"/>
        </w:rPr>
      </w:pPr>
      <w:bookmarkStart w:id="100" w:name="_Toc224222999"/>
      <w:r>
        <w:rPr>
          <w:rFonts w:asciiTheme="minorHAnsi" w:hAnsiTheme="minorHAnsi" w:cstheme="minorHAnsi"/>
          <w:sz w:val="22"/>
          <w:szCs w:val="22"/>
          <w:u w:val="single"/>
        </w:rPr>
        <w:t>Coordonnées du délégué à la protection des données personnelles :</w:t>
      </w:r>
      <w:bookmarkEnd w:id="100"/>
    </w:p>
    <w:p w14:paraId="48F60AE8" w14:textId="77777777" w:rsidR="006D181A" w:rsidRDefault="00531D1F">
      <w:pPr>
        <w:pStyle w:val="Default"/>
        <w:spacing w:before="120"/>
        <w:jc w:val="both"/>
        <w:rPr>
          <w:rFonts w:asciiTheme="minorHAnsi" w:hAnsiTheme="minorHAnsi" w:cstheme="minorHAnsi"/>
          <w:color w:val="auto"/>
          <w:sz w:val="22"/>
          <w:szCs w:val="22"/>
        </w:rPr>
      </w:pPr>
      <w:hyperlink r:id="rId18" w:tooltip="mailto:informatique.libertes@expertisefrance.fr" w:history="1">
        <w:r w:rsidR="00195005">
          <w:rPr>
            <w:rFonts w:asciiTheme="minorHAnsi" w:hAnsiTheme="minorHAnsi" w:cstheme="minorHAnsi"/>
            <w:color w:val="auto"/>
            <w:sz w:val="22"/>
            <w:szCs w:val="22"/>
          </w:rPr>
          <w:t>informatique.libertes@expertisefrance.fr</w:t>
        </w:r>
      </w:hyperlink>
    </w:p>
    <w:p w14:paraId="220D3854" w14:textId="5B7AC15F" w:rsidR="006D181A" w:rsidRDefault="006D181A">
      <w:pPr>
        <w:pStyle w:val="Default"/>
        <w:spacing w:before="120"/>
        <w:jc w:val="both"/>
        <w:rPr>
          <w:rFonts w:asciiTheme="minorHAnsi" w:hAnsiTheme="minorHAnsi" w:cstheme="minorHAnsi"/>
          <w:color w:val="auto"/>
          <w:sz w:val="22"/>
          <w:szCs w:val="22"/>
        </w:rPr>
      </w:pPr>
    </w:p>
    <w:p w14:paraId="7036C461"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Les fondements juridiques légitimant le ou les traitements correspondent aux c) et e) de l'article 6.1 du RGPD, à savoir que :</w:t>
      </w:r>
    </w:p>
    <w:p w14:paraId="0018C397" w14:textId="6D066A5D" w:rsidR="006D181A" w:rsidRDefault="00195005">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traitement est nécessaire au respect d’une obligation légale à laquelle Expertise France est soumis ;</w:t>
      </w:r>
    </w:p>
    <w:p w14:paraId="51141F31" w14:textId="6C1BFCCE" w:rsidR="006D181A" w:rsidRDefault="00195005">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 traitement est nécessaire à l’exécution d’une mission d’intérêt public ou relevant de l’exercice de l’autorité publique dont est investi Expertise France ;</w:t>
      </w:r>
    </w:p>
    <w:p w14:paraId="0BFD8282" w14:textId="78ED0FFD"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Les finalités du ou des traitements sont : </w:t>
      </w:r>
    </w:p>
    <w:p w14:paraId="17845EF7" w14:textId="74DC7016" w:rsidR="006D181A" w:rsidRDefault="00195005">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 présente procédure de passation, </w:t>
      </w:r>
    </w:p>
    <w:p w14:paraId="4C3BE3E0" w14:textId="08BE6D4A" w:rsidR="006D181A" w:rsidRDefault="00195005">
      <w:pPr>
        <w:pStyle w:val="Default"/>
        <w:numPr>
          <w:ilvl w:val="0"/>
          <w:numId w:val="18"/>
        </w:numPr>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 xml:space="preserve">La gestion et le suivi de l’attribution d’un marché public. </w:t>
      </w:r>
    </w:p>
    <w:p w14:paraId="30A1E06B"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Les destinataires ou catégorie de destinataires des données à caractère personnel sont exclusivement les personnels habilités de l’autorité contractante, des ministères et des opérateurs de l'Etat, en charge de la passation et de l'exécution du présent contrat, ainsi que de leurs prestataires d’assistance dans ses activités.</w:t>
      </w:r>
    </w:p>
    <w:p w14:paraId="4D2B2CC1"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Durée de conservation : ces données sont conservées pendant toute la durée de passation et d'exécution du contrat, ainsi que durant la DUA applicable au contrat.</w:t>
      </w:r>
    </w:p>
    <w:p w14:paraId="0C60D7AF"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Conformément aux dispositions des articles 15 à 21 du RGPD, les personnes dont les données à caractère personnel sont collectées disposent d'un droit d'accès, de rectification, et d'effacement à ces informations qui les concernent. Elles disposent également d’un droit à la limitation du traitement et d’opposition à ce traitement pour des motifs légitimes. L'exercice des droits d'information et de tout autre exercice de droit des personnes concernées par les traitements mis en œuvre peuvent être effectués auprès du délégué à la protection des données d’Expertise France.</w:t>
      </w:r>
    </w:p>
    <w:p w14:paraId="7A3F19CE"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La personne dont les données à caractère personnel sont collectées dans le cadre de la présente procédure dispose d'un droit de réclamation auprès de la CNIL.</w:t>
      </w:r>
    </w:p>
    <w:p w14:paraId="6AF78D03" w14:textId="77777777" w:rsidR="006D181A" w:rsidRDefault="006D181A">
      <w:pPr>
        <w:spacing w:before="120" w:line="240" w:lineRule="auto"/>
        <w:jc w:val="both"/>
        <w:rPr>
          <w:rFonts w:asciiTheme="minorHAnsi" w:hAnsiTheme="minorHAnsi" w:cstheme="minorHAnsi"/>
          <w:sz w:val="22"/>
          <w:szCs w:val="22"/>
        </w:rPr>
      </w:pPr>
    </w:p>
    <w:p w14:paraId="35E99F2E" w14:textId="77777777"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1" w:name="_Toc224223000"/>
      <w:r>
        <w:rPr>
          <w:rFonts w:asciiTheme="minorHAnsi" w:hAnsiTheme="minorHAnsi" w:cstheme="minorHAnsi"/>
          <w:b/>
          <w:caps/>
          <w:sz w:val="28"/>
          <w:szCs w:val="22"/>
          <w:u w:val="single"/>
        </w:rPr>
        <w:t>AUTRES RENSEIGNEMENTS</w:t>
      </w:r>
      <w:bookmarkEnd w:id="101"/>
    </w:p>
    <w:p w14:paraId="5E8C818C"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Toute demande d’informations complémentaires sur des points techniques ou administratifs du dossier devra être effectuée via la Plateforme des Achats de l’Etat au plus tard 5 jours ouvrés avant la date limite de remise des offres.</w:t>
      </w:r>
    </w:p>
    <w:p w14:paraId="4F52CFE5"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lastRenderedPageBreak/>
        <w:t>Expertise France s’engage à fournir une réponse au plus tard 2 jours ouvrés avant la date limite de remise des offres.</w:t>
      </w:r>
    </w:p>
    <w:p w14:paraId="36FE5D95" w14:textId="77777777" w:rsidR="006D181A" w:rsidRDefault="00195005">
      <w:pPr>
        <w:pStyle w:val="Default"/>
        <w:spacing w:before="120"/>
        <w:jc w:val="both"/>
        <w:rPr>
          <w:rFonts w:asciiTheme="minorHAnsi" w:hAnsiTheme="minorHAnsi" w:cstheme="minorHAnsi"/>
          <w:color w:val="auto"/>
          <w:sz w:val="22"/>
          <w:szCs w:val="22"/>
        </w:rPr>
      </w:pPr>
      <w:r>
        <w:rPr>
          <w:rFonts w:asciiTheme="minorHAnsi" w:hAnsiTheme="minorHAnsi" w:cstheme="minorHAnsi"/>
          <w:color w:val="auto"/>
          <w:sz w:val="22"/>
          <w:szCs w:val="22"/>
        </w:rPr>
        <w:t>Si une question est posée par un candidat, les candidats reçoivent un courriel les invitant à prendre connaissance d'un ou de plusieurs élément (s) en réponse à la question posée par un candidat.</w:t>
      </w:r>
    </w:p>
    <w:p w14:paraId="52F1510C" w14:textId="77777777" w:rsidR="006D181A" w:rsidRDefault="006D181A">
      <w:pPr>
        <w:pStyle w:val="Default"/>
        <w:spacing w:before="120"/>
        <w:jc w:val="both"/>
        <w:rPr>
          <w:rFonts w:asciiTheme="minorHAnsi" w:hAnsiTheme="minorHAnsi" w:cstheme="minorHAnsi"/>
          <w:color w:val="auto"/>
          <w:sz w:val="22"/>
          <w:szCs w:val="22"/>
        </w:rPr>
      </w:pPr>
    </w:p>
    <w:p w14:paraId="6892E0FB" w14:textId="3E4F20F7" w:rsidR="006D181A" w:rsidRDefault="00195005">
      <w:pPr>
        <w:pStyle w:val="v"/>
        <w:widowControl w:val="0"/>
        <w:numPr>
          <w:ilvl w:val="0"/>
          <w:numId w:val="6"/>
        </w:numPr>
        <w:spacing w:before="240" w:after="120"/>
        <w:ind w:left="357" w:hanging="357"/>
        <w:outlineLvl w:val="0"/>
        <w:rPr>
          <w:rFonts w:asciiTheme="minorHAnsi" w:hAnsiTheme="minorHAnsi" w:cstheme="minorHAnsi"/>
          <w:b/>
          <w:caps/>
          <w:sz w:val="28"/>
          <w:szCs w:val="22"/>
          <w:u w:val="single"/>
        </w:rPr>
      </w:pPr>
      <w:bookmarkStart w:id="102" w:name="_Toc410899708"/>
      <w:bookmarkStart w:id="103" w:name="_Toc224223001"/>
      <w:r>
        <w:rPr>
          <w:rFonts w:asciiTheme="minorHAnsi" w:hAnsiTheme="minorHAnsi" w:cstheme="minorHAnsi"/>
          <w:b/>
          <w:caps/>
          <w:sz w:val="28"/>
          <w:szCs w:val="22"/>
          <w:u w:val="single"/>
        </w:rPr>
        <w:t>Voies et délais de recours</w:t>
      </w:r>
      <w:bookmarkEnd w:id="102"/>
      <w:bookmarkEnd w:id="103"/>
    </w:p>
    <w:p w14:paraId="524C2C77" w14:textId="77777777" w:rsidR="006D181A" w:rsidRDefault="00195005">
      <w:pPr>
        <w:pStyle w:val="NormalWeb"/>
        <w:spacing w:before="0" w:after="0" w:line="276" w:lineRule="auto"/>
        <w:rPr>
          <w:rFonts w:asciiTheme="minorHAnsi" w:hAnsiTheme="minorHAnsi" w:cstheme="minorHAnsi"/>
          <w:sz w:val="22"/>
        </w:rPr>
      </w:pPr>
      <w:r>
        <w:rPr>
          <w:rFonts w:asciiTheme="minorHAnsi" w:hAnsiTheme="minorHAnsi" w:cstheme="minorHAnsi"/>
          <w:sz w:val="22"/>
          <w:szCs w:val="22"/>
        </w:rPr>
        <w:t xml:space="preserve">L'instance chargée des procédures de recours est le Tribunal judiciaire de Paris, </w:t>
      </w:r>
      <w:r>
        <w:rPr>
          <w:rFonts w:asciiTheme="minorHAnsi" w:hAnsiTheme="minorHAnsi" w:cstheme="minorHAnsi"/>
          <w:sz w:val="22"/>
        </w:rPr>
        <w:t xml:space="preserve">Parvis du Tribunal de Paris 75 859 PARIS Cedex 17 </w:t>
      </w:r>
      <w:r>
        <w:rPr>
          <w:rFonts w:asciiTheme="minorHAnsi" w:hAnsiTheme="minorHAnsi" w:cstheme="minorHAnsi"/>
          <w:sz w:val="22"/>
          <w:szCs w:val="22"/>
        </w:rPr>
        <w:t xml:space="preserve">; e-mail : </w:t>
      </w:r>
      <w:hyperlink r:id="rId19" w:tooltip="mailto:tj-paris@justice.fr" w:history="1">
        <w:r>
          <w:rPr>
            <w:rStyle w:val="Lienhypertexte"/>
            <w:rFonts w:asciiTheme="minorHAnsi" w:hAnsiTheme="minorHAnsi" w:cstheme="minorHAnsi"/>
            <w:sz w:val="22"/>
          </w:rPr>
          <w:t>tj-paris@justice.fr</w:t>
        </w:r>
      </w:hyperlink>
      <w:r>
        <w:rPr>
          <w:rFonts w:asciiTheme="minorHAnsi" w:hAnsiTheme="minorHAnsi" w:cstheme="minorHAnsi"/>
          <w:sz w:val="22"/>
        </w:rPr>
        <w:t>.</w:t>
      </w:r>
    </w:p>
    <w:p w14:paraId="4F52ABAB" w14:textId="77777777" w:rsidR="006D181A" w:rsidRDefault="00195005">
      <w:pPr>
        <w:jc w:val="both"/>
        <w:rPr>
          <w:rFonts w:asciiTheme="minorHAnsi" w:hAnsiTheme="minorHAnsi" w:cstheme="minorHAnsi"/>
          <w:sz w:val="22"/>
          <w:szCs w:val="22"/>
        </w:rPr>
      </w:pPr>
      <w:r>
        <w:rPr>
          <w:rFonts w:asciiTheme="minorHAnsi" w:hAnsiTheme="minorHAnsi" w:cstheme="minorHAnsi"/>
          <w:sz w:val="22"/>
          <w:szCs w:val="22"/>
        </w:rPr>
        <w:t xml:space="preserve">Des renseignements sur l'introduction des recours peuvent être obtenus auprès du Greffe du Tribunal judiciaire de Paris ; e-mail : </w:t>
      </w:r>
      <w:hyperlink r:id="rId20" w:tooltip="mailto:tj-paris@justice.fr" w:history="1">
        <w:r>
          <w:rPr>
            <w:rStyle w:val="Lienhypertexte"/>
            <w:rFonts w:asciiTheme="minorHAnsi" w:hAnsiTheme="minorHAnsi" w:cstheme="minorHAnsi"/>
            <w:sz w:val="22"/>
          </w:rPr>
          <w:t>tj-paris@justice.fr</w:t>
        </w:r>
      </w:hyperlink>
      <w:r>
        <w:rPr>
          <w:rFonts w:asciiTheme="minorHAnsi" w:hAnsiTheme="minorHAnsi" w:cstheme="minorHAnsi"/>
          <w:sz w:val="22"/>
        </w:rPr>
        <w:t>.</w:t>
      </w:r>
    </w:p>
    <w:p w14:paraId="21D606F7" w14:textId="77777777" w:rsidR="006D181A" w:rsidRDefault="006D181A">
      <w:pPr>
        <w:rPr>
          <w:rFonts w:asciiTheme="minorHAnsi" w:hAnsiTheme="minorHAnsi" w:cstheme="minorHAnsi"/>
          <w:sz w:val="22"/>
          <w:szCs w:val="22"/>
        </w:rPr>
      </w:pPr>
    </w:p>
    <w:sectPr w:rsidR="006D181A">
      <w:headerReference w:type="default" r:id="rId21"/>
      <w:footerReference w:type="even" r:id="rId22"/>
      <w:footerReference w:type="default" r:id="rId23"/>
      <w:headerReference w:type="first" r:id="rId24"/>
      <w:footerReference w:type="first" r:id="rId25"/>
      <w:pgSz w:w="11906" w:h="16838"/>
      <w:pgMar w:top="845" w:right="1009" w:bottom="142" w:left="1151" w:header="431" w:footer="385" w:gutter="0"/>
      <w:cols w:space="708"/>
      <w:titlePg/>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date="2026-04-14T16:22:00Z">
    <w:p w14:paraId="00000001" w14:textId="00000001">
      <w:pPr>
        <w:spacing w:line="240" w:after="0" w:lineRule="auto" w:before="0"/>
        <w:ind w:firstLine="0" w:left="0" w:right="0"/>
        <w:jc w:val="left"/>
      </w:pPr>
      <w:r>
        <w:rPr>
          <w:rFonts w:eastAsia="Arial" w:ascii="Arial" w:hAnsi="Arial" w:cs="Arial"/>
          <w:sz w:val="22"/>
        </w:rPr>
        <w:t xml:space="preserve">Acompléter</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sEx>
</file>

<file path=word/commentsIdsDocument.xml><?xml version="1.0" encoding="utf-8"?>
<w16cid:commentsIds xmlns:mc="http://schemas.openxmlformats.org/markup-compatibility/2006" xmlns:w16cid="http://schemas.microsoft.com/office/word/2016/wordml/cid" mc:Ignorable="w16cid">
  <w16cid:commentId w16cid:paraId="00000001" w16cid:durableId="4B66A7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B87F13" w14:textId="77777777" w:rsidR="00531D1F" w:rsidRDefault="00531D1F">
      <w:r>
        <w:separator/>
      </w:r>
    </w:p>
  </w:endnote>
  <w:endnote w:type="continuationSeparator" w:id="0">
    <w:p w14:paraId="4044811B" w14:textId="77777777" w:rsidR="00531D1F" w:rsidRDefault="00531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Andale Sans UI">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35BAD" w14:textId="77777777" w:rsidR="006D181A" w:rsidRDefault="00195005">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rPr>
      <w:t>6</w:t>
    </w:r>
    <w:r>
      <w:rPr>
        <w:rStyle w:val="Numrodepage"/>
      </w:rPr>
      <w:fldChar w:fldCharType="end"/>
    </w:r>
  </w:p>
  <w:p w14:paraId="5140F023" w14:textId="77777777" w:rsidR="006D181A" w:rsidRDefault="006D181A">
    <w:pPr>
      <w:pStyle w:val="Pieddepage"/>
      <w:ind w:right="360"/>
      <w:rPr>
        <w:lang w:val="nl-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E335" w14:textId="6E2FB35B" w:rsidR="006D181A" w:rsidRDefault="00195005">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C8A4731" w14:textId="60031BD6" w:rsidR="006D181A" w:rsidRDefault="00531D1F">
    <w:pPr>
      <w:pStyle w:val="Pieddepage"/>
      <w:tabs>
        <w:tab w:val="clear" w:pos="4536"/>
        <w:tab w:val="clear" w:pos="9072"/>
        <w:tab w:val="right" w:pos="9746"/>
      </w:tabs>
      <w:jc w:val="right"/>
      <w:rPr>
        <w:rFonts w:asciiTheme="minorHAnsi" w:hAnsiTheme="minorHAnsi"/>
        <w:sz w:val="22"/>
        <w:szCs w:val="22"/>
      </w:rPr>
    </w:pPr>
    <w:sdt>
      <w:sdtPr>
        <w:rPr>
          <w:rFonts w:asciiTheme="minorHAnsi" w:hAnsiTheme="minorHAnsi"/>
          <w:sz w:val="22"/>
          <w:szCs w:val="22"/>
        </w:rPr>
        <w:id w:val="-279648002"/>
        <w:docPartObj>
          <w:docPartGallery w:val="Page Numbers (Top of Page)"/>
          <w:docPartUnique/>
        </w:docPartObj>
      </w:sdtPr>
      <w:sdtEndPr/>
      <w:sdtContent>
        <w:r w:rsidR="00195005">
          <w:rPr>
            <w:rFonts w:asciiTheme="minorHAnsi" w:hAnsiTheme="minorHAnsi"/>
            <w:sz w:val="22"/>
            <w:szCs w:val="22"/>
          </w:rPr>
          <w:tab/>
          <w:t xml:space="preserve">Page </w:t>
        </w:r>
        <w:r w:rsidR="00195005">
          <w:rPr>
            <w:rFonts w:asciiTheme="minorHAnsi" w:hAnsiTheme="minorHAnsi"/>
            <w:b/>
            <w:bCs/>
            <w:sz w:val="22"/>
            <w:szCs w:val="22"/>
          </w:rPr>
          <w:fldChar w:fldCharType="begin"/>
        </w:r>
        <w:r w:rsidR="00195005">
          <w:rPr>
            <w:rFonts w:asciiTheme="minorHAnsi" w:hAnsiTheme="minorHAnsi"/>
            <w:b/>
            <w:bCs/>
            <w:sz w:val="22"/>
            <w:szCs w:val="22"/>
          </w:rPr>
          <w:instrText>PAGE</w:instrText>
        </w:r>
        <w:r w:rsidR="00195005">
          <w:rPr>
            <w:rFonts w:asciiTheme="minorHAnsi" w:hAnsiTheme="minorHAnsi"/>
            <w:b/>
            <w:bCs/>
            <w:sz w:val="22"/>
            <w:szCs w:val="22"/>
          </w:rPr>
          <w:fldChar w:fldCharType="separate"/>
        </w:r>
        <w:r w:rsidR="00195005">
          <w:rPr>
            <w:rFonts w:asciiTheme="minorHAnsi" w:hAnsiTheme="minorHAnsi"/>
            <w:b/>
            <w:bCs/>
            <w:sz w:val="22"/>
            <w:szCs w:val="22"/>
          </w:rPr>
          <w:t>3</w:t>
        </w:r>
        <w:r w:rsidR="00195005">
          <w:rPr>
            <w:rFonts w:asciiTheme="minorHAnsi" w:hAnsiTheme="minorHAnsi"/>
            <w:b/>
            <w:bCs/>
            <w:sz w:val="22"/>
            <w:szCs w:val="22"/>
          </w:rPr>
          <w:fldChar w:fldCharType="end"/>
        </w:r>
        <w:r w:rsidR="00195005">
          <w:rPr>
            <w:rFonts w:asciiTheme="minorHAnsi" w:hAnsiTheme="minorHAnsi"/>
            <w:sz w:val="22"/>
            <w:szCs w:val="22"/>
          </w:rPr>
          <w:t xml:space="preserve"> sur </w:t>
        </w:r>
        <w:r w:rsidR="00195005">
          <w:rPr>
            <w:rFonts w:asciiTheme="minorHAnsi" w:hAnsiTheme="minorHAnsi"/>
            <w:b/>
            <w:bCs/>
            <w:sz w:val="22"/>
            <w:szCs w:val="22"/>
          </w:rPr>
          <w:fldChar w:fldCharType="begin"/>
        </w:r>
        <w:r w:rsidR="00195005">
          <w:rPr>
            <w:rFonts w:asciiTheme="minorHAnsi" w:hAnsiTheme="minorHAnsi"/>
            <w:b/>
            <w:bCs/>
            <w:sz w:val="22"/>
            <w:szCs w:val="22"/>
          </w:rPr>
          <w:instrText>NUMPAGES</w:instrText>
        </w:r>
        <w:r w:rsidR="00195005">
          <w:rPr>
            <w:rFonts w:asciiTheme="minorHAnsi" w:hAnsiTheme="minorHAnsi"/>
            <w:b/>
            <w:bCs/>
            <w:sz w:val="22"/>
            <w:szCs w:val="22"/>
          </w:rPr>
          <w:fldChar w:fldCharType="separate"/>
        </w:r>
        <w:r w:rsidR="00195005">
          <w:rPr>
            <w:rFonts w:asciiTheme="minorHAnsi" w:hAnsiTheme="minorHAnsi"/>
            <w:b/>
            <w:bCs/>
            <w:sz w:val="22"/>
            <w:szCs w:val="22"/>
          </w:rPr>
          <w:t>16</w:t>
        </w:r>
        <w:r w:rsidR="00195005">
          <w:rPr>
            <w:rFonts w:asciiTheme="minorHAnsi" w:hAnsiTheme="minorHAnsi"/>
            <w:b/>
            <w:bCs/>
            <w:sz w:val="22"/>
            <w:szCs w:val="22"/>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1568570764"/>
      <w:docPartObj>
        <w:docPartGallery w:val="Page Numbers (Bottom of Page)"/>
        <w:docPartUnique/>
      </w:docPartObj>
    </w:sdtPr>
    <w:sdtEndPr/>
    <w:sdtContent>
      <w:sdt>
        <w:sdtPr>
          <w:rPr>
            <w:rFonts w:asciiTheme="minorHAnsi" w:hAnsiTheme="minorHAnsi" w:cstheme="minorHAnsi"/>
            <w:sz w:val="22"/>
            <w:szCs w:val="22"/>
          </w:rPr>
          <w:id w:val="21838982"/>
          <w:docPartObj>
            <w:docPartGallery w:val="Page Numbers (Top of Page)"/>
            <w:docPartUnique/>
          </w:docPartObj>
        </w:sdtPr>
        <w:sdtEndPr/>
        <w:sdtContent>
          <w:p w14:paraId="0170861D" w14:textId="77777777" w:rsidR="006D181A" w:rsidRDefault="00195005">
            <w:pPr>
              <w:pStyle w:val="Pieddepage"/>
              <w:tabs>
                <w:tab w:val="clear" w:pos="4536"/>
                <w:tab w:val="clear" w:pos="9072"/>
                <w:tab w:val="right" w:pos="9746"/>
              </w:tabs>
              <w:jc w:val="both"/>
              <w:rPr>
                <w:rFonts w:asciiTheme="minorHAnsi" w:hAnsiTheme="minorHAnsi" w:cstheme="minorHAnsi"/>
                <w:u w:val="single"/>
              </w:rPr>
            </w:pPr>
            <w:r>
              <w:rPr>
                <w:rFonts w:asciiTheme="minorHAnsi" w:hAnsiTheme="minorHAnsi" w:cstheme="minorHAnsi"/>
                <w:u w:val="single"/>
              </w:rPr>
              <w:tab/>
            </w:r>
          </w:p>
          <w:p w14:paraId="39CD0CF7" w14:textId="228843CB" w:rsidR="006D181A" w:rsidRDefault="00531D1F">
            <w:pPr>
              <w:pStyle w:val="Pieddepage"/>
              <w:tabs>
                <w:tab w:val="clear" w:pos="4536"/>
                <w:tab w:val="clear" w:pos="9072"/>
                <w:tab w:val="right" w:pos="9746"/>
              </w:tabs>
              <w:jc w:val="right"/>
              <w:rPr>
                <w:rFonts w:asciiTheme="minorHAnsi" w:hAnsiTheme="minorHAnsi" w:cstheme="minorHAnsi"/>
                <w:sz w:val="22"/>
                <w:szCs w:val="22"/>
              </w:rPr>
            </w:pPr>
            <w:sdt>
              <w:sdtPr>
                <w:rPr>
                  <w:rFonts w:asciiTheme="minorHAnsi" w:hAnsiTheme="minorHAnsi" w:cstheme="minorHAnsi"/>
                  <w:sz w:val="22"/>
                  <w:szCs w:val="22"/>
                </w:rPr>
                <w:id w:val="540024111"/>
                <w:docPartObj>
                  <w:docPartGallery w:val="Page Numbers (Top of Page)"/>
                  <w:docPartUnique/>
                </w:docPartObj>
              </w:sdtPr>
              <w:sdtEndPr/>
              <w:sdtContent>
                <w:r w:rsidR="00195005">
                  <w:rPr>
                    <w:rFonts w:asciiTheme="minorHAnsi" w:hAnsiTheme="minorHAnsi" w:cstheme="minorHAnsi"/>
                    <w:sz w:val="22"/>
                    <w:szCs w:val="22"/>
                  </w:rPr>
                  <w:t>DAJ_M009_v07</w:t>
                </w:r>
                <w:r w:rsidR="00195005">
                  <w:rPr>
                    <w:rFonts w:asciiTheme="minorHAnsi" w:hAnsiTheme="minorHAnsi" w:cstheme="minorHAnsi"/>
                    <w:sz w:val="22"/>
                    <w:szCs w:val="22"/>
                  </w:rPr>
                  <w:tab/>
                </w:r>
              </w:sdtContent>
            </w:sdt>
          </w:p>
          <w:p w14:paraId="0A77421D" w14:textId="0F7AB086" w:rsidR="006D181A" w:rsidRDefault="00195005">
            <w:pPr>
              <w:pStyle w:val="Pieddepage"/>
              <w:spacing w:line="240" w:lineRule="exact"/>
              <w:rPr>
                <w:rFonts w:asciiTheme="minorHAnsi" w:hAnsiTheme="minorHAnsi" w:cstheme="minorHAnsi"/>
                <w:b/>
                <w:sz w:val="22"/>
                <w:szCs w:val="22"/>
              </w:rPr>
            </w:pPr>
            <w:r>
              <w:rPr>
                <w:rFonts w:asciiTheme="minorHAnsi" w:hAnsiTheme="minorHAnsi" w:cstheme="minorHAnsi"/>
                <w:b/>
                <w:sz w:val="22"/>
                <w:szCs w:val="22"/>
              </w:rPr>
              <w:t>Novembre 2024</w:t>
            </w:r>
          </w:p>
          <w:p w14:paraId="57BF858C" w14:textId="77777777" w:rsidR="006D181A" w:rsidRDefault="006D181A">
            <w:pPr>
              <w:pStyle w:val="Pieddepage"/>
              <w:spacing w:line="240" w:lineRule="exact"/>
              <w:rPr>
                <w:rFonts w:asciiTheme="minorHAnsi" w:hAnsiTheme="minorHAnsi" w:cstheme="minorHAnsi"/>
                <w:b/>
                <w:sz w:val="22"/>
                <w:szCs w:val="22"/>
              </w:rPr>
            </w:pPr>
          </w:p>
          <w:p w14:paraId="7660B93D" w14:textId="3A39253E" w:rsidR="006D181A" w:rsidRDefault="00195005">
            <w:pPr>
              <w:pStyle w:val="Pieddepage"/>
              <w:tabs>
                <w:tab w:val="clear" w:pos="4536"/>
                <w:tab w:val="clear" w:pos="9072"/>
                <w:tab w:val="right" w:pos="9746"/>
              </w:tabs>
              <w:spacing w:line="240" w:lineRule="auto"/>
              <w:rPr>
                <w:rFonts w:asciiTheme="minorHAnsi" w:hAnsiTheme="minorHAnsi" w:cstheme="minorHAnsi"/>
                <w:sz w:val="22"/>
                <w:szCs w:val="22"/>
              </w:rPr>
            </w:pPr>
            <w:r>
              <w:rPr>
                <w:rFonts w:asciiTheme="minorHAnsi" w:hAnsiTheme="minorHAnsi" w:cstheme="minorHAnsi"/>
                <w:sz w:val="16"/>
                <w:szCs w:val="16"/>
              </w:rPr>
              <w:t xml:space="preserve">Expertise France - - 40, Boulevard de Port Royal - France </w:t>
            </w:r>
            <w:r>
              <w:rPr>
                <w:rFonts w:asciiTheme="minorHAnsi" w:hAnsiTheme="minorHAnsi" w:cstheme="minorHAnsi"/>
                <w:sz w:val="16"/>
                <w:szCs w:val="16"/>
              </w:rPr>
              <w:br/>
              <w:t>SIRET : 808 734 792 00035</w:t>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AE50" w14:textId="77777777" w:rsidR="006D181A" w:rsidRDefault="006D181A">
    <w:pPr>
      <w:pStyle w:val="Pieddepage"/>
      <w:ind w:right="360"/>
      <w:rPr>
        <w:lang w:val="nl-NL"/>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FE9CD" w14:textId="77777777" w:rsidR="006D181A" w:rsidRDefault="00195005">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14FA953F" w14:textId="77BA3205" w:rsidR="006D181A" w:rsidRDefault="00531D1F">
    <w:pPr>
      <w:pStyle w:val="Pieddepage"/>
      <w:tabs>
        <w:tab w:val="clear" w:pos="4536"/>
        <w:tab w:val="clear" w:pos="9072"/>
        <w:tab w:val="right" w:pos="9746"/>
      </w:tabs>
      <w:jc w:val="both"/>
      <w:rPr>
        <w:rFonts w:asciiTheme="minorHAnsi" w:hAnsiTheme="minorHAnsi"/>
        <w:szCs w:val="22"/>
      </w:rPr>
    </w:pPr>
    <w:sdt>
      <w:sdtPr>
        <w:rPr>
          <w:rFonts w:asciiTheme="minorHAnsi" w:hAnsiTheme="minorHAnsi"/>
          <w:sz w:val="22"/>
          <w:szCs w:val="22"/>
        </w:rPr>
        <w:id w:val="-624537547"/>
        <w:docPartObj>
          <w:docPartGallery w:val="Page Numbers (Top of Page)"/>
          <w:docPartUnique/>
        </w:docPartObj>
      </w:sdtPr>
      <w:sdtEndPr/>
      <w:sdtContent>
        <w:r w:rsidR="00195005">
          <w:rPr>
            <w:rFonts w:asciiTheme="minorHAnsi" w:hAnsiTheme="minorHAnsi"/>
            <w:sz w:val="22"/>
            <w:szCs w:val="22"/>
          </w:rPr>
          <w:tab/>
          <w:t xml:space="preserve">Page </w:t>
        </w:r>
        <w:r w:rsidR="00195005">
          <w:rPr>
            <w:rFonts w:asciiTheme="minorHAnsi" w:hAnsiTheme="minorHAnsi"/>
            <w:b/>
            <w:bCs/>
            <w:sz w:val="22"/>
            <w:szCs w:val="22"/>
          </w:rPr>
          <w:fldChar w:fldCharType="begin"/>
        </w:r>
        <w:r w:rsidR="00195005">
          <w:rPr>
            <w:rFonts w:asciiTheme="minorHAnsi" w:hAnsiTheme="minorHAnsi"/>
            <w:b/>
            <w:bCs/>
            <w:sz w:val="22"/>
            <w:szCs w:val="22"/>
          </w:rPr>
          <w:instrText>PAGE</w:instrText>
        </w:r>
        <w:r w:rsidR="00195005">
          <w:rPr>
            <w:rFonts w:asciiTheme="minorHAnsi" w:hAnsiTheme="minorHAnsi"/>
            <w:b/>
            <w:bCs/>
            <w:sz w:val="22"/>
            <w:szCs w:val="22"/>
          </w:rPr>
          <w:fldChar w:fldCharType="separate"/>
        </w:r>
        <w:r w:rsidR="00195005">
          <w:rPr>
            <w:rFonts w:asciiTheme="minorHAnsi" w:hAnsiTheme="minorHAnsi"/>
            <w:b/>
            <w:bCs/>
            <w:sz w:val="22"/>
            <w:szCs w:val="22"/>
          </w:rPr>
          <w:t>16</w:t>
        </w:r>
        <w:r w:rsidR="00195005">
          <w:rPr>
            <w:rFonts w:asciiTheme="minorHAnsi" w:hAnsiTheme="minorHAnsi"/>
            <w:b/>
            <w:bCs/>
            <w:sz w:val="22"/>
            <w:szCs w:val="22"/>
          </w:rPr>
          <w:fldChar w:fldCharType="end"/>
        </w:r>
        <w:r w:rsidR="00195005">
          <w:rPr>
            <w:rFonts w:asciiTheme="minorHAnsi" w:hAnsiTheme="minorHAnsi"/>
            <w:sz w:val="22"/>
            <w:szCs w:val="22"/>
          </w:rPr>
          <w:t xml:space="preserve"> sur </w:t>
        </w:r>
        <w:r w:rsidR="00195005">
          <w:rPr>
            <w:rFonts w:asciiTheme="minorHAnsi" w:hAnsiTheme="minorHAnsi"/>
            <w:b/>
            <w:bCs/>
            <w:sz w:val="22"/>
            <w:szCs w:val="22"/>
          </w:rPr>
          <w:fldChar w:fldCharType="begin"/>
        </w:r>
        <w:r w:rsidR="00195005">
          <w:rPr>
            <w:rFonts w:asciiTheme="minorHAnsi" w:hAnsiTheme="minorHAnsi"/>
            <w:b/>
            <w:bCs/>
            <w:sz w:val="22"/>
            <w:szCs w:val="22"/>
          </w:rPr>
          <w:instrText>NUMPAGES</w:instrText>
        </w:r>
        <w:r w:rsidR="00195005">
          <w:rPr>
            <w:rFonts w:asciiTheme="minorHAnsi" w:hAnsiTheme="minorHAnsi"/>
            <w:b/>
            <w:bCs/>
            <w:sz w:val="22"/>
            <w:szCs w:val="22"/>
          </w:rPr>
          <w:fldChar w:fldCharType="separate"/>
        </w:r>
        <w:r w:rsidR="00195005">
          <w:rPr>
            <w:rFonts w:asciiTheme="minorHAnsi" w:hAnsiTheme="minorHAnsi"/>
            <w:b/>
            <w:bCs/>
            <w:sz w:val="22"/>
            <w:szCs w:val="22"/>
          </w:rPr>
          <w:t>16</w:t>
        </w:r>
        <w:r w:rsidR="00195005">
          <w:rPr>
            <w:rFonts w:asciiTheme="minorHAnsi" w:hAnsiTheme="minorHAnsi"/>
            <w:b/>
            <w:bCs/>
            <w:sz w:val="22"/>
            <w:szCs w:val="22"/>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2"/>
        <w:szCs w:val="22"/>
      </w:rPr>
      <w:id w:val="817230371"/>
      <w:docPartObj>
        <w:docPartGallery w:val="Page Numbers (Bottom of Page)"/>
        <w:docPartUnique/>
      </w:docPartObj>
    </w:sdtPr>
    <w:sdtEndPr/>
    <w:sdtContent>
      <w:sdt>
        <w:sdtPr>
          <w:rPr>
            <w:rFonts w:asciiTheme="minorHAnsi" w:hAnsiTheme="minorHAnsi" w:cstheme="minorHAnsi"/>
            <w:sz w:val="22"/>
            <w:szCs w:val="22"/>
          </w:rPr>
          <w:id w:val="-2024234557"/>
          <w:docPartObj>
            <w:docPartGallery w:val="Page Numbers (Top of Page)"/>
            <w:docPartUnique/>
          </w:docPartObj>
        </w:sdtPr>
        <w:sdtEndPr/>
        <w:sdtContent>
          <w:p w14:paraId="3655152B" w14:textId="3FBA490D" w:rsidR="006D181A" w:rsidRDefault="00195005">
            <w:pPr>
              <w:pStyle w:val="Pieddepage"/>
              <w:tabs>
                <w:tab w:val="clear" w:pos="4536"/>
                <w:tab w:val="clear" w:pos="9072"/>
                <w:tab w:val="right" w:pos="9746"/>
              </w:tabs>
              <w:jc w:val="both"/>
              <w:rPr>
                <w:rFonts w:asciiTheme="minorHAnsi" w:hAnsiTheme="minorHAnsi"/>
                <w:u w:val="single"/>
              </w:rPr>
            </w:pPr>
            <w:r>
              <w:rPr>
                <w:rFonts w:asciiTheme="minorHAnsi" w:hAnsiTheme="minorHAnsi"/>
                <w:u w:val="single"/>
              </w:rPr>
              <w:tab/>
            </w:r>
          </w:p>
          <w:p w14:paraId="5895CD9C" w14:textId="07C9329A" w:rsidR="006D181A" w:rsidRDefault="00531D1F">
            <w:pPr>
              <w:pStyle w:val="Pieddepage"/>
              <w:tabs>
                <w:tab w:val="clear" w:pos="4536"/>
                <w:tab w:val="clear" w:pos="9072"/>
                <w:tab w:val="right" w:pos="9746"/>
              </w:tabs>
              <w:jc w:val="both"/>
              <w:rPr>
                <w:rFonts w:asciiTheme="minorHAnsi" w:hAnsiTheme="minorHAnsi" w:cstheme="minorHAnsi"/>
                <w:sz w:val="22"/>
                <w:szCs w:val="22"/>
              </w:rPr>
            </w:pPr>
            <w:sdt>
              <w:sdtPr>
                <w:rPr>
                  <w:rFonts w:asciiTheme="minorHAnsi" w:hAnsiTheme="minorHAnsi"/>
                  <w:sz w:val="22"/>
                  <w:szCs w:val="22"/>
                </w:rPr>
                <w:id w:val="-955870126"/>
                <w:docPartObj>
                  <w:docPartGallery w:val="Page Numbers (Top of Page)"/>
                  <w:docPartUnique/>
                </w:docPartObj>
              </w:sdtPr>
              <w:sdtEndPr/>
              <w:sdtContent>
                <w:r w:rsidR="00195005">
                  <w:rPr>
                    <w:rFonts w:asciiTheme="minorHAnsi" w:hAnsiTheme="minorHAnsi"/>
                    <w:sz w:val="22"/>
                    <w:szCs w:val="22"/>
                  </w:rPr>
                  <w:tab/>
                  <w:t xml:space="preserve">Page </w:t>
                </w:r>
                <w:r w:rsidR="00195005">
                  <w:rPr>
                    <w:rFonts w:asciiTheme="minorHAnsi" w:hAnsiTheme="minorHAnsi"/>
                    <w:b/>
                    <w:bCs/>
                    <w:sz w:val="22"/>
                    <w:szCs w:val="22"/>
                  </w:rPr>
                  <w:fldChar w:fldCharType="begin"/>
                </w:r>
                <w:r w:rsidR="00195005">
                  <w:rPr>
                    <w:rFonts w:asciiTheme="minorHAnsi" w:hAnsiTheme="minorHAnsi"/>
                    <w:b/>
                    <w:bCs/>
                    <w:sz w:val="22"/>
                    <w:szCs w:val="22"/>
                  </w:rPr>
                  <w:instrText>PAGE</w:instrText>
                </w:r>
                <w:r w:rsidR="00195005">
                  <w:rPr>
                    <w:rFonts w:asciiTheme="minorHAnsi" w:hAnsiTheme="minorHAnsi"/>
                    <w:b/>
                    <w:bCs/>
                    <w:sz w:val="22"/>
                    <w:szCs w:val="22"/>
                  </w:rPr>
                  <w:fldChar w:fldCharType="separate"/>
                </w:r>
                <w:r w:rsidR="00195005">
                  <w:rPr>
                    <w:rFonts w:asciiTheme="minorHAnsi" w:hAnsiTheme="minorHAnsi"/>
                    <w:b/>
                    <w:bCs/>
                    <w:sz w:val="22"/>
                    <w:szCs w:val="22"/>
                  </w:rPr>
                  <w:t>4</w:t>
                </w:r>
                <w:r w:rsidR="00195005">
                  <w:rPr>
                    <w:rFonts w:asciiTheme="minorHAnsi" w:hAnsiTheme="minorHAnsi"/>
                    <w:b/>
                    <w:bCs/>
                    <w:sz w:val="22"/>
                    <w:szCs w:val="22"/>
                  </w:rPr>
                  <w:fldChar w:fldCharType="end"/>
                </w:r>
                <w:r w:rsidR="00195005">
                  <w:rPr>
                    <w:rFonts w:asciiTheme="minorHAnsi" w:hAnsiTheme="minorHAnsi"/>
                    <w:sz w:val="22"/>
                    <w:szCs w:val="22"/>
                  </w:rPr>
                  <w:t xml:space="preserve"> sur </w:t>
                </w:r>
                <w:r w:rsidR="00195005">
                  <w:rPr>
                    <w:rFonts w:asciiTheme="minorHAnsi" w:hAnsiTheme="minorHAnsi"/>
                    <w:b/>
                    <w:bCs/>
                    <w:sz w:val="22"/>
                    <w:szCs w:val="22"/>
                  </w:rPr>
                  <w:fldChar w:fldCharType="begin"/>
                </w:r>
                <w:r w:rsidR="00195005">
                  <w:rPr>
                    <w:rFonts w:asciiTheme="minorHAnsi" w:hAnsiTheme="minorHAnsi"/>
                    <w:b/>
                    <w:bCs/>
                    <w:sz w:val="22"/>
                    <w:szCs w:val="22"/>
                  </w:rPr>
                  <w:instrText>NUMPAGES</w:instrText>
                </w:r>
                <w:r w:rsidR="00195005">
                  <w:rPr>
                    <w:rFonts w:asciiTheme="minorHAnsi" w:hAnsiTheme="minorHAnsi"/>
                    <w:b/>
                    <w:bCs/>
                    <w:sz w:val="22"/>
                    <w:szCs w:val="22"/>
                  </w:rPr>
                  <w:fldChar w:fldCharType="separate"/>
                </w:r>
                <w:r w:rsidR="00195005">
                  <w:rPr>
                    <w:rFonts w:asciiTheme="minorHAnsi" w:hAnsiTheme="minorHAnsi"/>
                    <w:b/>
                    <w:bCs/>
                    <w:sz w:val="22"/>
                    <w:szCs w:val="22"/>
                  </w:rPr>
                  <w:t>16</w:t>
                </w:r>
                <w:r w:rsidR="00195005">
                  <w:rPr>
                    <w:rFonts w:asciiTheme="minorHAnsi" w:hAnsiTheme="minorHAnsi"/>
                    <w:b/>
                    <w:bCs/>
                    <w:sz w:val="22"/>
                    <w:szCs w:val="22"/>
                  </w:rPr>
                  <w:fldChar w:fldCharType="end"/>
                </w:r>
              </w:sdtContent>
            </w:sdt>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82838" w14:textId="77777777" w:rsidR="00531D1F" w:rsidRDefault="00531D1F">
      <w:r>
        <w:separator/>
      </w:r>
    </w:p>
  </w:footnote>
  <w:footnote w:type="continuationSeparator" w:id="0">
    <w:p w14:paraId="3BDDECF2" w14:textId="77777777" w:rsidR="00531D1F" w:rsidRDefault="00531D1F">
      <w:r>
        <w:continuationSeparator/>
      </w:r>
    </w:p>
  </w:footnote>
  <w:footnote w:id="1">
    <w:p w14:paraId="3FF8D3A6" w14:textId="6B826258" w:rsidR="00A9201B" w:rsidRDefault="00A9201B" w:rsidP="00A9201B">
      <w:pPr>
        <w:pStyle w:val="Notedebasdepage"/>
      </w:pPr>
      <w:r>
        <w:rPr>
          <w:rStyle w:val="Appelnotedebasdep"/>
        </w:rPr>
        <w:footnoteRef/>
      </w:r>
      <w:r>
        <w:t xml:space="preserve"> </w:t>
      </w:r>
      <w:r>
        <w:t xml:space="preserve"> En cas de candidature sous la forme d'un groupement d'opérateurs économiques, les capacités économiques et financières sont appréciées globalement au niveau du groupement.</w:t>
      </w:r>
      <w:r>
        <w:t xml:space="preserve"> </w:t>
      </w:r>
      <w:r>
        <w:t>Par conséquent, le dossier de consultation exigeant un chiffre d'affaires annuel minimal de 60 000 €, cette exigence peut être satisfaite par le cumul des chiffres d'affaires des membres du groupement. Il n'est donc pas requis que chacun des membres justifie individuellement d'un chiffre d'affaires annuel d'au moins 60 000 €</w:t>
      </w:r>
    </w:p>
  </w:footnote>
  <w:footnote w:id="2">
    <w:p w14:paraId="047663AC" w14:textId="7BDA2A25" w:rsidR="006D181A" w:rsidRDefault="00195005">
      <w:pPr>
        <w:pStyle w:val="Notedebasdepage"/>
        <w:rPr>
          <w:rFonts w:asciiTheme="minorHAnsi" w:hAnsiTheme="minorHAnsi" w:cstheme="minorHAnsi"/>
        </w:rPr>
      </w:pPr>
      <w:r>
        <w:rPr>
          <w:rStyle w:val="Appelnotedebasdep"/>
          <w:rFonts w:asciiTheme="minorHAnsi" w:hAnsiTheme="minorHAnsi" w:cstheme="minorHAnsi"/>
        </w:rPr>
        <w:footnoteRef/>
      </w:r>
      <w:r>
        <w:rPr>
          <w:rFonts w:asciiTheme="minorHAnsi" w:hAnsiTheme="minorHAnsi" w:cstheme="minorHAnsi"/>
        </w:rPr>
        <w:t xml:space="preserve"> Le formulaire DC4 est disponible à l'adresse suivante : https://www.economie.gouv.fr/daj/formulaires-mise-a-jour-formulaire-declaration-sous-traitance-dans-marches-publics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47865C" w14:textId="77777777" w:rsidR="006D181A" w:rsidRDefault="006D181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1BAC" w14:textId="70860A16" w:rsidR="006D181A" w:rsidRDefault="006D181A">
    <w:pPr>
      <w:pStyle w:val="En-tte"/>
      <w:tabs>
        <w:tab w:val="clear" w:pos="9072"/>
        <w:tab w:val="right" w:pos="9339"/>
      </w:tabs>
      <w:rPr>
        <w:rFonts w:ascii="Calibri" w:hAnsi="Calibri"/>
        <w:bCs/>
        <w:sz w:val="22"/>
        <w:szCs w:val="28"/>
        <w:u w:val="single"/>
        <w:lang w:val="en-US"/>
      </w:rPr>
    </w:pPr>
  </w:p>
  <w:p w14:paraId="20B764FC" w14:textId="77777777" w:rsidR="006D181A" w:rsidRDefault="00195005">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6D0C7D89" w14:textId="77777777" w:rsidR="006D181A" w:rsidRDefault="006D181A">
    <w:pPr>
      <w:pStyle w:val="En-tte"/>
      <w:tabs>
        <w:tab w:val="clear" w:pos="4536"/>
        <w:tab w:val="clear" w:pos="9072"/>
        <w:tab w:val="right" w:pos="9781"/>
      </w:tabs>
      <w:spacing w:line="240" w:lineRule="auto"/>
      <w:rPr>
        <w:rFonts w:asciiTheme="minorHAnsi" w:hAnsiTheme="minorHAnsi" w:cs="Arial"/>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62125806"/>
  <w:bookmarkStart w:id="2" w:name="_Hlk62125807"/>
  <w:p w14:paraId="54FDA3FB" w14:textId="45427653" w:rsidR="006D181A" w:rsidRDefault="00195005">
    <w:pPr>
      <w:pStyle w:val="En-tte"/>
    </w:pPr>
    <w:r>
      <w:rPr>
        <w:noProof/>
      </w:rPr>
      <mc:AlternateContent>
        <mc:Choice Requires="wpg">
          <w:drawing>
            <wp:inline distT="0" distB="0" distL="0" distR="0" wp14:anchorId="71FB138C" wp14:editId="4829E7DE">
              <wp:extent cx="2124000" cy="1114574"/>
              <wp:effectExtent l="0" t="0" r="0"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F_Logo_CMJN.png"/>
                      <pic:cNvPicPr>
                        <a:picLocks noChangeAspect="1"/>
                      </pic:cNvPicPr>
                    </pic:nvPicPr>
                    <pic:blipFill rotWithShape="1">
                      <a:blip r:embed="rId1"/>
                      <a:stretch/>
                    </pic:blipFill>
                    <pic:spPr bwMode="auto">
                      <a:xfrm>
                        <a:off x="0" y="0"/>
                        <a:ext cx="2124000" cy="1114574"/>
                      </a:xfrm>
                      <a:prstGeom prst="rect">
                        <a:avLst/>
                      </a:prstGeom>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67.24pt;height:87.76pt;mso-wrap-distance-left:0.00pt;mso-wrap-distance-top:0.00pt;mso-wrap-distance-right:0.00pt;mso-wrap-distance-bottom:0.00pt;z-index:1;" stroked="f">
              <v:imagedata r:id="rId2" o:title=""/>
              <o:lock v:ext="edit" rotation="t"/>
            </v:shape>
          </w:pict>
        </mc:Fallback>
      </mc:AlternateContent>
    </w:r>
    <w:bookmarkEnd w:id="1"/>
    <w:bookmarkEnd w:id="2"/>
  </w:p>
  <w:p w14:paraId="1DC44FE6" w14:textId="77777777" w:rsidR="006D181A" w:rsidRDefault="006D181A">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DD6A3" w14:textId="5B9F0FF1" w:rsidR="006D181A" w:rsidRDefault="006D181A">
    <w:pPr>
      <w:pStyle w:val="En-tte"/>
      <w:tabs>
        <w:tab w:val="right" w:pos="9214"/>
      </w:tabs>
      <w:rPr>
        <w:rFonts w:ascii="Calibri" w:hAnsi="Calibri"/>
        <w:bCs/>
        <w:sz w:val="22"/>
        <w:szCs w:val="28"/>
        <w:u w:val="single"/>
        <w:lang w:val="en-US"/>
      </w:rPr>
    </w:pPr>
  </w:p>
  <w:p w14:paraId="427C6303" w14:textId="77777777" w:rsidR="006D181A" w:rsidRDefault="00195005">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1C9FA26" w14:textId="77777777" w:rsidR="006D181A" w:rsidRDefault="006D181A">
    <w:pPr>
      <w:pStyle w:val="En-tte"/>
      <w:tabs>
        <w:tab w:val="clear" w:pos="4536"/>
        <w:tab w:val="clear" w:pos="9072"/>
        <w:tab w:val="right" w:pos="9639"/>
      </w:tabs>
      <w:rPr>
        <w:rFonts w:asciiTheme="minorHAnsi" w:hAnsiTheme="minorHAnsi" w:cs="Arial"/>
        <w:sz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7EB14" w14:textId="33B4AFB1" w:rsidR="006D181A" w:rsidRDefault="006D181A">
    <w:pPr>
      <w:pStyle w:val="En-tte"/>
      <w:tabs>
        <w:tab w:val="clear" w:pos="4536"/>
        <w:tab w:val="clear" w:pos="9072"/>
        <w:tab w:val="right" w:pos="9781"/>
      </w:tabs>
      <w:spacing w:line="240" w:lineRule="auto"/>
      <w:rPr>
        <w:rFonts w:asciiTheme="minorHAnsi" w:hAnsiTheme="minorHAnsi" w:cs="Arial"/>
        <w:sz w:val="24"/>
      </w:rPr>
    </w:pPr>
  </w:p>
  <w:p w14:paraId="7A328B34" w14:textId="77777777" w:rsidR="006D181A" w:rsidRDefault="00195005">
    <w:pPr>
      <w:pStyle w:val="En-tte"/>
      <w:tabs>
        <w:tab w:val="clear" w:pos="4536"/>
        <w:tab w:val="clear" w:pos="9072"/>
        <w:tab w:val="right" w:pos="9639"/>
      </w:tabs>
      <w:rPr>
        <w:rFonts w:ascii="Calibri" w:hAnsi="Calibri"/>
        <w:smallCaps/>
        <w:u w:val="single"/>
      </w:rPr>
    </w:pPr>
    <w:r>
      <w:rPr>
        <w:rFonts w:ascii="Calibri" w:hAnsi="Calibri"/>
        <w:bCs/>
        <w:smallCaps/>
        <w:sz w:val="22"/>
        <w:szCs w:val="28"/>
        <w:u w:val="single"/>
      </w:rPr>
      <w:t>Règlement de la consultation</w:t>
    </w:r>
    <w:r>
      <w:rPr>
        <w:rFonts w:ascii="Calibri" w:hAnsi="Calibri"/>
        <w:bCs/>
        <w:smallCaps/>
        <w:sz w:val="22"/>
        <w:szCs w:val="28"/>
        <w:u w:val="single"/>
      </w:rPr>
      <w:tab/>
    </w:r>
  </w:p>
  <w:p w14:paraId="395236D5" w14:textId="77777777" w:rsidR="006D181A" w:rsidRDefault="006D181A">
    <w:pPr>
      <w:pStyle w:val="En-tte"/>
      <w:tabs>
        <w:tab w:val="clear" w:pos="4536"/>
        <w:tab w:val="clear" w:pos="9072"/>
        <w:tab w:val="right" w:pos="9781"/>
      </w:tabs>
      <w:spacing w:line="240" w:lineRule="auto"/>
      <w:rPr>
        <w:rFonts w:asciiTheme="minorHAnsi" w:hAnsiTheme="minorHAnsi" w:cs="Arial"/>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C342176"/>
    <w:lvl w:ilvl="0">
      <w:start w:val="1"/>
      <w:numFmt w:val="bullet"/>
      <w:pStyle w:val="textepuce2"/>
      <w:lvlText w:val="•"/>
      <w:lvlJc w:val="left"/>
      <w:pPr>
        <w:tabs>
          <w:tab w:val="num" w:pos="360"/>
        </w:tabs>
        <w:ind w:left="0" w:firstLine="0"/>
      </w:pPr>
      <w:rPr>
        <w:rFonts w:ascii="Arial" w:hAnsi="Arial" w:hint="default"/>
        <w:b w:val="0"/>
        <w:i w:val="0"/>
        <w:caps w:val="0"/>
        <w:strike w:val="0"/>
        <w:vanish w:val="0"/>
        <w:color w:val="000000"/>
        <w:spacing w:val="0"/>
        <w:position w:val="0"/>
        <w:sz w:val="20"/>
        <w:vertAlign w:val="baseline"/>
        <w14:textOutline w14:w="0" w14:cap="rnd" w14:cmpd="sng" w14:algn="ctr">
          <w14:noFill/>
          <w14:prstDash w14:val="solid"/>
          <w14:bevel/>
        </w14:textOutline>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15:restartNumberingAfterBreak="0">
    <w:nsid w:val="00000003"/>
    <w:multiLevelType w:val="multilevel"/>
    <w:tmpl w:val="330CD28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DC1D4F"/>
    <w:multiLevelType w:val="multilevel"/>
    <w:tmpl w:val="48484A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64562"/>
    <w:multiLevelType w:val="multilevel"/>
    <w:tmpl w:val="C0DA1A08"/>
    <w:lvl w:ilvl="0">
      <w:numFmt w:val="bullet"/>
      <w:lvlText w:val=""/>
      <w:lvlJc w:val="left"/>
      <w:pPr>
        <w:ind w:left="720" w:hanging="360"/>
      </w:pPr>
      <w:rPr>
        <w:rFonts w:ascii="Wingdings" w:eastAsia="Calibri" w:hAnsi="Wingdings"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93571C0"/>
    <w:multiLevelType w:val="multilevel"/>
    <w:tmpl w:val="0726BCCC"/>
    <w:lvl w:ilvl="0">
      <w:start w:val="1"/>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0C1A638A"/>
    <w:multiLevelType w:val="multilevel"/>
    <w:tmpl w:val="66D69C12"/>
    <w:lvl w:ilvl="0">
      <w:start w:val="1"/>
      <w:numFmt w:val="bullet"/>
      <w:pStyle w:val="q"/>
      <w:lvlText w:val=""/>
      <w:lvlJc w:val="left"/>
      <w:pPr>
        <w:tabs>
          <w:tab w:val="num" w:pos="922"/>
        </w:tabs>
        <w:ind w:left="922" w:hanging="360"/>
      </w:pPr>
      <w:rPr>
        <w:rFonts w:ascii="Symbol" w:hAnsi="Symbol" w:hint="default"/>
        <w:b w:val="0"/>
        <w:i w:val="0"/>
        <w:caps w:val="0"/>
        <w:strike w:val="0"/>
        <w:vanish w:val="0"/>
        <w:color w:val="000000"/>
        <w:sz w:val="16"/>
        <w:vertAlign w:val="baseline"/>
        <w14:textOutline w14:w="0" w14:cap="rnd" w14:cmpd="sng" w14:algn="ctr">
          <w14:noFill/>
          <w14:prstDash w14:val="solid"/>
          <w14:bevel/>
        </w14:textOutline>
      </w:rPr>
    </w:lvl>
    <w:lvl w:ilvl="1">
      <w:start w:val="1"/>
      <w:numFmt w:val="bullet"/>
      <w:lvlText w:val="o"/>
      <w:lvlJc w:val="left"/>
      <w:pPr>
        <w:tabs>
          <w:tab w:val="num" w:pos="2002"/>
        </w:tabs>
        <w:ind w:left="2002" w:hanging="360"/>
      </w:pPr>
      <w:rPr>
        <w:rFonts w:ascii="Courier New" w:hAnsi="Courier New" w:hint="default"/>
      </w:rPr>
    </w:lvl>
    <w:lvl w:ilvl="2">
      <w:start w:val="1"/>
      <w:numFmt w:val="bullet"/>
      <w:lvlText w:val=""/>
      <w:lvlJc w:val="left"/>
      <w:pPr>
        <w:tabs>
          <w:tab w:val="num" w:pos="2722"/>
        </w:tabs>
        <w:ind w:left="2722" w:hanging="360"/>
      </w:pPr>
      <w:rPr>
        <w:rFonts w:ascii="Wingdings" w:hAnsi="Wingdings" w:hint="default"/>
      </w:rPr>
    </w:lvl>
    <w:lvl w:ilvl="3">
      <w:start w:val="1"/>
      <w:numFmt w:val="bullet"/>
      <w:lvlText w:val=""/>
      <w:lvlJc w:val="left"/>
      <w:pPr>
        <w:tabs>
          <w:tab w:val="num" w:pos="3442"/>
        </w:tabs>
        <w:ind w:left="3442" w:hanging="360"/>
      </w:pPr>
      <w:rPr>
        <w:rFonts w:ascii="Symbol" w:hAnsi="Symbol" w:hint="default"/>
      </w:rPr>
    </w:lvl>
    <w:lvl w:ilvl="4">
      <w:start w:val="1"/>
      <w:numFmt w:val="bullet"/>
      <w:lvlText w:val="o"/>
      <w:lvlJc w:val="left"/>
      <w:pPr>
        <w:tabs>
          <w:tab w:val="num" w:pos="4162"/>
        </w:tabs>
        <w:ind w:left="4162" w:hanging="360"/>
      </w:pPr>
      <w:rPr>
        <w:rFonts w:ascii="Courier New" w:hAnsi="Courier New" w:hint="default"/>
      </w:rPr>
    </w:lvl>
    <w:lvl w:ilvl="5">
      <w:start w:val="1"/>
      <w:numFmt w:val="bullet"/>
      <w:lvlText w:val=""/>
      <w:lvlJc w:val="left"/>
      <w:pPr>
        <w:tabs>
          <w:tab w:val="num" w:pos="4882"/>
        </w:tabs>
        <w:ind w:left="4882" w:hanging="360"/>
      </w:pPr>
      <w:rPr>
        <w:rFonts w:ascii="Wingdings" w:hAnsi="Wingdings" w:hint="default"/>
      </w:rPr>
    </w:lvl>
    <w:lvl w:ilvl="6">
      <w:start w:val="1"/>
      <w:numFmt w:val="bullet"/>
      <w:lvlText w:val=""/>
      <w:lvlJc w:val="left"/>
      <w:pPr>
        <w:tabs>
          <w:tab w:val="num" w:pos="5602"/>
        </w:tabs>
        <w:ind w:left="5602" w:hanging="360"/>
      </w:pPr>
      <w:rPr>
        <w:rFonts w:ascii="Symbol" w:hAnsi="Symbol" w:hint="default"/>
      </w:rPr>
    </w:lvl>
    <w:lvl w:ilvl="7">
      <w:start w:val="1"/>
      <w:numFmt w:val="bullet"/>
      <w:lvlText w:val="o"/>
      <w:lvlJc w:val="left"/>
      <w:pPr>
        <w:tabs>
          <w:tab w:val="num" w:pos="6322"/>
        </w:tabs>
        <w:ind w:left="6322" w:hanging="360"/>
      </w:pPr>
      <w:rPr>
        <w:rFonts w:ascii="Courier New" w:hAnsi="Courier New" w:hint="default"/>
      </w:rPr>
    </w:lvl>
    <w:lvl w:ilvl="8">
      <w:start w:val="1"/>
      <w:numFmt w:val="bullet"/>
      <w:lvlText w:val=""/>
      <w:lvlJc w:val="left"/>
      <w:pPr>
        <w:tabs>
          <w:tab w:val="num" w:pos="7042"/>
        </w:tabs>
        <w:ind w:left="7042" w:hanging="360"/>
      </w:pPr>
      <w:rPr>
        <w:rFonts w:ascii="Wingdings" w:hAnsi="Wingdings" w:hint="default"/>
      </w:rPr>
    </w:lvl>
  </w:abstractNum>
  <w:abstractNum w:abstractNumId="6" w15:restartNumberingAfterBreak="0">
    <w:nsid w:val="0D872CB2"/>
    <w:multiLevelType w:val="multilevel"/>
    <w:tmpl w:val="C7021190"/>
    <w:lvl w:ilvl="0">
      <w:start w:val="1"/>
      <w:numFmt w:val="lowerLetter"/>
      <w:lvlText w:val="%1."/>
      <w:lvlJc w:val="left"/>
      <w:pPr>
        <w:ind w:left="1440" w:hanging="360"/>
      </w:pPr>
      <w:rPr>
        <w:rFonts w:ascii="Calibri" w:eastAsia="Times" w:hAnsi="Calibri" w:cs="Calibri"/>
      </w:rPr>
    </w:lvl>
    <w:lvl w:ilvl="1">
      <w:start w:val="1"/>
      <w:numFmt w:val="lowerRoman"/>
      <w:lvlText w:val="%2."/>
      <w:lvlJc w:val="left"/>
      <w:pPr>
        <w:ind w:left="2160" w:hanging="360"/>
      </w:pPr>
      <w:rPr>
        <w:rFonts w:ascii="Calibri" w:eastAsia="Times" w:hAnsi="Calibri" w:cs="Calibri"/>
      </w:r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12FA3D26"/>
    <w:multiLevelType w:val="multilevel"/>
    <w:tmpl w:val="FEE068D0"/>
    <w:lvl w:ilvl="0">
      <w:start w:val="1"/>
      <w:numFmt w:val="decimal"/>
      <w:lvlText w:val="%1."/>
      <w:lvlJc w:val="left"/>
      <w:pPr>
        <w:ind w:left="720" w:hanging="360"/>
      </w:pPr>
      <w:rPr>
        <w:rFonts w:hint="default"/>
      </w:rPr>
    </w:lvl>
    <w:lvl w:ilvl="1">
      <w:start w:val="1"/>
      <w:numFmt w:val="lowerLetter"/>
      <w:lvlText w:val="%2."/>
      <w:lvlJc w:val="left"/>
      <w:pPr>
        <w:ind w:left="1440" w:hanging="360"/>
      </w:pPr>
      <w:rPr>
        <w:sz w:val="20"/>
        <w:szCs w:val="2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5465BFF"/>
    <w:multiLevelType w:val="multilevel"/>
    <w:tmpl w:val="4EB03C1C"/>
    <w:lvl w:ilvl="0">
      <w:start w:val="1"/>
      <w:numFmt w:val="bullet"/>
      <w:pStyle w:val="w"/>
      <w:lvlText w:val=""/>
      <w:lvlJc w:val="left"/>
      <w:pPr>
        <w:tabs>
          <w:tab w:val="num" w:pos="994"/>
        </w:tabs>
        <w:ind w:left="994" w:hanging="432"/>
      </w:pPr>
      <w:rPr>
        <w:rFonts w:ascii="Symbol" w:hAnsi="Symbol" w:hint="default"/>
        <w:sz w:val="22"/>
      </w:rPr>
    </w:lvl>
    <w:lvl w:ilvl="1">
      <w:start w:val="3"/>
      <w:numFmt w:val="bullet"/>
      <w:lvlText w:val="-"/>
      <w:lvlJc w:val="left"/>
      <w:pPr>
        <w:tabs>
          <w:tab w:val="num" w:pos="1440"/>
        </w:tabs>
        <w:ind w:left="1440" w:hanging="360"/>
      </w:pPr>
      <w:rPr>
        <w:rFonts w:ascii="Times New Roman" w:eastAsia="Times New Roman" w:hAnsi="Times New Roman" w:cs="Times New Roman" w:hint="default"/>
      </w:rPr>
    </w:lvl>
    <w:lvl w:ilvl="2">
      <w:start w:val="3"/>
      <w:numFmt w:val="bullet"/>
      <w:lvlText w:val=""/>
      <w:lvlJc w:val="left"/>
      <w:pPr>
        <w:tabs>
          <w:tab w:val="num" w:pos="2505"/>
        </w:tabs>
        <w:ind w:left="2505" w:hanging="705"/>
      </w:pPr>
      <w:rPr>
        <w:rFonts w:ascii="Wingdings" w:eastAsia="Times New Roman" w:hAnsi="Wingdings"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4043BE"/>
    <w:multiLevelType w:val="multilevel"/>
    <w:tmpl w:val="4CCEFA94"/>
    <w:lvl w:ilvl="0">
      <w:numFmt w:val="bullet"/>
      <w:lvlText w:val=""/>
      <w:lvlJc w:val="left"/>
      <w:pPr>
        <w:ind w:left="1066" w:hanging="360"/>
      </w:pPr>
      <w:rPr>
        <w:rFonts w:ascii="Symbol" w:hAnsi="Symbol"/>
      </w:rPr>
    </w:lvl>
    <w:lvl w:ilvl="1">
      <w:numFmt w:val="bullet"/>
      <w:lvlText w:val="o"/>
      <w:lvlJc w:val="left"/>
      <w:pPr>
        <w:ind w:left="1786" w:hanging="360"/>
      </w:pPr>
      <w:rPr>
        <w:rFonts w:ascii="Courier New" w:hAnsi="Courier New" w:cs="Courier New"/>
      </w:rPr>
    </w:lvl>
    <w:lvl w:ilvl="2">
      <w:numFmt w:val="bullet"/>
      <w:lvlText w:val=""/>
      <w:lvlJc w:val="left"/>
      <w:pPr>
        <w:ind w:left="2506" w:hanging="360"/>
      </w:pPr>
      <w:rPr>
        <w:rFonts w:ascii="Wingdings" w:hAnsi="Wingdings"/>
      </w:rPr>
    </w:lvl>
    <w:lvl w:ilvl="3">
      <w:numFmt w:val="bullet"/>
      <w:lvlText w:val=""/>
      <w:lvlJc w:val="left"/>
      <w:pPr>
        <w:ind w:left="3226" w:hanging="360"/>
      </w:pPr>
      <w:rPr>
        <w:rFonts w:ascii="Symbol" w:hAnsi="Symbol"/>
      </w:rPr>
    </w:lvl>
    <w:lvl w:ilvl="4">
      <w:numFmt w:val="bullet"/>
      <w:lvlText w:val="o"/>
      <w:lvlJc w:val="left"/>
      <w:pPr>
        <w:ind w:left="3946" w:hanging="360"/>
      </w:pPr>
      <w:rPr>
        <w:rFonts w:ascii="Courier New" w:hAnsi="Courier New" w:cs="Courier New"/>
      </w:rPr>
    </w:lvl>
    <w:lvl w:ilvl="5">
      <w:numFmt w:val="bullet"/>
      <w:lvlText w:val=""/>
      <w:lvlJc w:val="left"/>
      <w:pPr>
        <w:ind w:left="4666" w:hanging="360"/>
      </w:pPr>
      <w:rPr>
        <w:rFonts w:ascii="Wingdings" w:hAnsi="Wingdings"/>
      </w:rPr>
    </w:lvl>
    <w:lvl w:ilvl="6">
      <w:numFmt w:val="bullet"/>
      <w:lvlText w:val=""/>
      <w:lvlJc w:val="left"/>
      <w:pPr>
        <w:ind w:left="5386" w:hanging="360"/>
      </w:pPr>
      <w:rPr>
        <w:rFonts w:ascii="Symbol" w:hAnsi="Symbol"/>
      </w:rPr>
    </w:lvl>
    <w:lvl w:ilvl="7">
      <w:numFmt w:val="bullet"/>
      <w:lvlText w:val="o"/>
      <w:lvlJc w:val="left"/>
      <w:pPr>
        <w:ind w:left="6106" w:hanging="360"/>
      </w:pPr>
      <w:rPr>
        <w:rFonts w:ascii="Courier New" w:hAnsi="Courier New" w:cs="Courier New"/>
      </w:rPr>
    </w:lvl>
    <w:lvl w:ilvl="8">
      <w:numFmt w:val="bullet"/>
      <w:lvlText w:val=""/>
      <w:lvlJc w:val="left"/>
      <w:pPr>
        <w:ind w:left="6826" w:hanging="360"/>
      </w:pPr>
      <w:rPr>
        <w:rFonts w:ascii="Wingdings" w:hAnsi="Wingdings"/>
      </w:rPr>
    </w:lvl>
  </w:abstractNum>
  <w:abstractNum w:abstractNumId="10" w15:restartNumberingAfterBreak="0">
    <w:nsid w:val="1A6C511B"/>
    <w:multiLevelType w:val="multilevel"/>
    <w:tmpl w:val="88CA27CE"/>
    <w:lvl w:ilvl="0">
      <w:start w:val="1"/>
      <w:numFmt w:val="decimal"/>
      <w:lvlText w:val="ARTICLE %1 :"/>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2.%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1" w15:restartNumberingAfterBreak="0">
    <w:nsid w:val="1BE5D430"/>
    <w:multiLevelType w:val="multilevel"/>
    <w:tmpl w:val="1750B050"/>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12" w15:restartNumberingAfterBreak="0">
    <w:nsid w:val="24742497"/>
    <w:multiLevelType w:val="multilevel"/>
    <w:tmpl w:val="820EECA2"/>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3E22A2"/>
    <w:multiLevelType w:val="multilevel"/>
    <w:tmpl w:val="CAE406DC"/>
    <w:lvl w:ilvl="0">
      <w:start w:val="1"/>
      <w:numFmt w:val="bullet"/>
      <w:lvlText w:val="o"/>
      <w:lvlJc w:val="left"/>
      <w:pPr>
        <w:ind w:left="1068" w:hanging="360"/>
      </w:pPr>
      <w:rPr>
        <w:rFonts w:ascii="Courier New" w:hAnsi="Courier New" w:cs="Courier New" w:hint="default"/>
      </w:rPr>
    </w:lvl>
    <w:lvl w:ilvl="1">
      <w:start w:val="1"/>
      <w:numFmt w:val="decimal"/>
      <w:lvlText w:val="%2."/>
      <w:lvlJc w:val="left"/>
      <w:pPr>
        <w:ind w:left="1788" w:hanging="360"/>
      </w:pPr>
      <w:rPr>
        <w:rFonts w:asciiTheme="minorHAnsi" w:eastAsia="Times" w:hAnsiTheme="minorHAnsi" w:cs="Times New Roman"/>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4" w15:restartNumberingAfterBreak="0">
    <w:nsid w:val="278556B3"/>
    <w:multiLevelType w:val="multilevel"/>
    <w:tmpl w:val="9E8CEA5A"/>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5" w15:restartNumberingAfterBreak="0">
    <w:nsid w:val="291B3500"/>
    <w:multiLevelType w:val="multilevel"/>
    <w:tmpl w:val="026A1344"/>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2CF440C6"/>
    <w:multiLevelType w:val="multilevel"/>
    <w:tmpl w:val="62828974"/>
    <w:lvl w:ilvl="0">
      <w:start w:val="1"/>
      <w:numFmt w:val="lowerLetter"/>
      <w:lvlText w:val="%1)"/>
      <w:lvlJc w:val="left"/>
      <w:pPr>
        <w:tabs>
          <w:tab w:val="num" w:pos="360"/>
        </w:tabs>
        <w:ind w:left="360" w:hanging="360"/>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E5C38F8"/>
    <w:multiLevelType w:val="multilevel"/>
    <w:tmpl w:val="A9C68764"/>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DE4118"/>
    <w:multiLevelType w:val="multilevel"/>
    <w:tmpl w:val="7722F7F0"/>
    <w:lvl w:ilvl="0">
      <w:numFmt w:val="bullet"/>
      <w:lvlText w:val="-"/>
      <w:lvlJc w:val="left"/>
      <w:pPr>
        <w:ind w:left="720" w:hanging="360"/>
      </w:pPr>
      <w:rPr>
        <w:rFonts w:ascii="Arial" w:eastAsia="Andale Sans U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301C6D91"/>
    <w:multiLevelType w:val="multilevel"/>
    <w:tmpl w:val="7C0A05E2"/>
    <w:lvl w:ilvl="0">
      <w:numFmt w:val="bullet"/>
      <w:lvlText w:val="-"/>
      <w:lvlJc w:val="left"/>
      <w:pPr>
        <w:ind w:left="720" w:hanging="360"/>
      </w:pPr>
      <w:rPr>
        <w:rFonts w:ascii="Calibri" w:eastAsia="Times" w:hAnsi="Calibri"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88D3A2A"/>
    <w:multiLevelType w:val="multilevel"/>
    <w:tmpl w:val="2316682A"/>
    <w:lvl w:ilvl="0">
      <w:start w:val="15"/>
      <w:numFmt w:val="bullet"/>
      <w:lvlText w:val="-"/>
      <w:lvlJc w:val="left"/>
      <w:pPr>
        <w:ind w:left="720" w:hanging="360"/>
      </w:pPr>
      <w:rPr>
        <w:rFonts w:ascii="Calibri" w:eastAsia="Times New Roman" w:hAnsi="Calibr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2D06B7"/>
    <w:multiLevelType w:val="multilevel"/>
    <w:tmpl w:val="8844283C"/>
    <w:lvl w:ilvl="0">
      <w:start w:val="1"/>
      <w:numFmt w:val="bullet"/>
      <w:pStyle w:val="TM3"/>
      <w:lvlText w:val=""/>
      <w:lvlJc w:val="left"/>
      <w:pPr>
        <w:tabs>
          <w:tab w:val="num" w:pos="360"/>
        </w:tabs>
        <w:ind w:left="0" w:firstLine="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B42D1D"/>
    <w:multiLevelType w:val="multilevel"/>
    <w:tmpl w:val="089A4FE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23" w15:restartNumberingAfterBreak="0">
    <w:nsid w:val="41D339B7"/>
    <w:multiLevelType w:val="multilevel"/>
    <w:tmpl w:val="698EFA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61F6808"/>
    <w:multiLevelType w:val="multilevel"/>
    <w:tmpl w:val="131A53B0"/>
    <w:lvl w:ilvl="0">
      <w:start w:val="1"/>
      <w:numFmt w:val="decimal"/>
      <w:lvlText w:val="%1."/>
      <w:lvlJc w:val="left"/>
      <w:pPr>
        <w:ind w:left="1776" w:hanging="360"/>
      </w:pPr>
      <w:rPr>
        <w:rFonts w:ascii="Calibri" w:hAnsi="Calibri" w:cs="Calibri" w:hint="default"/>
        <w:color w:val="auto"/>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25" w15:restartNumberingAfterBreak="0">
    <w:nsid w:val="4A5D08B4"/>
    <w:multiLevelType w:val="multilevel"/>
    <w:tmpl w:val="1B3AFDA4"/>
    <w:lvl w:ilvl="0">
      <w:start w:val="1"/>
      <w:numFmt w:val="decimal"/>
      <w:lvlText w:val="%1."/>
      <w:lvlJc w:val="left"/>
      <w:pPr>
        <w:ind w:left="1800" w:hanging="360"/>
      </w:pPr>
      <w:rPr>
        <w:rFonts w:hint="default"/>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6" w15:restartNumberingAfterBreak="0">
    <w:nsid w:val="4B9C6193"/>
    <w:multiLevelType w:val="multilevel"/>
    <w:tmpl w:val="0B54F8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BF0709A"/>
    <w:multiLevelType w:val="multilevel"/>
    <w:tmpl w:val="BED6CF9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CE35B64"/>
    <w:multiLevelType w:val="multilevel"/>
    <w:tmpl w:val="D806E1C2"/>
    <w:lvl w:ilvl="0">
      <w:start w:val="1"/>
      <w:numFmt w:val="bullet"/>
      <w:lvlText w:val=""/>
      <w:lvlJc w:val="left"/>
      <w:pPr>
        <w:tabs>
          <w:tab w:val="num" w:pos="770"/>
        </w:tabs>
        <w:ind w:left="770" w:hanging="360"/>
      </w:pPr>
      <w:rPr>
        <w:rFonts w:ascii="Symbol" w:hAnsi="Symbol" w:hint="default"/>
      </w:rPr>
    </w:lvl>
    <w:lvl w:ilvl="1">
      <w:start w:val="1"/>
      <w:numFmt w:val="bullet"/>
      <w:lvlText w:val="o"/>
      <w:lvlJc w:val="left"/>
      <w:pPr>
        <w:tabs>
          <w:tab w:val="num" w:pos="1490"/>
        </w:tabs>
        <w:ind w:left="1490" w:hanging="360"/>
      </w:pPr>
      <w:rPr>
        <w:rFonts w:ascii="Courier New" w:hAnsi="Courier New" w:hint="default"/>
      </w:rPr>
    </w:lvl>
    <w:lvl w:ilvl="2">
      <w:start w:val="1"/>
      <w:numFmt w:val="bullet"/>
      <w:lvlText w:val=""/>
      <w:lvlJc w:val="left"/>
      <w:pPr>
        <w:tabs>
          <w:tab w:val="num" w:pos="2210"/>
        </w:tabs>
        <w:ind w:left="2210" w:hanging="360"/>
      </w:pPr>
      <w:rPr>
        <w:rFonts w:ascii="Wingdings" w:hAnsi="Wingdings" w:hint="default"/>
      </w:rPr>
    </w:lvl>
    <w:lvl w:ilvl="3">
      <w:start w:val="1"/>
      <w:numFmt w:val="bullet"/>
      <w:lvlText w:val=""/>
      <w:lvlJc w:val="left"/>
      <w:pPr>
        <w:tabs>
          <w:tab w:val="num" w:pos="2930"/>
        </w:tabs>
        <w:ind w:left="2930" w:hanging="360"/>
      </w:pPr>
      <w:rPr>
        <w:rFonts w:ascii="Symbol" w:hAnsi="Symbol" w:hint="default"/>
      </w:rPr>
    </w:lvl>
    <w:lvl w:ilvl="4">
      <w:start w:val="1"/>
      <w:numFmt w:val="bullet"/>
      <w:lvlText w:val="o"/>
      <w:lvlJc w:val="left"/>
      <w:pPr>
        <w:tabs>
          <w:tab w:val="num" w:pos="3650"/>
        </w:tabs>
        <w:ind w:left="3650" w:hanging="360"/>
      </w:pPr>
      <w:rPr>
        <w:rFonts w:ascii="Courier New" w:hAnsi="Courier New" w:hint="default"/>
      </w:rPr>
    </w:lvl>
    <w:lvl w:ilvl="5">
      <w:start w:val="1"/>
      <w:numFmt w:val="bullet"/>
      <w:lvlText w:val=""/>
      <w:lvlJc w:val="left"/>
      <w:pPr>
        <w:tabs>
          <w:tab w:val="num" w:pos="4370"/>
        </w:tabs>
        <w:ind w:left="4370" w:hanging="360"/>
      </w:pPr>
      <w:rPr>
        <w:rFonts w:ascii="Wingdings" w:hAnsi="Wingdings" w:hint="default"/>
      </w:rPr>
    </w:lvl>
    <w:lvl w:ilvl="6">
      <w:start w:val="1"/>
      <w:numFmt w:val="bullet"/>
      <w:lvlText w:val=""/>
      <w:lvlJc w:val="left"/>
      <w:pPr>
        <w:tabs>
          <w:tab w:val="num" w:pos="5090"/>
        </w:tabs>
        <w:ind w:left="5090" w:hanging="360"/>
      </w:pPr>
      <w:rPr>
        <w:rFonts w:ascii="Symbol" w:hAnsi="Symbol" w:hint="default"/>
      </w:rPr>
    </w:lvl>
    <w:lvl w:ilvl="7">
      <w:start w:val="1"/>
      <w:numFmt w:val="bullet"/>
      <w:lvlText w:val="o"/>
      <w:lvlJc w:val="left"/>
      <w:pPr>
        <w:tabs>
          <w:tab w:val="num" w:pos="5810"/>
        </w:tabs>
        <w:ind w:left="5810" w:hanging="360"/>
      </w:pPr>
      <w:rPr>
        <w:rFonts w:ascii="Courier New" w:hAnsi="Courier New" w:hint="default"/>
      </w:rPr>
    </w:lvl>
    <w:lvl w:ilvl="8">
      <w:start w:val="1"/>
      <w:numFmt w:val="bullet"/>
      <w:lvlText w:val=""/>
      <w:lvlJc w:val="left"/>
      <w:pPr>
        <w:tabs>
          <w:tab w:val="num" w:pos="6530"/>
        </w:tabs>
        <w:ind w:left="6530" w:hanging="360"/>
      </w:pPr>
      <w:rPr>
        <w:rFonts w:ascii="Wingdings" w:hAnsi="Wingdings" w:hint="default"/>
      </w:rPr>
    </w:lvl>
  </w:abstractNum>
  <w:abstractNum w:abstractNumId="29" w15:restartNumberingAfterBreak="0">
    <w:nsid w:val="4E734CA1"/>
    <w:multiLevelType w:val="multilevel"/>
    <w:tmpl w:val="8E166C3A"/>
    <w:lvl w:ilvl="0">
      <w:start w:val="1"/>
      <w:numFmt w:val="bullet"/>
      <w:pStyle w:val="b"/>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B66E9E"/>
    <w:multiLevelType w:val="multilevel"/>
    <w:tmpl w:val="7BBAF4C8"/>
    <w:lvl w:ilvl="0">
      <w:start w:val="1"/>
      <w:numFmt w:val="decimal"/>
      <w:lvlText w:val="%1."/>
      <w:lvlJc w:val="left"/>
      <w:pPr>
        <w:ind w:left="720" w:hanging="360"/>
      </w:pPr>
      <w:rPr>
        <w:rFonts w:asciiTheme="minorHAnsi" w:hAnsiTheme="minorHAnsi" w:cs="Times New Roman"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7EC3980"/>
    <w:multiLevelType w:val="multilevel"/>
    <w:tmpl w:val="1756AEDA"/>
    <w:lvl w:ilvl="0">
      <w:start w:val="1"/>
      <w:numFmt w:val="bullet"/>
      <w:lvlText w:val="-"/>
      <w:lvlJc w:val="left"/>
      <w:pPr>
        <w:ind w:left="912"/>
      </w:pPr>
      <w:rPr>
        <w:rFonts w:ascii="Calibri" w:eastAsia="Calibri" w:hAnsi="Calibri" w:cs="Calibri"/>
        <w:b w:val="0"/>
        <w:i w:val="0"/>
        <w:strike w:val="0"/>
        <w:color w:val="000000"/>
        <w:sz w:val="22"/>
        <w:szCs w:val="22"/>
        <w:u w:val="none"/>
        <w:shd w:val="clear" w:color="auto" w:fill="auto"/>
        <w:vertAlign w:val="baseline"/>
      </w:rPr>
    </w:lvl>
    <w:lvl w:ilvl="1">
      <w:start w:val="1"/>
      <w:numFmt w:val="bullet"/>
      <w:lvlText w:val="•"/>
      <w:lvlJc w:val="left"/>
      <w:pPr>
        <w:ind w:left="1800"/>
      </w:pPr>
      <w:rPr>
        <w:rFonts w:ascii="Arial" w:eastAsia="Arial" w:hAnsi="Arial" w:cs="Arial"/>
        <w:b w:val="0"/>
        <w:i w:val="0"/>
        <w:strike w:val="0"/>
        <w:color w:val="000000"/>
        <w:sz w:val="22"/>
        <w:szCs w:val="22"/>
        <w:u w:val="none"/>
        <w:shd w:val="clear" w:color="auto" w:fill="auto"/>
        <w:vertAlign w:val="baseline"/>
      </w:rPr>
    </w:lvl>
    <w:lvl w:ilvl="2">
      <w:start w:val="1"/>
      <w:numFmt w:val="bullet"/>
      <w:lvlText w:val="o"/>
      <w:lvlJc w:val="left"/>
      <w:pPr>
        <w:ind w:left="1954"/>
      </w:pPr>
      <w:rPr>
        <w:rFonts w:ascii="Courier New" w:hAnsi="Courier New" w:cs="Courier New" w:hint="default"/>
        <w:b w:val="0"/>
        <w:i w:val="0"/>
        <w:strike w:val="0"/>
        <w:color w:val="000000"/>
        <w:sz w:val="22"/>
        <w:szCs w:val="22"/>
        <w:u w:val="none"/>
        <w:shd w:val="clear" w:color="auto" w:fill="auto"/>
        <w:vertAlign w:val="baseline"/>
      </w:rPr>
    </w:lvl>
    <w:lvl w:ilvl="3">
      <w:start w:val="1"/>
      <w:numFmt w:val="bullet"/>
      <w:lvlText w:val="•"/>
      <w:lvlJc w:val="left"/>
      <w:pPr>
        <w:ind w:left="2674"/>
      </w:pPr>
      <w:rPr>
        <w:rFonts w:ascii="Arial" w:eastAsia="Arial" w:hAnsi="Arial" w:cs="Arial"/>
        <w:b w:val="0"/>
        <w:i w:val="0"/>
        <w:strike w:val="0"/>
        <w:color w:val="000000"/>
        <w:sz w:val="22"/>
        <w:szCs w:val="22"/>
        <w:u w:val="none"/>
        <w:shd w:val="clear" w:color="auto" w:fill="auto"/>
        <w:vertAlign w:val="baseline"/>
      </w:rPr>
    </w:lvl>
    <w:lvl w:ilvl="4">
      <w:start w:val="1"/>
      <w:numFmt w:val="bullet"/>
      <w:lvlText w:val="o"/>
      <w:lvlJc w:val="left"/>
      <w:pPr>
        <w:ind w:left="3394"/>
      </w:pPr>
      <w:rPr>
        <w:rFonts w:ascii="Segoe UI Symbol" w:eastAsia="Segoe UI Symbol" w:hAnsi="Segoe UI Symbol" w:cs="Segoe UI Symbol"/>
        <w:b w:val="0"/>
        <w:i w:val="0"/>
        <w:strike w:val="0"/>
        <w:color w:val="000000"/>
        <w:sz w:val="22"/>
        <w:szCs w:val="22"/>
        <w:u w:val="none"/>
        <w:shd w:val="clear" w:color="auto" w:fill="auto"/>
        <w:vertAlign w:val="baseline"/>
      </w:rPr>
    </w:lvl>
    <w:lvl w:ilvl="5">
      <w:start w:val="1"/>
      <w:numFmt w:val="bullet"/>
      <w:lvlText w:val="▪"/>
      <w:lvlJc w:val="left"/>
      <w:pPr>
        <w:ind w:left="4114"/>
      </w:pPr>
      <w:rPr>
        <w:rFonts w:ascii="Segoe UI Symbol" w:eastAsia="Segoe UI Symbol" w:hAnsi="Segoe UI Symbol" w:cs="Segoe UI Symbol"/>
        <w:b w:val="0"/>
        <w:i w:val="0"/>
        <w:strike w:val="0"/>
        <w:color w:val="000000"/>
        <w:sz w:val="22"/>
        <w:szCs w:val="22"/>
        <w:u w:val="none"/>
        <w:shd w:val="clear" w:color="auto" w:fill="auto"/>
        <w:vertAlign w:val="baseline"/>
      </w:rPr>
    </w:lvl>
    <w:lvl w:ilvl="6">
      <w:start w:val="1"/>
      <w:numFmt w:val="bullet"/>
      <w:lvlText w:val="•"/>
      <w:lvlJc w:val="left"/>
      <w:pPr>
        <w:ind w:left="4834"/>
      </w:pPr>
      <w:rPr>
        <w:rFonts w:ascii="Arial" w:eastAsia="Arial" w:hAnsi="Arial" w:cs="Arial"/>
        <w:b w:val="0"/>
        <w:i w:val="0"/>
        <w:strike w:val="0"/>
        <w:color w:val="000000"/>
        <w:sz w:val="22"/>
        <w:szCs w:val="22"/>
        <w:u w:val="none"/>
        <w:shd w:val="clear" w:color="auto" w:fill="auto"/>
        <w:vertAlign w:val="baseline"/>
      </w:rPr>
    </w:lvl>
    <w:lvl w:ilvl="7">
      <w:start w:val="1"/>
      <w:numFmt w:val="bullet"/>
      <w:lvlText w:val="o"/>
      <w:lvlJc w:val="left"/>
      <w:pPr>
        <w:ind w:left="5554"/>
      </w:pPr>
      <w:rPr>
        <w:rFonts w:ascii="Segoe UI Symbol" w:eastAsia="Segoe UI Symbol" w:hAnsi="Segoe UI Symbol" w:cs="Segoe UI Symbol"/>
        <w:b w:val="0"/>
        <w:i w:val="0"/>
        <w:strike w:val="0"/>
        <w:color w:val="000000"/>
        <w:sz w:val="22"/>
        <w:szCs w:val="22"/>
        <w:u w:val="none"/>
        <w:shd w:val="clear" w:color="auto" w:fill="auto"/>
        <w:vertAlign w:val="baseline"/>
      </w:rPr>
    </w:lvl>
    <w:lvl w:ilvl="8">
      <w:start w:val="1"/>
      <w:numFmt w:val="bullet"/>
      <w:lvlText w:val="▪"/>
      <w:lvlJc w:val="left"/>
      <w:pPr>
        <w:ind w:left="6274"/>
      </w:pPr>
      <w:rPr>
        <w:rFonts w:ascii="Segoe UI Symbol" w:eastAsia="Segoe UI Symbol" w:hAnsi="Segoe UI Symbol" w:cs="Segoe UI Symbol"/>
        <w:b w:val="0"/>
        <w:i w:val="0"/>
        <w:strike w:val="0"/>
        <w:color w:val="000000"/>
        <w:sz w:val="22"/>
        <w:szCs w:val="22"/>
        <w:u w:val="none"/>
        <w:shd w:val="clear" w:color="auto" w:fill="auto"/>
        <w:vertAlign w:val="baseline"/>
      </w:rPr>
    </w:lvl>
  </w:abstractNum>
  <w:abstractNum w:abstractNumId="32" w15:restartNumberingAfterBreak="0">
    <w:nsid w:val="59F4E0A4"/>
    <w:multiLevelType w:val="multilevel"/>
    <w:tmpl w:val="88B87DDE"/>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Wingdings" w:eastAsia="Wingdings" w:hAnsi="Wingdings" w:cs="Wingdings" w:hint="default"/>
      </w:rPr>
    </w:lvl>
    <w:lvl w:ilvl="4">
      <w:start w:val="1"/>
      <w:numFmt w:val="bullet"/>
      <w:lvlText w:val=""/>
      <w:lvlJc w:val="left"/>
      <w:pPr>
        <w:ind w:left="3600" w:hanging="360"/>
      </w:pPr>
      <w:rPr>
        <w:rFonts w:ascii="Wingdings" w:eastAsia="Wingdings" w:hAnsi="Wingdings" w:cs="Wingdings"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Wingdings" w:eastAsia="Wingdings" w:hAnsi="Wingdings" w:cs="Wingdings" w:hint="default"/>
      </w:rPr>
    </w:lvl>
    <w:lvl w:ilvl="7">
      <w:start w:val="1"/>
      <w:numFmt w:val="bullet"/>
      <w:lvlText w:val=""/>
      <w:lvlJc w:val="left"/>
      <w:pPr>
        <w:ind w:left="5760" w:hanging="360"/>
      </w:pPr>
      <w:rPr>
        <w:rFonts w:ascii="Wingdings" w:eastAsia="Wingdings" w:hAnsi="Wingdings" w:cs="Wingdings" w:hint="default"/>
      </w:rPr>
    </w:lvl>
    <w:lvl w:ilvl="8">
      <w:start w:val="1"/>
      <w:numFmt w:val="bullet"/>
      <w:lvlText w:val=""/>
      <w:lvlJc w:val="left"/>
      <w:pPr>
        <w:ind w:left="6480" w:hanging="360"/>
      </w:pPr>
      <w:rPr>
        <w:rFonts w:ascii="Wingdings" w:eastAsia="Wingdings" w:hAnsi="Wingdings" w:cs="Wingdings" w:hint="default"/>
      </w:rPr>
    </w:lvl>
  </w:abstractNum>
  <w:abstractNum w:abstractNumId="33" w15:restartNumberingAfterBreak="0">
    <w:nsid w:val="5CCA69F2"/>
    <w:multiLevelType w:val="multilevel"/>
    <w:tmpl w:val="328C96B4"/>
    <w:lvl w:ilvl="0">
      <w:start w:val="1"/>
      <w:numFmt w:val="decimal"/>
      <w:lvlText w:val="%1."/>
      <w:lvlJc w:val="left"/>
      <w:pPr>
        <w:ind w:left="1776" w:hanging="360"/>
      </w:pPr>
      <w:rPr>
        <w:rFonts w:hint="default"/>
      </w:rPr>
    </w:lvl>
    <w:lvl w:ilvl="1">
      <w:start w:val="1"/>
      <w:numFmt w:val="lowerLetter"/>
      <w:lvlText w:val="%2."/>
      <w:lvlJc w:val="left"/>
      <w:pPr>
        <w:ind w:left="2496" w:hanging="360"/>
      </w:pPr>
    </w:lvl>
    <w:lvl w:ilvl="2">
      <w:start w:val="1"/>
      <w:numFmt w:val="lowerRoman"/>
      <w:lvlText w:val="%3."/>
      <w:lvlJc w:val="right"/>
      <w:pPr>
        <w:ind w:left="3216" w:hanging="180"/>
      </w:pPr>
    </w:lvl>
    <w:lvl w:ilvl="3">
      <w:start w:val="1"/>
      <w:numFmt w:val="decimal"/>
      <w:lvlText w:val="%4."/>
      <w:lvlJc w:val="left"/>
      <w:pPr>
        <w:ind w:left="3936" w:hanging="360"/>
      </w:pPr>
    </w:lvl>
    <w:lvl w:ilvl="4">
      <w:start w:val="1"/>
      <w:numFmt w:val="lowerLetter"/>
      <w:lvlText w:val="%5."/>
      <w:lvlJc w:val="left"/>
      <w:pPr>
        <w:ind w:left="4656" w:hanging="360"/>
      </w:pPr>
    </w:lvl>
    <w:lvl w:ilvl="5">
      <w:start w:val="1"/>
      <w:numFmt w:val="lowerRoman"/>
      <w:lvlText w:val="%6."/>
      <w:lvlJc w:val="right"/>
      <w:pPr>
        <w:ind w:left="5376" w:hanging="180"/>
      </w:pPr>
    </w:lvl>
    <w:lvl w:ilvl="6">
      <w:start w:val="1"/>
      <w:numFmt w:val="decimal"/>
      <w:lvlText w:val="%7."/>
      <w:lvlJc w:val="left"/>
      <w:pPr>
        <w:ind w:left="6096" w:hanging="360"/>
      </w:pPr>
    </w:lvl>
    <w:lvl w:ilvl="7">
      <w:start w:val="1"/>
      <w:numFmt w:val="lowerLetter"/>
      <w:lvlText w:val="%8."/>
      <w:lvlJc w:val="left"/>
      <w:pPr>
        <w:ind w:left="6816" w:hanging="360"/>
      </w:pPr>
    </w:lvl>
    <w:lvl w:ilvl="8">
      <w:start w:val="1"/>
      <w:numFmt w:val="lowerRoman"/>
      <w:lvlText w:val="%9."/>
      <w:lvlJc w:val="right"/>
      <w:pPr>
        <w:ind w:left="7536" w:hanging="180"/>
      </w:pPr>
    </w:lvl>
  </w:abstractNum>
  <w:abstractNum w:abstractNumId="34" w15:restartNumberingAfterBreak="0">
    <w:nsid w:val="5FE17550"/>
    <w:multiLevelType w:val="multilevel"/>
    <w:tmpl w:val="1DF247D2"/>
    <w:lvl w:ilvl="0">
      <w:numFmt w:val="bullet"/>
      <w:lvlText w:val="-"/>
      <w:lvlJc w:val="left"/>
      <w:pPr>
        <w:ind w:left="720" w:hanging="360"/>
      </w:pPr>
      <w:rPr>
        <w:rFonts w:ascii="Calibri" w:eastAsiaTheme="minorHAnsi" w:hAnsi="Calibri"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32B3DD6"/>
    <w:multiLevelType w:val="multilevel"/>
    <w:tmpl w:val="D67A839E"/>
    <w:lvl w:ilvl="0">
      <w:start w:val="1"/>
      <w:numFmt w:val="bullet"/>
      <w:lvlText w:val=""/>
      <w:lvlJc w:val="left"/>
      <w:pPr>
        <w:ind w:left="731" w:hanging="360"/>
      </w:pPr>
      <w:rPr>
        <w:rFonts w:ascii="Wingdings" w:hAnsi="Wingdings" w:hint="default"/>
      </w:rPr>
    </w:lvl>
    <w:lvl w:ilvl="1">
      <w:start w:val="1"/>
      <w:numFmt w:val="bullet"/>
      <w:lvlText w:val="o"/>
      <w:lvlJc w:val="left"/>
      <w:pPr>
        <w:ind w:left="1451" w:hanging="360"/>
      </w:pPr>
      <w:rPr>
        <w:rFonts w:ascii="Courier New" w:hAnsi="Courier New" w:hint="default"/>
      </w:rPr>
    </w:lvl>
    <w:lvl w:ilvl="2">
      <w:start w:val="1"/>
      <w:numFmt w:val="bullet"/>
      <w:lvlText w:val=""/>
      <w:lvlJc w:val="left"/>
      <w:pPr>
        <w:ind w:left="2171" w:hanging="360"/>
      </w:pPr>
      <w:rPr>
        <w:rFonts w:ascii="Wingdings" w:hAnsi="Wingdings" w:hint="default"/>
      </w:rPr>
    </w:lvl>
    <w:lvl w:ilvl="3">
      <w:start w:val="1"/>
      <w:numFmt w:val="bullet"/>
      <w:lvlText w:val=""/>
      <w:lvlJc w:val="left"/>
      <w:pPr>
        <w:ind w:left="2891" w:hanging="360"/>
      </w:pPr>
      <w:rPr>
        <w:rFonts w:ascii="Symbol" w:hAnsi="Symbol" w:hint="default"/>
      </w:rPr>
    </w:lvl>
    <w:lvl w:ilvl="4">
      <w:start w:val="1"/>
      <w:numFmt w:val="bullet"/>
      <w:lvlText w:val="o"/>
      <w:lvlJc w:val="left"/>
      <w:pPr>
        <w:ind w:left="3611" w:hanging="360"/>
      </w:pPr>
      <w:rPr>
        <w:rFonts w:ascii="Courier New" w:hAnsi="Courier New" w:hint="default"/>
      </w:rPr>
    </w:lvl>
    <w:lvl w:ilvl="5">
      <w:start w:val="1"/>
      <w:numFmt w:val="bullet"/>
      <w:lvlText w:val=""/>
      <w:lvlJc w:val="left"/>
      <w:pPr>
        <w:ind w:left="4331" w:hanging="360"/>
      </w:pPr>
      <w:rPr>
        <w:rFonts w:ascii="Wingdings" w:hAnsi="Wingdings" w:hint="default"/>
      </w:rPr>
    </w:lvl>
    <w:lvl w:ilvl="6">
      <w:start w:val="1"/>
      <w:numFmt w:val="bullet"/>
      <w:lvlText w:val=""/>
      <w:lvlJc w:val="left"/>
      <w:pPr>
        <w:ind w:left="5051" w:hanging="360"/>
      </w:pPr>
      <w:rPr>
        <w:rFonts w:ascii="Symbol" w:hAnsi="Symbol" w:hint="default"/>
      </w:rPr>
    </w:lvl>
    <w:lvl w:ilvl="7">
      <w:start w:val="1"/>
      <w:numFmt w:val="bullet"/>
      <w:lvlText w:val="o"/>
      <w:lvlJc w:val="left"/>
      <w:pPr>
        <w:ind w:left="5771" w:hanging="360"/>
      </w:pPr>
      <w:rPr>
        <w:rFonts w:ascii="Courier New" w:hAnsi="Courier New" w:hint="default"/>
      </w:rPr>
    </w:lvl>
    <w:lvl w:ilvl="8">
      <w:start w:val="1"/>
      <w:numFmt w:val="bullet"/>
      <w:lvlText w:val=""/>
      <w:lvlJc w:val="left"/>
      <w:pPr>
        <w:ind w:left="6491" w:hanging="360"/>
      </w:pPr>
      <w:rPr>
        <w:rFonts w:ascii="Wingdings" w:hAnsi="Wingdings" w:hint="default"/>
      </w:rPr>
    </w:lvl>
  </w:abstractNum>
  <w:abstractNum w:abstractNumId="36" w15:restartNumberingAfterBreak="0">
    <w:nsid w:val="694695A6"/>
    <w:multiLevelType w:val="multilevel"/>
    <w:tmpl w:val="470ACBDC"/>
    <w:lvl w:ilvl="0">
      <w:start w:val="1"/>
      <w:numFmt w:val="bullet"/>
      <w:lvlText w:val=""/>
      <w:lvlJc w:val="left"/>
      <w:pPr>
        <w:ind w:left="994" w:hanging="432"/>
      </w:pPr>
      <w:rPr>
        <w:rFonts w:ascii="Wingdings" w:eastAsia="Wingdings" w:hAnsi="Wingdings" w:cs="Wingdings" w:hint="default"/>
      </w:rPr>
    </w:lvl>
    <w:lvl w:ilvl="1">
      <w:start w:val="1"/>
      <w:numFmt w:val="bullet"/>
      <w:lvlText w:val="-"/>
      <w:lvlJc w:val="left"/>
      <w:pPr>
        <w:ind w:left="1440" w:hanging="360"/>
      </w:pPr>
      <w:rPr>
        <w:rFonts w:ascii="Symbol" w:eastAsia="Symbol" w:hAnsi="Symbol" w:cs="Symbol" w:hint="default"/>
      </w:rPr>
    </w:lvl>
    <w:lvl w:ilvl="2">
      <w:start w:val="1"/>
      <w:numFmt w:val="bullet"/>
      <w:lvlText w:val=""/>
      <w:lvlJc w:val="left"/>
      <w:pPr>
        <w:ind w:left="2505" w:hanging="705"/>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7" w15:restartNumberingAfterBreak="0">
    <w:nsid w:val="6B93416E"/>
    <w:multiLevelType w:val="multilevel"/>
    <w:tmpl w:val="0BD43328"/>
    <w:lvl w:ilvl="0">
      <w:start w:val="1"/>
      <w:numFmt w:val="bullet"/>
      <w:lvlText w:val="-"/>
      <w:lvlJc w:val="left"/>
      <w:pPr>
        <w:ind w:left="720" w:hanging="360"/>
      </w:pPr>
      <w:rPr>
        <w:rFonts w:ascii="Symbol" w:eastAsia="Symbol" w:hAnsi="Symbol" w:cs="Symbol" w:hint="default"/>
      </w:rPr>
    </w:lvl>
    <w:lvl w:ilvl="1">
      <w:start w:val="1"/>
      <w:numFmt w:val="bullet"/>
      <w:lvlText w:val="o"/>
      <w:lvlJc w:val="left"/>
      <w:pPr>
        <w:ind w:left="1440" w:hanging="360"/>
      </w:pPr>
      <w:rPr>
        <w:rFonts w:ascii="Courier New" w:eastAsia="Courier New" w:hAnsi="Courier New" w:cs="Courier New" w:hint="default"/>
      </w:rPr>
    </w:lvl>
    <w:lvl w:ilvl="2">
      <w:start w:val="1"/>
      <w:numFmt w:val="bullet"/>
      <w:lvlText w:val=""/>
      <w:lvlJc w:val="left"/>
      <w:pPr>
        <w:ind w:left="2160" w:hanging="360"/>
      </w:pPr>
      <w:rPr>
        <w:rFonts w:ascii="Wingdings" w:eastAsia="Wingdings" w:hAnsi="Wingdings" w:cs="Wingdings" w:hint="default"/>
      </w:rPr>
    </w:lvl>
    <w:lvl w:ilvl="3">
      <w:start w:val="1"/>
      <w:numFmt w:val="bullet"/>
      <w:lvlText w:val=""/>
      <w:lvlJc w:val="left"/>
      <w:pPr>
        <w:ind w:left="2880" w:hanging="360"/>
      </w:pPr>
      <w:rPr>
        <w:rFonts w:ascii="Symbol" w:eastAsia="Symbol" w:hAnsi="Symbol" w:cs="Symbol" w:hint="default"/>
      </w:rPr>
    </w:lvl>
    <w:lvl w:ilvl="4">
      <w:start w:val="1"/>
      <w:numFmt w:val="bullet"/>
      <w:lvlText w:val="o"/>
      <w:lvlJc w:val="left"/>
      <w:pPr>
        <w:ind w:left="3600" w:hanging="360"/>
      </w:pPr>
      <w:rPr>
        <w:rFonts w:ascii="Courier New" w:eastAsia="Courier New" w:hAnsi="Courier New" w:cs="Courier New" w:hint="default"/>
      </w:rPr>
    </w:lvl>
    <w:lvl w:ilvl="5">
      <w:start w:val="1"/>
      <w:numFmt w:val="bullet"/>
      <w:lvlText w:val=""/>
      <w:lvlJc w:val="left"/>
      <w:pPr>
        <w:ind w:left="4320" w:hanging="360"/>
      </w:pPr>
      <w:rPr>
        <w:rFonts w:ascii="Wingdings" w:eastAsia="Wingdings" w:hAnsi="Wingdings" w:cs="Wingdings" w:hint="default"/>
      </w:rPr>
    </w:lvl>
    <w:lvl w:ilvl="6">
      <w:start w:val="1"/>
      <w:numFmt w:val="bullet"/>
      <w:lvlText w:val=""/>
      <w:lvlJc w:val="left"/>
      <w:pPr>
        <w:ind w:left="5040" w:hanging="360"/>
      </w:pPr>
      <w:rPr>
        <w:rFonts w:ascii="Symbol" w:eastAsia="Symbol" w:hAnsi="Symbol" w:cs="Symbol" w:hint="default"/>
      </w:rPr>
    </w:lvl>
    <w:lvl w:ilvl="7">
      <w:start w:val="1"/>
      <w:numFmt w:val="bullet"/>
      <w:lvlText w:val="o"/>
      <w:lvlJc w:val="left"/>
      <w:pPr>
        <w:ind w:left="5760" w:hanging="360"/>
      </w:pPr>
      <w:rPr>
        <w:rFonts w:ascii="Courier New" w:eastAsia="Courier New" w:hAnsi="Courier New" w:cs="Courier New" w:hint="default"/>
      </w:rPr>
    </w:lvl>
    <w:lvl w:ilvl="8">
      <w:start w:val="1"/>
      <w:numFmt w:val="bullet"/>
      <w:lvlText w:val=""/>
      <w:lvlJc w:val="left"/>
      <w:pPr>
        <w:ind w:left="6480" w:hanging="360"/>
      </w:pPr>
      <w:rPr>
        <w:rFonts w:ascii="Wingdings" w:eastAsia="Wingdings" w:hAnsi="Wingdings" w:cs="Wingdings" w:hint="default"/>
      </w:rPr>
    </w:lvl>
  </w:abstractNum>
  <w:abstractNum w:abstractNumId="38" w15:restartNumberingAfterBreak="0">
    <w:nsid w:val="6BEE629A"/>
    <w:multiLevelType w:val="multilevel"/>
    <w:tmpl w:val="AC84EC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D1F0D74"/>
    <w:multiLevelType w:val="multilevel"/>
    <w:tmpl w:val="BD40F064"/>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40" w15:restartNumberingAfterBreak="0">
    <w:nsid w:val="6FDC236F"/>
    <w:multiLevelType w:val="multilevel"/>
    <w:tmpl w:val="CA802668"/>
    <w:lvl w:ilvl="0">
      <w:start w:val="1"/>
      <w:numFmt w:val="bullet"/>
      <w:lvlText w:val=""/>
      <w:lvlJc w:val="left"/>
      <w:pPr>
        <w:tabs>
          <w:tab w:val="num" w:pos="360"/>
        </w:tabs>
        <w:ind w:left="360" w:hanging="360"/>
      </w:pPr>
      <w:rPr>
        <w:rFonts w:ascii="Wingdings" w:hAnsi="Wingdings" w:hint="default"/>
        <w:sz w:val="2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41" w15:restartNumberingAfterBreak="0">
    <w:nsid w:val="75EC390B"/>
    <w:multiLevelType w:val="multilevel"/>
    <w:tmpl w:val="DB02996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6863F69"/>
    <w:multiLevelType w:val="multilevel"/>
    <w:tmpl w:val="50D808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73166CB"/>
    <w:multiLevelType w:val="multilevel"/>
    <w:tmpl w:val="475C1240"/>
    <w:lvl w:ilvl="0">
      <w:numFmt w:val="bullet"/>
      <w:lvlText w:val="-"/>
      <w:lvlJc w:val="left"/>
      <w:pPr>
        <w:tabs>
          <w:tab w:val="num" w:pos="720"/>
        </w:tabs>
        <w:ind w:left="720" w:hanging="360"/>
      </w:pPr>
      <w:rPr>
        <w:rFonts w:ascii="Arial" w:eastAsia="Times New Roman" w:hAnsi="Aria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7C5033C"/>
    <w:multiLevelType w:val="multilevel"/>
    <w:tmpl w:val="6E621D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79A038C6"/>
    <w:multiLevelType w:val="multilevel"/>
    <w:tmpl w:val="4694F2DC"/>
    <w:lvl w:ilvl="0">
      <w:start w:val="1"/>
      <w:numFmt w:val="bullet"/>
      <w:lvlText w:val=""/>
      <w:lvlJc w:val="left"/>
      <w:pPr>
        <w:ind w:left="720" w:hanging="360"/>
      </w:pPr>
      <w:rPr>
        <w:rFonts w:ascii="Wingdings" w:hAnsi="Wingdings" w:hint="default"/>
        <w:u w:val="no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7FA937C9"/>
    <w:multiLevelType w:val="multilevel"/>
    <w:tmpl w:val="9E8AB08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29"/>
  </w:num>
  <w:num w:numId="4">
    <w:abstractNumId w:val="5"/>
  </w:num>
  <w:num w:numId="5">
    <w:abstractNumId w:val="21"/>
  </w:num>
  <w:num w:numId="6">
    <w:abstractNumId w:val="10"/>
  </w:num>
  <w:num w:numId="7">
    <w:abstractNumId w:val="19"/>
  </w:num>
  <w:num w:numId="8">
    <w:abstractNumId w:val="30"/>
  </w:num>
  <w:num w:numId="9">
    <w:abstractNumId w:val="14"/>
  </w:num>
  <w:num w:numId="10">
    <w:abstractNumId w:val="34"/>
  </w:num>
  <w:num w:numId="11">
    <w:abstractNumId w:val="2"/>
  </w:num>
  <w:num w:numId="12">
    <w:abstractNumId w:val="13"/>
  </w:num>
  <w:num w:numId="13">
    <w:abstractNumId w:val="33"/>
  </w:num>
  <w:num w:numId="14">
    <w:abstractNumId w:val="25"/>
  </w:num>
  <w:num w:numId="15">
    <w:abstractNumId w:val="39"/>
  </w:num>
  <w:num w:numId="16">
    <w:abstractNumId w:val="4"/>
  </w:num>
  <w:num w:numId="17">
    <w:abstractNumId w:val="24"/>
  </w:num>
  <w:num w:numId="18">
    <w:abstractNumId w:val="20"/>
  </w:num>
  <w:num w:numId="19">
    <w:abstractNumId w:val="15"/>
  </w:num>
  <w:num w:numId="20">
    <w:abstractNumId w:val="7"/>
  </w:num>
  <w:num w:numId="21">
    <w:abstractNumId w:val="6"/>
  </w:num>
  <w:num w:numId="22">
    <w:abstractNumId w:val="44"/>
  </w:num>
  <w:num w:numId="23">
    <w:abstractNumId w:val="1"/>
  </w:num>
  <w:num w:numId="24">
    <w:abstractNumId w:val="16"/>
  </w:num>
  <w:num w:numId="25">
    <w:abstractNumId w:val="40"/>
  </w:num>
  <w:num w:numId="26">
    <w:abstractNumId w:val="17"/>
  </w:num>
  <w:num w:numId="27">
    <w:abstractNumId w:val="45"/>
  </w:num>
  <w:num w:numId="28">
    <w:abstractNumId w:val="35"/>
  </w:num>
  <w:num w:numId="29">
    <w:abstractNumId w:val="41"/>
  </w:num>
  <w:num w:numId="30">
    <w:abstractNumId w:val="28"/>
  </w:num>
  <w:num w:numId="31">
    <w:abstractNumId w:val="38"/>
  </w:num>
  <w:num w:numId="32">
    <w:abstractNumId w:val="42"/>
  </w:num>
  <w:num w:numId="33">
    <w:abstractNumId w:val="12"/>
  </w:num>
  <w:num w:numId="34">
    <w:abstractNumId w:val="18"/>
  </w:num>
  <w:num w:numId="35">
    <w:abstractNumId w:val="9"/>
  </w:num>
  <w:num w:numId="36">
    <w:abstractNumId w:val="27"/>
  </w:num>
  <w:num w:numId="37">
    <w:abstractNumId w:val="26"/>
  </w:num>
  <w:num w:numId="38">
    <w:abstractNumId w:val="43"/>
  </w:num>
  <w:num w:numId="39">
    <w:abstractNumId w:val="46"/>
  </w:num>
  <w:num w:numId="40">
    <w:abstractNumId w:val="3"/>
  </w:num>
  <w:num w:numId="41">
    <w:abstractNumId w:val="19"/>
  </w:num>
  <w:num w:numId="42">
    <w:abstractNumId w:val="19"/>
  </w:num>
  <w:num w:numId="43">
    <w:abstractNumId w:val="19"/>
  </w:num>
  <w:num w:numId="44">
    <w:abstractNumId w:val="19"/>
  </w:num>
  <w:num w:numId="45">
    <w:abstractNumId w:val="19"/>
  </w:num>
  <w:num w:numId="46">
    <w:abstractNumId w:val="20"/>
  </w:num>
  <w:num w:numId="47">
    <w:abstractNumId w:val="20"/>
  </w:num>
  <w:num w:numId="48">
    <w:abstractNumId w:val="11"/>
  </w:num>
  <w:num w:numId="49">
    <w:abstractNumId w:val="20"/>
  </w:num>
  <w:num w:numId="50">
    <w:abstractNumId w:val="20"/>
  </w:num>
  <w:num w:numId="51">
    <w:abstractNumId w:val="20"/>
  </w:num>
  <w:num w:numId="52">
    <w:abstractNumId w:val="32"/>
  </w:num>
  <w:num w:numId="53">
    <w:abstractNumId w:val="36"/>
  </w:num>
  <w:num w:numId="54">
    <w:abstractNumId w:val="20"/>
  </w:num>
  <w:num w:numId="55">
    <w:abstractNumId w:val="20"/>
  </w:num>
  <w:num w:numId="56">
    <w:abstractNumId w:val="20"/>
  </w:num>
  <w:num w:numId="57">
    <w:abstractNumId w:val="20"/>
  </w:num>
  <w:num w:numId="58">
    <w:abstractNumId w:val="20"/>
  </w:num>
  <w:num w:numId="59">
    <w:abstractNumId w:val="23"/>
  </w:num>
  <w:num w:numId="60">
    <w:abstractNumId w:val="37"/>
  </w:num>
  <w:num w:numId="61">
    <w:abstractNumId w:val="22"/>
  </w:num>
  <w:num w:numId="62">
    <w:abstractNumId w:val="20"/>
  </w:num>
  <w:num w:numId="63">
    <w:abstractNumId w:val="31"/>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81A"/>
    <w:rsid w:val="000D1A12"/>
    <w:rsid w:val="000F2077"/>
    <w:rsid w:val="00126FBA"/>
    <w:rsid w:val="001547E5"/>
    <w:rsid w:val="0016685F"/>
    <w:rsid w:val="00195005"/>
    <w:rsid w:val="00211A62"/>
    <w:rsid w:val="00296CBB"/>
    <w:rsid w:val="003B2342"/>
    <w:rsid w:val="0040798D"/>
    <w:rsid w:val="0043598D"/>
    <w:rsid w:val="00470B3B"/>
    <w:rsid w:val="00494F9D"/>
    <w:rsid w:val="004D3679"/>
    <w:rsid w:val="00531D1F"/>
    <w:rsid w:val="005411A5"/>
    <w:rsid w:val="005A2D3C"/>
    <w:rsid w:val="005D75DC"/>
    <w:rsid w:val="00690ED3"/>
    <w:rsid w:val="006B12C8"/>
    <w:rsid w:val="006B5729"/>
    <w:rsid w:val="006D181A"/>
    <w:rsid w:val="007164D0"/>
    <w:rsid w:val="00782EEE"/>
    <w:rsid w:val="007C54C2"/>
    <w:rsid w:val="007F4429"/>
    <w:rsid w:val="00813274"/>
    <w:rsid w:val="008221FA"/>
    <w:rsid w:val="00857DB4"/>
    <w:rsid w:val="008C4DE8"/>
    <w:rsid w:val="00924C55"/>
    <w:rsid w:val="00941005"/>
    <w:rsid w:val="009A656E"/>
    <w:rsid w:val="009D1FEF"/>
    <w:rsid w:val="00A038E0"/>
    <w:rsid w:val="00A117C3"/>
    <w:rsid w:val="00A223D7"/>
    <w:rsid w:val="00A9201B"/>
    <w:rsid w:val="00AB409F"/>
    <w:rsid w:val="00B73E40"/>
    <w:rsid w:val="00B97C13"/>
    <w:rsid w:val="00CC413F"/>
    <w:rsid w:val="00CE2A82"/>
    <w:rsid w:val="00CF6B6B"/>
    <w:rsid w:val="00DD7A7F"/>
    <w:rsid w:val="00E9175F"/>
    <w:rsid w:val="00F127D7"/>
    <w:rsid w:val="00F66C45"/>
    <w:rsid w:val="00F834D0"/>
    <w:rsid w:val="00FF23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43EF9"/>
  <w15:docId w15:val="{005BCB05-9D5F-478A-96CA-706FC4CF3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300" w:lineRule="atLeast"/>
    </w:pPr>
    <w:rPr>
      <w:rFonts w:ascii="Arial" w:hAnsi="Arial"/>
    </w:rPr>
  </w:style>
  <w:style w:type="paragraph" w:styleId="Titre1">
    <w:name w:val="heading 1"/>
    <w:basedOn w:val="Normal"/>
    <w:next w:val="Normal"/>
    <w:link w:val="Titre1Car"/>
    <w:qFormat/>
    <w:pPr>
      <w:keepNext/>
      <w:spacing w:line="440" w:lineRule="exact"/>
      <w:outlineLvl w:val="0"/>
    </w:pPr>
    <w:rPr>
      <w:rFonts w:cs="Arial"/>
      <w:b/>
      <w:bCs/>
      <w:caps/>
    </w:rPr>
  </w:style>
  <w:style w:type="paragraph" w:styleId="Titre2">
    <w:name w:val="heading 2"/>
    <w:basedOn w:val="Normal"/>
    <w:next w:val="Normal"/>
    <w:link w:val="Titre2Car"/>
    <w:qFormat/>
    <w:pPr>
      <w:keepNext/>
      <w:widowControl w:val="0"/>
      <w:outlineLvl w:val="1"/>
    </w:pPr>
    <w:rPr>
      <w:rFonts w:cs="Arial"/>
      <w:b/>
      <w:bCs/>
      <w:sz w:val="18"/>
    </w:rPr>
  </w:style>
  <w:style w:type="paragraph" w:styleId="Titre3">
    <w:name w:val="heading 3"/>
    <w:basedOn w:val="Normal"/>
    <w:next w:val="Normal"/>
    <w:link w:val="Titre3Car"/>
    <w:qFormat/>
    <w:pPr>
      <w:keepNext/>
      <w:spacing w:before="240" w:after="60"/>
      <w:outlineLvl w:val="2"/>
    </w:pPr>
    <w:rPr>
      <w:rFonts w:ascii="Helvetica" w:hAnsi="Helvetica"/>
      <w:sz w:val="24"/>
    </w:rPr>
  </w:style>
  <w:style w:type="paragraph" w:styleId="Titre4">
    <w:name w:val="heading 4"/>
    <w:basedOn w:val="Normal"/>
    <w:next w:val="Normal"/>
    <w:link w:val="Titre4Car"/>
    <w:qFormat/>
    <w:pPr>
      <w:keepNext/>
      <w:widowControl w:val="0"/>
      <w:jc w:val="both"/>
      <w:outlineLvl w:val="3"/>
    </w:pPr>
    <w:rPr>
      <w:rFonts w:cs="Arial"/>
      <w:b/>
      <w:bCs/>
      <w:i/>
      <w:iCs/>
      <w:color w:val="0000FF"/>
    </w:rPr>
  </w:style>
  <w:style w:type="paragraph" w:styleId="Titre5">
    <w:name w:val="heading 5"/>
    <w:basedOn w:val="Normal"/>
    <w:next w:val="Normal"/>
    <w:link w:val="Titre5Car"/>
    <w:qFormat/>
    <w:pPr>
      <w:keepNext/>
      <w:widowControl w:val="0"/>
      <w:jc w:val="both"/>
      <w:outlineLvl w:val="4"/>
    </w:pPr>
    <w:rPr>
      <w:rFonts w:cs="Arial"/>
      <w:b/>
      <w:bCs/>
    </w:rPr>
  </w:style>
  <w:style w:type="paragraph" w:styleId="Titre6">
    <w:name w:val="heading 6"/>
    <w:basedOn w:val="Normal"/>
    <w:next w:val="Normal"/>
    <w:link w:val="Titre6Car"/>
    <w:qFormat/>
    <w:pPr>
      <w:spacing w:before="240" w:after="60" w:line="240" w:lineRule="auto"/>
      <w:outlineLvl w:val="5"/>
    </w:pPr>
    <w:rPr>
      <w:rFonts w:ascii="Times New Roman" w:eastAsia="Times New Roman" w:hAnsi="Times New Roman"/>
      <w:b/>
      <w:bCs/>
      <w:sz w:val="22"/>
      <w:szCs w:val="22"/>
      <w:lang w:val="en-US" w:eastAsia="en-US"/>
    </w:rPr>
  </w:style>
  <w:style w:type="paragraph" w:styleId="Titre7">
    <w:name w:val="heading 7"/>
    <w:basedOn w:val="Normal"/>
    <w:next w:val="Normal"/>
    <w:link w:val="Titre7Car"/>
    <w:qFormat/>
    <w:pPr>
      <w:keepNext/>
      <w:widowControl w:val="0"/>
      <w:spacing w:line="240" w:lineRule="auto"/>
      <w:outlineLvl w:val="6"/>
    </w:pPr>
    <w:rPr>
      <w:rFonts w:ascii="Times New Roman" w:eastAsia="Times New Roman" w:hAnsi="Times New Roman" w:cs="Arial"/>
      <w:b/>
      <w:sz w:val="24"/>
      <w:szCs w:val="24"/>
    </w:rPr>
  </w:style>
  <w:style w:type="paragraph" w:styleId="Titre8">
    <w:name w:val="heading 8"/>
    <w:basedOn w:val="Normal"/>
    <w:next w:val="Normal"/>
    <w:link w:val="Titre8Car"/>
    <w:qFormat/>
    <w:pPr>
      <w:keepNext/>
      <w:numPr>
        <w:ilvl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40" w:lineRule="auto"/>
      <w:outlineLvl w:val="7"/>
    </w:pPr>
    <w:rPr>
      <w:rFonts w:ascii="Times New Roman" w:eastAsia="SimSun" w:hAnsi="Times New Roman"/>
      <w:b/>
      <w:sz w:val="24"/>
      <w:lang w:val="en-US" w:eastAsia="zh-CN"/>
    </w:rPr>
  </w:style>
  <w:style w:type="paragraph" w:styleId="Titre9">
    <w:name w:val="heading 9"/>
    <w:basedOn w:val="Normal"/>
    <w:next w:val="Normal"/>
    <w:link w:val="Titre9Car"/>
    <w:uiPriority w:val="9"/>
    <w:unhideWhenUsed/>
    <w:qFormat/>
    <w:pPr>
      <w:keepNext/>
      <w:keepLines/>
      <w:outlineLvl w:val="8"/>
    </w:pPr>
    <w:rPr>
      <w:rFonts w:eastAsia="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leauGrille2">
    <w:name w:val="Grid Table 2"/>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3">
    <w:name w:val="Grid Table 3"/>
    <w:basedOn w:val="Tableau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leau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leau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leau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leau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leau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4">
    <w:name w:val="Grid Table 4"/>
    <w:basedOn w:val="Tableau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leau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leau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leau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leau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leau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leauGrille5Fonc">
    <w:name w:val="Grid Table 5 Dark"/>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leau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leauGrille6Couleur">
    <w:name w:val="Grid Table 6 Colorful"/>
    <w:basedOn w:val="Tableau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leau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leau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leau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leauGrille7Couleur">
    <w:name w:val="Grid Table 7 Colorful"/>
    <w:basedOn w:val="Tableau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leau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leau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leau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leau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leau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leauListe1Clair">
    <w:name w:val="List Table 1 Light"/>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leau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leauListe2">
    <w:name w:val="List Table 2"/>
    <w:basedOn w:val="Tableau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leau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leau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leau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leau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leau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3">
    <w:name w:val="List Table 3"/>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leau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leau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leau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leau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leau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leauListe4">
    <w:name w:val="List Table 4"/>
    <w:basedOn w:val="Tableau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leau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leau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leau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leau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leau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leauListe5Fonc">
    <w:name w:val="List Table 5 Dark"/>
    <w:basedOn w:val="Tableau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leau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leau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leau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leau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leau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leauListe6Couleur">
    <w:name w:val="List Table 6 Colorful"/>
    <w:basedOn w:val="Tableau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leau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leau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leau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leau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leau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leauListe7Couleur">
    <w:name w:val="List Table 7 Colorful"/>
    <w:basedOn w:val="Tableau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leau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leau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leau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leau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leau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auNormal"/>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auNormal"/>
    <w:uiPriority w:val="99"/>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auNormal"/>
    <w:uiPriority w:val="99"/>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auNormal"/>
    <w:uiPriority w:val="99"/>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auNormal"/>
    <w:uiPriority w:val="99"/>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auNormal"/>
    <w:uiPriority w:val="99"/>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auNormal"/>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auNormal"/>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auNormal"/>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auNormal"/>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auNormal"/>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auNormal"/>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au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au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au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au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au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au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itre1Car">
    <w:name w:val="Titre 1 Car"/>
    <w:basedOn w:val="Policepardfaut"/>
    <w:link w:val="Titre1"/>
    <w:uiPriority w:val="9"/>
    <w:rPr>
      <w:rFonts w:ascii="Arial" w:eastAsia="Arial" w:hAnsi="Arial" w:cs="Arial"/>
      <w:color w:val="365F91" w:themeColor="accent1" w:themeShade="BF"/>
      <w:sz w:val="40"/>
      <w:szCs w:val="40"/>
    </w:rPr>
  </w:style>
  <w:style w:type="character" w:customStyle="1" w:styleId="Heading2Char">
    <w:name w:val="Heading 2 Char"/>
    <w:basedOn w:val="Policepardfaut"/>
    <w:uiPriority w:val="9"/>
    <w:rPr>
      <w:rFonts w:ascii="Arial" w:eastAsia="Arial" w:hAnsi="Arial" w:cs="Arial"/>
      <w:color w:val="365F91"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365F91"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365F91" w:themeColor="accent1" w:themeShade="BF"/>
    </w:rPr>
  </w:style>
  <w:style w:type="character" w:customStyle="1" w:styleId="Titre5Car">
    <w:name w:val="Titre 5 Car"/>
    <w:basedOn w:val="Policepardfaut"/>
    <w:link w:val="Titre5"/>
    <w:uiPriority w:val="9"/>
    <w:rPr>
      <w:rFonts w:ascii="Arial" w:eastAsia="Arial" w:hAnsi="Arial" w:cs="Arial"/>
      <w:color w:val="365F91" w:themeColor="accent1" w:themeShade="BF"/>
    </w:rPr>
  </w:style>
  <w:style w:type="character" w:customStyle="1" w:styleId="Titre6Car">
    <w:name w:val="Titre 6 Car"/>
    <w:basedOn w:val="Policepardfaut"/>
    <w:link w:val="Titre6"/>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Titre8Car">
    <w:name w:val="Titre 8 Car"/>
    <w:basedOn w:val="Policepardfaut"/>
    <w:link w:val="Titre8"/>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reCar">
    <w:name w:val="Titre Car"/>
    <w:basedOn w:val="Policepardfaut"/>
    <w:link w:val="Titre"/>
    <w:uiPriority w:val="10"/>
    <w:rPr>
      <w:rFonts w:ascii="Arial" w:eastAsia="Arial" w:hAnsi="Arial" w:cs="Arial"/>
      <w:spacing w:val="-10"/>
      <w:sz w:val="56"/>
      <w:szCs w:val="56"/>
    </w:rPr>
  </w:style>
  <w:style w:type="paragraph" w:styleId="Sous-titre">
    <w:name w:val="Subtitle"/>
    <w:basedOn w:val="Normal"/>
    <w:next w:val="Normal"/>
    <w:link w:val="Sous-titreCar"/>
    <w:uiPriority w:val="11"/>
    <w:qFormat/>
    <w:pPr>
      <w:numPr>
        <w:ilvl w:val="1"/>
      </w:numPr>
    </w:pPr>
    <w:rPr>
      <w:color w:val="595959" w:themeColor="text1" w:themeTint="A6"/>
      <w:spacing w:val="15"/>
      <w:sz w:val="28"/>
      <w:szCs w:val="28"/>
    </w:rPr>
  </w:style>
  <w:style w:type="character" w:customStyle="1" w:styleId="Sous-titreCar">
    <w:name w:val="Sous-titre Car"/>
    <w:basedOn w:val="Policepardfaut"/>
    <w:link w:val="Sous-titre"/>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365F91" w:themeColor="accent1" w:themeShade="BF"/>
    </w:rPr>
  </w:style>
  <w:style w:type="paragraph" w:styleId="Citationintense">
    <w:name w:val="Intense Quote"/>
    <w:basedOn w:val="Normal"/>
    <w:next w:val="Normal"/>
    <w:link w:val="CitationintenseC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onintenseCar">
    <w:name w:val="Citation intense Car"/>
    <w:basedOn w:val="Policepardfaut"/>
    <w:link w:val="Citationintense"/>
    <w:uiPriority w:val="30"/>
    <w:rPr>
      <w:i/>
      <w:iCs/>
      <w:color w:val="365F91" w:themeColor="accent1" w:themeShade="BF"/>
    </w:rPr>
  </w:style>
  <w:style w:type="character" w:styleId="Rfrenceintense">
    <w:name w:val="Intense Reference"/>
    <w:basedOn w:val="Policepardfaut"/>
    <w:uiPriority w:val="32"/>
    <w:qFormat/>
    <w:rPr>
      <w:b/>
      <w:bCs/>
      <w:smallCaps/>
      <w:color w:val="365F91" w:themeColor="accent1" w:themeShade="BF"/>
      <w:spacing w:val="5"/>
    </w:rPr>
  </w:style>
  <w:style w:type="paragraph" w:styleId="Sansinterligne">
    <w:name w:val="No Spacing"/>
    <w:basedOn w:val="Normal"/>
    <w:uiPriority w:val="1"/>
    <w:qFormat/>
    <w:pPr>
      <w:spacing w:line="240" w:lineRule="auto"/>
    </w:pPr>
  </w:style>
  <w:style w:type="character" w:styleId="Accentuationlgre">
    <w:name w:val="Subtle Emphasis"/>
    <w:basedOn w:val="Policepardfaut"/>
    <w:uiPriority w:val="19"/>
    <w:qFormat/>
    <w:rPr>
      <w:i/>
      <w:iCs/>
      <w:color w:val="404040" w:themeColor="text1" w:themeTint="BF"/>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1F497D" w:themeColor="text2"/>
      <w:sz w:val="18"/>
      <w:szCs w:val="18"/>
    </w:rPr>
  </w:style>
  <w:style w:type="character" w:customStyle="1" w:styleId="FootnoteTextChar">
    <w:name w:val="Footnote Text Char"/>
    <w:basedOn w:val="Policepardfaut"/>
    <w:uiPriority w:val="99"/>
    <w:semiHidden/>
    <w:rPr>
      <w:sz w:val="20"/>
      <w:szCs w:val="20"/>
    </w:rPr>
  </w:style>
  <w:style w:type="paragraph" w:styleId="Notedefin">
    <w:name w:val="endnote text"/>
    <w:basedOn w:val="Normal"/>
    <w:link w:val="NotedefinCar"/>
    <w:uiPriority w:val="99"/>
    <w:semiHidden/>
    <w:unhideWhenUsed/>
    <w:pPr>
      <w:spacing w:line="240" w:lineRule="auto"/>
    </w:p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Lienhypertextesuivivisit">
    <w:name w:val="FollowedHyperlink"/>
    <w:basedOn w:val="Policepardfaut"/>
    <w:uiPriority w:val="99"/>
    <w:semiHidden/>
    <w:unhideWhenUsed/>
    <w:rPr>
      <w:color w:val="800080" w:themeColor="followedHyperlink"/>
      <w:u w:val="single"/>
    </w:r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paragraph" w:styleId="En-tte">
    <w:name w:val="header"/>
    <w:basedOn w:val="Normal"/>
    <w:link w:val="En-tteCar"/>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character" w:styleId="Lienhypertexte">
    <w:name w:val="Hyperlink"/>
    <w:basedOn w:val="Policepardfaut"/>
    <w:uiPriority w:val="99"/>
    <w:rPr>
      <w:color w:val="0000FF"/>
      <w:u w:val="single"/>
    </w:rPr>
  </w:style>
  <w:style w:type="paragraph" w:customStyle="1" w:styleId="textepuce2">
    <w:name w:val="texte puce2"/>
    <w:basedOn w:val="Normal"/>
    <w:pPr>
      <w:numPr>
        <w:numId w:val="1"/>
      </w:numPr>
    </w:pPr>
  </w:style>
  <w:style w:type="paragraph" w:customStyle="1" w:styleId="Textedebulles1">
    <w:name w:val="Texte de bulles1"/>
    <w:basedOn w:val="Normal"/>
    <w:semiHidden/>
    <w:rPr>
      <w:rFonts w:ascii="Tahoma" w:hAnsi="Tahoma" w:cs="Tahoma"/>
      <w:sz w:val="16"/>
      <w:szCs w:val="16"/>
    </w:rPr>
  </w:style>
  <w:style w:type="paragraph" w:customStyle="1" w:styleId="a">
    <w:name w:val="a"/>
    <w:basedOn w:val="Normal"/>
    <w:pPr>
      <w:spacing w:line="240" w:lineRule="auto"/>
      <w:jc w:val="both"/>
    </w:pPr>
    <w:rPr>
      <w:rFonts w:eastAsia="Times New Roman"/>
      <w:sz w:val="22"/>
    </w:rPr>
  </w:style>
  <w:style w:type="paragraph" w:customStyle="1" w:styleId="u">
    <w:name w:val="u"/>
    <w:basedOn w:val="Normal"/>
    <w:pPr>
      <w:spacing w:line="240" w:lineRule="auto"/>
      <w:ind w:left="562"/>
      <w:jc w:val="both"/>
    </w:pPr>
    <w:rPr>
      <w:rFonts w:eastAsia="Times New Roman"/>
      <w:sz w:val="22"/>
    </w:rPr>
  </w:style>
  <w:style w:type="paragraph" w:customStyle="1" w:styleId="v">
    <w:name w:val="v"/>
    <w:basedOn w:val="u"/>
    <w:pPr>
      <w:ind w:hanging="562"/>
    </w:pPr>
  </w:style>
  <w:style w:type="paragraph" w:customStyle="1" w:styleId="TITF1">
    <w:name w:val="TITF1"/>
    <w:basedOn w:val="Normal"/>
    <w:pPr>
      <w:widowControl w:val="0"/>
      <w:numPr>
        <w:ilvl w:val="12"/>
      </w:numPr>
      <w:spacing w:after="540" w:line="240" w:lineRule="auto"/>
      <w:jc w:val="both"/>
    </w:pPr>
    <w:rPr>
      <w:rFonts w:eastAsia="Times New Roman" w:cs="Arial"/>
      <w:b/>
      <w:caps/>
    </w:rPr>
  </w:style>
  <w:style w:type="paragraph" w:customStyle="1" w:styleId="w">
    <w:name w:val="w"/>
    <w:basedOn w:val="Normal"/>
    <w:pPr>
      <w:numPr>
        <w:numId w:val="2"/>
      </w:numPr>
      <w:spacing w:line="240" w:lineRule="auto"/>
      <w:jc w:val="both"/>
    </w:pPr>
    <w:rPr>
      <w:rFonts w:eastAsia="Times New Roman"/>
      <w:sz w:val="22"/>
      <w:szCs w:val="24"/>
    </w:rPr>
  </w:style>
  <w:style w:type="paragraph" w:customStyle="1" w:styleId="TITF2">
    <w:name w:val="TITF2"/>
    <w:basedOn w:val="Normal"/>
    <w:pPr>
      <w:keepNext/>
      <w:spacing w:after="270" w:line="240" w:lineRule="auto"/>
      <w:ind w:left="562" w:hanging="562"/>
    </w:pPr>
    <w:rPr>
      <w:rFonts w:eastAsia="Times New Roman"/>
      <w:b/>
      <w:sz w:val="22"/>
    </w:rPr>
  </w:style>
  <w:style w:type="character" w:styleId="Numrodepage">
    <w:name w:val="page number"/>
    <w:basedOn w:val="Policepardfaut"/>
    <w:semiHidden/>
  </w:style>
  <w:style w:type="paragraph" w:customStyle="1" w:styleId="b">
    <w:name w:val="b"/>
    <w:basedOn w:val="Normal"/>
    <w:pPr>
      <w:numPr>
        <w:numId w:val="3"/>
      </w:numPr>
      <w:spacing w:line="240" w:lineRule="auto"/>
      <w:jc w:val="both"/>
    </w:pPr>
    <w:rPr>
      <w:rFonts w:eastAsia="Times New Roman"/>
      <w:sz w:val="22"/>
      <w:szCs w:val="24"/>
    </w:rPr>
  </w:style>
  <w:style w:type="paragraph" w:customStyle="1" w:styleId="e">
    <w:name w:val="e"/>
    <w:basedOn w:val="b"/>
    <w:rPr>
      <w:lang w:val="en-GB"/>
    </w:rPr>
  </w:style>
  <w:style w:type="paragraph" w:customStyle="1" w:styleId="q">
    <w:name w:val="q"/>
    <w:basedOn w:val="Normal"/>
    <w:pPr>
      <w:numPr>
        <w:numId w:val="4"/>
      </w:numPr>
      <w:spacing w:line="240" w:lineRule="auto"/>
      <w:jc w:val="both"/>
    </w:pPr>
    <w:rPr>
      <w:rFonts w:eastAsia="Times New Roman"/>
      <w:sz w:val="22"/>
      <w:szCs w:val="24"/>
    </w:rPr>
  </w:style>
  <w:style w:type="paragraph" w:styleId="Corpsdetexte">
    <w:name w:val="Body Text"/>
    <w:basedOn w:val="Normal"/>
    <w:semiHidden/>
    <w:pPr>
      <w:widowControl w:val="0"/>
      <w:spacing w:line="240" w:lineRule="auto"/>
      <w:jc w:val="center"/>
    </w:pPr>
    <w:rPr>
      <w:rFonts w:eastAsia="Times New Roman" w:cs="Arial"/>
      <w:b/>
      <w:caps/>
      <w:sz w:val="24"/>
      <w:szCs w:val="24"/>
    </w:rPr>
  </w:style>
  <w:style w:type="paragraph" w:customStyle="1" w:styleId="TITF3">
    <w:name w:val="TITF3"/>
    <w:basedOn w:val="Normal"/>
    <w:pPr>
      <w:keepNext/>
      <w:spacing w:after="270" w:line="240" w:lineRule="auto"/>
      <w:ind w:left="562" w:hanging="562"/>
    </w:pPr>
    <w:rPr>
      <w:rFonts w:eastAsia="Times New Roman"/>
      <w:b/>
      <w:sz w:val="22"/>
    </w:rPr>
  </w:style>
  <w:style w:type="character" w:customStyle="1" w:styleId="RetraitcorpsdetexteCar">
    <w:name w:val="Retrait corps de texte Car"/>
    <w:basedOn w:val="Policepardfaut"/>
    <w:rPr>
      <w:rFonts w:ascii="Garamond" w:hAnsi="Garamond"/>
      <w:sz w:val="22"/>
      <w:lang w:val="en-GB" w:eastAsia="fr-FR" w:bidi="ar-SA"/>
    </w:rPr>
  </w:style>
  <w:style w:type="paragraph" w:styleId="Titre">
    <w:name w:val="Title"/>
    <w:basedOn w:val="Normal"/>
    <w:link w:val="TitreCar"/>
    <w:qFormat/>
    <w:pPr>
      <w:pBdr>
        <w:top w:val="single" w:sz="6" w:space="1" w:color="000000"/>
        <w:left w:val="single" w:sz="6" w:space="1" w:color="000000"/>
        <w:bottom w:val="single" w:sz="6" w:space="1" w:color="000000"/>
        <w:right w:val="single" w:sz="6" w:space="1" w:color="000000"/>
      </w:pBdr>
      <w:spacing w:line="240" w:lineRule="auto"/>
      <w:jc w:val="center"/>
    </w:pPr>
    <w:rPr>
      <w:rFonts w:ascii="Garamond" w:eastAsia="Times New Roman" w:hAnsi="Garamond"/>
      <w:b/>
      <w:sz w:val="28"/>
    </w:rPr>
  </w:style>
  <w:style w:type="paragraph" w:customStyle="1" w:styleId="Default">
    <w:name w:val="Default"/>
    <w:rPr>
      <w:rFonts w:ascii="Arial" w:eastAsia="Times New Roman" w:hAnsi="Arial" w:cs="Arial"/>
      <w:color w:val="000000"/>
      <w:sz w:val="24"/>
      <w:szCs w:val="24"/>
    </w:rPr>
  </w:style>
  <w:style w:type="character" w:styleId="CitationHTML">
    <w:name w:val="HTML Cite"/>
    <w:basedOn w:val="Policepardfaut"/>
    <w:semiHidden/>
    <w:rPr>
      <w:i w:val="0"/>
      <w:iCs w:val="0"/>
      <w:color w:val="008000"/>
    </w:rPr>
  </w:style>
  <w:style w:type="paragraph" w:styleId="NormalWeb">
    <w:name w:val="Normal (Web)"/>
    <w:basedOn w:val="Normal"/>
    <w:uiPriority w:val="99"/>
    <w:semiHidden/>
    <w:pPr>
      <w:spacing w:before="120" w:after="120"/>
    </w:pPr>
    <w:rPr>
      <w:rFonts w:ascii="Arial Unicode MS" w:eastAsia="Arial Unicode MS" w:hAnsi="Arial Unicode MS" w:cs="Arial Unicode MS"/>
      <w:sz w:val="24"/>
      <w:szCs w:val="24"/>
    </w:rPr>
  </w:style>
  <w:style w:type="character" w:styleId="Accentuation">
    <w:name w:val="Emphasis"/>
    <w:basedOn w:val="Policepardfaut"/>
    <w:uiPriority w:val="20"/>
    <w:qFormat/>
    <w:rPr>
      <w:b/>
      <w:bCs/>
      <w:i w:val="0"/>
      <w:iCs w:val="0"/>
    </w:rPr>
  </w:style>
  <w:style w:type="paragraph" w:styleId="TM3">
    <w:name w:val="toc 3"/>
    <w:basedOn w:val="Normal"/>
    <w:next w:val="Normal"/>
    <w:uiPriority w:val="39"/>
    <w:semiHidden/>
    <w:qFormat/>
    <w:pPr>
      <w:numPr>
        <w:numId w:val="5"/>
      </w:numPr>
    </w:pPr>
  </w:style>
  <w:style w:type="paragraph" w:styleId="Textedebulles">
    <w:name w:val="Balloon Text"/>
    <w:basedOn w:val="Normal"/>
    <w:link w:val="TextedebullesCar"/>
    <w:uiPriority w:val="99"/>
    <w:semiHidden/>
    <w:unhideWhenUsed/>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table" w:styleId="Grilledutableau">
    <w:name w:val="Table Grid"/>
    <w:basedOn w:val="Tableau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ttedetabledesmatires">
    <w:name w:val="TOC Heading"/>
    <w:basedOn w:val="Titre1"/>
    <w:next w:val="Normal"/>
    <w:uiPriority w:val="39"/>
    <w:semiHidden/>
    <w:unhideWhenUsed/>
    <w:qFormat/>
    <w:pPr>
      <w:keepLines/>
      <w:spacing w:before="480" w:line="276" w:lineRule="auto"/>
      <w:outlineLvl w:val="9"/>
    </w:pPr>
    <w:rPr>
      <w:rFonts w:asciiTheme="majorHAnsi" w:eastAsiaTheme="majorEastAsia" w:hAnsiTheme="majorHAnsi" w:cstheme="majorBidi"/>
      <w:caps w:val="0"/>
      <w:color w:val="365F91" w:themeColor="accent1" w:themeShade="BF"/>
      <w:sz w:val="28"/>
      <w:szCs w:val="28"/>
    </w:rPr>
  </w:style>
  <w:style w:type="paragraph" w:styleId="TM1">
    <w:name w:val="toc 1"/>
    <w:basedOn w:val="Normal"/>
    <w:next w:val="Normal"/>
    <w:uiPriority w:val="39"/>
    <w:unhideWhenUsed/>
    <w:qFormat/>
    <w:pPr>
      <w:spacing w:after="100"/>
    </w:pPr>
  </w:style>
  <w:style w:type="paragraph" w:styleId="TM2">
    <w:name w:val="toc 2"/>
    <w:basedOn w:val="Normal"/>
    <w:next w:val="Normal"/>
    <w:uiPriority w:val="39"/>
    <w:unhideWhenUsed/>
    <w:qFormat/>
    <w:pPr>
      <w:tabs>
        <w:tab w:val="right" w:leader="dot" w:pos="9329"/>
      </w:tabs>
      <w:spacing w:line="276" w:lineRule="auto"/>
      <w:ind w:left="221"/>
    </w:pPr>
    <w:rPr>
      <w:rFonts w:asciiTheme="minorHAnsi" w:eastAsiaTheme="minorEastAsia" w:hAnsiTheme="minorHAnsi" w:cstheme="minorBidi"/>
      <w:sz w:val="22"/>
      <w:szCs w:val="22"/>
    </w:rPr>
  </w:style>
  <w:style w:type="paragraph" w:styleId="Notedebasdepage">
    <w:name w:val="footnote text"/>
    <w:basedOn w:val="Normal"/>
    <w:link w:val="NotedebasdepageCar"/>
    <w:unhideWhenUsed/>
    <w:pPr>
      <w:spacing w:before="240" w:line="240" w:lineRule="auto"/>
      <w:jc w:val="both"/>
    </w:pPr>
    <w:rPr>
      <w:rFonts w:ascii="Times" w:eastAsia="Times New Roman" w:hAnsi="Times" w:cs="Times"/>
    </w:rPr>
  </w:style>
  <w:style w:type="character" w:customStyle="1" w:styleId="NotedebasdepageCar">
    <w:name w:val="Note de bas de page Car"/>
    <w:basedOn w:val="Policepardfaut"/>
    <w:link w:val="Notedebasdepage"/>
    <w:rPr>
      <w:rFonts w:eastAsia="Times New Roman" w:cs="Times"/>
    </w:rPr>
  </w:style>
  <w:style w:type="character" w:styleId="Appelnotedebasdep">
    <w:name w:val="footnote reference"/>
    <w:unhideWhenUsed/>
    <w:rPr>
      <w:rFonts w:ascii="Times New Roman" w:hAnsi="Times New Roman" w:cs="Times New Roman" w:hint="default"/>
      <w:vertAlign w:val="superscript"/>
    </w:rPr>
  </w:style>
  <w:style w:type="paragraph" w:styleId="Paragraphedeliste">
    <w:name w:val="List Paragraph"/>
    <w:basedOn w:val="Normal"/>
    <w:uiPriority w:val="34"/>
    <w:qFormat/>
    <w:pPr>
      <w:ind w:left="720"/>
      <w:contextualSpacing/>
    </w:pPr>
  </w:style>
  <w:style w:type="character" w:styleId="Marquedecommentaire">
    <w:name w:val="annotation reference"/>
    <w:basedOn w:val="Policepardfaut"/>
    <w:unhideWhenUsed/>
    <w:rPr>
      <w:sz w:val="16"/>
      <w:szCs w:val="16"/>
    </w:rPr>
  </w:style>
  <w:style w:type="paragraph" w:styleId="Commentaire">
    <w:name w:val="annotation text"/>
    <w:basedOn w:val="Normal"/>
    <w:link w:val="CommentaireCar"/>
    <w:uiPriority w:val="99"/>
    <w:unhideWhenUsed/>
    <w:pPr>
      <w:spacing w:line="240" w:lineRule="auto"/>
    </w:pPr>
  </w:style>
  <w:style w:type="character" w:customStyle="1" w:styleId="CommentaireCar">
    <w:name w:val="Commentaire Car"/>
    <w:basedOn w:val="Policepardfaut"/>
    <w:link w:val="Commentaire"/>
    <w:uiPriority w:val="99"/>
    <w:rPr>
      <w:rFonts w:ascii="Arial" w:hAnsi="Arial"/>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Arial" w:hAnsi="Arial"/>
      <w:b/>
      <w:bCs/>
    </w:rPr>
  </w:style>
  <w:style w:type="paragraph" w:customStyle="1" w:styleId="NormalA">
    <w:name w:val="Normal A"/>
    <w:basedOn w:val="Normal"/>
    <w:uiPriority w:val="99"/>
    <w:pPr>
      <w:spacing w:before="240" w:line="240" w:lineRule="auto"/>
      <w:jc w:val="both"/>
    </w:pPr>
    <w:rPr>
      <w:rFonts w:ascii="Times New Roman" w:eastAsia="Times New Roman" w:hAnsi="Times New Roman"/>
      <w:sz w:val="22"/>
      <w:szCs w:val="22"/>
    </w:rPr>
  </w:style>
  <w:style w:type="character" w:customStyle="1" w:styleId="PieddepageCar">
    <w:name w:val="Pied de page Car"/>
    <w:basedOn w:val="Policepardfaut"/>
    <w:link w:val="Pieddepage"/>
    <w:uiPriority w:val="99"/>
    <w:rPr>
      <w:rFonts w:ascii="Arial" w:hAnsi="Arial"/>
    </w:rPr>
  </w:style>
  <w:style w:type="paragraph" w:styleId="Corpsdetexte2">
    <w:name w:val="Body Text 2"/>
    <w:basedOn w:val="Normal"/>
    <w:link w:val="Corpsdetexte2Car"/>
    <w:uiPriority w:val="99"/>
    <w:semiHidden/>
    <w:unhideWhenUsed/>
    <w:pPr>
      <w:spacing w:after="120" w:line="480" w:lineRule="auto"/>
    </w:pPr>
  </w:style>
  <w:style w:type="character" w:customStyle="1" w:styleId="Corpsdetexte2Car">
    <w:name w:val="Corps de texte 2 Car"/>
    <w:basedOn w:val="Policepardfaut"/>
    <w:link w:val="Corpsdetexte2"/>
    <w:uiPriority w:val="99"/>
    <w:semiHidden/>
    <w:rPr>
      <w:rFonts w:ascii="Arial" w:hAnsi="Arial"/>
    </w:rPr>
  </w:style>
  <w:style w:type="character" w:customStyle="1" w:styleId="Titre2Car">
    <w:name w:val="Titre 2 Car"/>
    <w:basedOn w:val="Policepardfaut"/>
    <w:link w:val="Titre2"/>
    <w:rPr>
      <w:rFonts w:ascii="Arial" w:hAnsi="Arial" w:cs="Arial"/>
      <w:b/>
      <w:bCs/>
      <w:sz w:val="18"/>
    </w:rPr>
  </w:style>
  <w:style w:type="character" w:styleId="Titredulivre">
    <w:name w:val="Book Title"/>
    <w:basedOn w:val="Policepardfaut"/>
    <w:uiPriority w:val="33"/>
    <w:qFormat/>
    <w:rPr>
      <w:b/>
      <w:bCs/>
      <w:smallCaps/>
      <w:spacing w:val="5"/>
    </w:rPr>
  </w:style>
  <w:style w:type="character" w:customStyle="1" w:styleId="Caractresdenotedebasdepage">
    <w:name w:val="Caractères de note de bas de page"/>
    <w:basedOn w:val="Policepardfaut"/>
    <w:rPr>
      <w:rFonts w:ascii="Times New Roman" w:hAnsi="Times New Roman" w:cs="Times New Roman" w:hint="default"/>
      <w:vertAlign w:val="superscript"/>
    </w:rPr>
  </w:style>
  <w:style w:type="paragraph" w:styleId="Rvision">
    <w:name w:val="Revision"/>
    <w:hidden/>
    <w:uiPriority w:val="99"/>
    <w:semiHidden/>
    <w:rPr>
      <w:rFonts w:ascii="Arial" w:hAnsi="Arial"/>
    </w:rPr>
  </w:style>
  <w:style w:type="paragraph" w:styleId="Corpsdetexte3">
    <w:name w:val="Body Text 3"/>
    <w:basedOn w:val="Normal"/>
    <w:link w:val="Corpsdetexte3Car"/>
    <w:uiPriority w:val="99"/>
    <w:unhideWhenUsed/>
    <w:pPr>
      <w:spacing w:after="120"/>
    </w:pPr>
    <w:rPr>
      <w:sz w:val="16"/>
      <w:szCs w:val="16"/>
    </w:rPr>
  </w:style>
  <w:style w:type="character" w:customStyle="1" w:styleId="Corpsdetexte3Car">
    <w:name w:val="Corps de texte 3 Car"/>
    <w:basedOn w:val="Policepardfaut"/>
    <w:link w:val="Corpsdetexte3"/>
    <w:uiPriority w:val="99"/>
    <w:rPr>
      <w:rFonts w:ascii="Arial" w:hAnsi="Arial"/>
      <w:sz w:val="16"/>
      <w:szCs w:val="16"/>
    </w:rPr>
  </w:style>
  <w:style w:type="paragraph" w:customStyle="1" w:styleId="RedTxt">
    <w:name w:val="RedTxt"/>
    <w:basedOn w:val="Normal"/>
    <w:pPr>
      <w:keepLines/>
      <w:widowControl w:val="0"/>
      <w:spacing w:line="240" w:lineRule="auto"/>
    </w:pPr>
    <w:rPr>
      <w:rFonts w:eastAsia="Times New Roman" w:cs="Arial"/>
      <w:sz w:val="18"/>
      <w:szCs w:val="18"/>
    </w:rPr>
  </w:style>
  <w:style w:type="paragraph" w:customStyle="1" w:styleId="Normal1">
    <w:name w:val="Normal1"/>
    <w:basedOn w:val="Normal"/>
    <w:link w:val="normalCar"/>
    <w:qFormat/>
    <w:pPr>
      <w:spacing w:line="360" w:lineRule="auto"/>
      <w:jc w:val="both"/>
    </w:pPr>
    <w:rPr>
      <w:rFonts w:ascii="Times New Roman" w:eastAsia="Times New Roman" w:hAnsi="Times New Roman"/>
      <w:sz w:val="22"/>
      <w:szCs w:val="22"/>
    </w:rPr>
  </w:style>
  <w:style w:type="character" w:customStyle="1" w:styleId="normalCar">
    <w:name w:val="normal Car"/>
    <w:basedOn w:val="Policepardfaut"/>
    <w:link w:val="Normal1"/>
    <w:rPr>
      <w:rFonts w:ascii="Times New Roman" w:eastAsia="Times New Roman" w:hAnsi="Times New Roman"/>
      <w:sz w:val="22"/>
      <w:szCs w:val="22"/>
    </w:rPr>
  </w:style>
  <w:style w:type="table" w:styleId="Tramemoyenne1-Accent1">
    <w:name w:val="Medium Shading 1 Accent 1"/>
    <w:basedOn w:val="TableauNormal"/>
    <w:uiPriority w:val="63"/>
    <w:rPr>
      <w:rFonts w:asciiTheme="minorHAnsi" w:eastAsiaTheme="minorHAnsi" w:hAnsiTheme="minorHAnsi" w:cstheme="minorBidi"/>
      <w:sz w:val="22"/>
      <w:szCs w:val="22"/>
      <w:lang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4F81BD" w:themeFill="accent1"/>
      </w:tcPr>
    </w:tblStylePr>
    <w:tblStylePr w:type="lastRow">
      <w:pPr>
        <w:spacing w:before="0" w:after="0" w:line="240" w:lineRule="auto"/>
      </w:pPr>
      <w:rPr>
        <w:b/>
        <w:bCs/>
      </w:rPr>
      <w:tblPr/>
      <w:tcPr>
        <w:tcBorders>
          <w:top w:val="sing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paragraph" w:customStyle="1" w:styleId="Normal2">
    <w:name w:val="Normal2"/>
    <w:basedOn w:val="Normal"/>
    <w:pPr>
      <w:keepLines/>
      <w:tabs>
        <w:tab w:val="left" w:pos="567"/>
        <w:tab w:val="left" w:pos="851"/>
        <w:tab w:val="left" w:pos="1134"/>
      </w:tabs>
      <w:spacing w:line="240" w:lineRule="auto"/>
      <w:ind w:left="284" w:firstLine="284"/>
      <w:jc w:val="both"/>
    </w:pPr>
    <w:rPr>
      <w:rFonts w:ascii="Times New Roman" w:eastAsia="Times New Roman" w:hAnsi="Times New Roman"/>
      <w:sz w:val="22"/>
    </w:rPr>
  </w:style>
  <w:style w:type="paragraph" w:customStyle="1" w:styleId="NormalDGA">
    <w:name w:val="Normal DGA"/>
    <w:basedOn w:val="Normal"/>
    <w:pPr>
      <w:spacing w:before="120" w:line="240" w:lineRule="auto"/>
      <w:jc w:val="both"/>
    </w:pPr>
    <w:rPr>
      <w:rFonts w:ascii="Times New Roman" w:eastAsia="Times New Roman" w:hAnsi="Times New Roman"/>
      <w:sz w:val="22"/>
      <w:szCs w:val="22"/>
    </w:rPr>
  </w:style>
  <w:style w:type="character" w:customStyle="1" w:styleId="En-tteCar">
    <w:name w:val="En-tête Car"/>
    <w:link w:val="En-tte"/>
    <w:rPr>
      <w:rFonts w:ascii="Arial" w:hAnsi="Arial"/>
    </w:rPr>
  </w:style>
  <w:style w:type="paragraph" w:customStyle="1" w:styleId="Text1">
    <w:name w:val="Text 1"/>
    <w:basedOn w:val="Normal"/>
    <w:pPr>
      <w:spacing w:before="120" w:after="120" w:line="240" w:lineRule="auto"/>
      <w:ind w:left="850"/>
      <w:jc w:val="both"/>
    </w:pPr>
    <w:rPr>
      <w:rFonts w:ascii="Times New Roman" w:eastAsia="Times New Roman" w:hAnsi="Times New Roman"/>
      <w:sz w:val="24"/>
      <w:szCs w:val="24"/>
      <w:lang w:val="en-GB" w:eastAsia="en-GB"/>
    </w:rPr>
  </w:style>
  <w:style w:type="paragraph" w:customStyle="1" w:styleId="Standard">
    <w:name w:val="Standard"/>
    <w:pPr>
      <w:widowControl w:val="0"/>
      <w:spacing w:before="57"/>
      <w:jc w:val="both"/>
    </w:pPr>
    <w:rPr>
      <w:rFonts w:ascii="Calibri" w:eastAsia="MS Mincho" w:hAnsi="Calibri" w:cs="Calibri"/>
      <w:szCs w:val="24"/>
      <w:lang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8325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informatique.libertes@expertisefrance.fr"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4.xml"/><Relationship Id="rId34" Type="http://schemas.onlyoffice.com/commentsDocument" Target="commentsDocument.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le-delegue-a-la-protection-des-donnees-personnelles@finances.gouv.fr" TargetMode="External"/><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https://www.diplomatie.gouv.fr/fr/conseils-aux-voyageurs/" TargetMode="External"/><Relationship Id="rId20" Type="http://schemas.openxmlformats.org/officeDocument/2006/relationships/hyperlink" Target="mailto:tj-paris@justice.f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www.marches-publics.gouv.fr" TargetMode="External"/><Relationship Id="rId23" Type="http://schemas.openxmlformats.org/officeDocument/2006/relationships/footer" Target="footer5.xml"/><Relationship Id="rId36" Type="http://schemas.onlyoffice.com/commentsIdsDocument" Target="commentsIdsDocument.xml"/><Relationship Id="rId10" Type="http://schemas.openxmlformats.org/officeDocument/2006/relationships/footer" Target="footer1.xml"/><Relationship Id="rId19" Type="http://schemas.openxmlformats.org/officeDocument/2006/relationships/hyperlink" Target="mailto:tj-paris@justice.fr"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diplomatie.gouv.fr/fr/conseils-aux-voyageurs/)" TargetMode="External"/><Relationship Id="rId22" Type="http://schemas.openxmlformats.org/officeDocument/2006/relationships/footer" Target="footer4.xml"/><Relationship Id="rId27" Type="http://schemas.openxmlformats.org/officeDocument/2006/relationships/theme" Target="theme/theme1.xml"/><Relationship Id="rId35" Type="http://schemas.onlyoffice.com/commentsExtendedDocument" Target="commentsExtendedDocument.xml"/></Relationships>
</file>

<file path=word/_rels/header3.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E3081E-04D1-4DDE-A705-CD4A51CEE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14</Pages>
  <Words>5818</Words>
  <Characters>32004</Characters>
  <Application>Microsoft Office Word</Application>
  <DocSecurity>0</DocSecurity>
  <Lines>266</Lines>
  <Paragraphs>75</Paragraphs>
  <ScaleCrop>false</ScaleCrop>
  <HeadingPairs>
    <vt:vector size="2" baseType="variant">
      <vt:variant>
        <vt:lpstr>Titre</vt:lpstr>
      </vt:variant>
      <vt:variant>
        <vt:i4>1</vt:i4>
      </vt:variant>
    </vt:vector>
  </HeadingPairs>
  <TitlesOfParts>
    <vt:vector size="1" baseType="lpstr">
      <vt:lpstr>ADETEF</vt:lpstr>
    </vt:vector>
  </TitlesOfParts>
  <Company>MINEFI</Company>
  <LinksUpToDate>false</LinksUpToDate>
  <CharactersWithSpaces>37747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ADETEF</dc:title>
  <dc:creator>Claire AMADEI</dc:creator>
  <cp:lastModifiedBy>Israel Bessong</cp:lastModifiedBy>
  <cp:revision>45</cp:revision>
  <dcterms:created xsi:type="dcterms:W3CDTF">2024-10-14T15:04:00Z</dcterms:created>
  <dcterms:modified xsi:type="dcterms:W3CDTF">2026-07-02T15:56:00Z</dcterms:modified>
</cp:coreProperties>
</file>