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AAB0B" w14:textId="4A198449" w:rsidR="00994F4F" w:rsidRDefault="00994F4F" w:rsidP="00F76418">
      <w:pPr>
        <w:spacing w:after="0"/>
        <w:jc w:val="center"/>
        <w:rPr>
          <w:rFonts w:ascii="Marianne" w:hAnsi="Marianne"/>
          <w:b/>
          <w:bCs/>
          <w:sz w:val="28"/>
          <w:szCs w:val="28"/>
        </w:rPr>
      </w:pPr>
      <w:r w:rsidRPr="001E1392">
        <w:rPr>
          <w:rFonts w:ascii="Marianne" w:hAnsi="Marianne"/>
          <w:b/>
          <w:bCs/>
          <w:sz w:val="28"/>
          <w:szCs w:val="28"/>
          <w:u w:val="single"/>
        </w:rPr>
        <w:t>Annexe 1</w:t>
      </w:r>
      <w:r w:rsidRPr="001E1392">
        <w:rPr>
          <w:rFonts w:ascii="Marianne" w:hAnsi="Marianne"/>
          <w:b/>
          <w:bCs/>
          <w:sz w:val="28"/>
          <w:szCs w:val="28"/>
        </w:rPr>
        <w:t xml:space="preserve"> du </w:t>
      </w:r>
      <w:r w:rsidR="00F76418">
        <w:rPr>
          <w:rFonts w:ascii="Marianne" w:hAnsi="Marianne"/>
          <w:b/>
          <w:bCs/>
          <w:sz w:val="28"/>
          <w:szCs w:val="28"/>
        </w:rPr>
        <w:t>Règlement Consultation</w:t>
      </w:r>
    </w:p>
    <w:p w14:paraId="7C0F42DB" w14:textId="77777777" w:rsidR="00F76418" w:rsidRPr="00F76418" w:rsidRDefault="00F76418" w:rsidP="00F76418">
      <w:pPr>
        <w:spacing w:after="0"/>
        <w:jc w:val="center"/>
        <w:rPr>
          <w:rFonts w:ascii="Marianne" w:hAnsi="Marianne"/>
          <w:b/>
          <w:bCs/>
          <w:sz w:val="28"/>
          <w:szCs w:val="28"/>
        </w:rPr>
      </w:pPr>
    </w:p>
    <w:p w14:paraId="28C09AB7" w14:textId="77777777" w:rsidR="00994F4F" w:rsidRPr="001E1392" w:rsidRDefault="00994F4F" w:rsidP="00F76418">
      <w:pPr>
        <w:spacing w:after="0"/>
        <w:jc w:val="both"/>
        <w:rPr>
          <w:rFonts w:ascii="Marianne" w:hAnsi="Marianne"/>
          <w:sz w:val="20"/>
          <w:szCs w:val="20"/>
        </w:rPr>
      </w:pPr>
      <w:r w:rsidRPr="001E1392">
        <w:rPr>
          <w:rFonts w:ascii="Marianne" w:eastAsia="Times New Roman" w:hAnsi="Marianne"/>
          <w:b/>
          <w:bCs/>
          <w:sz w:val="20"/>
          <w:szCs w:val="20"/>
          <w:lang w:eastAsia="fr-FR"/>
        </w:rPr>
        <w:t>1. Objet de la clause</w:t>
      </w:r>
    </w:p>
    <w:p w14:paraId="7FFC3086" w14:textId="77777777" w:rsidR="00994F4F" w:rsidRDefault="00994F4F" w:rsidP="001E1392">
      <w:pPr>
        <w:spacing w:after="0"/>
        <w:jc w:val="both"/>
        <w:rPr>
          <w:rFonts w:ascii="Marianne" w:eastAsia="Times New Roman" w:hAnsi="Marianne"/>
          <w:sz w:val="20"/>
          <w:szCs w:val="20"/>
          <w:lang w:eastAsia="fr-FR"/>
        </w:rPr>
      </w:pPr>
      <w:r w:rsidRPr="001E1392">
        <w:rPr>
          <w:rFonts w:ascii="Marianne" w:eastAsia="Times New Roman" w:hAnsi="Marianne"/>
          <w:sz w:val="20"/>
          <w:szCs w:val="20"/>
          <w:lang w:eastAsia="fr-FR"/>
        </w:rPr>
        <w:t>Le présent article a pour objet de définir les conditions de reprise du personnel en cas de changement de titulaire du marché de nettoyage des locaux.</w:t>
      </w:r>
    </w:p>
    <w:p w14:paraId="63C42826" w14:textId="77777777" w:rsidR="001E1392" w:rsidRPr="001E1392" w:rsidRDefault="001E1392" w:rsidP="001E1392">
      <w:pPr>
        <w:spacing w:after="0"/>
        <w:jc w:val="both"/>
        <w:rPr>
          <w:rFonts w:ascii="Marianne" w:eastAsia="Times New Roman" w:hAnsi="Marianne"/>
          <w:sz w:val="20"/>
          <w:szCs w:val="20"/>
          <w:lang w:eastAsia="fr-FR"/>
        </w:rPr>
      </w:pPr>
    </w:p>
    <w:p w14:paraId="1719DD6E" w14:textId="32EDFAE8" w:rsidR="00994F4F" w:rsidRPr="001E1392" w:rsidRDefault="00994F4F" w:rsidP="001E1392">
      <w:pPr>
        <w:spacing w:after="0"/>
        <w:jc w:val="both"/>
        <w:rPr>
          <w:rFonts w:ascii="Marianne" w:hAnsi="Marianne"/>
          <w:sz w:val="20"/>
          <w:szCs w:val="20"/>
        </w:rPr>
      </w:pPr>
      <w:r w:rsidRPr="001E1392">
        <w:rPr>
          <w:rFonts w:ascii="Marianne" w:eastAsia="Times New Roman" w:hAnsi="Marianne"/>
          <w:b/>
          <w:bCs/>
          <w:sz w:val="20"/>
          <w:szCs w:val="20"/>
          <w:lang w:eastAsia="fr-FR"/>
        </w:rPr>
        <w:t>2. Obligations du titulaire entrant</w:t>
      </w:r>
    </w:p>
    <w:p w14:paraId="56507D28" w14:textId="015968F0" w:rsidR="00994F4F" w:rsidRDefault="00994F4F" w:rsidP="003318F5">
      <w:pPr>
        <w:spacing w:after="0" w:line="240" w:lineRule="auto"/>
        <w:jc w:val="both"/>
        <w:rPr>
          <w:rFonts w:ascii="Marianne" w:eastAsia="Times New Roman" w:hAnsi="Marianne"/>
          <w:i/>
          <w:iCs/>
          <w:sz w:val="20"/>
          <w:szCs w:val="20"/>
          <w:lang w:eastAsia="fr-FR"/>
        </w:rPr>
      </w:pPr>
      <w:r w:rsidRPr="001E1392">
        <w:rPr>
          <w:rFonts w:ascii="Marianne" w:eastAsia="Times New Roman" w:hAnsi="Marianne"/>
          <w:sz w:val="20"/>
          <w:szCs w:val="20"/>
          <w:lang w:eastAsia="fr-FR"/>
        </w:rPr>
        <w:t>Le titulaire entrant prend en considération pour l’établissement de son offre, son obligation de reprise du personnel sur le poste de nettoyage des locaux</w:t>
      </w:r>
      <w:r w:rsidRPr="00C647EF">
        <w:rPr>
          <w:rFonts w:ascii="Marianne" w:eastAsia="Times New Roman" w:hAnsi="Marianne"/>
          <w:sz w:val="20"/>
          <w:szCs w:val="20"/>
          <w:highlight w:val="yellow"/>
          <w:lang w:eastAsia="fr-FR"/>
        </w:rPr>
        <w:t xml:space="preserve">. </w:t>
      </w:r>
      <w:r w:rsidRPr="00C647EF">
        <w:rPr>
          <w:rFonts w:ascii="Marianne" w:eastAsia="Times New Roman" w:hAnsi="Marianne"/>
          <w:i/>
          <w:iCs/>
          <w:sz w:val="20"/>
          <w:szCs w:val="20"/>
          <w:highlight w:val="yellow"/>
          <w:lang w:eastAsia="fr-FR"/>
        </w:rPr>
        <w:t>Les éléments salariaux donnés par le titulaire en place sont joints en annexe au présent règlement de la consultation.</w:t>
      </w:r>
    </w:p>
    <w:p w14:paraId="1F3EB3F7" w14:textId="77777777" w:rsidR="00C647EF" w:rsidRDefault="00C647EF" w:rsidP="003318F5">
      <w:pPr>
        <w:spacing w:after="0" w:line="240" w:lineRule="auto"/>
        <w:jc w:val="both"/>
        <w:rPr>
          <w:rFonts w:ascii="Marianne" w:eastAsia="Times New Roman" w:hAnsi="Marianne"/>
          <w:i/>
          <w:iCs/>
          <w:sz w:val="20"/>
          <w:szCs w:val="20"/>
          <w:lang w:eastAsia="fr-FR"/>
        </w:rPr>
      </w:pPr>
    </w:p>
    <w:p w14:paraId="3DC0DCA4" w14:textId="06DBE55D" w:rsidR="00C647EF" w:rsidRPr="003318F5" w:rsidRDefault="00C647EF" w:rsidP="003318F5">
      <w:pPr>
        <w:spacing w:after="0" w:line="240" w:lineRule="auto"/>
        <w:jc w:val="both"/>
        <w:rPr>
          <w:rFonts w:ascii="Marianne" w:eastAsia="Times New Roman" w:hAnsi="Marianne"/>
          <w:color w:val="45B0E1" w:themeColor="accent1" w:themeTint="99"/>
          <w:sz w:val="20"/>
          <w:szCs w:val="20"/>
          <w:lang w:eastAsia="fr-FR"/>
        </w:rPr>
      </w:pPr>
      <w:r w:rsidRPr="003318F5">
        <w:rPr>
          <w:rFonts w:ascii="Marianne" w:eastAsia="Times New Roman" w:hAnsi="Marianne"/>
          <w:color w:val="45B0E1" w:themeColor="accent1" w:themeTint="99"/>
          <w:sz w:val="20"/>
          <w:szCs w:val="20"/>
          <w:lang w:eastAsia="fr-FR"/>
        </w:rPr>
        <w:t>Les marchés subséquents passé sur la base du présent accord-cadre sont soumis à une obligation de reprise de personnel</w:t>
      </w:r>
      <w:r w:rsidR="003318F5" w:rsidRPr="003318F5">
        <w:rPr>
          <w:rFonts w:ascii="Marianne" w:eastAsia="Times New Roman" w:hAnsi="Marianne"/>
          <w:color w:val="45B0E1" w:themeColor="accent1" w:themeTint="99"/>
          <w:sz w:val="20"/>
          <w:szCs w:val="20"/>
          <w:lang w:eastAsia="fr-FR"/>
        </w:rPr>
        <w:t xml:space="preserve">, conformément à l’article L. 1224-1 du code du travail et à l’article 7 de la convention collective des entreprises de propretés. Les informations relatives à la masse salariale à reprendre par les nouveaux titulaires sont précisés ci-dessous. </w:t>
      </w:r>
    </w:p>
    <w:p w14:paraId="7FFB257F" w14:textId="77777777" w:rsidR="003318F5" w:rsidRPr="003318F5" w:rsidRDefault="003318F5" w:rsidP="003318F5">
      <w:pPr>
        <w:spacing w:after="0" w:line="240" w:lineRule="auto"/>
        <w:jc w:val="both"/>
        <w:rPr>
          <w:rFonts w:ascii="Marianne" w:eastAsia="Times New Roman" w:hAnsi="Marianne"/>
          <w:color w:val="45B0E1" w:themeColor="accent1" w:themeTint="99"/>
          <w:sz w:val="20"/>
          <w:szCs w:val="20"/>
          <w:lang w:eastAsia="fr-FR"/>
        </w:rPr>
      </w:pPr>
    </w:p>
    <w:p w14:paraId="383CF2A0" w14:textId="2180C0D1" w:rsidR="003318F5" w:rsidRPr="003318F5" w:rsidRDefault="003318F5" w:rsidP="003318F5">
      <w:pPr>
        <w:spacing w:after="0" w:line="240" w:lineRule="auto"/>
        <w:jc w:val="both"/>
        <w:rPr>
          <w:rFonts w:ascii="Marianne" w:eastAsia="Times New Roman" w:hAnsi="Marianne"/>
          <w:color w:val="45B0E1" w:themeColor="accent1" w:themeTint="99"/>
          <w:sz w:val="20"/>
          <w:szCs w:val="20"/>
          <w:lang w:eastAsia="fr-FR"/>
        </w:rPr>
      </w:pPr>
      <w:r w:rsidRPr="003318F5">
        <w:rPr>
          <w:rFonts w:ascii="Marianne" w:eastAsia="Times New Roman" w:hAnsi="Marianne"/>
          <w:color w:val="45B0E1" w:themeColor="accent1" w:themeTint="99"/>
          <w:sz w:val="20"/>
          <w:szCs w:val="20"/>
          <w:lang w:eastAsia="fr-FR"/>
        </w:rPr>
        <w:t xml:space="preserve">Ces informations ont été transmises par la précédent titulaires en amont de la consultation. Il appartient aux attributaires, s’ils ne sont pas titulaire sortant, de se mettre en relation avec lui pour convenir des modalités de reprises des contrats de travail. </w:t>
      </w:r>
    </w:p>
    <w:p w14:paraId="72A8E6DC" w14:textId="77777777" w:rsidR="00C647EF" w:rsidRPr="001E1392" w:rsidRDefault="00C647EF" w:rsidP="001E1392">
      <w:pPr>
        <w:spacing w:after="0"/>
        <w:jc w:val="both"/>
        <w:rPr>
          <w:rFonts w:ascii="Marianne" w:eastAsia="Times New Roman" w:hAnsi="Marianne"/>
          <w:sz w:val="20"/>
          <w:szCs w:val="20"/>
          <w:lang w:eastAsia="fr-FR"/>
        </w:rPr>
      </w:pPr>
    </w:p>
    <w:p w14:paraId="0C10B0F1" w14:textId="77777777" w:rsidR="00A03FCB" w:rsidRDefault="00994F4F" w:rsidP="001E1392">
      <w:pPr>
        <w:spacing w:after="0"/>
        <w:jc w:val="both"/>
        <w:rPr>
          <w:rFonts w:ascii="Marianne" w:eastAsia="Times New Roman" w:hAnsi="Marianne"/>
          <w:sz w:val="20"/>
          <w:szCs w:val="20"/>
          <w:lang w:eastAsia="fr-FR"/>
        </w:rPr>
      </w:pPr>
      <w:r w:rsidRPr="001E1392">
        <w:rPr>
          <w:rFonts w:ascii="Marianne" w:eastAsia="Times New Roman" w:hAnsi="Marianne"/>
          <w:sz w:val="20"/>
          <w:szCs w:val="20"/>
          <w:lang w:eastAsia="fr-FR"/>
        </w:rPr>
        <w:t xml:space="preserve">Les candidats sont informés de la liste des personnels éligibles à l’accord de branche applicable et ceci pour leur permettre de formuler leurs offres en connaissance de cause et de prendre en compte ces éléments dans la formation de leurs prix dans le respect du principe d’égalité qui leur est dû. Ces informations ont été transmises sous leur responsabilité par les entreprises actuellement titulaires. </w:t>
      </w:r>
    </w:p>
    <w:p w14:paraId="546A0BC5" w14:textId="77777777" w:rsidR="00A03FCB" w:rsidRDefault="00A03FCB" w:rsidP="001E1392">
      <w:pPr>
        <w:spacing w:after="0"/>
        <w:jc w:val="both"/>
        <w:rPr>
          <w:rFonts w:ascii="Marianne" w:eastAsia="Times New Roman" w:hAnsi="Marianne"/>
          <w:sz w:val="20"/>
          <w:szCs w:val="20"/>
          <w:lang w:eastAsia="fr-FR"/>
        </w:rPr>
      </w:pPr>
    </w:p>
    <w:p w14:paraId="68DE4A36" w14:textId="7760B76F" w:rsidR="00994F4F" w:rsidRDefault="00994F4F" w:rsidP="001E1392">
      <w:pPr>
        <w:spacing w:after="0"/>
        <w:jc w:val="both"/>
        <w:rPr>
          <w:rFonts w:ascii="Marianne" w:eastAsia="Times New Roman" w:hAnsi="Marianne"/>
          <w:sz w:val="20"/>
          <w:szCs w:val="20"/>
          <w:lang w:eastAsia="fr-FR"/>
        </w:rPr>
      </w:pPr>
      <w:r w:rsidRPr="001E1392">
        <w:rPr>
          <w:rFonts w:ascii="Marianne" w:eastAsia="Times New Roman" w:hAnsi="Marianne"/>
          <w:sz w:val="20"/>
          <w:szCs w:val="20"/>
          <w:lang w:eastAsia="fr-FR"/>
        </w:rPr>
        <w:t>De plus, ces informations ne préjugent en rien de la transférabilité réelle des personnels au moment de la date d’effet du marché étant donné que le titulaire conserve la faculté de contester les prétentions au transfert des personnels ou les salariés transférables peuvent conserver la liberté de demander ou non le transfert de leur contrat de travail. Le droit à la continuité du contrat de travail ne peut être que présumé restant soumis à l’appréciation des juges.</w:t>
      </w:r>
    </w:p>
    <w:p w14:paraId="67392614" w14:textId="77777777" w:rsidR="001E1392" w:rsidRPr="001E1392" w:rsidRDefault="001E1392" w:rsidP="001E1392">
      <w:pPr>
        <w:spacing w:after="0"/>
        <w:jc w:val="both"/>
        <w:rPr>
          <w:rFonts w:ascii="Marianne" w:eastAsia="Times New Roman" w:hAnsi="Marianne"/>
          <w:sz w:val="20"/>
          <w:szCs w:val="20"/>
          <w:lang w:eastAsia="fr-FR"/>
        </w:rPr>
      </w:pPr>
    </w:p>
    <w:p w14:paraId="32D1DBED" w14:textId="5F1A1C3D" w:rsidR="00994F4F" w:rsidRPr="001E1392" w:rsidRDefault="00994F4F" w:rsidP="001E1392">
      <w:pPr>
        <w:spacing w:after="0"/>
        <w:jc w:val="both"/>
        <w:rPr>
          <w:rFonts w:ascii="Marianne" w:hAnsi="Marianne"/>
          <w:sz w:val="20"/>
          <w:szCs w:val="20"/>
        </w:rPr>
      </w:pPr>
      <w:r w:rsidRPr="001E1392">
        <w:rPr>
          <w:rFonts w:ascii="Marianne" w:eastAsia="Times New Roman" w:hAnsi="Marianne"/>
          <w:b/>
          <w:bCs/>
          <w:sz w:val="20"/>
          <w:szCs w:val="20"/>
          <w:lang w:eastAsia="fr-FR"/>
        </w:rPr>
        <w:t>3. Conditions de transfert des contrats de travail</w:t>
      </w:r>
    </w:p>
    <w:p w14:paraId="37EED290" w14:textId="00243BDB" w:rsidR="00994F4F" w:rsidRDefault="00994F4F" w:rsidP="001E1392">
      <w:pPr>
        <w:spacing w:after="0"/>
        <w:jc w:val="both"/>
        <w:rPr>
          <w:rFonts w:ascii="Marianne" w:eastAsia="Times New Roman" w:hAnsi="Marianne"/>
          <w:sz w:val="20"/>
          <w:szCs w:val="20"/>
          <w:lang w:eastAsia="fr-FR"/>
        </w:rPr>
      </w:pPr>
      <w:r w:rsidRPr="001E1392">
        <w:rPr>
          <w:rFonts w:ascii="Marianne" w:eastAsia="Times New Roman" w:hAnsi="Marianne"/>
          <w:sz w:val="20"/>
          <w:szCs w:val="20"/>
          <w:lang w:eastAsia="fr-FR"/>
        </w:rPr>
        <w:t>Le transfert des contrats de travail prévu par un accord collectif ne s'opère toutefois pas de plein droit : le changement d'employeur étant subordonné au respect des conditions conventionnelles prévues par l'accord. En outre, en cas d'application de dispositions conventionnelles prévoyant et organisant le transfert des contrats de travail hors application de l'article L. 1224-1 du code du travail, l'accord exprès du salarié est nécessaire au changement d'employeur.</w:t>
      </w:r>
    </w:p>
    <w:p w14:paraId="068F25A2" w14:textId="77777777" w:rsidR="001E1392" w:rsidRPr="001E1392" w:rsidRDefault="001E1392" w:rsidP="001E1392">
      <w:pPr>
        <w:spacing w:after="0"/>
        <w:jc w:val="both"/>
        <w:rPr>
          <w:rFonts w:ascii="Marianne" w:eastAsia="Times New Roman" w:hAnsi="Marianne"/>
          <w:sz w:val="20"/>
          <w:szCs w:val="20"/>
          <w:lang w:eastAsia="fr-FR"/>
        </w:rPr>
      </w:pPr>
    </w:p>
    <w:p w14:paraId="17D514EB" w14:textId="1A31F328" w:rsidR="00994F4F" w:rsidRPr="001E1392" w:rsidRDefault="00994F4F" w:rsidP="001E1392">
      <w:pPr>
        <w:spacing w:after="0"/>
        <w:rPr>
          <w:rFonts w:ascii="Marianne" w:hAnsi="Marianne"/>
          <w:sz w:val="20"/>
          <w:szCs w:val="20"/>
        </w:rPr>
      </w:pPr>
      <w:r w:rsidRPr="001E1392">
        <w:rPr>
          <w:rFonts w:ascii="Marianne" w:eastAsia="Times New Roman" w:hAnsi="Marianne"/>
          <w:b/>
          <w:bCs/>
          <w:sz w:val="20"/>
          <w:szCs w:val="20"/>
          <w:lang w:eastAsia="fr-FR"/>
        </w:rPr>
        <w:t>4. Dispositions finales</w:t>
      </w:r>
    </w:p>
    <w:p w14:paraId="64902CBF" w14:textId="77777777" w:rsidR="00994F4F" w:rsidRPr="001E1392" w:rsidRDefault="00994F4F" w:rsidP="001E1392">
      <w:pPr>
        <w:spacing w:after="0"/>
        <w:rPr>
          <w:rFonts w:ascii="Marianne" w:hAnsi="Marianne"/>
          <w:sz w:val="20"/>
          <w:szCs w:val="20"/>
        </w:rPr>
      </w:pPr>
      <w:r w:rsidRPr="001E1392">
        <w:rPr>
          <w:rFonts w:ascii="Marianne" w:eastAsia="Times New Roman" w:hAnsi="Marianne"/>
          <w:sz w:val="20"/>
          <w:szCs w:val="20"/>
          <w:lang w:eastAsia="fr-FR"/>
        </w:rPr>
        <w:t>Le titulaire entrant s’engage à respecter les dispositions du Code du travail et de la Convention collective applicable aux prestations objet du présent marché. Les titulaires entrant et sortant s’engagent à s’y conformer</w:t>
      </w:r>
    </w:p>
    <w:p w14:paraId="0A119021" w14:textId="77777777" w:rsidR="00994F4F" w:rsidRPr="001E1392" w:rsidRDefault="00994F4F" w:rsidP="001E1392">
      <w:pPr>
        <w:spacing w:after="0"/>
        <w:rPr>
          <w:rFonts w:ascii="Marianne" w:hAnsi="Marianne"/>
          <w:sz w:val="20"/>
          <w:szCs w:val="20"/>
        </w:rPr>
      </w:pPr>
    </w:p>
    <w:p w14:paraId="37CF79BC" w14:textId="44EA75DD" w:rsidR="00DB338D" w:rsidRPr="001E1392" w:rsidRDefault="00DB338D">
      <w:pPr>
        <w:rPr>
          <w:rFonts w:ascii="Marianne" w:hAnsi="Marianne"/>
          <w:sz w:val="20"/>
          <w:szCs w:val="20"/>
        </w:rPr>
      </w:pPr>
      <w:r w:rsidRPr="001E1392">
        <w:rPr>
          <w:rFonts w:ascii="Marianne" w:hAnsi="Marianne"/>
          <w:sz w:val="20"/>
          <w:szCs w:val="20"/>
        </w:rPr>
        <w:lastRenderedPageBreak/>
        <w:t>Tableau de correspondance entre les anciens et les nouveaux lots</w:t>
      </w:r>
    </w:p>
    <w:tbl>
      <w:tblPr>
        <w:tblW w:w="8760" w:type="dxa"/>
        <w:tblCellMar>
          <w:left w:w="70" w:type="dxa"/>
          <w:right w:w="70" w:type="dxa"/>
        </w:tblCellMar>
        <w:tblLook w:val="04A0" w:firstRow="1" w:lastRow="0" w:firstColumn="1" w:lastColumn="0" w:noHBand="0" w:noVBand="1"/>
      </w:tblPr>
      <w:tblGrid>
        <w:gridCol w:w="1200"/>
        <w:gridCol w:w="1200"/>
        <w:gridCol w:w="6360"/>
      </w:tblGrid>
      <w:tr w:rsidR="00DB338D" w:rsidRPr="001E1392" w14:paraId="05BE559D" w14:textId="77777777" w:rsidTr="00DB338D">
        <w:trPr>
          <w:trHeight w:val="840"/>
        </w:trPr>
        <w:tc>
          <w:tcPr>
            <w:tcW w:w="1200" w:type="dxa"/>
            <w:tcBorders>
              <w:top w:val="single" w:sz="4" w:space="0" w:color="auto"/>
              <w:left w:val="single" w:sz="4" w:space="0" w:color="auto"/>
              <w:bottom w:val="single" w:sz="4" w:space="0" w:color="auto"/>
              <w:right w:val="single" w:sz="4" w:space="0" w:color="auto"/>
            </w:tcBorders>
            <w:shd w:val="clear" w:color="666699" w:fill="305496"/>
            <w:vAlign w:val="center"/>
            <w:hideMark/>
          </w:tcPr>
          <w:p w14:paraId="2F403040" w14:textId="77777777" w:rsidR="00DB338D" w:rsidRPr="001E1392" w:rsidRDefault="00DB338D" w:rsidP="00DB338D">
            <w:pPr>
              <w:spacing w:after="0" w:line="240" w:lineRule="auto"/>
              <w:jc w:val="center"/>
              <w:rPr>
                <w:rFonts w:ascii="Marianne" w:eastAsia="Times New Roman" w:hAnsi="Marianne" w:cs="Calibri"/>
                <w:b/>
                <w:bCs/>
                <w:color w:val="FFFFFF"/>
                <w:kern w:val="0"/>
                <w:sz w:val="20"/>
                <w:szCs w:val="20"/>
                <w:lang w:eastAsia="fr-FR"/>
                <w14:ligatures w14:val="none"/>
              </w:rPr>
            </w:pPr>
            <w:r w:rsidRPr="001E1392">
              <w:rPr>
                <w:rFonts w:ascii="Marianne" w:eastAsia="Times New Roman" w:hAnsi="Marianne" w:cs="Calibri"/>
                <w:b/>
                <w:bCs/>
                <w:color w:val="FFFFFF"/>
                <w:kern w:val="0"/>
                <w:sz w:val="20"/>
                <w:szCs w:val="20"/>
                <w:lang w:eastAsia="fr-FR"/>
                <w14:ligatures w14:val="none"/>
              </w:rPr>
              <w:t>Lots</w:t>
            </w:r>
          </w:p>
        </w:tc>
        <w:tc>
          <w:tcPr>
            <w:tcW w:w="1200" w:type="dxa"/>
            <w:tcBorders>
              <w:top w:val="single" w:sz="4" w:space="0" w:color="auto"/>
              <w:left w:val="nil"/>
              <w:bottom w:val="single" w:sz="4" w:space="0" w:color="auto"/>
              <w:right w:val="single" w:sz="4" w:space="0" w:color="auto"/>
            </w:tcBorders>
            <w:shd w:val="clear" w:color="666699" w:fill="305496"/>
            <w:vAlign w:val="center"/>
            <w:hideMark/>
          </w:tcPr>
          <w:p w14:paraId="4C87CECE" w14:textId="77777777" w:rsidR="00DB338D" w:rsidRPr="001E1392" w:rsidRDefault="00DB338D" w:rsidP="00DB338D">
            <w:pPr>
              <w:spacing w:after="0" w:line="240" w:lineRule="auto"/>
              <w:jc w:val="center"/>
              <w:rPr>
                <w:rFonts w:ascii="Marianne" w:eastAsia="Times New Roman" w:hAnsi="Marianne" w:cs="Calibri"/>
                <w:b/>
                <w:bCs/>
                <w:color w:val="FFFFFF"/>
                <w:kern w:val="0"/>
                <w:sz w:val="20"/>
                <w:szCs w:val="20"/>
                <w:lang w:eastAsia="fr-FR"/>
                <w14:ligatures w14:val="none"/>
              </w:rPr>
            </w:pPr>
            <w:r w:rsidRPr="001E1392">
              <w:rPr>
                <w:rFonts w:ascii="Marianne" w:eastAsia="Times New Roman" w:hAnsi="Marianne" w:cs="Calibri"/>
                <w:b/>
                <w:bCs/>
                <w:color w:val="FFFFFF"/>
                <w:kern w:val="0"/>
                <w:sz w:val="20"/>
                <w:szCs w:val="20"/>
                <w:lang w:eastAsia="fr-FR"/>
                <w14:ligatures w14:val="none"/>
              </w:rPr>
              <w:t>Titulaire</w:t>
            </w:r>
          </w:p>
        </w:tc>
        <w:tc>
          <w:tcPr>
            <w:tcW w:w="6360" w:type="dxa"/>
            <w:tcBorders>
              <w:top w:val="single" w:sz="4" w:space="0" w:color="auto"/>
              <w:left w:val="nil"/>
              <w:bottom w:val="single" w:sz="4" w:space="0" w:color="auto"/>
              <w:right w:val="single" w:sz="4" w:space="0" w:color="auto"/>
            </w:tcBorders>
            <w:shd w:val="clear" w:color="666699" w:fill="305496"/>
            <w:vAlign w:val="center"/>
            <w:hideMark/>
          </w:tcPr>
          <w:p w14:paraId="1115A096" w14:textId="2EF817D0" w:rsidR="00DB338D" w:rsidRPr="001E1392" w:rsidRDefault="00AB6309" w:rsidP="00DB338D">
            <w:pPr>
              <w:spacing w:after="0" w:line="240" w:lineRule="auto"/>
              <w:jc w:val="center"/>
              <w:rPr>
                <w:rFonts w:ascii="Marianne" w:eastAsia="Times New Roman" w:hAnsi="Marianne" w:cs="Calibri"/>
                <w:b/>
                <w:bCs/>
                <w:color w:val="FFFFFF"/>
                <w:kern w:val="0"/>
                <w:sz w:val="20"/>
                <w:szCs w:val="20"/>
                <w:lang w:eastAsia="fr-FR"/>
                <w14:ligatures w14:val="none"/>
              </w:rPr>
            </w:pPr>
            <w:r w:rsidRPr="001E1392">
              <w:rPr>
                <w:rFonts w:ascii="Marianne" w:eastAsia="Times New Roman" w:hAnsi="Marianne" w:cs="Calibri"/>
                <w:b/>
                <w:bCs/>
                <w:color w:val="FFFFFF"/>
                <w:kern w:val="0"/>
                <w:sz w:val="20"/>
                <w:szCs w:val="20"/>
                <w:lang w:eastAsia="fr-FR"/>
                <w14:ligatures w14:val="none"/>
              </w:rPr>
              <w:t>Nouveaux</w:t>
            </w:r>
            <w:r w:rsidR="00DB338D" w:rsidRPr="001E1392">
              <w:rPr>
                <w:rFonts w:ascii="Marianne" w:eastAsia="Times New Roman" w:hAnsi="Marianne" w:cs="Calibri"/>
                <w:b/>
                <w:bCs/>
                <w:color w:val="FFFFFF"/>
                <w:kern w:val="0"/>
                <w:sz w:val="20"/>
                <w:szCs w:val="20"/>
                <w:lang w:eastAsia="fr-FR"/>
                <w14:ligatures w14:val="none"/>
              </w:rPr>
              <w:t xml:space="preserve"> numéros de lot</w:t>
            </w:r>
          </w:p>
        </w:tc>
      </w:tr>
      <w:tr w:rsidR="00DB338D" w:rsidRPr="001E1392" w14:paraId="01296DAE" w14:textId="77777777" w:rsidTr="00DB338D">
        <w:trPr>
          <w:trHeight w:val="5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71E72792"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LOT 1</w:t>
            </w:r>
          </w:p>
        </w:tc>
        <w:tc>
          <w:tcPr>
            <w:tcW w:w="1200" w:type="dxa"/>
            <w:tcBorders>
              <w:top w:val="nil"/>
              <w:left w:val="nil"/>
              <w:bottom w:val="single" w:sz="4" w:space="0" w:color="auto"/>
              <w:right w:val="single" w:sz="4" w:space="0" w:color="auto"/>
            </w:tcBorders>
            <w:shd w:val="clear" w:color="auto" w:fill="auto"/>
            <w:noWrap/>
            <w:vAlign w:val="center"/>
            <w:hideMark/>
          </w:tcPr>
          <w:p w14:paraId="4BE60D71"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spellStart"/>
            <w:r w:rsidRPr="001E1392">
              <w:rPr>
                <w:rFonts w:ascii="Marianne" w:eastAsia="Times New Roman" w:hAnsi="Marianne" w:cs="Calibri"/>
                <w:kern w:val="0"/>
                <w:sz w:val="20"/>
                <w:szCs w:val="20"/>
                <w:lang w:eastAsia="fr-FR"/>
                <w14:ligatures w14:val="none"/>
              </w:rPr>
              <w:t>Challancin</w:t>
            </w:r>
            <w:proofErr w:type="spellEnd"/>
          </w:p>
        </w:tc>
        <w:tc>
          <w:tcPr>
            <w:tcW w:w="6360" w:type="dxa"/>
            <w:tcBorders>
              <w:top w:val="nil"/>
              <w:left w:val="nil"/>
              <w:bottom w:val="single" w:sz="4" w:space="0" w:color="auto"/>
              <w:right w:val="single" w:sz="4" w:space="0" w:color="auto"/>
            </w:tcBorders>
            <w:shd w:val="clear" w:color="auto" w:fill="auto"/>
            <w:noWrap/>
            <w:vAlign w:val="center"/>
            <w:hideMark/>
          </w:tcPr>
          <w:p w14:paraId="539E7633"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gramStart"/>
            <w:r w:rsidRPr="001E1392">
              <w:rPr>
                <w:rFonts w:ascii="Marianne" w:eastAsia="Times New Roman" w:hAnsi="Marianne" w:cs="Calibri"/>
                <w:kern w:val="0"/>
                <w:sz w:val="20"/>
                <w:szCs w:val="20"/>
                <w:lang w:eastAsia="fr-FR"/>
                <w14:ligatures w14:val="none"/>
              </w:rPr>
              <w:t>lot</w:t>
            </w:r>
            <w:proofErr w:type="gramEnd"/>
            <w:r w:rsidRPr="001E1392">
              <w:rPr>
                <w:rFonts w:ascii="Marianne" w:eastAsia="Times New Roman" w:hAnsi="Marianne" w:cs="Calibri"/>
                <w:kern w:val="0"/>
                <w:sz w:val="20"/>
                <w:szCs w:val="20"/>
                <w:lang w:eastAsia="fr-FR"/>
                <w14:ligatures w14:val="none"/>
              </w:rPr>
              <w:t xml:space="preserve"> 1 (pas de changement)</w:t>
            </w:r>
          </w:p>
        </w:tc>
      </w:tr>
      <w:tr w:rsidR="00DB338D" w:rsidRPr="001E1392" w14:paraId="3EDE1BD4" w14:textId="77777777" w:rsidTr="00DB338D">
        <w:trPr>
          <w:trHeight w:val="5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2D6155F3"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LOT 2</w:t>
            </w:r>
          </w:p>
        </w:tc>
        <w:tc>
          <w:tcPr>
            <w:tcW w:w="1200" w:type="dxa"/>
            <w:tcBorders>
              <w:top w:val="nil"/>
              <w:left w:val="nil"/>
              <w:bottom w:val="single" w:sz="4" w:space="0" w:color="auto"/>
              <w:right w:val="single" w:sz="4" w:space="0" w:color="auto"/>
            </w:tcBorders>
            <w:shd w:val="clear" w:color="auto" w:fill="auto"/>
            <w:noWrap/>
            <w:vAlign w:val="center"/>
            <w:hideMark/>
          </w:tcPr>
          <w:p w14:paraId="0A2B056D"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spellStart"/>
            <w:r w:rsidRPr="001E1392">
              <w:rPr>
                <w:rFonts w:ascii="Marianne" w:eastAsia="Times New Roman" w:hAnsi="Marianne" w:cs="Calibri"/>
                <w:kern w:val="0"/>
                <w:sz w:val="20"/>
                <w:szCs w:val="20"/>
                <w:lang w:eastAsia="fr-FR"/>
                <w14:ligatures w14:val="none"/>
              </w:rPr>
              <w:t>Challancin</w:t>
            </w:r>
            <w:proofErr w:type="spellEnd"/>
          </w:p>
        </w:tc>
        <w:tc>
          <w:tcPr>
            <w:tcW w:w="6360" w:type="dxa"/>
            <w:tcBorders>
              <w:top w:val="nil"/>
              <w:left w:val="nil"/>
              <w:bottom w:val="single" w:sz="4" w:space="0" w:color="auto"/>
              <w:right w:val="single" w:sz="4" w:space="0" w:color="auto"/>
            </w:tcBorders>
            <w:shd w:val="clear" w:color="auto" w:fill="auto"/>
            <w:noWrap/>
            <w:vAlign w:val="center"/>
            <w:hideMark/>
          </w:tcPr>
          <w:p w14:paraId="2F7BE3C7"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gramStart"/>
            <w:r w:rsidRPr="001E1392">
              <w:rPr>
                <w:rFonts w:ascii="Marianne" w:eastAsia="Times New Roman" w:hAnsi="Marianne" w:cs="Calibri"/>
                <w:kern w:val="0"/>
                <w:sz w:val="20"/>
                <w:szCs w:val="20"/>
                <w:lang w:eastAsia="fr-FR"/>
                <w14:ligatures w14:val="none"/>
              </w:rPr>
              <w:t>lots</w:t>
            </w:r>
            <w:proofErr w:type="gramEnd"/>
            <w:r w:rsidRPr="001E1392">
              <w:rPr>
                <w:rFonts w:ascii="Marianne" w:eastAsia="Times New Roman" w:hAnsi="Marianne" w:cs="Calibri"/>
                <w:kern w:val="0"/>
                <w:sz w:val="20"/>
                <w:szCs w:val="20"/>
                <w:lang w:eastAsia="fr-FR"/>
                <w14:ligatures w14:val="none"/>
              </w:rPr>
              <w:t xml:space="preserve"> 2 et 3 (ex lot 2 scindé en 2 lots Est/Ouest de la ville de Nantes)</w:t>
            </w:r>
          </w:p>
        </w:tc>
      </w:tr>
      <w:tr w:rsidR="00DB338D" w:rsidRPr="001E1392" w14:paraId="29F2D9ED" w14:textId="77777777" w:rsidTr="00DB338D">
        <w:trPr>
          <w:trHeight w:val="5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69DE5DA1"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LOT 3</w:t>
            </w:r>
          </w:p>
        </w:tc>
        <w:tc>
          <w:tcPr>
            <w:tcW w:w="1200" w:type="dxa"/>
            <w:tcBorders>
              <w:top w:val="nil"/>
              <w:left w:val="nil"/>
              <w:bottom w:val="single" w:sz="4" w:space="0" w:color="auto"/>
              <w:right w:val="single" w:sz="4" w:space="0" w:color="auto"/>
            </w:tcBorders>
            <w:shd w:val="clear" w:color="auto" w:fill="auto"/>
            <w:noWrap/>
            <w:vAlign w:val="center"/>
            <w:hideMark/>
          </w:tcPr>
          <w:p w14:paraId="12BAE845"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Onet</w:t>
            </w:r>
          </w:p>
        </w:tc>
        <w:tc>
          <w:tcPr>
            <w:tcW w:w="6360" w:type="dxa"/>
            <w:tcBorders>
              <w:top w:val="nil"/>
              <w:left w:val="nil"/>
              <w:bottom w:val="single" w:sz="4" w:space="0" w:color="auto"/>
              <w:right w:val="single" w:sz="4" w:space="0" w:color="auto"/>
            </w:tcBorders>
            <w:shd w:val="clear" w:color="auto" w:fill="auto"/>
            <w:noWrap/>
            <w:vAlign w:val="center"/>
            <w:hideMark/>
          </w:tcPr>
          <w:p w14:paraId="276D5F6E"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gramStart"/>
            <w:r w:rsidRPr="001E1392">
              <w:rPr>
                <w:rFonts w:ascii="Marianne" w:eastAsia="Times New Roman" w:hAnsi="Marianne" w:cs="Calibri"/>
                <w:kern w:val="0"/>
                <w:sz w:val="20"/>
                <w:szCs w:val="20"/>
                <w:lang w:eastAsia="fr-FR"/>
                <w14:ligatures w14:val="none"/>
              </w:rPr>
              <w:t>lot</w:t>
            </w:r>
            <w:proofErr w:type="gramEnd"/>
            <w:r w:rsidRPr="001E1392">
              <w:rPr>
                <w:rFonts w:ascii="Marianne" w:eastAsia="Times New Roman" w:hAnsi="Marianne" w:cs="Calibri"/>
                <w:kern w:val="0"/>
                <w:sz w:val="20"/>
                <w:szCs w:val="20"/>
                <w:lang w:eastAsia="fr-FR"/>
                <w14:ligatures w14:val="none"/>
              </w:rPr>
              <w:t xml:space="preserve"> 4 (ex lot 3)</w:t>
            </w:r>
          </w:p>
        </w:tc>
      </w:tr>
      <w:tr w:rsidR="00DB338D" w:rsidRPr="001E1392" w14:paraId="305E6799" w14:textId="77777777" w:rsidTr="00DB338D">
        <w:trPr>
          <w:trHeight w:val="125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649F2034"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LOT 4</w:t>
            </w:r>
          </w:p>
        </w:tc>
        <w:tc>
          <w:tcPr>
            <w:tcW w:w="1200" w:type="dxa"/>
            <w:tcBorders>
              <w:top w:val="nil"/>
              <w:left w:val="nil"/>
              <w:bottom w:val="single" w:sz="4" w:space="0" w:color="auto"/>
              <w:right w:val="single" w:sz="4" w:space="0" w:color="auto"/>
            </w:tcBorders>
            <w:shd w:val="clear" w:color="auto" w:fill="auto"/>
            <w:noWrap/>
            <w:vAlign w:val="center"/>
            <w:hideMark/>
          </w:tcPr>
          <w:p w14:paraId="47A35331"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Samsic</w:t>
            </w:r>
          </w:p>
        </w:tc>
        <w:tc>
          <w:tcPr>
            <w:tcW w:w="6360" w:type="dxa"/>
            <w:tcBorders>
              <w:top w:val="nil"/>
              <w:left w:val="nil"/>
              <w:bottom w:val="single" w:sz="4" w:space="0" w:color="auto"/>
              <w:right w:val="single" w:sz="4" w:space="0" w:color="auto"/>
            </w:tcBorders>
            <w:shd w:val="clear" w:color="auto" w:fill="auto"/>
            <w:noWrap/>
            <w:vAlign w:val="center"/>
            <w:hideMark/>
          </w:tcPr>
          <w:p w14:paraId="5FBB52A5"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gramStart"/>
            <w:r w:rsidRPr="001E1392">
              <w:rPr>
                <w:rFonts w:ascii="Marianne" w:eastAsia="Times New Roman" w:hAnsi="Marianne" w:cs="Calibri"/>
                <w:kern w:val="0"/>
                <w:sz w:val="20"/>
                <w:szCs w:val="20"/>
                <w:lang w:eastAsia="fr-FR"/>
                <w14:ligatures w14:val="none"/>
              </w:rPr>
              <w:t>lot</w:t>
            </w:r>
            <w:proofErr w:type="gramEnd"/>
            <w:r w:rsidRPr="001E1392">
              <w:rPr>
                <w:rFonts w:ascii="Marianne" w:eastAsia="Times New Roman" w:hAnsi="Marianne" w:cs="Calibri"/>
                <w:kern w:val="0"/>
                <w:sz w:val="20"/>
                <w:szCs w:val="20"/>
                <w:lang w:eastAsia="fr-FR"/>
                <w14:ligatures w14:val="none"/>
              </w:rPr>
              <w:t xml:space="preserve"> 5 (ex lot 4 et Pornic Savenay mis dans le lot 6)</w:t>
            </w:r>
          </w:p>
        </w:tc>
      </w:tr>
      <w:tr w:rsidR="00DB338D" w:rsidRPr="001E1392" w14:paraId="56688C51" w14:textId="77777777" w:rsidTr="00DB338D">
        <w:trPr>
          <w:trHeight w:val="10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30B92263"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LOT 5</w:t>
            </w:r>
          </w:p>
        </w:tc>
        <w:tc>
          <w:tcPr>
            <w:tcW w:w="1200" w:type="dxa"/>
            <w:tcBorders>
              <w:top w:val="nil"/>
              <w:left w:val="nil"/>
              <w:bottom w:val="single" w:sz="4" w:space="0" w:color="auto"/>
              <w:right w:val="single" w:sz="4" w:space="0" w:color="auto"/>
            </w:tcBorders>
            <w:shd w:val="clear" w:color="auto" w:fill="auto"/>
            <w:noWrap/>
            <w:vAlign w:val="center"/>
            <w:hideMark/>
          </w:tcPr>
          <w:p w14:paraId="49690695"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spellStart"/>
            <w:r w:rsidRPr="001E1392">
              <w:rPr>
                <w:rFonts w:ascii="Marianne" w:eastAsia="Times New Roman" w:hAnsi="Marianne" w:cs="Calibri"/>
                <w:kern w:val="0"/>
                <w:sz w:val="20"/>
                <w:szCs w:val="20"/>
                <w:lang w:eastAsia="fr-FR"/>
                <w14:ligatures w14:val="none"/>
              </w:rPr>
              <w:t>Challancin</w:t>
            </w:r>
            <w:proofErr w:type="spellEnd"/>
          </w:p>
        </w:tc>
        <w:tc>
          <w:tcPr>
            <w:tcW w:w="6360" w:type="dxa"/>
            <w:tcBorders>
              <w:top w:val="nil"/>
              <w:left w:val="nil"/>
              <w:bottom w:val="single" w:sz="4" w:space="0" w:color="auto"/>
              <w:right w:val="single" w:sz="4" w:space="0" w:color="auto"/>
            </w:tcBorders>
            <w:shd w:val="clear" w:color="auto" w:fill="auto"/>
            <w:noWrap/>
            <w:vAlign w:val="center"/>
            <w:hideMark/>
          </w:tcPr>
          <w:p w14:paraId="5D2E5B11"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gramStart"/>
            <w:r w:rsidRPr="001E1392">
              <w:rPr>
                <w:rFonts w:ascii="Marianne" w:eastAsia="Times New Roman" w:hAnsi="Marianne" w:cs="Calibri"/>
                <w:kern w:val="0"/>
                <w:sz w:val="20"/>
                <w:szCs w:val="20"/>
                <w:lang w:eastAsia="fr-FR"/>
                <w14:ligatures w14:val="none"/>
              </w:rPr>
              <w:t>lot</w:t>
            </w:r>
            <w:proofErr w:type="gramEnd"/>
            <w:r w:rsidRPr="001E1392">
              <w:rPr>
                <w:rFonts w:ascii="Marianne" w:eastAsia="Times New Roman" w:hAnsi="Marianne" w:cs="Calibri"/>
                <w:kern w:val="0"/>
                <w:sz w:val="20"/>
                <w:szCs w:val="20"/>
                <w:lang w:eastAsia="fr-FR"/>
                <w14:ligatures w14:val="none"/>
              </w:rPr>
              <w:t xml:space="preserve"> 6 (ex lot 5)</w:t>
            </w:r>
          </w:p>
        </w:tc>
      </w:tr>
      <w:tr w:rsidR="00DB338D" w:rsidRPr="001E1392" w14:paraId="429616B9" w14:textId="77777777" w:rsidTr="00DB338D">
        <w:trPr>
          <w:trHeight w:val="125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03DBE3E9"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LOT 6</w:t>
            </w:r>
          </w:p>
        </w:tc>
        <w:tc>
          <w:tcPr>
            <w:tcW w:w="1200" w:type="dxa"/>
            <w:tcBorders>
              <w:top w:val="nil"/>
              <w:left w:val="nil"/>
              <w:bottom w:val="single" w:sz="4" w:space="0" w:color="auto"/>
              <w:right w:val="single" w:sz="4" w:space="0" w:color="auto"/>
            </w:tcBorders>
            <w:shd w:val="clear" w:color="auto" w:fill="auto"/>
            <w:noWrap/>
            <w:vAlign w:val="center"/>
            <w:hideMark/>
          </w:tcPr>
          <w:p w14:paraId="25C30503"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spellStart"/>
            <w:r w:rsidRPr="001E1392">
              <w:rPr>
                <w:rFonts w:ascii="Marianne" w:eastAsia="Times New Roman" w:hAnsi="Marianne" w:cs="Calibri"/>
                <w:kern w:val="0"/>
                <w:sz w:val="20"/>
                <w:szCs w:val="20"/>
                <w:lang w:eastAsia="fr-FR"/>
                <w14:ligatures w14:val="none"/>
              </w:rPr>
              <w:t>Challancin</w:t>
            </w:r>
            <w:proofErr w:type="spellEnd"/>
          </w:p>
        </w:tc>
        <w:tc>
          <w:tcPr>
            <w:tcW w:w="6360" w:type="dxa"/>
            <w:tcBorders>
              <w:top w:val="nil"/>
              <w:left w:val="nil"/>
              <w:bottom w:val="single" w:sz="4" w:space="0" w:color="auto"/>
              <w:right w:val="single" w:sz="4" w:space="0" w:color="auto"/>
            </w:tcBorders>
            <w:shd w:val="clear" w:color="auto" w:fill="auto"/>
            <w:noWrap/>
            <w:vAlign w:val="center"/>
            <w:hideMark/>
          </w:tcPr>
          <w:p w14:paraId="45A413BD"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gramStart"/>
            <w:r w:rsidRPr="001E1392">
              <w:rPr>
                <w:rFonts w:ascii="Marianne" w:eastAsia="Times New Roman" w:hAnsi="Marianne" w:cs="Calibri"/>
                <w:kern w:val="0"/>
                <w:sz w:val="20"/>
                <w:szCs w:val="20"/>
                <w:lang w:eastAsia="fr-FR"/>
                <w14:ligatures w14:val="none"/>
              </w:rPr>
              <w:t>lot</w:t>
            </w:r>
            <w:proofErr w:type="gramEnd"/>
            <w:r w:rsidRPr="001E1392">
              <w:rPr>
                <w:rFonts w:ascii="Marianne" w:eastAsia="Times New Roman" w:hAnsi="Marianne" w:cs="Calibri"/>
                <w:kern w:val="0"/>
                <w:sz w:val="20"/>
                <w:szCs w:val="20"/>
                <w:lang w:eastAsia="fr-FR"/>
                <w14:ligatures w14:val="none"/>
              </w:rPr>
              <w:t xml:space="preserve"> 7 (ex lot 6)</w:t>
            </w:r>
          </w:p>
        </w:tc>
      </w:tr>
      <w:tr w:rsidR="00DB338D" w:rsidRPr="001E1392" w14:paraId="2BB6E724" w14:textId="77777777" w:rsidTr="00DB338D">
        <w:trPr>
          <w:trHeight w:val="75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12F2819D"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LOT 7</w:t>
            </w:r>
          </w:p>
        </w:tc>
        <w:tc>
          <w:tcPr>
            <w:tcW w:w="1200" w:type="dxa"/>
            <w:tcBorders>
              <w:top w:val="nil"/>
              <w:left w:val="nil"/>
              <w:bottom w:val="single" w:sz="4" w:space="0" w:color="auto"/>
              <w:right w:val="single" w:sz="4" w:space="0" w:color="auto"/>
            </w:tcBorders>
            <w:shd w:val="clear" w:color="auto" w:fill="auto"/>
            <w:noWrap/>
            <w:vAlign w:val="center"/>
            <w:hideMark/>
          </w:tcPr>
          <w:p w14:paraId="7C6325AB"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Samsic</w:t>
            </w:r>
          </w:p>
        </w:tc>
        <w:tc>
          <w:tcPr>
            <w:tcW w:w="6360" w:type="dxa"/>
            <w:tcBorders>
              <w:top w:val="nil"/>
              <w:left w:val="nil"/>
              <w:bottom w:val="single" w:sz="4" w:space="0" w:color="auto"/>
              <w:right w:val="single" w:sz="4" w:space="0" w:color="auto"/>
            </w:tcBorders>
            <w:shd w:val="clear" w:color="auto" w:fill="auto"/>
            <w:noWrap/>
            <w:vAlign w:val="center"/>
            <w:hideMark/>
          </w:tcPr>
          <w:p w14:paraId="02A915D3"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gramStart"/>
            <w:r w:rsidRPr="001E1392">
              <w:rPr>
                <w:rFonts w:ascii="Marianne" w:eastAsia="Times New Roman" w:hAnsi="Marianne" w:cs="Calibri"/>
                <w:kern w:val="0"/>
                <w:sz w:val="20"/>
                <w:szCs w:val="20"/>
                <w:lang w:eastAsia="fr-FR"/>
                <w14:ligatures w14:val="none"/>
              </w:rPr>
              <w:t>lot</w:t>
            </w:r>
            <w:proofErr w:type="gramEnd"/>
            <w:r w:rsidRPr="001E1392">
              <w:rPr>
                <w:rFonts w:ascii="Marianne" w:eastAsia="Times New Roman" w:hAnsi="Marianne" w:cs="Calibri"/>
                <w:kern w:val="0"/>
                <w:sz w:val="20"/>
                <w:szCs w:val="20"/>
                <w:lang w:eastAsia="fr-FR"/>
                <w14:ligatures w14:val="none"/>
              </w:rPr>
              <w:t xml:space="preserve"> 8 (ex lot 7)</w:t>
            </w:r>
          </w:p>
        </w:tc>
      </w:tr>
      <w:tr w:rsidR="00DB338D" w:rsidRPr="001E1392" w14:paraId="130D7509" w14:textId="77777777" w:rsidTr="00DB338D">
        <w:trPr>
          <w:trHeight w:val="5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22CE1F5B"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LOT 8</w:t>
            </w:r>
          </w:p>
        </w:tc>
        <w:tc>
          <w:tcPr>
            <w:tcW w:w="1200" w:type="dxa"/>
            <w:tcBorders>
              <w:top w:val="nil"/>
              <w:left w:val="nil"/>
              <w:bottom w:val="single" w:sz="4" w:space="0" w:color="auto"/>
              <w:right w:val="single" w:sz="4" w:space="0" w:color="auto"/>
            </w:tcBorders>
            <w:shd w:val="clear" w:color="auto" w:fill="auto"/>
            <w:noWrap/>
            <w:vAlign w:val="center"/>
            <w:hideMark/>
          </w:tcPr>
          <w:p w14:paraId="5895B748"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spellStart"/>
            <w:r w:rsidRPr="001E1392">
              <w:rPr>
                <w:rFonts w:ascii="Marianne" w:eastAsia="Times New Roman" w:hAnsi="Marianne" w:cs="Calibri"/>
                <w:kern w:val="0"/>
                <w:sz w:val="20"/>
                <w:szCs w:val="20"/>
                <w:lang w:eastAsia="fr-FR"/>
                <w14:ligatures w14:val="none"/>
              </w:rPr>
              <w:t>Challancin</w:t>
            </w:r>
            <w:proofErr w:type="spellEnd"/>
          </w:p>
        </w:tc>
        <w:tc>
          <w:tcPr>
            <w:tcW w:w="6360" w:type="dxa"/>
            <w:tcBorders>
              <w:top w:val="nil"/>
              <w:left w:val="nil"/>
              <w:bottom w:val="single" w:sz="4" w:space="0" w:color="auto"/>
              <w:right w:val="single" w:sz="4" w:space="0" w:color="auto"/>
            </w:tcBorders>
            <w:shd w:val="clear" w:color="auto" w:fill="auto"/>
            <w:noWrap/>
            <w:vAlign w:val="center"/>
            <w:hideMark/>
          </w:tcPr>
          <w:p w14:paraId="02A51B1A"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gramStart"/>
            <w:r w:rsidRPr="001E1392">
              <w:rPr>
                <w:rFonts w:ascii="Marianne" w:eastAsia="Times New Roman" w:hAnsi="Marianne" w:cs="Calibri"/>
                <w:kern w:val="0"/>
                <w:sz w:val="20"/>
                <w:szCs w:val="20"/>
                <w:lang w:eastAsia="fr-FR"/>
                <w14:ligatures w14:val="none"/>
              </w:rPr>
              <w:t>lot</w:t>
            </w:r>
            <w:proofErr w:type="gramEnd"/>
            <w:r w:rsidRPr="001E1392">
              <w:rPr>
                <w:rFonts w:ascii="Marianne" w:eastAsia="Times New Roman" w:hAnsi="Marianne" w:cs="Calibri"/>
                <w:kern w:val="0"/>
                <w:sz w:val="20"/>
                <w:szCs w:val="20"/>
                <w:lang w:eastAsia="fr-FR"/>
                <w14:ligatures w14:val="none"/>
              </w:rPr>
              <w:t xml:space="preserve"> 9 (ex lot 8)</w:t>
            </w:r>
          </w:p>
        </w:tc>
      </w:tr>
      <w:tr w:rsidR="00DB338D" w:rsidRPr="001E1392" w14:paraId="6CFA5060" w14:textId="77777777" w:rsidTr="00DB338D">
        <w:trPr>
          <w:trHeight w:val="5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064FA3C8"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LOT 9</w:t>
            </w:r>
          </w:p>
        </w:tc>
        <w:tc>
          <w:tcPr>
            <w:tcW w:w="1200" w:type="dxa"/>
            <w:tcBorders>
              <w:top w:val="nil"/>
              <w:left w:val="nil"/>
              <w:bottom w:val="single" w:sz="4" w:space="0" w:color="auto"/>
              <w:right w:val="single" w:sz="4" w:space="0" w:color="auto"/>
            </w:tcBorders>
            <w:shd w:val="clear" w:color="auto" w:fill="auto"/>
            <w:noWrap/>
            <w:vAlign w:val="center"/>
            <w:hideMark/>
          </w:tcPr>
          <w:p w14:paraId="384ADB0A"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Samsic</w:t>
            </w:r>
          </w:p>
        </w:tc>
        <w:tc>
          <w:tcPr>
            <w:tcW w:w="6360" w:type="dxa"/>
            <w:tcBorders>
              <w:top w:val="nil"/>
              <w:left w:val="nil"/>
              <w:bottom w:val="single" w:sz="4" w:space="0" w:color="auto"/>
              <w:right w:val="single" w:sz="4" w:space="0" w:color="auto"/>
            </w:tcBorders>
            <w:shd w:val="clear" w:color="auto" w:fill="auto"/>
            <w:noWrap/>
            <w:vAlign w:val="center"/>
            <w:hideMark/>
          </w:tcPr>
          <w:p w14:paraId="2AC1EEFE"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gramStart"/>
            <w:r w:rsidRPr="001E1392">
              <w:rPr>
                <w:rFonts w:ascii="Marianne" w:eastAsia="Times New Roman" w:hAnsi="Marianne" w:cs="Calibri"/>
                <w:kern w:val="0"/>
                <w:sz w:val="20"/>
                <w:szCs w:val="20"/>
                <w:lang w:eastAsia="fr-FR"/>
                <w14:ligatures w14:val="none"/>
              </w:rPr>
              <w:t>lot</w:t>
            </w:r>
            <w:proofErr w:type="gramEnd"/>
            <w:r w:rsidRPr="001E1392">
              <w:rPr>
                <w:rFonts w:ascii="Marianne" w:eastAsia="Times New Roman" w:hAnsi="Marianne" w:cs="Calibri"/>
                <w:kern w:val="0"/>
                <w:sz w:val="20"/>
                <w:szCs w:val="20"/>
                <w:lang w:eastAsia="fr-FR"/>
                <w14:ligatures w14:val="none"/>
              </w:rPr>
              <w:t xml:space="preserve"> 12 (ex lots 9 et 10 et 1 seul lot pour tout le département)</w:t>
            </w:r>
          </w:p>
        </w:tc>
      </w:tr>
      <w:tr w:rsidR="00DB338D" w:rsidRPr="001E1392" w14:paraId="2F97C5E3" w14:textId="77777777" w:rsidTr="00DB338D">
        <w:trPr>
          <w:trHeight w:val="5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59EA655D"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LOT 10</w:t>
            </w:r>
          </w:p>
        </w:tc>
        <w:tc>
          <w:tcPr>
            <w:tcW w:w="1200" w:type="dxa"/>
            <w:tcBorders>
              <w:top w:val="nil"/>
              <w:left w:val="nil"/>
              <w:bottom w:val="single" w:sz="4" w:space="0" w:color="auto"/>
              <w:right w:val="single" w:sz="4" w:space="0" w:color="auto"/>
            </w:tcBorders>
            <w:shd w:val="clear" w:color="auto" w:fill="auto"/>
            <w:noWrap/>
            <w:vAlign w:val="center"/>
            <w:hideMark/>
          </w:tcPr>
          <w:p w14:paraId="103F8F9B"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Onet</w:t>
            </w:r>
          </w:p>
        </w:tc>
        <w:tc>
          <w:tcPr>
            <w:tcW w:w="6360" w:type="dxa"/>
            <w:tcBorders>
              <w:top w:val="nil"/>
              <w:left w:val="nil"/>
              <w:bottom w:val="single" w:sz="4" w:space="0" w:color="auto"/>
              <w:right w:val="single" w:sz="4" w:space="0" w:color="auto"/>
            </w:tcBorders>
            <w:shd w:val="clear" w:color="auto" w:fill="auto"/>
            <w:noWrap/>
            <w:vAlign w:val="center"/>
            <w:hideMark/>
          </w:tcPr>
          <w:p w14:paraId="7174F995"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 </w:t>
            </w:r>
          </w:p>
        </w:tc>
      </w:tr>
      <w:tr w:rsidR="00DB338D" w:rsidRPr="001E1392" w14:paraId="2CC67D53" w14:textId="77777777" w:rsidTr="00DB338D">
        <w:trPr>
          <w:trHeight w:val="5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6C8F5993"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LOT 11</w:t>
            </w:r>
          </w:p>
        </w:tc>
        <w:tc>
          <w:tcPr>
            <w:tcW w:w="1200" w:type="dxa"/>
            <w:tcBorders>
              <w:top w:val="nil"/>
              <w:left w:val="nil"/>
              <w:bottom w:val="single" w:sz="4" w:space="0" w:color="auto"/>
              <w:right w:val="single" w:sz="4" w:space="0" w:color="auto"/>
            </w:tcBorders>
            <w:shd w:val="clear" w:color="auto" w:fill="auto"/>
            <w:noWrap/>
            <w:vAlign w:val="center"/>
            <w:hideMark/>
          </w:tcPr>
          <w:p w14:paraId="526C3A83"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Aber</w:t>
            </w:r>
          </w:p>
        </w:tc>
        <w:tc>
          <w:tcPr>
            <w:tcW w:w="6360" w:type="dxa"/>
            <w:tcBorders>
              <w:top w:val="nil"/>
              <w:left w:val="nil"/>
              <w:bottom w:val="single" w:sz="4" w:space="0" w:color="auto"/>
              <w:right w:val="single" w:sz="4" w:space="0" w:color="auto"/>
            </w:tcBorders>
            <w:shd w:val="clear" w:color="auto" w:fill="auto"/>
            <w:noWrap/>
            <w:vAlign w:val="center"/>
            <w:hideMark/>
          </w:tcPr>
          <w:p w14:paraId="1D0D92D3"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gramStart"/>
            <w:r w:rsidRPr="001E1392">
              <w:rPr>
                <w:rFonts w:ascii="Marianne" w:eastAsia="Times New Roman" w:hAnsi="Marianne" w:cs="Calibri"/>
                <w:kern w:val="0"/>
                <w:sz w:val="20"/>
                <w:szCs w:val="20"/>
                <w:lang w:eastAsia="fr-FR"/>
                <w14:ligatures w14:val="none"/>
              </w:rPr>
              <w:t>lot</w:t>
            </w:r>
            <w:proofErr w:type="gramEnd"/>
            <w:r w:rsidRPr="001E1392">
              <w:rPr>
                <w:rFonts w:ascii="Marianne" w:eastAsia="Times New Roman" w:hAnsi="Marianne" w:cs="Calibri"/>
                <w:kern w:val="0"/>
                <w:sz w:val="20"/>
                <w:szCs w:val="20"/>
                <w:lang w:eastAsia="fr-FR"/>
                <w14:ligatures w14:val="none"/>
              </w:rPr>
              <w:t xml:space="preserve"> 11 (ex lots 11 et 12 et 1 seul lot pour tout le département)</w:t>
            </w:r>
          </w:p>
        </w:tc>
      </w:tr>
      <w:tr w:rsidR="00DB338D" w:rsidRPr="001E1392" w14:paraId="224B7D1B" w14:textId="77777777" w:rsidTr="00DB338D">
        <w:trPr>
          <w:trHeight w:val="5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55C2965E"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LOT 12</w:t>
            </w:r>
          </w:p>
        </w:tc>
        <w:tc>
          <w:tcPr>
            <w:tcW w:w="1200" w:type="dxa"/>
            <w:tcBorders>
              <w:top w:val="nil"/>
              <w:left w:val="nil"/>
              <w:bottom w:val="single" w:sz="4" w:space="0" w:color="auto"/>
              <w:right w:val="single" w:sz="4" w:space="0" w:color="auto"/>
            </w:tcBorders>
            <w:shd w:val="clear" w:color="auto" w:fill="auto"/>
            <w:noWrap/>
            <w:vAlign w:val="center"/>
            <w:hideMark/>
          </w:tcPr>
          <w:p w14:paraId="250F7D5A"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Onet</w:t>
            </w:r>
          </w:p>
        </w:tc>
        <w:tc>
          <w:tcPr>
            <w:tcW w:w="6360" w:type="dxa"/>
            <w:tcBorders>
              <w:top w:val="nil"/>
              <w:left w:val="nil"/>
              <w:bottom w:val="single" w:sz="4" w:space="0" w:color="auto"/>
              <w:right w:val="single" w:sz="4" w:space="0" w:color="auto"/>
            </w:tcBorders>
            <w:shd w:val="clear" w:color="auto" w:fill="auto"/>
            <w:noWrap/>
            <w:vAlign w:val="center"/>
            <w:hideMark/>
          </w:tcPr>
          <w:p w14:paraId="5E489A12"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 </w:t>
            </w:r>
          </w:p>
        </w:tc>
      </w:tr>
      <w:tr w:rsidR="00DB338D" w:rsidRPr="001E1392" w14:paraId="23C1359E" w14:textId="77777777" w:rsidTr="00DB338D">
        <w:trPr>
          <w:trHeight w:val="29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450B431C"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LOT 13</w:t>
            </w:r>
          </w:p>
        </w:tc>
        <w:tc>
          <w:tcPr>
            <w:tcW w:w="1200" w:type="dxa"/>
            <w:tcBorders>
              <w:top w:val="nil"/>
              <w:left w:val="nil"/>
              <w:bottom w:val="single" w:sz="4" w:space="0" w:color="auto"/>
              <w:right w:val="single" w:sz="4" w:space="0" w:color="auto"/>
            </w:tcBorders>
            <w:shd w:val="clear" w:color="auto" w:fill="auto"/>
            <w:noWrap/>
            <w:vAlign w:val="center"/>
            <w:hideMark/>
          </w:tcPr>
          <w:p w14:paraId="5C1A5BE4"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Aber</w:t>
            </w:r>
          </w:p>
        </w:tc>
        <w:tc>
          <w:tcPr>
            <w:tcW w:w="6360" w:type="dxa"/>
            <w:tcBorders>
              <w:top w:val="nil"/>
              <w:left w:val="nil"/>
              <w:bottom w:val="single" w:sz="4" w:space="0" w:color="auto"/>
              <w:right w:val="single" w:sz="4" w:space="0" w:color="auto"/>
            </w:tcBorders>
            <w:shd w:val="clear" w:color="auto" w:fill="auto"/>
            <w:noWrap/>
            <w:vAlign w:val="center"/>
            <w:hideMark/>
          </w:tcPr>
          <w:p w14:paraId="7A44280B"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proofErr w:type="gramStart"/>
            <w:r w:rsidRPr="001E1392">
              <w:rPr>
                <w:rFonts w:ascii="Marianne" w:eastAsia="Times New Roman" w:hAnsi="Marianne" w:cs="Calibri"/>
                <w:kern w:val="0"/>
                <w:sz w:val="20"/>
                <w:szCs w:val="20"/>
                <w:lang w:eastAsia="fr-FR"/>
                <w14:ligatures w14:val="none"/>
              </w:rPr>
              <w:t>lot</w:t>
            </w:r>
            <w:proofErr w:type="gramEnd"/>
            <w:r w:rsidRPr="001E1392">
              <w:rPr>
                <w:rFonts w:ascii="Marianne" w:eastAsia="Times New Roman" w:hAnsi="Marianne" w:cs="Calibri"/>
                <w:kern w:val="0"/>
                <w:sz w:val="20"/>
                <w:szCs w:val="20"/>
                <w:lang w:eastAsia="fr-FR"/>
                <w14:ligatures w14:val="none"/>
              </w:rPr>
              <w:t xml:space="preserve"> 10 (ex lots 13 et 14 et 1 seul lot pour tout le département)</w:t>
            </w:r>
          </w:p>
        </w:tc>
      </w:tr>
      <w:tr w:rsidR="00DB338D" w:rsidRPr="001E1392" w14:paraId="494D7545" w14:textId="77777777" w:rsidTr="00AB6309">
        <w:trPr>
          <w:trHeight w:val="596"/>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4632BF8C"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LOT 14</w:t>
            </w:r>
          </w:p>
        </w:tc>
        <w:tc>
          <w:tcPr>
            <w:tcW w:w="1200" w:type="dxa"/>
            <w:tcBorders>
              <w:top w:val="nil"/>
              <w:left w:val="nil"/>
              <w:bottom w:val="single" w:sz="4" w:space="0" w:color="auto"/>
              <w:right w:val="single" w:sz="4" w:space="0" w:color="auto"/>
            </w:tcBorders>
            <w:shd w:val="clear" w:color="auto" w:fill="auto"/>
            <w:noWrap/>
            <w:vAlign w:val="center"/>
            <w:hideMark/>
          </w:tcPr>
          <w:p w14:paraId="23EB2CD6"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Aber</w:t>
            </w:r>
          </w:p>
        </w:tc>
        <w:tc>
          <w:tcPr>
            <w:tcW w:w="6360" w:type="dxa"/>
            <w:tcBorders>
              <w:top w:val="nil"/>
              <w:left w:val="nil"/>
              <w:bottom w:val="single" w:sz="4" w:space="0" w:color="auto"/>
              <w:right w:val="single" w:sz="4" w:space="0" w:color="auto"/>
            </w:tcBorders>
            <w:shd w:val="clear" w:color="auto" w:fill="auto"/>
            <w:noWrap/>
            <w:vAlign w:val="center"/>
            <w:hideMark/>
          </w:tcPr>
          <w:p w14:paraId="1023D274" w14:textId="77777777" w:rsidR="00DB338D" w:rsidRPr="001E1392" w:rsidRDefault="00DB338D" w:rsidP="00DB338D">
            <w:pPr>
              <w:spacing w:after="0" w:line="240" w:lineRule="auto"/>
              <w:jc w:val="center"/>
              <w:rPr>
                <w:rFonts w:ascii="Marianne" w:eastAsia="Times New Roman" w:hAnsi="Marianne" w:cs="Calibri"/>
                <w:kern w:val="0"/>
                <w:sz w:val="20"/>
                <w:szCs w:val="20"/>
                <w:lang w:eastAsia="fr-FR"/>
                <w14:ligatures w14:val="none"/>
              </w:rPr>
            </w:pPr>
            <w:r w:rsidRPr="001E1392">
              <w:rPr>
                <w:rFonts w:ascii="Marianne" w:eastAsia="Times New Roman" w:hAnsi="Marianne" w:cs="Calibri"/>
                <w:kern w:val="0"/>
                <w:sz w:val="20"/>
                <w:szCs w:val="20"/>
                <w:lang w:eastAsia="fr-FR"/>
                <w14:ligatures w14:val="none"/>
              </w:rPr>
              <w:t> </w:t>
            </w:r>
          </w:p>
        </w:tc>
      </w:tr>
    </w:tbl>
    <w:p w14:paraId="29F3D6F4" w14:textId="77777777" w:rsidR="00DB338D" w:rsidRPr="001E1392" w:rsidRDefault="00DB338D">
      <w:pPr>
        <w:rPr>
          <w:rFonts w:ascii="Marianne" w:hAnsi="Marianne"/>
          <w:sz w:val="20"/>
          <w:szCs w:val="20"/>
        </w:rPr>
      </w:pPr>
    </w:p>
    <w:p w14:paraId="5ED2F550" w14:textId="77777777" w:rsidR="00994F4F" w:rsidRPr="001E1392" w:rsidRDefault="00994F4F">
      <w:pPr>
        <w:rPr>
          <w:rFonts w:ascii="Marianne" w:hAnsi="Marianne"/>
          <w:sz w:val="20"/>
          <w:szCs w:val="20"/>
        </w:rPr>
      </w:pPr>
    </w:p>
    <w:sectPr w:rsidR="00994F4F" w:rsidRPr="001E1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roman"/>
    <w:pitch w:val="default"/>
  </w:font>
  <w:font w:name="Aptos Display">
    <w:altName w:val="Calibri"/>
    <w:charset w:val="00"/>
    <w:family w:val="roman"/>
    <w:pitch w:val="default"/>
  </w:font>
  <w:font w:name="Marianne">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F6774F"/>
    <w:multiLevelType w:val="multilevel"/>
    <w:tmpl w:val="D0D6486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97552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F4F"/>
    <w:rsid w:val="001E1392"/>
    <w:rsid w:val="002C20BF"/>
    <w:rsid w:val="003318F5"/>
    <w:rsid w:val="003C7DCE"/>
    <w:rsid w:val="006C551E"/>
    <w:rsid w:val="0086179E"/>
    <w:rsid w:val="00994F4F"/>
    <w:rsid w:val="00A03FCB"/>
    <w:rsid w:val="00A314EF"/>
    <w:rsid w:val="00A620AB"/>
    <w:rsid w:val="00AB6309"/>
    <w:rsid w:val="00C647EF"/>
    <w:rsid w:val="00D17CF7"/>
    <w:rsid w:val="00DB338D"/>
    <w:rsid w:val="00F10973"/>
    <w:rsid w:val="00F764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D392B"/>
  <w15:chartTrackingRefBased/>
  <w15:docId w15:val="{1FEE01E6-E42D-4EAE-B46B-D191C11BE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94F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94F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94F4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94F4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94F4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94F4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94F4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94F4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94F4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94F4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94F4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94F4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94F4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94F4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94F4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94F4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94F4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94F4F"/>
    <w:rPr>
      <w:rFonts w:eastAsiaTheme="majorEastAsia" w:cstheme="majorBidi"/>
      <w:color w:val="272727" w:themeColor="text1" w:themeTint="D8"/>
    </w:rPr>
  </w:style>
  <w:style w:type="paragraph" w:styleId="Titre">
    <w:name w:val="Title"/>
    <w:basedOn w:val="Normal"/>
    <w:next w:val="Normal"/>
    <w:link w:val="TitreCar"/>
    <w:uiPriority w:val="10"/>
    <w:qFormat/>
    <w:rsid w:val="00994F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94F4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94F4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94F4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94F4F"/>
    <w:pPr>
      <w:spacing w:before="160"/>
      <w:jc w:val="center"/>
    </w:pPr>
    <w:rPr>
      <w:i/>
      <w:iCs/>
      <w:color w:val="404040" w:themeColor="text1" w:themeTint="BF"/>
    </w:rPr>
  </w:style>
  <w:style w:type="character" w:customStyle="1" w:styleId="CitationCar">
    <w:name w:val="Citation Car"/>
    <w:basedOn w:val="Policepardfaut"/>
    <w:link w:val="Citation"/>
    <w:uiPriority w:val="29"/>
    <w:rsid w:val="00994F4F"/>
    <w:rPr>
      <w:i/>
      <w:iCs/>
      <w:color w:val="404040" w:themeColor="text1" w:themeTint="BF"/>
    </w:rPr>
  </w:style>
  <w:style w:type="paragraph" w:styleId="Paragraphedeliste">
    <w:name w:val="List Paragraph"/>
    <w:basedOn w:val="Normal"/>
    <w:uiPriority w:val="34"/>
    <w:qFormat/>
    <w:rsid w:val="00994F4F"/>
    <w:pPr>
      <w:ind w:left="720"/>
      <w:contextualSpacing/>
    </w:pPr>
  </w:style>
  <w:style w:type="character" w:styleId="Accentuationintense">
    <w:name w:val="Intense Emphasis"/>
    <w:basedOn w:val="Policepardfaut"/>
    <w:uiPriority w:val="21"/>
    <w:qFormat/>
    <w:rsid w:val="00994F4F"/>
    <w:rPr>
      <w:i/>
      <w:iCs/>
      <w:color w:val="0F4761" w:themeColor="accent1" w:themeShade="BF"/>
    </w:rPr>
  </w:style>
  <w:style w:type="paragraph" w:styleId="Citationintense">
    <w:name w:val="Intense Quote"/>
    <w:basedOn w:val="Normal"/>
    <w:next w:val="Normal"/>
    <w:link w:val="CitationintenseCar"/>
    <w:uiPriority w:val="30"/>
    <w:qFormat/>
    <w:rsid w:val="00994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94F4F"/>
    <w:rPr>
      <w:i/>
      <w:iCs/>
      <w:color w:val="0F4761" w:themeColor="accent1" w:themeShade="BF"/>
    </w:rPr>
  </w:style>
  <w:style w:type="character" w:styleId="Rfrenceintense">
    <w:name w:val="Intense Reference"/>
    <w:basedOn w:val="Policepardfaut"/>
    <w:uiPriority w:val="32"/>
    <w:qFormat/>
    <w:rsid w:val="00994F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984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546</Words>
  <Characters>3006</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SAKHER Christelle</dc:creator>
  <cp:keywords/>
  <dc:description/>
  <cp:lastModifiedBy>BRECHOIRE Laetitia</cp:lastModifiedBy>
  <cp:revision>6</cp:revision>
  <dcterms:created xsi:type="dcterms:W3CDTF">2026-05-21T12:05:00Z</dcterms:created>
  <dcterms:modified xsi:type="dcterms:W3CDTF">2026-07-07T13:18:00Z</dcterms:modified>
</cp:coreProperties>
</file>