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sz w:val="24"/>
          <w:szCs w:val="24"/>
        </w:rPr>
      </w:pPr>
      <w:r>
        <w:rPr>
          <w:rFonts w:ascii="Marianne" w:hAnsi="Marianne"/>
          <w:sz w:val="18"/>
        </w:rPr>
        <w:t xml:space="preserve"> </w:t>
      </w:r>
      <w:bookmarkStart w:id="0" w:name="TRX"/>
      <w:bookmarkEnd w:id="0"/>
      <w:r>
        <w:rPr>
          <w:rFonts w:ascii="Marianne" w:hAnsi="Marianne"/>
          <w:sz w:val="18"/>
        </w:rPr>
        <w:t xml:space="preserve"> </w:t>
      </w:r>
    </w:p>
    <w:p>
      <w:pPr>
        <w:pStyle w:val="Trame"/>
        <w:bidi w:val="0"/>
        <w:ind w:hanging="0" w:left="0" w:right="6"/>
        <w:rPr>
          <w:rFonts w:ascii="Marianne" w:hAnsi="Marianne"/>
          <w:sz w:val="24"/>
          <w:szCs w:val="24"/>
        </w:rPr>
      </w:pPr>
      <w:r>
        <w:rPr>
          <w:rFonts w:ascii="Marianne" w:hAnsi="Marianne"/>
          <w:sz w:val="24"/>
          <w:szCs w:val="24"/>
        </w:rPr>
        <w:t>MARCHE PUBLIC DE TRAVAUX</w:t>
      </w:r>
    </w:p>
    <w:p>
      <w:pPr>
        <w:pStyle w:val="Normal"/>
        <w:bidi w:val="0"/>
        <w:rPr>
          <w:rFonts w:ascii="Marianne" w:hAnsi="Marianne"/>
          <w:sz w:val="24"/>
          <w:szCs w:val="24"/>
        </w:rPr>
      </w:pPr>
      <w:r>
        <w:rPr>
          <w:rFonts w:ascii="Marianne" w:hAnsi="Marianne"/>
          <w:sz w:val="24"/>
          <w:szCs w:val="24"/>
        </w:rPr>
      </w:r>
    </w:p>
    <w:p>
      <w:pPr>
        <w:pStyle w:val="Normal"/>
        <w:bidi w:val="0"/>
        <w:rPr>
          <w:rFonts w:ascii="Marianne" w:hAnsi="Marianne"/>
          <w:sz w:val="24"/>
          <w:szCs w:val="24"/>
        </w:rPr>
      </w:pPr>
      <w:r>
        <w:rPr>
          <w:rFonts w:ascii="Marianne" w:hAnsi="Marianne"/>
          <w:sz w:val="24"/>
          <w:szCs w:val="24"/>
        </w:rPr>
      </w:r>
    </w:p>
    <w:p>
      <w:pPr>
        <w:pStyle w:val="Cadrerelief"/>
        <w:shd w:val="clear" w:fill="F2F2F2"/>
        <w:bidi w:val="0"/>
        <w:jc w:val="center"/>
        <w:rPr>
          <w:rFonts w:ascii="Marianne" w:hAnsi="Marianne"/>
          <w:b/>
          <w:sz w:val="24"/>
          <w:szCs w:val="24"/>
        </w:rPr>
      </w:pPr>
      <w:r>
        <w:rPr>
          <w:rFonts w:ascii="Marianne" w:hAnsi="Marianne"/>
          <w:b/>
          <w:sz w:val="24"/>
          <w:szCs w:val="24"/>
        </w:rPr>
        <w:t>REGLEMENT DE LA CONSULTATION</w:t>
        <w:br/>
        <w:t>(RC)</w:t>
      </w:r>
    </w:p>
    <w:p>
      <w:pPr>
        <w:pStyle w:val="Normal"/>
        <w:bidi w:val="0"/>
        <w:rPr>
          <w:rFonts w:ascii="Marianne" w:hAnsi="Marianne"/>
          <w:sz w:val="24"/>
          <w:szCs w:val="24"/>
        </w:rPr>
      </w:pPr>
      <w:r>
        <w:rPr>
          <w:rFonts w:ascii="Marianne" w:hAnsi="Marianne"/>
          <w:sz w:val="24"/>
          <w:szCs w:val="24"/>
        </w:rPr>
      </w:r>
    </w:p>
    <w:p>
      <w:pPr>
        <w:pStyle w:val="Normal"/>
        <w:bidi w:val="0"/>
        <w:jc w:val="center"/>
        <w:rPr>
          <w:rFonts w:ascii="Marianne" w:hAnsi="Marianne"/>
          <w:sz w:val="24"/>
          <w:szCs w:val="24"/>
        </w:rPr>
      </w:pPr>
      <w:r>
        <w:rPr>
          <w:rFonts w:ascii="Marianne" w:hAnsi="Marianne"/>
          <w:sz w:val="24"/>
          <w:szCs w:val="24"/>
        </w:rPr>
      </w:r>
    </w:p>
    <w:tbl>
      <w:tblPr>
        <w:tblW w:w="9426" w:type="dxa"/>
        <w:jc w:val="left"/>
        <w:tblInd w:w="-81" w:type="dxa"/>
        <w:tblLayout w:type="fixed"/>
        <w:tblCellMar>
          <w:top w:w="0" w:type="dxa"/>
          <w:left w:w="70" w:type="dxa"/>
          <w:bottom w:w="0" w:type="dxa"/>
          <w:right w:w="70" w:type="dxa"/>
        </w:tblCellMar>
      </w:tblPr>
      <w:tblGrid>
        <w:gridCol w:w="9426"/>
      </w:tblGrid>
      <w:tr>
        <w:trPr/>
        <w:tc>
          <w:tcPr>
            <w:tcW w:w="9426" w:type="dxa"/>
            <w:tcBorders>
              <w:top w:val="double" w:sz="2" w:space="0" w:color="000000"/>
              <w:left w:val="double" w:sz="2" w:space="0" w:color="000000"/>
              <w:right w:val="double" w:sz="2" w:space="0" w:color="000000"/>
            </w:tcBorders>
            <w:shd w:fill="CCCCCC" w:val="clear"/>
          </w:tcPr>
          <w:p>
            <w:pPr>
              <w:pStyle w:val="Normal"/>
              <w:bidi w:val="0"/>
              <w:snapToGrid w:val="false"/>
              <w:jc w:val="center"/>
              <w:rPr>
                <w:rFonts w:ascii="Marianne" w:hAnsi="Marianne"/>
                <w:b/>
                <w:bCs/>
                <w:i/>
                <w:iCs/>
                <w:color w:val="000000"/>
                <w:sz w:val="28"/>
                <w:szCs w:val="28"/>
                <w:shd w:fill="auto" w:val="clear"/>
              </w:rPr>
            </w:pPr>
            <w:r>
              <w:rPr>
                <w:rFonts w:ascii="Marianne" w:hAnsi="Marianne"/>
                <w:b/>
                <w:bCs/>
                <w:i/>
                <w:iCs/>
                <w:color w:val="000000"/>
                <w:sz w:val="28"/>
                <w:szCs w:val="28"/>
                <w:shd w:fill="auto" w:val="clear"/>
              </w:rPr>
              <w:t>L’acheteur exerçant la maîtrise d'ouvrage</w:t>
            </w:r>
          </w:p>
        </w:tc>
      </w:tr>
      <w:tr>
        <w:trPr/>
        <w:tc>
          <w:tcPr>
            <w:tcW w:w="9426" w:type="dxa"/>
            <w:tcBorders>
              <w:top w:val="single" w:sz="2" w:space="0" w:color="000000"/>
              <w:left w:val="double" w:sz="2" w:space="0" w:color="000000"/>
              <w:right w:val="double" w:sz="2" w:space="0" w:color="000000"/>
            </w:tcBorders>
          </w:tcPr>
          <w:p>
            <w:pPr>
              <w:pStyle w:val="Reponse"/>
              <w:bidi w:val="0"/>
              <w:spacing w:before="0" w:after="0"/>
              <w:jc w:val="left"/>
              <w:rPr>
                <w:rFonts w:ascii="Marianne" w:hAnsi="Marianne"/>
                <w:sz w:val="6"/>
                <w:szCs w:val="6"/>
              </w:rPr>
            </w:pPr>
            <w:r>
              <w:rPr>
                <w:rFonts w:ascii="Marianne" w:hAnsi="Marianne"/>
                <w:sz w:val="6"/>
                <w:szCs w:val="6"/>
              </w:rPr>
            </w:r>
          </w:p>
        </w:tc>
      </w:tr>
      <w:tr>
        <w:trPr/>
        <w:tc>
          <w:tcPr>
            <w:tcW w:w="9426" w:type="dxa"/>
            <w:tcBorders>
              <w:left w:val="double" w:sz="2" w:space="0" w:color="000000"/>
              <w:right w:val="double" w:sz="2" w:space="0" w:color="000000"/>
            </w:tcBorders>
          </w:tcPr>
          <w:p>
            <w:pPr>
              <w:pStyle w:val="Normal"/>
              <w:bidi w:val="0"/>
              <w:ind w:hanging="0" w:left="567" w:right="497"/>
              <w:jc w:val="center"/>
              <w:rPr>
                <w:rFonts w:ascii="Marianne" w:hAnsi="Marianne"/>
              </w:rPr>
            </w:pPr>
            <w:bookmarkStart w:id="1" w:name="R0_p2_a"/>
            <w:r>
              <w:rPr>
                <w:rFonts w:ascii="Marianne" w:hAnsi="Marianne"/>
              </w:rPr>
              <w:t xml:space="preserve">Etat - </w:t>
            </w:r>
            <w:bookmarkEnd w:id="1"/>
            <w:r>
              <w:rPr>
                <w:rFonts w:ascii="Marianne" w:hAnsi="Marianne"/>
              </w:rPr>
              <w:t>Préfet de Meurthe-et-Moselle</w:t>
            </w:r>
          </w:p>
        </w:tc>
      </w:tr>
      <w:tr>
        <w:trPr/>
        <w:tc>
          <w:tcPr>
            <w:tcW w:w="9426" w:type="dxa"/>
            <w:tcBorders>
              <w:left w:val="double" w:sz="2" w:space="0" w:color="000000"/>
              <w:bottom w:val="double" w:sz="2" w:space="0" w:color="000000"/>
              <w:right w:val="double" w:sz="2" w:space="0" w:color="000000"/>
            </w:tcBorders>
          </w:tcPr>
          <w:p>
            <w:pPr>
              <w:pStyle w:val="Reponse"/>
              <w:bidi w:val="0"/>
              <w:spacing w:before="0" w:after="0"/>
              <w:jc w:val="left"/>
              <w:rPr>
                <w:rFonts w:ascii="Marianne" w:hAnsi="Marianne"/>
                <w:sz w:val="6"/>
                <w:szCs w:val="6"/>
              </w:rPr>
            </w:pPr>
            <w:r>
              <w:rPr>
                <w:rFonts w:ascii="Marianne" w:hAnsi="Marianne"/>
                <w:sz w:val="6"/>
                <w:szCs w:val="6"/>
              </w:rPr>
            </w:r>
          </w:p>
        </w:tc>
      </w:tr>
    </w:tbl>
    <w:p>
      <w:pPr>
        <w:pStyle w:val="Normal"/>
        <w:bidi w:val="0"/>
        <w:rPr>
          <w:rFonts w:ascii="Marianne" w:hAnsi="Marianne"/>
        </w:rPr>
      </w:pPr>
      <w:r>
        <w:rPr>
          <w:rFonts w:ascii="Marianne" w:hAnsi="Marianne"/>
        </w:rPr>
      </w:r>
    </w:p>
    <w:tbl>
      <w:tblPr>
        <w:tblW w:w="9471" w:type="dxa"/>
        <w:jc w:val="left"/>
        <w:tblInd w:w="-103" w:type="dxa"/>
        <w:tblLayout w:type="fixed"/>
        <w:tblCellMar>
          <w:top w:w="0" w:type="dxa"/>
          <w:left w:w="70" w:type="dxa"/>
          <w:bottom w:w="0" w:type="dxa"/>
          <w:right w:w="70" w:type="dxa"/>
        </w:tblCellMar>
      </w:tblPr>
      <w:tblGrid>
        <w:gridCol w:w="9471"/>
      </w:tblGrid>
      <w:tr>
        <w:trPr/>
        <w:tc>
          <w:tcPr>
            <w:tcW w:w="9471" w:type="dxa"/>
            <w:tcBorders>
              <w:top w:val="double" w:sz="2" w:space="0" w:color="000000"/>
              <w:left w:val="double" w:sz="2" w:space="0" w:color="000000"/>
              <w:bottom w:val="single" w:sz="4" w:space="0" w:color="000000"/>
              <w:right w:val="double" w:sz="2" w:space="0" w:color="000000"/>
            </w:tcBorders>
            <w:shd w:fill="CCCCCC" w:val="clear"/>
          </w:tcPr>
          <w:p>
            <w:pPr>
              <w:pStyle w:val="Normal"/>
              <w:bidi w:val="0"/>
              <w:snapToGrid w:val="false"/>
              <w:jc w:val="center"/>
              <w:rPr>
                <w:rFonts w:ascii="Marianne" w:hAnsi="Marianne"/>
                <w:b/>
                <w:i/>
                <w:color w:val="000000"/>
                <w:sz w:val="28"/>
                <w:shd w:fill="auto" w:val="clear"/>
              </w:rPr>
            </w:pPr>
            <w:r>
              <w:rPr>
                <w:rFonts w:ascii="Marianne" w:hAnsi="Marianne"/>
                <w:b/>
                <w:i/>
                <w:color w:val="000000"/>
                <w:sz w:val="28"/>
                <w:shd w:fill="auto" w:val="clear"/>
              </w:rPr>
              <w:t>Représentant du Maître d’ouvrage (RMO)</w:t>
            </w:r>
          </w:p>
        </w:tc>
      </w:tr>
      <w:tr>
        <w:trPr/>
        <w:tc>
          <w:tcPr>
            <w:tcW w:w="9471" w:type="dxa"/>
            <w:tcBorders>
              <w:left w:val="double" w:sz="2" w:space="0" w:color="000000"/>
              <w:right w:val="double" w:sz="2" w:space="0" w:color="000000"/>
            </w:tcBorders>
          </w:tcPr>
          <w:p>
            <w:pPr>
              <w:pStyle w:val="Normal"/>
              <w:bidi w:val="0"/>
              <w:snapToGrid w:val="false"/>
              <w:rPr>
                <w:rFonts w:ascii="Marianne" w:hAnsi="Marianne"/>
                <w:b/>
                <w:i/>
                <w:sz w:val="6"/>
              </w:rPr>
            </w:pPr>
            <w:r>
              <w:rPr>
                <w:rFonts w:ascii="Marianne" w:hAnsi="Marianne"/>
                <w:b/>
                <w:i/>
                <w:sz w:val="6"/>
              </w:rPr>
            </w:r>
          </w:p>
        </w:tc>
      </w:tr>
      <w:tr>
        <w:trPr/>
        <w:tc>
          <w:tcPr>
            <w:tcW w:w="9471" w:type="dxa"/>
            <w:tcBorders>
              <w:left w:val="double" w:sz="2" w:space="0" w:color="000000"/>
              <w:right w:val="double" w:sz="2" w:space="0" w:color="000000"/>
            </w:tcBorders>
          </w:tcPr>
          <w:p>
            <w:pPr>
              <w:pStyle w:val="Normal"/>
              <w:bidi w:val="0"/>
              <w:snapToGrid w:val="false"/>
              <w:ind w:hanging="0" w:left="567" w:right="499"/>
              <w:jc w:val="center"/>
              <w:rPr>
                <w:rFonts w:ascii="Marianne" w:hAnsi="Marianne"/>
                <w:sz w:val="24"/>
                <w:szCs w:val="24"/>
              </w:rPr>
            </w:pPr>
            <w:r>
              <w:rPr>
                <w:rFonts w:ascii="Marianne" w:hAnsi="Marianne"/>
                <w:sz w:val="24"/>
                <w:szCs w:val="24"/>
              </w:rPr>
              <w:t>Préfet</w:t>
            </w:r>
            <w:bookmarkStart w:id="2" w:name="R0_p7_a"/>
            <w:r>
              <w:rPr>
                <w:rFonts w:ascii="Marianne" w:hAnsi="Marianne"/>
                <w:sz w:val="24"/>
                <w:szCs w:val="24"/>
              </w:rPr>
              <w:t xml:space="preserve"> de la Meu</w:t>
            </w:r>
            <w:bookmarkEnd w:id="2"/>
            <w:r>
              <w:rPr>
                <w:rFonts w:ascii="Marianne" w:hAnsi="Marianne"/>
                <w:sz w:val="24"/>
                <w:szCs w:val="24"/>
              </w:rPr>
              <w:t>rthe-et-Moselle</w:t>
            </w:r>
          </w:p>
        </w:tc>
      </w:tr>
      <w:tr>
        <w:trPr/>
        <w:tc>
          <w:tcPr>
            <w:tcW w:w="9471" w:type="dxa"/>
            <w:tcBorders>
              <w:left w:val="double" w:sz="2" w:space="0" w:color="000000"/>
              <w:bottom w:val="double" w:sz="2" w:space="0" w:color="000000"/>
              <w:right w:val="double" w:sz="2" w:space="0" w:color="000000"/>
            </w:tcBorders>
          </w:tcPr>
          <w:p>
            <w:pPr>
              <w:pStyle w:val="Normal"/>
              <w:bidi w:val="0"/>
              <w:snapToGrid w:val="false"/>
              <w:rPr>
                <w:rFonts w:ascii="Marianne" w:hAnsi="Marianne"/>
                <w:sz w:val="6"/>
              </w:rPr>
            </w:pPr>
            <w:r>
              <w:rPr>
                <w:rFonts w:ascii="Marianne" w:hAnsi="Marianne"/>
                <w:sz w:val="6"/>
              </w:rPr>
            </w:r>
          </w:p>
        </w:tc>
      </w:tr>
    </w:tbl>
    <w:p>
      <w:pPr>
        <w:pStyle w:val="Normal"/>
        <w:bidi w:val="0"/>
        <w:rPr>
          <w:rFonts w:ascii="Marianne" w:hAnsi="Marianne"/>
        </w:rPr>
      </w:pPr>
      <w:r>
        <w:rPr>
          <w:rFonts w:ascii="Marianne" w:hAnsi="Marianne"/>
        </w:rPr>
      </w:r>
    </w:p>
    <w:tbl>
      <w:tblPr>
        <w:tblW w:w="9426" w:type="dxa"/>
        <w:jc w:val="left"/>
        <w:tblInd w:w="-81" w:type="dxa"/>
        <w:tblLayout w:type="fixed"/>
        <w:tblCellMar>
          <w:top w:w="0" w:type="dxa"/>
          <w:left w:w="70" w:type="dxa"/>
          <w:bottom w:w="0" w:type="dxa"/>
          <w:right w:w="70" w:type="dxa"/>
        </w:tblCellMar>
      </w:tblPr>
      <w:tblGrid>
        <w:gridCol w:w="9426"/>
      </w:tblGrid>
      <w:tr>
        <w:trPr/>
        <w:tc>
          <w:tcPr>
            <w:tcW w:w="9426" w:type="dxa"/>
            <w:tcBorders>
              <w:top w:val="double" w:sz="2" w:space="0" w:color="000000"/>
              <w:left w:val="double" w:sz="2" w:space="0" w:color="000000"/>
              <w:bottom w:val="single" w:sz="2" w:space="0" w:color="000000"/>
              <w:right w:val="double" w:sz="2" w:space="0" w:color="000000"/>
            </w:tcBorders>
            <w:shd w:fill="CCCCCC" w:val="clear"/>
          </w:tcPr>
          <w:p>
            <w:pPr>
              <w:pStyle w:val="Normal"/>
              <w:bidi w:val="0"/>
              <w:jc w:val="center"/>
              <w:rPr>
                <w:rFonts w:ascii="Marianne" w:hAnsi="Marianne"/>
                <w:b/>
                <w:bCs/>
                <w:i/>
                <w:iCs/>
                <w:sz w:val="28"/>
                <w:szCs w:val="28"/>
              </w:rPr>
            </w:pPr>
            <w:r>
              <w:rPr>
                <w:rFonts w:ascii="Marianne" w:hAnsi="Marianne"/>
                <w:b/>
                <w:bCs/>
                <w:i/>
                <w:iCs/>
                <w:sz w:val="28"/>
                <w:szCs w:val="28"/>
              </w:rPr>
              <w:t>Objet de la consultation</w:t>
            </w:r>
          </w:p>
        </w:tc>
      </w:tr>
      <w:tr>
        <w:trPr/>
        <w:tc>
          <w:tcPr>
            <w:tcW w:w="9426" w:type="dxa"/>
            <w:tcBorders>
              <w:left w:val="double" w:sz="2" w:space="0" w:color="000000"/>
              <w:right w:val="double" w:sz="2" w:space="0" w:color="000000"/>
            </w:tcBorders>
          </w:tcPr>
          <w:p>
            <w:pPr>
              <w:pStyle w:val="Normal"/>
              <w:bidi w:val="0"/>
              <w:ind w:hanging="0" w:left="567" w:right="641"/>
              <w:jc w:val="both"/>
              <w:rPr>
                <w:rFonts w:ascii="Marianne" w:hAnsi="Marianne"/>
                <w:sz w:val="6"/>
                <w:szCs w:val="6"/>
              </w:rPr>
            </w:pPr>
            <w:r>
              <w:rPr>
                <w:rFonts w:ascii="Marianne" w:hAnsi="Marianne"/>
                <w:sz w:val="6"/>
                <w:szCs w:val="6"/>
              </w:rPr>
            </w:r>
          </w:p>
        </w:tc>
      </w:tr>
      <w:tr>
        <w:trPr/>
        <w:tc>
          <w:tcPr>
            <w:tcW w:w="9426" w:type="dxa"/>
            <w:tcBorders>
              <w:left w:val="double" w:sz="2" w:space="0" w:color="000000"/>
              <w:right w:val="double" w:sz="2" w:space="0" w:color="000000"/>
            </w:tcBorders>
          </w:tcPr>
          <w:p>
            <w:pPr>
              <w:pStyle w:val="Normal"/>
              <w:bidi w:val="0"/>
              <w:spacing w:before="0" w:after="0"/>
              <w:ind w:hanging="0" w:left="567" w:right="340"/>
              <w:jc w:val="both"/>
              <w:rPr>
                <w:rFonts w:ascii="Marianne" w:hAnsi="Marianne"/>
              </w:rPr>
            </w:pPr>
            <w:r>
              <w:rPr>
                <w:rFonts w:ascii="Marianne" w:hAnsi="Marianne"/>
              </w:rPr>
              <w:t>Aménagement du centre d’examen du permis de conduire de MAXEVILLE</w:t>
            </w:r>
          </w:p>
        </w:tc>
      </w:tr>
      <w:tr>
        <w:trPr/>
        <w:tc>
          <w:tcPr>
            <w:tcW w:w="9426" w:type="dxa"/>
            <w:tcBorders>
              <w:left w:val="double" w:sz="2" w:space="0" w:color="000000"/>
              <w:bottom w:val="double" w:sz="2" w:space="0" w:color="000000"/>
              <w:right w:val="double" w:sz="2" w:space="0" w:color="000000"/>
            </w:tcBorders>
          </w:tcPr>
          <w:p>
            <w:pPr>
              <w:pStyle w:val="Normal"/>
              <w:bidi w:val="0"/>
              <w:ind w:hanging="0" w:left="567" w:right="641"/>
              <w:jc w:val="both"/>
              <w:rPr>
                <w:rFonts w:ascii="Marianne" w:hAnsi="Marianne"/>
                <w:sz w:val="6"/>
                <w:szCs w:val="6"/>
              </w:rPr>
            </w:pPr>
            <w:r>
              <w:rPr>
                <w:rFonts w:ascii="Marianne" w:hAnsi="Marianne"/>
                <w:sz w:val="6"/>
                <w:szCs w:val="6"/>
              </w:rPr>
            </w:r>
          </w:p>
        </w:tc>
      </w:tr>
    </w:tbl>
    <w:p>
      <w:pPr>
        <w:pStyle w:val="Normal"/>
        <w:bidi w:val="0"/>
        <w:rPr>
          <w:rFonts w:ascii="Marianne" w:hAnsi="Marianne"/>
        </w:rPr>
      </w:pPr>
      <w:r>
        <w:rPr>
          <w:rFonts w:ascii="Marianne" w:hAnsi="Marianne"/>
        </w:rPr>
      </w:r>
    </w:p>
    <w:p>
      <w:pPr>
        <w:pStyle w:val="Normal"/>
        <w:bidi w:val="0"/>
        <w:rPr>
          <w:rFonts w:ascii="Marianne" w:hAnsi="Marianne"/>
        </w:rPr>
      </w:pPr>
      <w:r>
        <w:rPr>
          <w:rFonts w:ascii="Marianne" w:hAnsi="Marianne"/>
        </w:rPr>
      </w:r>
    </w:p>
    <w:tbl>
      <w:tblPr>
        <w:tblW w:w="9471" w:type="dxa"/>
        <w:jc w:val="left"/>
        <w:tblInd w:w="-103" w:type="dxa"/>
        <w:tblLayout w:type="fixed"/>
        <w:tblCellMar>
          <w:top w:w="0" w:type="dxa"/>
          <w:left w:w="70" w:type="dxa"/>
          <w:bottom w:w="0" w:type="dxa"/>
          <w:right w:w="70" w:type="dxa"/>
        </w:tblCellMar>
      </w:tblPr>
      <w:tblGrid>
        <w:gridCol w:w="9471"/>
      </w:tblGrid>
      <w:tr>
        <w:trPr/>
        <w:tc>
          <w:tcPr>
            <w:tcW w:w="9471" w:type="dxa"/>
            <w:tcBorders>
              <w:top w:val="double" w:sz="2" w:space="0" w:color="000000"/>
              <w:left w:val="double" w:sz="2" w:space="0" w:color="000000"/>
              <w:bottom w:val="single" w:sz="4" w:space="0" w:color="000000"/>
              <w:right w:val="double" w:sz="2" w:space="0" w:color="000000"/>
            </w:tcBorders>
            <w:shd w:fill="CCCCCC" w:val="clear"/>
          </w:tcPr>
          <w:p>
            <w:pPr>
              <w:pStyle w:val="Normal"/>
              <w:bidi w:val="0"/>
              <w:snapToGrid w:val="false"/>
              <w:jc w:val="center"/>
              <w:rPr>
                <w:rFonts w:ascii="Marianne" w:hAnsi="Marianne"/>
                <w:b/>
                <w:i/>
                <w:sz w:val="28"/>
              </w:rPr>
            </w:pPr>
            <w:r>
              <w:rPr>
                <w:rFonts w:ascii="Marianne" w:hAnsi="Marianne"/>
                <w:b/>
                <w:i/>
                <w:sz w:val="28"/>
              </w:rPr>
              <w:t>Remise des offres</w:t>
            </w:r>
          </w:p>
        </w:tc>
      </w:tr>
      <w:tr>
        <w:trPr/>
        <w:tc>
          <w:tcPr>
            <w:tcW w:w="9471" w:type="dxa"/>
            <w:tcBorders>
              <w:left w:val="double" w:sz="2" w:space="0" w:color="000000"/>
              <w:right w:val="double" w:sz="2" w:space="0" w:color="000000"/>
            </w:tcBorders>
          </w:tcPr>
          <w:p>
            <w:pPr>
              <w:pStyle w:val="Normal"/>
              <w:bidi w:val="0"/>
              <w:snapToGrid w:val="false"/>
              <w:ind w:hanging="0" w:left="567" w:right="499"/>
              <w:rPr>
                <w:rFonts w:ascii="Marianne" w:hAnsi="Marianne"/>
                <w:b/>
                <w:i/>
                <w:sz w:val="6"/>
              </w:rPr>
            </w:pPr>
            <w:r>
              <w:rPr>
                <w:rFonts w:ascii="Marianne" w:hAnsi="Marianne"/>
                <w:b/>
                <w:i/>
                <w:sz w:val="6"/>
              </w:rPr>
            </w:r>
          </w:p>
        </w:tc>
      </w:tr>
      <w:tr>
        <w:trPr/>
        <w:tc>
          <w:tcPr>
            <w:tcW w:w="9471" w:type="dxa"/>
            <w:tcBorders>
              <w:left w:val="double" w:sz="2" w:space="0" w:color="000000"/>
              <w:right w:val="double" w:sz="2" w:space="0" w:color="000000"/>
            </w:tcBorders>
          </w:tcPr>
          <w:p>
            <w:pPr>
              <w:pStyle w:val="Normal"/>
              <w:bidi w:val="0"/>
              <w:snapToGrid w:val="false"/>
              <w:ind w:hanging="0" w:left="567" w:right="499"/>
              <w:rPr>
                <w:rFonts w:ascii="Marianne" w:hAnsi="Marianne"/>
              </w:rPr>
            </w:pPr>
            <w:r>
              <w:rPr>
                <w:rFonts w:ascii="Marianne" w:hAnsi="Marianne"/>
              </w:rPr>
              <w:t>Date et heure limites de réception : 3 août</w:t>
            </w:r>
            <w:bookmarkStart w:id="3" w:name="R0_p6_a"/>
            <w:r>
              <w:rPr>
                <w:rFonts w:ascii="Marianne" w:hAnsi="Marianne"/>
                <w:shd w:fill="auto" w:val="clear"/>
              </w:rPr>
              <w:t xml:space="preserve"> 2026 à 12h00</w:t>
            </w:r>
            <w:bookmarkEnd w:id="3"/>
            <w:r>
              <w:rPr>
                <w:rFonts w:ascii="Marianne" w:hAnsi="Marianne"/>
                <w:shd w:fill="auto" w:val="clear"/>
              </w:rPr>
              <w:t xml:space="preserve"> (heure lo</w:t>
            </w:r>
            <w:r>
              <w:rPr>
                <w:rFonts w:ascii="Marianne" w:hAnsi="Marianne"/>
              </w:rPr>
              <w:t>cale de l’adresse du RMO)</w:t>
            </w:r>
          </w:p>
        </w:tc>
      </w:tr>
      <w:tr>
        <w:trPr/>
        <w:tc>
          <w:tcPr>
            <w:tcW w:w="9471" w:type="dxa"/>
            <w:tcBorders>
              <w:left w:val="double" w:sz="2" w:space="0" w:color="000000"/>
              <w:bottom w:val="double" w:sz="2" w:space="0" w:color="000000"/>
              <w:right w:val="double" w:sz="2" w:space="0" w:color="000000"/>
            </w:tcBorders>
          </w:tcPr>
          <w:p>
            <w:pPr>
              <w:pStyle w:val="Normal"/>
              <w:bidi w:val="0"/>
              <w:snapToGrid w:val="false"/>
              <w:ind w:hanging="0" w:left="567" w:right="499"/>
              <w:rPr>
                <w:rFonts w:ascii="Marianne" w:hAnsi="Marianne"/>
                <w:sz w:val="6"/>
              </w:rPr>
            </w:pPr>
            <w:r>
              <w:rPr>
                <w:rFonts w:ascii="Marianne" w:hAnsi="Marianne"/>
                <w:sz w:val="6"/>
              </w:rPr>
            </w:r>
          </w:p>
        </w:tc>
      </w:tr>
    </w:tbl>
    <w:p>
      <w:pPr>
        <w:pStyle w:val="Normal"/>
        <w:bidi w:val="0"/>
        <w:rPr>
          <w:rFonts w:ascii="Marianne" w:hAnsi="Marianne"/>
        </w:rPr>
      </w:pPr>
      <w:r>
        <w:rPr>
          <w:rFonts w:ascii="Marianne" w:hAnsi="Marianne"/>
        </w:rPr>
      </w:r>
      <w:r>
        <w:br w:type="page"/>
      </w:r>
    </w:p>
    <w:p>
      <w:pPr>
        <w:pStyle w:val="Normal"/>
        <w:bidi w:val="0"/>
        <w:spacing w:before="0" w:after="0"/>
        <w:rPr/>
      </w:pPr>
      <w:r>
        <w:rPr/>
      </w:r>
    </w:p>
    <w:p>
      <w:pPr>
        <w:pStyle w:val="Cadrerelief"/>
        <w:shd w:val="clear" w:fill="F2F2F2"/>
        <w:bidi w:val="0"/>
        <w:ind w:hanging="0" w:left="284" w:right="424"/>
        <w:jc w:val="center"/>
        <w:rPr>
          <w:b/>
          <w:bCs/>
          <w:sz w:val="32"/>
          <w:szCs w:val="32"/>
        </w:rPr>
      </w:pPr>
      <w:r>
        <w:rPr>
          <w:b/>
          <w:bCs/>
          <w:sz w:val="32"/>
          <w:szCs w:val="32"/>
        </w:rPr>
        <w:t>REGLEMENT DE LA CONSULTATION</w:t>
      </w:r>
    </w:p>
    <w:p>
      <w:pPr>
        <w:pStyle w:val="Normal"/>
        <w:bidi w:val="0"/>
        <w:spacing w:before="240" w:after="0"/>
        <w:jc w:val="center"/>
        <w:rPr>
          <w:b/>
          <w:sz w:val="28"/>
          <w:u w:val="single"/>
        </w:rPr>
      </w:pPr>
      <w:r>
        <w:rPr>
          <w:b/>
          <w:sz w:val="28"/>
          <w:u w:val="single"/>
        </w:rPr>
        <w:t>SOMMAIRE</w:t>
      </w:r>
    </w:p>
    <w:p>
      <w:pPr>
        <w:pStyle w:val="TOC1"/>
        <w:widowControl w:val="false"/>
        <w:suppressLineNumbers/>
        <w:tabs>
          <w:tab w:val="clear" w:pos="9637"/>
          <w:tab w:val="right" w:pos="9355" w:leader="dot"/>
        </w:tabs>
        <w:suppressAutoHyphens w:val="true"/>
        <w:overflowPunct w:val="true"/>
        <w:bidi w:val="0"/>
        <w:jc w:val="both"/>
        <w:rPr/>
      </w:pPr>
      <w:r>
        <w:rPr>
          <w:rFonts w:eastAsia="Arial Unicode MS" w:cs="Tahoma"/>
          <w:color w:val="auto"/>
          <w:kern w:val="0"/>
          <w:szCs w:val="24"/>
          <w:lang w:val="fr-FR" w:eastAsia="zxx" w:bidi="zxx"/>
        </w:rPr>
        <w:t>ARTICLE PREMIER. OBJET DE LA CONSULTATION</w:t>
        <w:tab/>
      </w:r>
      <w:hyperlink w:anchor="__RefHeading___Toc18237_2630935504">
        <w:r>
          <w:rPr>
            <w:rStyle w:val="Style"/>
            <w:rFonts w:eastAsia="Arial Unicode MS" w:cs="Tahoma"/>
            <w:color w:val="auto"/>
            <w:kern w:val="0"/>
            <w:szCs w:val="24"/>
            <w:lang w:val="fr-FR" w:eastAsia="zxx" w:bidi="zxx"/>
          </w:rPr>
          <w:t>3</w:t>
        </w:r>
      </w:hyperlink>
    </w:p>
    <w:p>
      <w:pPr>
        <w:pStyle w:val="TOC1"/>
        <w:widowControl w:val="false"/>
        <w:suppressLineNumbers/>
        <w:tabs>
          <w:tab w:val="clear" w:pos="9637"/>
          <w:tab w:val="right" w:pos="9355" w:leader="dot"/>
        </w:tabs>
        <w:suppressAutoHyphens w:val="true"/>
        <w:overflowPunct w:val="true"/>
        <w:bidi w:val="0"/>
        <w:jc w:val="both"/>
        <w:rPr/>
      </w:pPr>
      <w:r>
        <w:rPr>
          <w:rFonts w:eastAsia="Arial Unicode MS" w:cs="Tahoma"/>
          <w:color w:val="auto"/>
          <w:kern w:val="0"/>
          <w:szCs w:val="24"/>
          <w:lang w:val="fr-FR" w:eastAsia="zxx" w:bidi="zxx"/>
        </w:rPr>
        <w:t>A</w:t>
      </w:r>
      <w:r>
        <w:rPr/>
        <w:t>RTICLE 2. CONDITIONS DE LA CONSULTATION</w:t>
        <w:tab/>
      </w:r>
      <w:hyperlink w:anchor="__RefHeading___Toc18239_2630935504">
        <w:r>
          <w:rPr>
            <w:rStyle w:val="Style"/>
          </w:rPr>
          <w:t>3</w:t>
        </w:r>
      </w:hyperlink>
    </w:p>
    <w:p>
      <w:pPr>
        <w:pStyle w:val="TOC1"/>
        <w:tabs>
          <w:tab w:val="clear" w:pos="9637"/>
          <w:tab w:val="right" w:pos="9355" w:leader="dot"/>
        </w:tabs>
        <w:bidi w:val="0"/>
        <w:rPr/>
      </w:pPr>
      <w:r>
        <w:rPr/>
        <w:t>2-1. Définition de la procédure</w:t>
        <w:tab/>
      </w:r>
      <w:hyperlink w:anchor="__RefHeading___Toc18241_2630935504">
        <w:r>
          <w:rPr>
            <w:rStyle w:val="Style"/>
          </w:rPr>
          <w:t>3</w:t>
        </w:r>
      </w:hyperlink>
    </w:p>
    <w:p>
      <w:pPr>
        <w:pStyle w:val="TOC1"/>
        <w:tabs>
          <w:tab w:val="clear" w:pos="9637"/>
          <w:tab w:val="right" w:pos="9355" w:leader="dot"/>
        </w:tabs>
        <w:bidi w:val="0"/>
        <w:rPr/>
      </w:pPr>
      <w:r>
        <w:rPr/>
        <w:t>2-2. Décomposition en tranches et en lots</w:t>
        <w:tab/>
      </w:r>
      <w:hyperlink w:anchor="__RefHeading___Toc18243_2630935504">
        <w:r>
          <w:rPr>
            <w:rStyle w:val="Style"/>
          </w:rPr>
          <w:t>3</w:t>
        </w:r>
      </w:hyperlink>
    </w:p>
    <w:p>
      <w:pPr>
        <w:pStyle w:val="TOC1"/>
        <w:tabs>
          <w:tab w:val="clear" w:pos="9637"/>
          <w:tab w:val="right" w:pos="9355" w:leader="dot"/>
        </w:tabs>
        <w:bidi w:val="0"/>
        <w:rPr/>
      </w:pPr>
      <w:r>
        <w:rPr/>
        <w:t>2-3. Nature de l'attributaire</w:t>
        <w:tab/>
      </w:r>
      <w:hyperlink w:anchor="__RefHeading___Toc18245_2630935504">
        <w:r>
          <w:rPr>
            <w:rStyle w:val="Style"/>
          </w:rPr>
          <w:t>3</w:t>
        </w:r>
      </w:hyperlink>
    </w:p>
    <w:p>
      <w:pPr>
        <w:pStyle w:val="TOC1"/>
        <w:tabs>
          <w:tab w:val="clear" w:pos="9637"/>
          <w:tab w:val="right" w:pos="9355" w:leader="dot"/>
        </w:tabs>
        <w:bidi w:val="0"/>
        <w:rPr/>
      </w:pPr>
      <w:r>
        <w:rPr/>
        <w:t>2-4. Compléments à apporter au cahier des clauses techniques particulières</w:t>
        <w:tab/>
        <w:t>4</w:t>
      </w:r>
    </w:p>
    <w:p>
      <w:pPr>
        <w:pStyle w:val="TOC1"/>
        <w:tabs>
          <w:tab w:val="clear" w:pos="9637"/>
          <w:tab w:val="right" w:pos="9355" w:leader="dot"/>
        </w:tabs>
        <w:bidi w:val="0"/>
        <w:rPr/>
      </w:pPr>
      <w:r>
        <w:rPr/>
        <w:t>2-5. Variantes</w:t>
        <w:tab/>
        <w:t>4</w:t>
      </w:r>
    </w:p>
    <w:p>
      <w:pPr>
        <w:pStyle w:val="TOC1"/>
        <w:tabs>
          <w:tab w:val="clear" w:pos="9637"/>
          <w:tab w:val="right" w:pos="9355" w:leader="dot"/>
        </w:tabs>
        <w:bidi w:val="0"/>
        <w:rPr/>
      </w:pPr>
      <w:r>
        <w:rPr/>
        <w:t>2-8. Délai d'exécution des travaux</w:t>
        <w:tab/>
        <w:t>4</w:t>
      </w:r>
    </w:p>
    <w:p>
      <w:pPr>
        <w:pStyle w:val="TOC1"/>
        <w:tabs>
          <w:tab w:val="clear" w:pos="9637"/>
          <w:tab w:val="right" w:pos="9355" w:leader="dot"/>
        </w:tabs>
        <w:bidi w:val="0"/>
        <w:rPr/>
      </w:pPr>
      <w:r>
        <w:rPr/>
        <w:t>2-9. Modifications de détail au dossier de consultation</w:t>
        <w:tab/>
      </w:r>
      <w:hyperlink w:anchor="__RefHeading___Toc18257_2630935504">
        <w:r>
          <w:rPr>
            <w:rStyle w:val="Style"/>
          </w:rPr>
          <w:t>4</w:t>
        </w:r>
      </w:hyperlink>
    </w:p>
    <w:p>
      <w:pPr>
        <w:pStyle w:val="TOC1"/>
        <w:tabs>
          <w:tab w:val="clear" w:pos="9637"/>
          <w:tab w:val="right" w:pos="9355" w:leader="dot"/>
        </w:tabs>
        <w:bidi w:val="0"/>
        <w:rPr/>
      </w:pPr>
      <w:r>
        <w:rPr/>
        <w:t>2-10. Délai de validité des offres</w:t>
        <w:tab/>
      </w:r>
      <w:hyperlink w:anchor="__RefHeading___Toc18259_2630935504">
        <w:r>
          <w:rPr>
            <w:rStyle w:val="Style"/>
          </w:rPr>
          <w:t>4</w:t>
        </w:r>
      </w:hyperlink>
    </w:p>
    <w:p>
      <w:pPr>
        <w:pStyle w:val="TOC1"/>
        <w:tabs>
          <w:tab w:val="clear" w:pos="9637"/>
          <w:tab w:val="right" w:pos="9355" w:leader="dot"/>
        </w:tabs>
        <w:bidi w:val="0"/>
        <w:rPr/>
      </w:pPr>
      <w:r>
        <w:rPr/>
        <w:t>2-15. Appréciation des équivalences dans les normes et les labels</w:t>
        <w:tab/>
      </w:r>
      <w:hyperlink w:anchor="__RefHeading___Toc18269_2630935504">
        <w:r>
          <w:rPr>
            <w:rStyle w:val="Style"/>
          </w:rPr>
          <w:t>4</w:t>
        </w:r>
      </w:hyperlink>
    </w:p>
    <w:p>
      <w:pPr>
        <w:pStyle w:val="TOC1"/>
        <w:tabs>
          <w:tab w:val="clear" w:pos="9637"/>
          <w:tab w:val="right" w:pos="9355" w:leader="dot"/>
        </w:tabs>
        <w:bidi w:val="0"/>
        <w:rPr/>
      </w:pPr>
      <w:r>
        <w:rPr/>
        <w:t>2-16. Clauses sociales et environnementales</w:t>
        <w:tab/>
      </w:r>
      <w:hyperlink w:anchor="__RefHeading___Toc18271_2630935504">
        <w:r>
          <w:rPr>
            <w:rStyle w:val="Style"/>
          </w:rPr>
          <w:t>4</w:t>
        </w:r>
      </w:hyperlink>
    </w:p>
    <w:p>
      <w:pPr>
        <w:pStyle w:val="TOC1"/>
        <w:tabs>
          <w:tab w:val="clear" w:pos="9637"/>
          <w:tab w:val="right" w:pos="9355" w:leader="dot"/>
        </w:tabs>
        <w:bidi w:val="0"/>
        <w:rPr/>
      </w:pPr>
      <w:r>
        <w:rPr/>
        <w:t>ARTICLE 3. DEROULEMENT DE LA CONSULTATION</w:t>
        <w:tab/>
      </w:r>
      <w:hyperlink w:anchor="__RefHeading___Toc18273_2630935504">
        <w:r>
          <w:rPr>
            <w:rStyle w:val="Style"/>
          </w:rPr>
          <w:t>4</w:t>
        </w:r>
      </w:hyperlink>
    </w:p>
    <w:p>
      <w:pPr>
        <w:pStyle w:val="TOC1"/>
        <w:tabs>
          <w:tab w:val="clear" w:pos="9637"/>
          <w:tab w:val="right" w:pos="9355" w:leader="dot"/>
        </w:tabs>
        <w:bidi w:val="0"/>
        <w:rPr/>
      </w:pPr>
      <w:r>
        <w:rPr/>
        <w:t>3-1. Solution de base</w:t>
        <w:tab/>
        <w:t>5</w:t>
      </w:r>
    </w:p>
    <w:p>
      <w:pPr>
        <w:pStyle w:val="TOC1"/>
        <w:tabs>
          <w:tab w:val="clear" w:pos="9637"/>
          <w:tab w:val="right" w:pos="9355" w:leader="dot"/>
        </w:tabs>
        <w:bidi w:val="0"/>
        <w:rPr/>
      </w:pPr>
      <w:r>
        <w:rPr/>
        <w:t>3-1. Variantes</w:t>
        <w:tab/>
        <w:t>6</w:t>
      </w:r>
    </w:p>
    <w:p>
      <w:pPr>
        <w:pStyle w:val="TOC1"/>
        <w:tabs>
          <w:tab w:val="clear" w:pos="9637"/>
          <w:tab w:val="right" w:pos="9355" w:leader="dot"/>
        </w:tabs>
        <w:bidi w:val="0"/>
        <w:rPr/>
      </w:pPr>
      <w:r>
        <w:rPr/>
        <w:t>ARTICLE 4. SELECTION DES CANDIDATURES - EXAMEN DES OFFRES ET NEGOCIATION</w:t>
        <w:tab/>
      </w:r>
      <w:hyperlink w:anchor="__RefHeading___Toc18279_2630935504">
        <w:r>
          <w:rPr>
            <w:rStyle w:val="Style"/>
          </w:rPr>
          <w:t>7</w:t>
        </w:r>
      </w:hyperlink>
    </w:p>
    <w:p>
      <w:pPr>
        <w:pStyle w:val="TOC1"/>
        <w:tabs>
          <w:tab w:val="clear" w:pos="9637"/>
          <w:tab w:val="right" w:pos="9355" w:leader="dot"/>
        </w:tabs>
        <w:bidi w:val="0"/>
        <w:rPr/>
      </w:pPr>
      <w:r>
        <w:rPr/>
        <w:t>4-1. Sélection des candidatures</w:t>
        <w:tab/>
      </w:r>
      <w:hyperlink w:anchor="__RefHeading___Toc18281_2630935504">
        <w:r>
          <w:rPr>
            <w:rStyle w:val="Style"/>
          </w:rPr>
          <w:t>7</w:t>
        </w:r>
      </w:hyperlink>
    </w:p>
    <w:p>
      <w:pPr>
        <w:pStyle w:val="TOC1"/>
        <w:tabs>
          <w:tab w:val="clear" w:pos="9637"/>
          <w:tab w:val="right" w:pos="9355" w:leader="dot"/>
        </w:tabs>
        <w:bidi w:val="0"/>
        <w:rPr/>
      </w:pPr>
      <w:r>
        <w:rPr/>
        <w:t>4-2. Jugement et classement des offres</w:t>
        <w:tab/>
      </w:r>
      <w:hyperlink w:anchor="__RefHeading___Toc18283_2630935504">
        <w:r>
          <w:rPr>
            <w:rStyle w:val="Style"/>
          </w:rPr>
          <w:t>7</w:t>
        </w:r>
      </w:hyperlink>
    </w:p>
    <w:p>
      <w:pPr>
        <w:pStyle w:val="TOC1"/>
        <w:tabs>
          <w:tab w:val="clear" w:pos="9637"/>
          <w:tab w:val="right" w:pos="9355" w:leader="dot"/>
        </w:tabs>
        <w:bidi w:val="0"/>
        <w:rPr/>
      </w:pPr>
      <w:r>
        <w:rPr/>
        <w:t>ARTICLE 5. CONDITIONS D'ENVOI OU DE REMISE DE L'OFFRE</w:t>
        <w:tab/>
        <w:t>8</w:t>
      </w:r>
    </w:p>
    <w:p>
      <w:pPr>
        <w:pStyle w:val="TOC1"/>
        <w:tabs>
          <w:tab w:val="clear" w:pos="9637"/>
          <w:tab w:val="right" w:pos="9355" w:leader="dot"/>
        </w:tabs>
        <w:bidi w:val="0"/>
        <w:rPr/>
      </w:pPr>
      <w:r>
        <w:rPr/>
        <w:t>5-1. Offre remise par échange électronique sur la plate-forme de dématérialisation</w:t>
        <w:tab/>
        <w:t>8</w:t>
      </w:r>
    </w:p>
    <w:p>
      <w:pPr>
        <w:pStyle w:val="TOC1"/>
        <w:tabs>
          <w:tab w:val="clear" w:pos="9637"/>
          <w:tab w:val="right" w:pos="9355" w:leader="dot"/>
        </w:tabs>
        <w:bidi w:val="0"/>
        <w:rPr/>
      </w:pPr>
      <w:r>
        <w:rPr/>
        <w:t>5-2. Copie de sauvegarde sur support papier ou sur support physique électronique</w:t>
        <w:tab/>
      </w:r>
      <w:hyperlink w:anchor="__RefHeading___Toc18289_2630935504">
        <w:r>
          <w:rPr>
            <w:rStyle w:val="Style"/>
          </w:rPr>
          <w:t>9</w:t>
        </w:r>
      </w:hyperlink>
    </w:p>
    <w:p>
      <w:pPr>
        <w:pStyle w:val="TOC1"/>
        <w:tabs>
          <w:tab w:val="clear" w:pos="9637"/>
          <w:tab w:val="right" w:pos="9355" w:leader="dot"/>
        </w:tabs>
        <w:bidi w:val="0"/>
        <w:rPr/>
      </w:pPr>
      <w:r>
        <w:rPr/>
        <w:t>5-3. Offre remise par voie postale</w:t>
        <w:tab/>
        <w:t>10</w:t>
      </w:r>
    </w:p>
    <w:p>
      <w:pPr>
        <w:pStyle w:val="TOC1"/>
        <w:tabs>
          <w:tab w:val="clear" w:pos="9637"/>
          <w:tab w:val="right" w:pos="9355" w:leader="dot"/>
        </w:tabs>
        <w:bidi w:val="0"/>
        <w:rPr/>
      </w:pPr>
      <w:r>
        <w:rPr/>
        <w:t>ARTICLE 6. RENSEIGNEMENTS COMPLEMENTAIRES</w:t>
        <w:tab/>
      </w:r>
      <w:hyperlink w:anchor="__RefHeading___Toc18291_2630935504">
        <w:r>
          <w:rPr>
            <w:rStyle w:val="Style"/>
          </w:rPr>
          <w:t>10</w:t>
        </w:r>
      </w:hyperlink>
    </w:p>
    <w:p>
      <w:pPr>
        <w:pStyle w:val="Normal"/>
        <w:bidi w:val="0"/>
        <w:spacing w:before="240" w:after="0"/>
        <w:jc w:val="center"/>
        <w:rPr>
          <w:b/>
          <w:sz w:val="28"/>
          <w:u w:val="single"/>
        </w:rPr>
      </w:pPr>
      <w:r>
        <w:rPr>
          <w:b/>
          <w:sz w:val="28"/>
          <w:u w:val="single"/>
        </w:rPr>
      </w:r>
    </w:p>
    <w:p>
      <w:pPr>
        <w:pStyle w:val="Normal"/>
        <w:bidi w:val="0"/>
        <w:spacing w:before="240" w:after="0"/>
        <w:jc w:val="right"/>
        <w:rPr>
          <w:rFonts w:ascii="Marianne" w:hAnsi="Marianne"/>
          <w:sz w:val="18"/>
          <w:szCs w:val="18"/>
        </w:rPr>
      </w:pPr>
      <w:r>
        <w:rPr>
          <w:rFonts w:ascii="Marianne" w:hAnsi="Marianne"/>
          <w:sz w:val="18"/>
          <w:szCs w:val="18"/>
        </w:rPr>
      </w:r>
      <w:r>
        <w:br w:type="page"/>
      </w:r>
    </w:p>
    <w:p>
      <w:pPr>
        <w:pStyle w:val="Normal"/>
        <w:bidi w:val="0"/>
        <w:spacing w:before="0" w:after="0"/>
        <w:jc w:val="right"/>
        <w:rPr>
          <w:rFonts w:ascii="Marianne" w:hAnsi="Marianne"/>
          <w:sz w:val="18"/>
          <w:szCs w:val="18"/>
        </w:rPr>
      </w:pPr>
      <w:r>
        <w:rPr>
          <w:rFonts w:ascii="Marianne" w:hAnsi="Marianne"/>
          <w:sz w:val="18"/>
          <w:szCs w:val="18"/>
        </w:rPr>
      </w:r>
    </w:p>
    <w:p>
      <w:pPr>
        <w:pStyle w:val="Cadrerelief"/>
        <w:shd w:val="clear" w:fill="F2F2F2"/>
        <w:bidi w:val="0"/>
        <w:spacing w:before="0" w:after="0"/>
        <w:ind w:hanging="0" w:left="284" w:right="424"/>
        <w:jc w:val="center"/>
        <w:rPr>
          <w:rFonts w:ascii="Marianne" w:hAnsi="Marianne"/>
          <w:b/>
          <w:bCs/>
          <w:sz w:val="18"/>
          <w:szCs w:val="18"/>
        </w:rPr>
      </w:pPr>
      <w:r>
        <w:rPr>
          <w:rFonts w:ascii="Marianne" w:hAnsi="Marianne"/>
          <w:b/>
          <w:bCs/>
          <w:sz w:val="18"/>
          <w:szCs w:val="18"/>
        </w:rPr>
        <w:t>REGLEMENT DE LA CONSULTATION</w:t>
      </w:r>
    </w:p>
    <w:p>
      <w:pPr>
        <w:pStyle w:val="Paragraphe"/>
        <w:bidi w:val="0"/>
        <w:spacing w:before="0" w:after="0"/>
        <w:jc w:val="center"/>
        <w:rPr>
          <w:rFonts w:ascii="Marianne" w:hAnsi="Marianne" w:eastAsia="Arial" w:cs="Arial"/>
          <w:b/>
          <w:bCs/>
          <w:i/>
          <w:iCs/>
          <w:sz w:val="18"/>
          <w:szCs w:val="18"/>
        </w:rPr>
      </w:pPr>
      <w:r>
        <w:rPr>
          <w:rFonts w:eastAsia="Arial" w:cs="Arial" w:ascii="Marianne" w:hAnsi="Marianne"/>
          <w:b/>
          <w:bCs/>
          <w:i/>
          <w:iCs/>
          <w:sz w:val="18"/>
          <w:szCs w:val="18"/>
        </w:rPr>
      </w:r>
    </w:p>
    <w:p>
      <w:pPr>
        <w:pStyle w:val="Paragraphe"/>
        <w:bidi w:val="0"/>
        <w:spacing w:before="0" w:after="0"/>
        <w:jc w:val="center"/>
        <w:rPr>
          <w:rFonts w:ascii="Marianne" w:hAnsi="Marianne" w:eastAsia="Arial" w:cs="Arial"/>
          <w:b/>
          <w:bCs/>
          <w:i/>
          <w:iCs/>
          <w:sz w:val="18"/>
          <w:szCs w:val="18"/>
        </w:rPr>
      </w:pPr>
      <w:bookmarkStart w:id="4" w:name="R1_p1F_a"/>
      <w:bookmarkEnd w:id="4"/>
      <w:r>
        <w:rPr>
          <w:rFonts w:eastAsia="Arial" w:cs="Arial" w:ascii="Marianne" w:hAnsi="Marianne"/>
          <w:b/>
          <w:bCs/>
          <w:i/>
          <w:iCs/>
          <w:sz w:val="18"/>
          <w:szCs w:val="18"/>
        </w:rPr>
        <w:t>Dans tout ce document, le code de la commande publique est désigné par l’abréviation CCP.</w:t>
      </w:r>
    </w:p>
    <w:p>
      <w:pPr>
        <w:pStyle w:val="Paragraphe"/>
        <w:bidi w:val="0"/>
        <w:spacing w:before="0" w:after="0"/>
        <w:jc w:val="center"/>
        <w:rPr>
          <w:rFonts w:ascii="Marianne" w:hAnsi="Marianne" w:eastAsia="Arial" w:cs="Arial"/>
          <w:b/>
          <w:bCs/>
          <w:i/>
          <w:iCs/>
          <w:sz w:val="18"/>
          <w:szCs w:val="18"/>
        </w:rPr>
      </w:pPr>
      <w:r>
        <w:rPr>
          <w:rFonts w:eastAsia="Arial" w:cs="Arial" w:ascii="Marianne" w:hAnsi="Marianne"/>
          <w:b/>
          <w:bCs/>
          <w:i/>
          <w:iCs/>
          <w:sz w:val="18"/>
          <w:szCs w:val="18"/>
        </w:rPr>
      </w:r>
    </w:p>
    <w:p>
      <w:pPr>
        <w:pStyle w:val="Heading1"/>
        <w:numPr>
          <w:ilvl w:val="0"/>
          <w:numId w:val="0"/>
        </w:numPr>
        <w:tabs>
          <w:tab w:val="left" w:pos="0" w:leader="none"/>
        </w:tabs>
        <w:bidi w:val="0"/>
        <w:spacing w:before="0" w:after="0"/>
        <w:ind w:hanging="0" w:left="0" w:right="0"/>
        <w:rPr>
          <w:rFonts w:ascii="Marianne" w:hAnsi="Marianne"/>
          <w:sz w:val="18"/>
          <w:szCs w:val="18"/>
        </w:rPr>
      </w:pPr>
      <w:bookmarkStart w:id="5" w:name="__RefHeading___Toc18237_2630935504"/>
      <w:bookmarkEnd w:id="5"/>
      <w:r>
        <w:rPr>
          <w:rFonts w:ascii="Marianne" w:hAnsi="Marianne"/>
          <w:sz w:val="18"/>
          <w:szCs w:val="18"/>
        </w:rPr>
        <w:t>ARTICLE PREMIER. OBJET DE LA CONSULTATION</w:t>
      </w:r>
    </w:p>
    <w:p>
      <w:pPr>
        <w:pStyle w:val="Parareponse"/>
        <w:keepNext w:val="true"/>
        <w:bidi w:val="0"/>
        <w:spacing w:before="0" w:after="0"/>
        <w:rPr>
          <w:rFonts w:ascii="Marianne" w:hAnsi="Marianne"/>
          <w:sz w:val="18"/>
          <w:szCs w:val="18"/>
        </w:rPr>
      </w:pPr>
      <w:r>
        <w:rPr>
          <w:rFonts w:ascii="Marianne" w:hAnsi="Marianne"/>
          <w:sz w:val="18"/>
          <w:szCs w:val="18"/>
        </w:rPr>
      </w:r>
    </w:p>
    <w:p>
      <w:pPr>
        <w:pStyle w:val="Parareponse"/>
        <w:bidi w:val="0"/>
        <w:spacing w:before="0" w:after="0"/>
        <w:rPr>
          <w:rFonts w:ascii="Marianne" w:hAnsi="Marianne"/>
          <w:sz w:val="18"/>
          <w:szCs w:val="18"/>
        </w:rPr>
      </w:pPr>
      <w:r>
        <w:rPr>
          <w:rFonts w:ascii="Marianne" w:hAnsi="Marianne"/>
          <w:sz w:val="18"/>
          <w:szCs w:val="18"/>
        </w:rPr>
        <w:t>La consultation concerne </w:t>
      </w:r>
      <w:r>
        <w:rPr>
          <w:rFonts w:ascii="Marianne" w:hAnsi="Marianne"/>
          <w:color w:val="auto"/>
          <w:sz w:val="18"/>
          <w:szCs w:val="18"/>
        </w:rPr>
        <w:t>la réalisation de travaux d’aménagement du centre d’examen du permis de conduire situé rue du Zénith à 54320 MAXEVILLE</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 xml:space="preserve">Les prestations, objet de la présente consultation relèvent de la catégorie </w:t>
      </w:r>
      <w:bookmarkStart w:id="6" w:name="R1_p1A_a"/>
      <w:r>
        <w:rPr>
          <w:rFonts w:ascii="Marianne" w:hAnsi="Marianne"/>
          <w:sz w:val="18"/>
          <w:szCs w:val="18"/>
        </w:rPr>
        <w:t>3</w:t>
      </w:r>
      <w:bookmarkEnd w:id="6"/>
      <w:r>
        <w:rPr>
          <w:rFonts w:ascii="Marianne" w:hAnsi="Marianne"/>
          <w:sz w:val="18"/>
          <w:szCs w:val="18"/>
        </w:rPr>
        <w:t xml:space="preserve"> au sens du Code du Travail (loi n° 93-1418 du 31 décembre 1993).</w:t>
      </w:r>
    </w:p>
    <w:p>
      <w:pPr>
        <w:pStyle w:val="Paragraphe"/>
        <w:tabs>
          <w:tab w:val="clear" w:pos="709"/>
        </w:tabs>
        <w:bidi w:val="0"/>
        <w:spacing w:before="0" w:after="0"/>
        <w:ind w:hanging="284" w:left="284" w:right="0"/>
        <w:rPr>
          <w:rFonts w:ascii="Marianne" w:hAnsi="Marianne"/>
          <w:sz w:val="18"/>
          <w:szCs w:val="18"/>
        </w:rPr>
      </w:pPr>
      <w:r>
        <w:rPr>
          <w:rFonts w:ascii="Marianne" w:hAnsi="Marianne"/>
          <w:sz w:val="18"/>
          <w:szCs w:val="18"/>
        </w:rPr>
        <w:t xml:space="preserve">Le ou les lieux d'exécution des prestations sont les suivants : </w:t>
      </w:r>
      <w:r>
        <w:rPr>
          <w:rFonts w:ascii="Marianne" w:hAnsi="Marianne"/>
          <w:color w:val="auto"/>
          <w:sz w:val="18"/>
          <w:szCs w:val="18"/>
        </w:rPr>
        <w:t>rue du Zénith à 54320 MAXEVILLE</w:t>
      </w:r>
    </w:p>
    <w:p>
      <w:pPr>
        <w:pStyle w:val="Paragraphe"/>
        <w:tabs>
          <w:tab w:val="clear" w:pos="709"/>
        </w:tabs>
        <w:bidi w:val="0"/>
        <w:spacing w:before="0" w:after="0"/>
        <w:ind w:hanging="284" w:left="284" w:right="0"/>
        <w:rPr>
          <w:rFonts w:ascii="Marianne" w:hAnsi="Marianne"/>
          <w:sz w:val="18"/>
          <w:szCs w:val="18"/>
        </w:rPr>
      </w:pPr>
      <w:r>
        <w:rPr>
          <w:rFonts w:ascii="Marianne" w:hAnsi="Marianne"/>
          <w:sz w:val="18"/>
          <w:szCs w:val="18"/>
        </w:rPr>
      </w:r>
    </w:p>
    <w:p>
      <w:pPr>
        <w:pStyle w:val="Heading1"/>
        <w:numPr>
          <w:ilvl w:val="0"/>
          <w:numId w:val="0"/>
        </w:numPr>
        <w:tabs>
          <w:tab w:val="left" w:pos="0" w:leader="none"/>
        </w:tabs>
        <w:bidi w:val="0"/>
        <w:spacing w:before="0" w:after="0"/>
        <w:ind w:hanging="0" w:left="0" w:right="0"/>
        <w:outlineLvl w:val="9"/>
        <w:rPr>
          <w:rFonts w:ascii="Marianne" w:hAnsi="Marianne"/>
          <w:sz w:val="18"/>
          <w:szCs w:val="18"/>
        </w:rPr>
      </w:pPr>
      <w:bookmarkStart w:id="7" w:name="__RefHeading___Toc18239_2630935504"/>
      <w:bookmarkEnd w:id="7"/>
      <w:r>
        <w:rPr>
          <w:rFonts w:ascii="Marianne" w:hAnsi="Marianne"/>
          <w:sz w:val="18"/>
          <w:szCs w:val="18"/>
        </w:rPr>
        <w:t>ARTICLE 2. CONDITIONS DE LA CONSULTATION</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8" w:name="__RefHeading___Toc18241_2630935504"/>
      <w:bookmarkEnd w:id="8"/>
      <w:r>
        <w:rPr>
          <w:rFonts w:ascii="Marianne" w:hAnsi="Marianne"/>
          <w:sz w:val="18"/>
          <w:szCs w:val="18"/>
        </w:rPr>
        <w:t>2-1. Définition de la procédure</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 xml:space="preserve">La présente consultation est lancée selon la procédure </w:t>
      </w:r>
      <w:r>
        <w:rPr>
          <w:rFonts w:ascii="Marianne" w:hAnsi="Marianne"/>
          <w:b/>
          <w:sz w:val="18"/>
          <w:szCs w:val="18"/>
        </w:rPr>
        <w:t>adaptée</w:t>
      </w:r>
      <w:r>
        <w:rPr>
          <w:rFonts w:ascii="Marianne" w:hAnsi="Marianne"/>
          <w:sz w:val="18"/>
          <w:szCs w:val="18"/>
        </w:rPr>
        <w:t xml:space="preserve"> définie aux articles L.2123-1 et R.2123-1 à R.2123-7 du CCP.</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9" w:name="__RefHeading___Toc18243_2630935504"/>
      <w:bookmarkEnd w:id="9"/>
      <w:r>
        <w:rPr>
          <w:rFonts w:ascii="Marianne" w:hAnsi="Marianne"/>
          <w:sz w:val="18"/>
          <w:szCs w:val="18"/>
        </w:rPr>
        <w:t>2-2. Décomposition en tranches et en lots</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Il n'est pas prévu de décomposition en tranches.</w:t>
      </w:r>
    </w:p>
    <w:p>
      <w:pPr>
        <w:pStyle w:val="Paradouble"/>
        <w:bidi w:val="0"/>
        <w:spacing w:before="0" w:after="0"/>
        <w:rPr>
          <w:rFonts w:ascii="Marianne" w:hAnsi="Marianne"/>
          <w:sz w:val="18"/>
          <w:szCs w:val="18"/>
        </w:rPr>
      </w:pPr>
      <w:r>
        <w:rPr>
          <w:rFonts w:ascii="Marianne" w:hAnsi="Marianne"/>
          <w:sz w:val="18"/>
          <w:szCs w:val="18"/>
        </w:rPr>
        <w:t xml:space="preserve">L'opération de travaux est allotie, la consultation porte sur </w:t>
      </w:r>
      <w:bookmarkStart w:id="10" w:name="R2_2_p2C_a"/>
      <w:r>
        <w:rPr>
          <w:rFonts w:ascii="Marianne" w:hAnsi="Marianne"/>
          <w:sz w:val="18"/>
          <w:szCs w:val="18"/>
        </w:rPr>
        <w:t>9</w:t>
      </w:r>
      <w:bookmarkEnd w:id="10"/>
      <w:r>
        <w:rPr>
          <w:rFonts w:ascii="Marianne" w:hAnsi="Marianne"/>
          <w:sz w:val="18"/>
          <w:szCs w:val="18"/>
        </w:rPr>
        <w:t xml:space="preserve"> lots désignés ci-après qui seront traités par </w:t>
      </w:r>
      <w:r>
        <w:rPr>
          <w:rFonts w:ascii="Marianne" w:hAnsi="Marianne"/>
          <w:b/>
          <w:sz w:val="18"/>
          <w:szCs w:val="18"/>
        </w:rPr>
        <w:t>marchés à lots séparés</w:t>
      </w:r>
      <w:r>
        <w:rPr>
          <w:rFonts w:ascii="Marianne" w:hAnsi="Marianne"/>
          <w:sz w:val="18"/>
          <w:szCs w:val="18"/>
        </w:rPr>
        <w:t> :</w:t>
      </w:r>
    </w:p>
    <w:p>
      <w:pPr>
        <w:pStyle w:val="Paradouble"/>
        <w:bidi w:val="0"/>
        <w:spacing w:before="0" w:after="0"/>
        <w:rPr>
          <w:rFonts w:ascii="Marianne" w:hAnsi="Marianne"/>
          <w:sz w:val="18"/>
          <w:szCs w:val="18"/>
        </w:rPr>
      </w:pPr>
      <w:r>
        <w:rPr>
          <w:rFonts w:ascii="Marianne" w:hAnsi="Marianne"/>
          <w:sz w:val="18"/>
          <w:szCs w:val="18"/>
        </w:rPr>
      </w:r>
    </w:p>
    <w:tbl>
      <w:tblPr>
        <w:tblW w:w="9371" w:type="dxa"/>
        <w:jc w:val="center"/>
        <w:tblInd w:w="0" w:type="dxa"/>
        <w:tblLayout w:type="fixed"/>
        <w:tblCellMar>
          <w:top w:w="0" w:type="dxa"/>
          <w:left w:w="71" w:type="dxa"/>
          <w:bottom w:w="0" w:type="dxa"/>
          <w:right w:w="71" w:type="dxa"/>
        </w:tblCellMar>
      </w:tblPr>
      <w:tblGrid>
        <w:gridCol w:w="994"/>
        <w:gridCol w:w="8377"/>
      </w:tblGrid>
      <w:tr>
        <w:trPr>
          <w:tblHeader w:val="true"/>
        </w:trPr>
        <w:tc>
          <w:tcPr>
            <w:tcW w:w="9371"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keepNext w:val="true"/>
              <w:tabs>
                <w:tab w:val="clear" w:pos="709"/>
                <w:tab w:val="left" w:pos="-3615" w:leader="none"/>
              </w:tabs>
              <w:bidi w:val="0"/>
              <w:snapToGrid w:val="false"/>
              <w:spacing w:before="0" w:after="0"/>
              <w:jc w:val="center"/>
              <w:rPr>
                <w:rFonts w:ascii="Marianne" w:hAnsi="Marianne"/>
                <w:b/>
                <w:sz w:val="18"/>
                <w:szCs w:val="18"/>
              </w:rPr>
            </w:pPr>
            <w:bookmarkStart w:id="11" w:name="R2_2_p2C_b"/>
            <w:bookmarkEnd w:id="11"/>
            <w:r>
              <w:rPr>
                <w:rFonts w:ascii="Marianne" w:hAnsi="Marianne"/>
                <w:b/>
                <w:sz w:val="18"/>
                <w:szCs w:val="18"/>
              </w:rPr>
              <w:t>Désignation des lots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01</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VRD - Gros œuvre / Espaces verts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02</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Étanchéité – Toiture végétalisée – Bardage – Ossature bois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03</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Menuiseries extérieures Aluminium</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04</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Électricité</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05</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Plomberie / Ventilation</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06</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Menuiseries intérieures Bois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07</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Revêtements de sols durs et Faïences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08</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Peinture – Revêtements de sols souples</w:t>
            </w:r>
          </w:p>
        </w:tc>
      </w:tr>
      <w:tr>
        <w:trPr/>
        <w:tc>
          <w:tcPr>
            <w:tcW w:w="994" w:type="dxa"/>
            <w:tcBorders>
              <w:left w:val="single" w:sz="4" w:space="0" w:color="000000"/>
              <w:bottom w:val="single" w:sz="4" w:space="0" w:color="000000"/>
            </w:tcBorders>
          </w:tcPr>
          <w:p>
            <w:pPr>
              <w:pStyle w:val="Normal"/>
              <w:bidi w:val="0"/>
              <w:snapToGrid w:val="false"/>
              <w:spacing w:before="0" w:after="0"/>
              <w:rPr>
                <w:rFonts w:ascii="Marianne" w:hAnsi="Marianne"/>
                <w:b/>
                <w:sz w:val="18"/>
                <w:szCs w:val="18"/>
              </w:rPr>
            </w:pPr>
            <w:r>
              <w:rPr>
                <w:rFonts w:ascii="Marianne" w:hAnsi="Marianne"/>
                <w:b/>
                <w:sz w:val="18"/>
                <w:szCs w:val="18"/>
              </w:rPr>
              <w:t>Lot 09</w:t>
            </w:r>
          </w:p>
        </w:tc>
        <w:tc>
          <w:tcPr>
            <w:tcW w:w="8377" w:type="dxa"/>
            <w:tcBorders>
              <w:left w:val="single" w:sz="4" w:space="0" w:color="000000"/>
              <w:bottom w:val="single" w:sz="4" w:space="0" w:color="000000"/>
              <w:right w:val="single" w:sz="4" w:space="0" w:color="000000"/>
            </w:tcBorders>
          </w:tcPr>
          <w:p>
            <w:pPr>
              <w:pStyle w:val="Normal"/>
              <w:jc w:val="both"/>
              <w:rPr>
                <w:rFonts w:ascii="Marianne" w:hAnsi="Marianne"/>
              </w:rPr>
            </w:pPr>
            <w:r>
              <w:rPr>
                <w:rFonts w:eastAsia="Times New Roman" w:cs="Times New Roman" w:ascii="Marianne" w:hAnsi="Marianne"/>
                <w:color w:val="000000"/>
                <w:kern w:val="0"/>
                <w:sz w:val="20"/>
                <w:szCs w:val="20"/>
                <w:lang w:eastAsia="fr-FR"/>
                <w14:ligatures w14:val="none"/>
              </w:rPr>
              <w:t>Serrurerie</w:t>
            </w:r>
          </w:p>
        </w:tc>
      </w:tr>
    </w:tbl>
    <w:p>
      <w:pPr>
        <w:pStyle w:val="Normal"/>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2" w:name="__RefHeading___Toc18245_2630935504"/>
      <w:bookmarkEnd w:id="12"/>
      <w:r>
        <w:rPr>
          <w:rFonts w:ascii="Marianne" w:hAnsi="Marianne"/>
          <w:sz w:val="18"/>
          <w:szCs w:val="18"/>
        </w:rPr>
        <w:t>2-3. Nature de l'attributaire</w:t>
      </w:r>
    </w:p>
    <w:p>
      <w:pPr>
        <w:pStyle w:val="Paragraphe"/>
        <w:keepNext w:val="tru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Chaque marché passé par lots séparés sera conclu :</w:t>
      </w:r>
    </w:p>
    <w:p>
      <w:pPr>
        <w:pStyle w:val="Normal"/>
        <w:keepNext w:val="true"/>
        <w:numPr>
          <w:ilvl w:val="0"/>
          <w:numId w:val="2"/>
        </w:numPr>
        <w:tabs>
          <w:tab w:val="clear" w:pos="709"/>
          <w:tab w:val="left" w:pos="283" w:leader="none"/>
        </w:tabs>
        <w:bidi w:val="0"/>
        <w:spacing w:before="0" w:after="0"/>
        <w:ind w:hanging="283" w:left="283" w:right="0"/>
        <w:rPr>
          <w:rFonts w:ascii="Marianne" w:hAnsi="Marianne"/>
          <w:sz w:val="18"/>
          <w:szCs w:val="18"/>
        </w:rPr>
      </w:pPr>
      <w:r>
        <w:rPr>
          <w:rFonts w:ascii="Marianne" w:hAnsi="Marianne"/>
          <w:sz w:val="18"/>
          <w:szCs w:val="18"/>
        </w:rPr>
        <w:t>soit avec une entreprise unique ;</w:t>
      </w:r>
    </w:p>
    <w:p>
      <w:pPr>
        <w:pStyle w:val="Normal"/>
        <w:numPr>
          <w:ilvl w:val="0"/>
          <w:numId w:val="2"/>
        </w:numPr>
        <w:tabs>
          <w:tab w:val="clear" w:pos="709"/>
          <w:tab w:val="left" w:pos="283" w:leader="none"/>
        </w:tabs>
        <w:bidi w:val="0"/>
        <w:spacing w:before="0" w:after="0"/>
        <w:ind w:hanging="283" w:left="283" w:right="0"/>
        <w:rPr>
          <w:rFonts w:ascii="Marianne" w:hAnsi="Marianne"/>
          <w:sz w:val="18"/>
          <w:szCs w:val="18"/>
        </w:rPr>
      </w:pPr>
      <w:r>
        <w:rPr>
          <w:rFonts w:ascii="Marianne" w:hAnsi="Marianne"/>
          <w:sz w:val="18"/>
          <w:szCs w:val="18"/>
        </w:rPr>
        <w:t>soit avec des entreprises groupées conjointes ou des entreprises groupées solidaires.</w:t>
      </w:r>
    </w:p>
    <w:p>
      <w:pPr>
        <w:pStyle w:val="Paragraphe"/>
        <w:bidi w:val="0"/>
        <w:spacing w:before="0" w:after="0"/>
        <w:ind w:hanging="0" w:left="0" w:right="0"/>
        <w:rPr>
          <w:rFonts w:ascii="Marianne" w:hAnsi="Marianne"/>
          <w:sz w:val="18"/>
          <w:szCs w:val="18"/>
        </w:rPr>
      </w:pPr>
      <w:r>
        <w:rPr>
          <w:rFonts w:ascii="Marianne" w:hAnsi="Marianne"/>
          <w:sz w:val="18"/>
          <w:szCs w:val="18"/>
        </w:rPr>
        <w:t>Le mandataire du groupement conjoint ne sera pas solidaire, pour l'exécution du marché, de chacun des membres du groupement pour ses obligations contractuelles à l'égard du maître d'ouvrage.</w:t>
      </w:r>
    </w:p>
    <w:p>
      <w:pPr>
        <w:pStyle w:val="Paragraphe"/>
        <w:bidi w:val="0"/>
        <w:spacing w:before="0" w:after="0"/>
        <w:rPr>
          <w:rFonts w:ascii="Marianne" w:hAnsi="Marianne"/>
          <w:sz w:val="18"/>
          <w:szCs w:val="18"/>
        </w:rPr>
      </w:pPr>
      <w:r>
        <w:rPr>
          <w:rFonts w:ascii="Marianne" w:hAnsi="Marianne"/>
          <w:sz w:val="18"/>
          <w:szCs w:val="18"/>
        </w:rPr>
        <w:t xml:space="preserve">Conformément </w:t>
      </w:r>
      <w:r>
        <w:rPr>
          <w:rFonts w:ascii="Marianne" w:hAnsi="Marianne"/>
          <w:sz w:val="18"/>
          <w:szCs w:val="18"/>
          <w:shd w:fill="auto" w:val="clear"/>
        </w:rPr>
        <w:t>aux articles L.2141-13, L.2141-14 du CCP</w:t>
      </w:r>
      <w:r>
        <w:rPr>
          <w:rFonts w:ascii="Marianne" w:hAnsi="Marianne"/>
          <w:sz w:val="18"/>
          <w:szCs w:val="18"/>
        </w:rPr>
        <w:t>, lorsque le motif d’exclusion de la procédure de passation concerne un membre d’un groupement d’opérateurs économiques, l’acheteur exige son remplacement par une personne qui ne fait pas l’objet d’un motif d’exclusion dans un délai de dix jours à compter de la réception de cette demande par le mandataire du groupement, sous peine d’exclusion du groupement de la procédure.</w:t>
      </w:r>
    </w:p>
    <w:p>
      <w:pPr>
        <w:pStyle w:val="Paragraphe"/>
        <w:bidi w:val="0"/>
        <w:spacing w:before="0" w:after="0"/>
        <w:rPr>
          <w:rFonts w:ascii="Marianne" w:hAnsi="Marianne"/>
          <w:sz w:val="18"/>
          <w:szCs w:val="18"/>
        </w:rPr>
      </w:pPr>
      <w:r>
        <w:rPr>
          <w:rFonts w:ascii="Marianne" w:hAnsi="Marianne"/>
          <w:sz w:val="18"/>
          <w:szCs w:val="18"/>
        </w:rPr>
        <w:t xml:space="preserve">Lorsqu’un groupement se trouve dans un des cas visés </w:t>
      </w:r>
      <w:r>
        <w:rPr>
          <w:rFonts w:ascii="Marianne" w:hAnsi="Marianne"/>
          <w:sz w:val="18"/>
          <w:szCs w:val="18"/>
          <w:shd w:fill="auto" w:val="clear"/>
        </w:rPr>
        <w:t>à l'article R.2142-26 du CCP</w:t>
      </w:r>
      <w:r>
        <w:rPr>
          <w:rFonts w:ascii="Marianne" w:hAnsi="Marianne"/>
          <w:sz w:val="18"/>
          <w:szCs w:val="18"/>
        </w:rPr>
        <w:t>, le maître d’ouvrage peut l'autoriser à continuer la procédure. Dans ce cas, le groupement propose dans les dix jours à l'acceptation du maître d’ouvrage un ou plusieurs nouveaux membres du groupement ou sous-traitants.</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3" w:name="__RefHeading___Toc18247_2630935504"/>
      <w:bookmarkEnd w:id="13"/>
      <w:r>
        <w:rPr>
          <w:rFonts w:ascii="Marianne" w:hAnsi="Marianne"/>
          <w:sz w:val="18"/>
          <w:szCs w:val="18"/>
        </w:rPr>
        <w:t>2-4. Compléments à apporter au cahier des clauses techniques particulières</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Les candidats n'ont pas à apporter de complément au Cahier des Clauses Techniques Particulières (CCTP).</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4" w:name="__RefHeading___Toc18249_2630935504"/>
      <w:bookmarkEnd w:id="14"/>
      <w:r>
        <w:rPr>
          <w:rFonts w:ascii="Marianne" w:hAnsi="Marianne"/>
          <w:sz w:val="18"/>
          <w:szCs w:val="18"/>
        </w:rPr>
        <w:t>2-5. Variantes</w:t>
      </w:r>
    </w:p>
    <w:p>
      <w:pPr>
        <w:pStyle w:val="Paragraphe"/>
        <w:bidi w:val="0"/>
        <w:spacing w:before="0" w:after="0"/>
        <w:rPr>
          <w:rFonts w:ascii="Marianne" w:hAnsi="Marianne"/>
          <w:color w:val="000000"/>
          <w:sz w:val="18"/>
          <w:szCs w:val="18"/>
        </w:rPr>
      </w:pPr>
      <w:r>
        <w:rPr>
          <w:rFonts w:ascii="Marianne" w:hAnsi="Marianne"/>
          <w:color w:val="000000"/>
          <w:sz w:val="18"/>
          <w:szCs w:val="18"/>
        </w:rPr>
      </w:r>
    </w:p>
    <w:p>
      <w:pPr>
        <w:pStyle w:val="Paradouble"/>
        <w:bidi w:val="0"/>
        <w:spacing w:before="0" w:after="0"/>
        <w:rPr>
          <w:rFonts w:ascii="Marianne" w:hAnsi="Marianne"/>
          <w:color w:val="000000"/>
          <w:sz w:val="18"/>
          <w:szCs w:val="18"/>
        </w:rPr>
      </w:pPr>
      <w:r>
        <w:rPr>
          <w:rFonts w:ascii="Marianne" w:hAnsi="Marianne"/>
          <w:color w:val="000000"/>
          <w:sz w:val="18"/>
          <w:szCs w:val="18"/>
        </w:rPr>
        <w:t>Les variantes sont interdites. (article 42151-8 du CCP)</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5" w:name="__RefHeading___Toc18255_2630935504"/>
      <w:bookmarkEnd w:id="15"/>
      <w:r>
        <w:rPr>
          <w:rFonts w:ascii="Marianne" w:hAnsi="Marianne"/>
          <w:sz w:val="18"/>
          <w:szCs w:val="18"/>
        </w:rPr>
        <w:t>2-8. Délai d'exécution des travaux</w:t>
      </w:r>
    </w:p>
    <w:p>
      <w:pPr>
        <w:pStyle w:val="Paragraphe"/>
        <w:bidi w:val="0"/>
        <w:spacing w:before="0" w:after="0"/>
        <w:rPr>
          <w:rFonts w:ascii="Marianne" w:hAnsi="Marianne"/>
          <w:sz w:val="18"/>
          <w:szCs w:val="18"/>
        </w:rPr>
      </w:pPr>
      <w:r>
        <w:rPr>
          <w:rFonts w:ascii="Marianne" w:hAnsi="Marianne"/>
          <w:sz w:val="18"/>
          <w:szCs w:val="18"/>
        </w:rPr>
        <w:t>Le délai d'exécution des travaux est fixé dans l'acte d'engagement.</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6" w:name="__RefHeading___Toc18257_2630935504"/>
      <w:bookmarkEnd w:id="16"/>
      <w:r>
        <w:rPr>
          <w:rFonts w:ascii="Marianne" w:hAnsi="Marianne"/>
          <w:sz w:val="18"/>
          <w:szCs w:val="18"/>
        </w:rPr>
        <w:t>2-9. Modifications de détail au dossier de consultation</w:t>
      </w:r>
    </w:p>
    <w:p>
      <w:pPr>
        <w:pStyle w:val="Paragraphe"/>
        <w:bidi w:val="0"/>
        <w:spacing w:before="0" w:after="0"/>
        <w:rPr>
          <w:rFonts w:ascii="Marianne" w:hAnsi="Marianne"/>
          <w:sz w:val="18"/>
          <w:szCs w:val="18"/>
        </w:rPr>
      </w:pPr>
      <w:r>
        <w:rPr>
          <w:rFonts w:ascii="Marianne" w:hAnsi="Marianne"/>
          <w:sz w:val="18"/>
          <w:szCs w:val="18"/>
        </w:rPr>
        <w:t xml:space="preserve">Le RMO se réserve le droit d'apporter des modifications de détail au dossier de consultation. Celles-ci doivent être communiquées au plus tard </w:t>
      </w:r>
      <w:bookmarkStart w:id="17" w:name="R2_8_a"/>
      <w:r>
        <w:rPr>
          <w:rFonts w:ascii="Marianne" w:hAnsi="Marianne"/>
          <w:sz w:val="18"/>
          <w:szCs w:val="18"/>
        </w:rPr>
        <w:t>10 jours</w:t>
      </w:r>
      <w:bookmarkEnd w:id="17"/>
      <w:r>
        <w:rPr>
          <w:rFonts w:ascii="Marianne" w:hAnsi="Marianne"/>
          <w:sz w:val="18"/>
          <w:szCs w:val="18"/>
        </w:rPr>
        <w:t xml:space="preserve"> avant la date limite fixée pour la remise des offres. Les candidats devront alors répondre sur la base du dossier modifié.</w:t>
      </w:r>
    </w:p>
    <w:p>
      <w:pPr>
        <w:pStyle w:val="Paragraphe"/>
        <w:bidi w:val="0"/>
        <w:spacing w:before="0" w:after="0"/>
        <w:rPr>
          <w:rFonts w:ascii="Marianne" w:hAnsi="Marianne"/>
          <w:sz w:val="18"/>
          <w:szCs w:val="18"/>
        </w:rPr>
      </w:pPr>
      <w:r>
        <w:rPr>
          <w:rFonts w:ascii="Marianne" w:hAnsi="Marianne"/>
          <w:sz w:val="18"/>
          <w:szCs w:val="18"/>
        </w:rPr>
        <w:t>Si, pendant l'étude du dossier par les candidats, la date limite fixée pour la remise des offres est reportée, la disposition précédente est applicable en fonction de cette nouvelle date.</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18" w:name="__RefHeading___Toc18259_2630935504"/>
      <w:bookmarkEnd w:id="18"/>
      <w:r>
        <w:rPr>
          <w:rFonts w:ascii="Marianne" w:hAnsi="Marianne"/>
          <w:sz w:val="18"/>
          <w:szCs w:val="18"/>
        </w:rPr>
        <w:t>2-10. Délai de validité des offres</w:t>
      </w:r>
    </w:p>
    <w:p>
      <w:pPr>
        <w:pStyle w:val="Paragraphe"/>
        <w:bidi w:val="0"/>
        <w:spacing w:before="0" w:after="0"/>
        <w:rPr>
          <w:rFonts w:ascii="Marianne" w:hAnsi="Marianne"/>
          <w:sz w:val="18"/>
          <w:szCs w:val="18"/>
        </w:rPr>
      </w:pPr>
      <w:r>
        <w:rPr>
          <w:rFonts w:ascii="Marianne" w:hAnsi="Marianne"/>
          <w:sz w:val="18"/>
          <w:szCs w:val="18"/>
        </w:rPr>
        <w:t xml:space="preserve">Le délai de validité des offres est de </w:t>
      </w:r>
      <w:bookmarkStart w:id="19" w:name="R2_9_a"/>
      <w:r>
        <w:rPr>
          <w:rFonts w:ascii="Marianne" w:hAnsi="Marianne"/>
          <w:sz w:val="18"/>
          <w:szCs w:val="18"/>
        </w:rPr>
        <w:t>120 jours</w:t>
      </w:r>
      <w:bookmarkEnd w:id="19"/>
      <w:r>
        <w:rPr>
          <w:rFonts w:ascii="Marianne" w:hAnsi="Marianne"/>
          <w:sz w:val="18"/>
          <w:szCs w:val="18"/>
        </w:rPr>
        <w:t>; il court à compter de la date limite fixée pour la remise des offres.</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20" w:name="__RefHeading___Toc18269_2630935504"/>
      <w:bookmarkEnd w:id="20"/>
      <w:r>
        <w:rPr>
          <w:rFonts w:ascii="Marianne" w:hAnsi="Marianne"/>
          <w:sz w:val="18"/>
          <w:szCs w:val="18"/>
        </w:rPr>
        <w:t>2-15. Appréciation des équivalences dans les normes et les labels</w:t>
      </w:r>
    </w:p>
    <w:p>
      <w:pPr>
        <w:pStyle w:val="Paragraphe"/>
        <w:bidi w:val="0"/>
        <w:spacing w:before="0" w:after="0"/>
        <w:rPr>
          <w:rFonts w:ascii="Marianne" w:hAnsi="Marianne"/>
          <w:sz w:val="18"/>
          <w:szCs w:val="18"/>
        </w:rPr>
      </w:pPr>
      <w:r>
        <w:rPr>
          <w:rFonts w:ascii="Marianne" w:hAnsi="Marianne"/>
          <w:sz w:val="18"/>
          <w:szCs w:val="18"/>
        </w:rPr>
        <w:t>La norme française transposant la norme européenne constitue la référence technique qui doit être respectée par les produits.</w:t>
      </w:r>
    </w:p>
    <w:p>
      <w:pPr>
        <w:pStyle w:val="Paragraphe"/>
        <w:bidi w:val="0"/>
        <w:spacing w:before="0" w:after="0"/>
        <w:rPr>
          <w:rFonts w:ascii="Marianne" w:hAnsi="Marianne"/>
          <w:sz w:val="18"/>
          <w:szCs w:val="18"/>
        </w:rPr>
      </w:pPr>
      <w:r>
        <w:rPr>
          <w:rFonts w:ascii="Marianne" w:hAnsi="Marianne"/>
          <w:sz w:val="18"/>
          <w:szCs w:val="18"/>
        </w:rPr>
        <w:t>Lorsqu'une spécification technique est définie par référence à une norme ou à un label, le soumissionnaire prouve dans son offre, par tout moyen approprié, que les solutions qu'il propose respectent de manière équivalente cette spécification.</w:t>
      </w:r>
    </w:p>
    <w:p>
      <w:pPr>
        <w:pStyle w:val="Paragraphe"/>
        <w:bidi w:val="0"/>
        <w:spacing w:before="0" w:after="0"/>
        <w:rPr>
          <w:rFonts w:ascii="Marianne" w:hAnsi="Marianne"/>
          <w:sz w:val="18"/>
          <w:szCs w:val="18"/>
        </w:rPr>
      </w:pPr>
      <w:r>
        <w:rPr>
          <w:rFonts w:ascii="Marianne" w:hAnsi="Marianne"/>
          <w:sz w:val="18"/>
          <w:szCs w:val="18"/>
        </w:rPr>
        <w:t>Lorsqu'une spécification technique est définie en termes de performances ou d’exigences fonctionnelles, le soumissionnaire prouve, par tout moyen approprié, que son offre est conforme à des normes ou documents équivalents qui eux-mêmes correspondent aux performances ou exigences fonctionnelles exigées.</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21" w:name="__RefHeading___Toc18271_2630935504"/>
      <w:bookmarkEnd w:id="21"/>
      <w:r>
        <w:rPr>
          <w:rFonts w:ascii="Marianne" w:hAnsi="Marianne"/>
          <w:sz w:val="18"/>
          <w:szCs w:val="18"/>
        </w:rPr>
        <w:t>2-16. Clauses sociales et environnementales</w:t>
      </w:r>
    </w:p>
    <w:p>
      <w:pPr>
        <w:pStyle w:val="Paragraphe"/>
        <w:bidi w:val="0"/>
        <w:spacing w:before="0" w:after="0"/>
        <w:rPr>
          <w:rFonts w:ascii="Marianne" w:hAnsi="Marianne"/>
          <w:b/>
          <w:bCs/>
          <w:color w:val="auto"/>
          <w:sz w:val="18"/>
          <w:szCs w:val="18"/>
        </w:rPr>
      </w:pPr>
      <w:r>
        <w:rPr>
          <w:rFonts w:ascii="Marianne" w:hAnsi="Marianne"/>
          <w:b/>
          <w:bCs/>
          <w:color w:val="auto"/>
          <w:sz w:val="18"/>
          <w:szCs w:val="18"/>
        </w:rPr>
        <w:t>S’agissant de la clause obligatoire d’insertion par l’activité économique</w:t>
      </w:r>
    </w:p>
    <w:p>
      <w:pPr>
        <w:pStyle w:val="Paragraphe"/>
        <w:bidi w:val="0"/>
        <w:spacing w:before="0" w:after="0"/>
        <w:rPr>
          <w:rFonts w:ascii="Marianne" w:hAnsi="Marianne"/>
          <w:b w:val="false"/>
          <w:bCs w:val="false"/>
          <w:color w:val="auto"/>
          <w:sz w:val="18"/>
          <w:szCs w:val="18"/>
        </w:rPr>
      </w:pPr>
      <w:r>
        <w:rPr>
          <w:rFonts w:eastAsia="Times New Roman" w:cs="Times New Roman" w:ascii="Marianne" w:hAnsi="Marianne"/>
          <w:b w:val="false"/>
          <w:bCs w:val="false"/>
          <w:color w:val="auto"/>
          <w:sz w:val="18"/>
          <w:szCs w:val="18"/>
          <w:lang w:val="fr-FR"/>
        </w:rPr>
        <w:t>Dans un souci de promotion de l’emploi et de lutte contre l’exclusion, le maître d’ouvrage s’engage dans une politique volontariste d’insertion des personnes à la recherche d’un emploi et considérées comme prioritaires au regard des politiques publiques de l’emploi.</w:t>
      </w:r>
    </w:p>
    <w:p>
      <w:pPr>
        <w:pStyle w:val="Paragraphe"/>
        <w:bidi w:val="0"/>
        <w:spacing w:before="0" w:after="0"/>
        <w:rPr>
          <w:rFonts w:ascii="Marianne" w:hAnsi="Marianne"/>
          <w:b w:val="false"/>
          <w:bCs w:val="false"/>
          <w:color w:val="auto"/>
          <w:sz w:val="18"/>
          <w:szCs w:val="18"/>
        </w:rPr>
      </w:pPr>
      <w:r>
        <w:rPr>
          <w:rFonts w:ascii="Marianne" w:hAnsi="Marianne"/>
          <w:b w:val="false"/>
          <w:bCs w:val="false"/>
          <w:color w:val="auto"/>
          <w:sz w:val="18"/>
          <w:szCs w:val="18"/>
        </w:rPr>
      </w:r>
    </w:p>
    <w:p>
      <w:pPr>
        <w:pStyle w:val="Paragraphe"/>
        <w:bidi w:val="0"/>
        <w:spacing w:before="0" w:after="0"/>
        <w:rPr>
          <w:rFonts w:ascii="Marianne" w:hAnsi="Marianne"/>
          <w:b w:val="false"/>
          <w:bCs w:val="false"/>
          <w:color w:val="auto"/>
          <w:sz w:val="18"/>
          <w:szCs w:val="18"/>
        </w:rPr>
      </w:pPr>
      <w:r>
        <w:rPr>
          <w:rFonts w:eastAsia="Times New Roman" w:cs="Times New Roman" w:ascii="Marianne" w:hAnsi="Marianne"/>
          <w:b w:val="false"/>
          <w:bCs w:val="false"/>
          <w:color w:val="auto"/>
          <w:sz w:val="18"/>
          <w:szCs w:val="18"/>
          <w:lang w:val="fr-FR"/>
        </w:rPr>
        <w:t>En conséquence, le maître d’ouvrage a décidé de faire application des dispositions de l’article L.2112-2 du code de la commande publique en incluant dans le cahier des charges de ce marché une clause obligatoire d’insertion par l’activité économique.</w:t>
      </w:r>
    </w:p>
    <w:p>
      <w:pPr>
        <w:pStyle w:val="Paragraphe"/>
        <w:bidi w:val="0"/>
        <w:spacing w:before="0" w:after="0"/>
        <w:rPr>
          <w:rFonts w:ascii="Marianne" w:hAnsi="Marianne"/>
          <w:b w:val="false"/>
          <w:bCs w:val="false"/>
          <w:color w:val="auto"/>
          <w:sz w:val="18"/>
          <w:szCs w:val="18"/>
        </w:rPr>
      </w:pPr>
      <w:r>
        <w:rPr>
          <w:rFonts w:ascii="Marianne" w:hAnsi="Marianne"/>
          <w:b w:val="false"/>
          <w:bCs w:val="false"/>
          <w:color w:val="auto"/>
          <w:sz w:val="18"/>
          <w:szCs w:val="18"/>
        </w:rPr>
      </w:r>
    </w:p>
    <w:p>
      <w:pPr>
        <w:pStyle w:val="Paragraphe"/>
        <w:bidi w:val="0"/>
        <w:spacing w:before="0" w:after="0"/>
        <w:rPr>
          <w:rFonts w:ascii="Marianne" w:hAnsi="Marianne"/>
          <w:b w:val="false"/>
          <w:bCs w:val="false"/>
          <w:color w:val="auto"/>
          <w:sz w:val="18"/>
          <w:szCs w:val="18"/>
        </w:rPr>
      </w:pPr>
      <w:r>
        <w:rPr>
          <w:rFonts w:eastAsia="Times New Roman" w:cs="Times New Roman" w:ascii="Marianne" w:hAnsi="Marianne"/>
          <w:b w:val="false"/>
          <w:bCs w:val="false"/>
          <w:color w:val="auto"/>
          <w:sz w:val="18"/>
          <w:szCs w:val="18"/>
          <w:lang w:val="fr-FR"/>
        </w:rPr>
        <w:t>L’entreprise qui se verra attribuer le lot 1 du marché devra réaliser une action d’insertion qui permette l’accès ou le retour à l’emploi de personnes rencontrant des difficultés sociales ou professionnelles particulières et réserver dans l’exécution du marché, un minimum d’heures d’insertion, sur la durée du marché, conformément à ce qui est demandé dans l’acte d’engagement.</w:t>
      </w:r>
    </w:p>
    <w:p>
      <w:pPr>
        <w:pStyle w:val="Paragraphe"/>
        <w:widowControl/>
        <w:bidi w:val="0"/>
        <w:spacing w:before="0" w:after="0"/>
        <w:rPr/>
      </w:pPr>
      <w:r>
        <w:rPr/>
      </w:r>
    </w:p>
    <w:p>
      <w:pPr>
        <w:pStyle w:val="Heading1"/>
        <w:numPr>
          <w:ilvl w:val="0"/>
          <w:numId w:val="0"/>
        </w:numPr>
        <w:tabs>
          <w:tab w:val="left" w:pos="0" w:leader="none"/>
        </w:tabs>
        <w:bidi w:val="0"/>
        <w:spacing w:before="0" w:after="0"/>
        <w:ind w:hanging="0" w:left="0" w:right="0"/>
        <w:outlineLvl w:val="9"/>
        <w:rPr>
          <w:rFonts w:ascii="Marianne" w:hAnsi="Marianne"/>
          <w:sz w:val="18"/>
          <w:szCs w:val="18"/>
        </w:rPr>
      </w:pPr>
      <w:bookmarkStart w:id="22" w:name="__RefHeading___Toc18273_2630935504"/>
      <w:bookmarkEnd w:id="22"/>
      <w:r>
        <w:rPr>
          <w:rFonts w:ascii="Marianne" w:hAnsi="Marianne"/>
          <w:sz w:val="18"/>
          <w:szCs w:val="18"/>
        </w:rPr>
        <w:t>ARTICLE 3. DEROULEMENT DE LA CONSULTATION</w:t>
      </w:r>
    </w:p>
    <w:p>
      <w:pPr>
        <w:pStyle w:val="Paragraphe"/>
        <w:bidi w:val="0"/>
        <w:spacing w:before="0" w:after="0"/>
        <w:rPr>
          <w:rFonts w:ascii="Marianne" w:hAnsi="Marianne"/>
          <w:b w:val="false"/>
          <w:bCs w:val="false"/>
          <w:sz w:val="18"/>
          <w:szCs w:val="18"/>
        </w:rPr>
      </w:pPr>
      <w:r>
        <w:rPr>
          <w:rFonts w:ascii="Marianne" w:hAnsi="Marianne"/>
          <w:b w:val="false"/>
          <w:bCs w:val="false"/>
          <w:sz w:val="18"/>
          <w:szCs w:val="18"/>
        </w:rPr>
      </w:r>
    </w:p>
    <w:p>
      <w:pPr>
        <w:pStyle w:val="Paragraphe"/>
        <w:bidi w:val="0"/>
        <w:spacing w:before="0" w:after="0"/>
        <w:rPr>
          <w:rFonts w:ascii="Marianne" w:hAnsi="Marianne"/>
          <w:b w:val="false"/>
          <w:bCs w:val="false"/>
          <w:sz w:val="18"/>
          <w:szCs w:val="18"/>
        </w:rPr>
      </w:pPr>
      <w:r>
        <w:rPr>
          <w:rFonts w:ascii="Marianne" w:hAnsi="Marianne"/>
          <w:b w:val="false"/>
          <w:bCs w:val="false"/>
          <w:sz w:val="18"/>
          <w:szCs w:val="18"/>
        </w:rPr>
        <w:t>Le retrait du dossier de consultation se fait par téléchargement sur le profil d'acheteur.</w:t>
      </w:r>
    </w:p>
    <w:p>
      <w:pPr>
        <w:pStyle w:val="Paragraphe"/>
        <w:rPr/>
      </w:pPr>
      <w:r>
        <w:rPr>
          <w:rFonts w:ascii="Marianne" w:hAnsi="Marianne"/>
          <w:b w:val="false"/>
          <w:bCs w:val="false"/>
          <w:sz w:val="18"/>
          <w:szCs w:val="18"/>
          <w:shd w:fill="auto" w:val="clear"/>
        </w:rPr>
        <w:t xml:space="preserve">Le candidat télécharge le dossier de consultation sous la référence </w:t>
      </w:r>
      <w:r>
        <w:rPr>
          <w:rFonts w:ascii="Marianne" w:hAnsi="Marianne"/>
          <w:b/>
          <w:bCs/>
          <w:sz w:val="18"/>
          <w:szCs w:val="18"/>
          <w:shd w:fill="auto" w:val="clear"/>
        </w:rPr>
        <w:t>PRA052798</w:t>
      </w:r>
      <w:r>
        <w:rPr>
          <w:rFonts w:ascii="Marianne" w:hAnsi="Marianne"/>
          <w:b/>
          <w:bCs/>
          <w:color w:val="0000FF"/>
          <w:sz w:val="18"/>
          <w:szCs w:val="18"/>
          <w:u w:val="single"/>
          <w:shd w:fill="auto" w:val="clear"/>
        </w:rPr>
        <w:t xml:space="preserve"> </w:t>
      </w:r>
      <w:r>
        <w:rPr>
          <w:rFonts w:ascii="Marianne" w:hAnsi="Marianne"/>
          <w:b w:val="false"/>
          <w:bCs w:val="false"/>
          <w:sz w:val="18"/>
          <w:szCs w:val="18"/>
        </w:rPr>
        <w:t xml:space="preserve">en se connectant au site de la PLACE à partir de l’adresse électronique ci-après : </w:t>
      </w:r>
      <w:r>
        <w:rPr>
          <w:rFonts w:ascii="Marianne" w:hAnsi="Marianne"/>
          <w:b/>
          <w:bCs/>
          <w:color w:val="0000FF"/>
          <w:sz w:val="18"/>
          <w:szCs w:val="18"/>
          <w:u w:val="single"/>
        </w:rPr>
        <w:t>https://www.marches-publics.gouv.fr/entreprise</w:t>
      </w:r>
    </w:p>
    <w:p>
      <w:pPr>
        <w:pStyle w:val="Paragraphe"/>
        <w:bidi w:val="0"/>
        <w:spacing w:before="0" w:after="0"/>
        <w:rPr>
          <w:rFonts w:ascii="Marianne" w:hAnsi="Marianne"/>
          <w:sz w:val="18"/>
          <w:szCs w:val="18"/>
        </w:rPr>
      </w:pPr>
      <w:r>
        <w:rPr>
          <w:rFonts w:ascii="Marianne" w:hAnsi="Marianne"/>
          <w:sz w:val="18"/>
          <w:szCs w:val="18"/>
        </w:rPr>
        <w:t>Les candidatures et les offres des candidats seront entièrement rédigées ou traduites en langue française ainsi que les documents de présentation associés. Cette obligation porte également sur tous les documents techniques justifiant de la conformité d'un produit à une norme ou d'une marque de qualité non française dont l'équivalence est soumise à l'appréciation du maître d'ouvrage. Toutefois ce dernier se réserve le droit de se faire communiquer ces documents techniques dans leur langue d'origine.</w:t>
      </w:r>
    </w:p>
    <w:p>
      <w:pPr>
        <w:pStyle w:val="Paragraphe"/>
        <w:bidi w:val="0"/>
        <w:spacing w:before="0" w:after="0"/>
        <w:rPr>
          <w:rFonts w:ascii="Marianne" w:hAnsi="Marianne"/>
          <w:b/>
          <w:sz w:val="18"/>
          <w:szCs w:val="18"/>
        </w:rPr>
      </w:pPr>
      <w:r>
        <w:rPr>
          <w:rFonts w:ascii="Marianne" w:hAnsi="Marianne"/>
          <w:b/>
          <w:sz w:val="18"/>
          <w:szCs w:val="18"/>
        </w:rPr>
        <w:t>Il est rappelé que le ou les signataires doivent être habilités à engager le candidat.</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23" w:name="__RefHeading___Toc18275_2630935504"/>
      <w:bookmarkEnd w:id="23"/>
      <w:r>
        <w:rPr>
          <w:rFonts w:ascii="Marianne" w:hAnsi="Marianne"/>
          <w:sz w:val="18"/>
          <w:szCs w:val="18"/>
        </w:rPr>
        <w:t>3-1. Solution de base</w:t>
      </w:r>
    </w:p>
    <w:p>
      <w:pPr>
        <w:pStyle w:val="Heading3"/>
        <w:bidi w:val="0"/>
        <w:spacing w:before="0" w:after="0"/>
        <w:ind w:hanging="283" w:left="0" w:right="0"/>
        <w:rPr>
          <w:b/>
          <w:u w:val="single"/>
        </w:rPr>
      </w:pPr>
      <w:r>
        <w:rPr>
          <w:b/>
          <w:u w:val="single"/>
        </w:rPr>
      </w:r>
    </w:p>
    <w:p>
      <w:pPr>
        <w:pStyle w:val="Heading3"/>
        <w:bidi w:val="0"/>
        <w:spacing w:before="0" w:after="0"/>
        <w:ind w:hanging="283" w:left="0" w:right="0"/>
        <w:rPr>
          <w:rFonts w:ascii="Marianne" w:hAnsi="Marianne"/>
          <w:sz w:val="18"/>
          <w:szCs w:val="18"/>
        </w:rPr>
      </w:pPr>
      <w:r>
        <w:rPr>
          <w:rFonts w:ascii="Marianne" w:hAnsi="Marianne"/>
          <w:b/>
          <w:sz w:val="18"/>
          <w:szCs w:val="18"/>
          <w:u w:val="single"/>
        </w:rPr>
        <w:t>3-1.1.</w:t>
      </w:r>
      <w:r>
        <w:rPr>
          <w:rFonts w:ascii="Marianne" w:hAnsi="Marianne"/>
          <w:sz w:val="18"/>
          <w:szCs w:val="18"/>
        </w:rPr>
        <w:t xml:space="preserve"> Documents fournis aux candidats</w:t>
      </w:r>
    </w:p>
    <w:p>
      <w:pPr>
        <w:pStyle w:val="Normal"/>
        <w:bidi w:val="0"/>
        <w:spacing w:before="0" w:after="0"/>
        <w:rPr>
          <w:rFonts w:ascii="Marianne" w:hAnsi="Marianne"/>
          <w:sz w:val="18"/>
          <w:szCs w:val="18"/>
        </w:rPr>
      </w:pPr>
      <w:r>
        <w:rPr>
          <w:rFonts w:ascii="Marianne" w:hAnsi="Marianne"/>
          <w:sz w:val="18"/>
          <w:szCs w:val="18"/>
        </w:rPr>
      </w:r>
    </w:p>
    <w:p>
      <w:pPr>
        <w:pStyle w:val="Paragraphe"/>
        <w:keepNext w:val="true"/>
        <w:bidi w:val="0"/>
        <w:spacing w:before="0" w:after="0"/>
        <w:rPr>
          <w:rFonts w:ascii="Marianne" w:hAnsi="Marianne"/>
          <w:sz w:val="18"/>
          <w:szCs w:val="18"/>
        </w:rPr>
      </w:pPr>
      <w:r>
        <w:rPr>
          <w:rFonts w:ascii="Marianne" w:hAnsi="Marianne"/>
          <w:sz w:val="18"/>
          <w:szCs w:val="18"/>
        </w:rPr>
        <w:t>Le présent dossier de consultation est constitué par :</w:t>
      </w:r>
    </w:p>
    <w:p>
      <w:pPr>
        <w:pStyle w:val="Normal"/>
        <w:numPr>
          <w:ilvl w:val="0"/>
          <w:numId w:val="3"/>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L’avis de marché envoyé à la publication ;</w:t>
      </w:r>
    </w:p>
    <w:p>
      <w:pPr>
        <w:pStyle w:val="Normal"/>
        <w:numPr>
          <w:ilvl w:val="0"/>
          <w:numId w:val="3"/>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Le présent règlement ;</w:t>
      </w:r>
    </w:p>
    <w:p>
      <w:pPr>
        <w:pStyle w:val="Normal"/>
        <w:numPr>
          <w:ilvl w:val="0"/>
          <w:numId w:val="3"/>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Les pièces du projet de marché, énumérées à l'article 3-1.2 ci-après, à compléter ;</w:t>
      </w:r>
    </w:p>
    <w:p>
      <w:pPr>
        <w:pStyle w:val="Normal"/>
        <w:numPr>
          <w:ilvl w:val="0"/>
          <w:numId w:val="3"/>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Le Cahier des Clauses Administratives Particulières (CCAP) ;</w:t>
      </w:r>
    </w:p>
    <w:p>
      <w:pPr>
        <w:pStyle w:val="Normal"/>
        <w:numPr>
          <w:ilvl w:val="0"/>
          <w:numId w:val="3"/>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Le Cahier des Clauses Techniques Particulières (CCTP) et ses annexes (tous plans et pièces graphiques référencées) concernant chaque lot ;</w:t>
      </w:r>
    </w:p>
    <w:p>
      <w:pPr>
        <w:pStyle w:val="Normal"/>
        <w:numPr>
          <w:ilvl w:val="0"/>
          <w:numId w:val="4"/>
        </w:numPr>
        <w:tabs>
          <w:tab w:val="clear" w:pos="709"/>
          <w:tab w:val="left" w:pos="720" w:leader="none"/>
        </w:tabs>
        <w:bidi w:val="0"/>
        <w:spacing w:before="0" w:after="0"/>
        <w:ind w:hanging="360" w:left="720" w:right="0"/>
        <w:rPr>
          <w:rFonts w:ascii="Marianne" w:hAnsi="Marianne"/>
          <w:sz w:val="18"/>
          <w:szCs w:val="18"/>
        </w:rPr>
      </w:pPr>
      <w:r>
        <w:rPr>
          <w:rFonts w:ascii="Marianne" w:hAnsi="Marianne"/>
          <w:sz w:val="18"/>
          <w:szCs w:val="18"/>
        </w:rPr>
        <w:t>La Notice en matière de Sécurité et de Protection de la Santé ;</w:t>
      </w:r>
    </w:p>
    <w:p>
      <w:pPr>
        <w:pStyle w:val="Normal"/>
        <w:numPr>
          <w:ilvl w:val="0"/>
          <w:numId w:val="5"/>
        </w:numPr>
        <w:tabs>
          <w:tab w:val="clear" w:pos="709"/>
          <w:tab w:val="left" w:pos="750" w:leader="none"/>
        </w:tabs>
        <w:bidi w:val="0"/>
        <w:spacing w:before="0" w:after="0"/>
        <w:ind w:hanging="360" w:left="750" w:right="0"/>
        <w:rPr>
          <w:rFonts w:ascii="Marianne" w:hAnsi="Marianne"/>
          <w:sz w:val="18"/>
          <w:szCs w:val="18"/>
        </w:rPr>
      </w:pPr>
      <w:r>
        <w:rPr>
          <w:rFonts w:ascii="Marianne" w:hAnsi="Marianne"/>
          <w:sz w:val="18"/>
          <w:szCs w:val="18"/>
        </w:rPr>
        <w:t>Le Plan général de coordination en matière de Sécurité et de Protection de la Santé</w:t>
      </w:r>
    </w:p>
    <w:p>
      <w:pPr>
        <w:pStyle w:val="Normal"/>
        <w:numPr>
          <w:ilvl w:val="0"/>
          <w:numId w:val="0"/>
        </w:numPr>
        <w:bidi w:val="0"/>
        <w:spacing w:before="0" w:after="0"/>
        <w:ind w:hanging="0" w:left="0" w:right="0"/>
        <w:rPr>
          <w:b/>
          <w:u w:val="single"/>
        </w:rPr>
      </w:pPr>
      <w:r>
        <w:rPr>
          <w:b/>
          <w:u w:val="single"/>
        </w:rPr>
      </w:r>
    </w:p>
    <w:p>
      <w:pPr>
        <w:pStyle w:val="Heading3"/>
        <w:bidi w:val="0"/>
        <w:spacing w:before="0" w:after="0"/>
        <w:ind w:hanging="283" w:left="0" w:right="0"/>
        <w:rPr>
          <w:rFonts w:ascii="Marianne" w:hAnsi="Marianne"/>
          <w:sz w:val="18"/>
          <w:szCs w:val="18"/>
        </w:rPr>
      </w:pPr>
      <w:r>
        <w:rPr>
          <w:rFonts w:ascii="Marianne" w:hAnsi="Marianne"/>
          <w:b/>
          <w:sz w:val="18"/>
          <w:szCs w:val="18"/>
          <w:u w:val="single"/>
        </w:rPr>
        <w:t>3-1.2.</w:t>
      </w:r>
      <w:r>
        <w:rPr>
          <w:rFonts w:ascii="Marianne" w:hAnsi="Marianne"/>
          <w:sz w:val="18"/>
          <w:szCs w:val="18"/>
        </w:rPr>
        <w:t xml:space="preserve"> Composition du dossier à remettre par les candidats</w:t>
      </w:r>
    </w:p>
    <w:p>
      <w:pPr>
        <w:pStyle w:val="Paragraphe"/>
        <w:bidi w:val="0"/>
        <w:spacing w:before="0" w:after="0"/>
        <w:rPr>
          <w:rFonts w:ascii="Marianne" w:hAnsi="Marianne"/>
          <w:sz w:val="18"/>
          <w:szCs w:val="18"/>
        </w:rPr>
      </w:pPr>
      <w:r>
        <w:rPr>
          <w:rFonts w:ascii="Marianne" w:hAnsi="Marianne"/>
          <w:sz w:val="18"/>
          <w:szCs w:val="18"/>
        </w:rPr>
        <w:t xml:space="preserve">Le dossier à remettre par chaque candidat </w:t>
      </w:r>
      <w:r>
        <w:rPr>
          <w:rFonts w:ascii="Marianne" w:hAnsi="Marianne"/>
          <w:b/>
          <w:sz w:val="18"/>
          <w:szCs w:val="18"/>
        </w:rPr>
        <w:t>concernant</w:t>
      </w:r>
      <w:r>
        <w:rPr>
          <w:rFonts w:ascii="Marianne" w:hAnsi="Marianne"/>
          <w:sz w:val="18"/>
          <w:szCs w:val="18"/>
        </w:rPr>
        <w:t xml:space="preserve"> </w:t>
      </w:r>
      <w:r>
        <w:rPr>
          <w:rFonts w:ascii="Marianne" w:hAnsi="Marianne"/>
          <w:b/>
          <w:sz w:val="18"/>
          <w:szCs w:val="18"/>
        </w:rPr>
        <w:t>le lot</w:t>
      </w:r>
      <w:r>
        <w:rPr>
          <w:rFonts w:ascii="Marianne" w:hAnsi="Marianne"/>
          <w:sz w:val="18"/>
          <w:szCs w:val="18"/>
        </w:rPr>
        <w:t xml:space="preserve"> pour lequel il remet une offre comprendra les pièces suivantes :</w:t>
      </w:r>
    </w:p>
    <w:p>
      <w:pPr>
        <w:pStyle w:val="Paragraphe"/>
        <w:bidi w:val="0"/>
        <w:spacing w:before="0" w:after="0"/>
        <w:rPr>
          <w:rFonts w:ascii="Marianne" w:hAnsi="Marianne"/>
          <w:sz w:val="18"/>
          <w:szCs w:val="18"/>
        </w:rPr>
      </w:pPr>
      <w:r>
        <w:rPr>
          <w:rFonts w:ascii="Marianne" w:hAnsi="Marianne"/>
          <w:sz w:val="18"/>
          <w:szCs w:val="18"/>
        </w:rPr>
      </w:r>
    </w:p>
    <w:p>
      <w:pPr>
        <w:pStyle w:val="Normal"/>
        <w:keepNext w:val="true"/>
        <w:bidi w:val="0"/>
        <w:spacing w:before="0" w:after="0"/>
        <w:ind w:firstLine="708" w:left="0" w:right="0"/>
        <w:jc w:val="left"/>
        <w:rPr>
          <w:rFonts w:ascii="Marianne" w:hAnsi="Marianne"/>
          <w:b/>
          <w:i/>
          <w:sz w:val="18"/>
          <w:szCs w:val="18"/>
          <w:u w:val="single"/>
        </w:rPr>
      </w:pPr>
      <w:r>
        <w:rPr>
          <w:rFonts w:ascii="Marianne" w:hAnsi="Marianne"/>
          <w:b/>
          <w:i/>
          <w:sz w:val="18"/>
          <w:szCs w:val="18"/>
          <w:u w:val="single"/>
        </w:rPr>
        <w:t>dans un sous dossier :</w:t>
      </w:r>
    </w:p>
    <w:p>
      <w:pPr>
        <w:pStyle w:val="Normal"/>
        <w:keepNext w:val="true"/>
        <w:bidi w:val="0"/>
        <w:spacing w:before="0" w:after="0"/>
        <w:rPr>
          <w:rFonts w:ascii="Marianne" w:hAnsi="Marianne"/>
          <w:b/>
          <w:sz w:val="18"/>
          <w:szCs w:val="18"/>
        </w:rPr>
      </w:pPr>
      <w:r>
        <w:rPr>
          <w:rFonts w:ascii="Marianne" w:hAnsi="Marianne"/>
          <w:b/>
          <w:sz w:val="18"/>
          <w:szCs w:val="18"/>
        </w:rPr>
        <w:t>Situation juridique - références requises :</w:t>
      </w:r>
    </w:p>
    <w:p>
      <w:pPr>
        <w:pStyle w:val="Normal"/>
        <w:bidi w:val="0"/>
        <w:spacing w:before="0" w:after="0"/>
        <w:rPr>
          <w:rFonts w:ascii="Marianne" w:hAnsi="Marianne"/>
          <w:sz w:val="18"/>
          <w:szCs w:val="18"/>
        </w:rPr>
      </w:pPr>
      <w:r>
        <w:rPr>
          <w:rFonts w:ascii="Marianne" w:hAnsi="Marianne"/>
          <w:sz w:val="18"/>
          <w:szCs w:val="18"/>
        </w:rPr>
        <w:t>Si le candidat utilise le DUME (document unique de marché européen) :</w:t>
      </w:r>
    </w:p>
    <w:p>
      <w:pPr>
        <w:pStyle w:val="Normal"/>
        <w:bidi w:val="0"/>
        <w:spacing w:before="0" w:after="0"/>
        <w:rPr>
          <w:rFonts w:ascii="Marianne" w:hAnsi="Marianne"/>
          <w:sz w:val="18"/>
          <w:szCs w:val="18"/>
        </w:rPr>
      </w:pPr>
      <w:r>
        <w:rPr>
          <w:rFonts w:ascii="Marianne" w:hAnsi="Marianne"/>
          <w:sz w:val="18"/>
          <w:szCs w:val="18"/>
        </w:rPr>
        <w:t>=&gt; Les documents et renseignements mentionnés à l'article R.2143-4 du CCP en complétant le DUME rédigé en français.</w:t>
      </w:r>
    </w:p>
    <w:p>
      <w:pPr>
        <w:pStyle w:val="Normal"/>
        <w:bidi w:val="0"/>
        <w:spacing w:before="0" w:after="0"/>
        <w:rPr>
          <w:rFonts w:ascii="Marianne" w:hAnsi="Marianne"/>
          <w:sz w:val="18"/>
          <w:szCs w:val="18"/>
        </w:rPr>
      </w:pPr>
      <w:r>
        <w:rPr>
          <w:rFonts w:ascii="Marianne" w:hAnsi="Marianne"/>
          <w:sz w:val="18"/>
          <w:szCs w:val="18"/>
        </w:rPr>
        <w:t>Si le candidat n'utilise pas le DUME :</w:t>
      </w:r>
    </w:p>
    <w:p>
      <w:pPr>
        <w:pStyle w:val="Normal"/>
        <w:bidi w:val="0"/>
        <w:spacing w:before="0" w:after="0"/>
        <w:rPr>
          <w:rFonts w:ascii="Marianne" w:hAnsi="Marianne"/>
          <w:sz w:val="18"/>
          <w:szCs w:val="18"/>
        </w:rPr>
      </w:pPr>
      <w:r>
        <w:rPr>
          <w:rFonts w:ascii="Marianne" w:hAnsi="Marianne"/>
          <w:sz w:val="18"/>
          <w:szCs w:val="18"/>
        </w:rPr>
        <w:t xml:space="preserve">=&gt; Les documents et renseignements mentionnés à l'article R.2143-3 du CCP, à cet effet le candidat pourra utiliser les formulaires DC1 et DC2 téléchargeables sur le site </w:t>
      </w:r>
      <w:hyperlink r:id="rId2">
        <w:r>
          <w:rPr>
            <w:rStyle w:val="Hyperlink"/>
            <w:rFonts w:ascii="Marianne" w:hAnsi="Marianne"/>
            <w:sz w:val="18"/>
            <w:szCs w:val="18"/>
          </w:rPr>
          <w:t>https://www.economie.gouv.fr/daj/formulaires-declaration-du-candidat</w:t>
        </w:r>
      </w:hyperlink>
    </w:p>
    <w:p>
      <w:pPr>
        <w:pStyle w:val="Normal"/>
        <w:bidi w:val="0"/>
        <w:spacing w:before="0" w:after="0"/>
        <w:rPr>
          <w:rFonts w:ascii="Marianne" w:hAnsi="Marianne"/>
          <w:sz w:val="18"/>
          <w:szCs w:val="18"/>
        </w:rPr>
      </w:pPr>
      <w:r>
        <w:rPr>
          <w:rFonts w:ascii="Marianne" w:hAnsi="Marianne"/>
          <w:sz w:val="18"/>
          <w:szCs w:val="18"/>
        </w:rPr>
        <w:t>=&gt; Le(s) lot(s) pour lequel/lesquels la candidature est déposée ;</w:t>
      </w:r>
    </w:p>
    <w:p>
      <w:pPr>
        <w:pStyle w:val="Normal"/>
        <w:bidi w:val="0"/>
        <w:spacing w:before="0" w:after="0"/>
        <w:rPr>
          <w:rFonts w:ascii="Marianne" w:hAnsi="Marianne"/>
          <w:sz w:val="18"/>
          <w:szCs w:val="18"/>
        </w:rPr>
      </w:pPr>
      <w:bookmarkStart w:id="24" w:name="RC_3_1_2_3a_a"/>
      <w:r>
        <w:rPr>
          <w:rFonts w:ascii="Marianne" w:hAnsi="Marianne"/>
          <w:sz w:val="18"/>
          <w:szCs w:val="18"/>
        </w:rPr>
        <w:t>=&gt; Les pouvoirs de la personne habilitée pour engager le candidat y compris, en cas de groupement, le cas échéant, les habilitations nécessaires pour représenter les entreprises au stade de la passation du marché</w:t>
      </w:r>
      <w:bookmarkEnd w:id="24"/>
    </w:p>
    <w:p>
      <w:pPr>
        <w:pStyle w:val="Normal"/>
        <w:keepNext w:val="true"/>
        <w:bidi w:val="0"/>
        <w:spacing w:before="0" w:after="0"/>
        <w:jc w:val="both"/>
        <w:rPr>
          <w:rFonts w:ascii="Marianne" w:hAnsi="Marianne"/>
          <w:sz w:val="18"/>
          <w:szCs w:val="18"/>
        </w:rPr>
      </w:pPr>
      <w:r>
        <w:rPr>
          <w:rFonts w:ascii="Marianne" w:hAnsi="Marianne"/>
          <w:sz w:val="18"/>
          <w:szCs w:val="18"/>
        </w:rPr>
      </w:r>
    </w:p>
    <w:p>
      <w:pPr>
        <w:pStyle w:val="Normal"/>
        <w:bidi w:val="0"/>
        <w:spacing w:before="0" w:after="0"/>
        <w:jc w:val="both"/>
        <w:rPr>
          <w:rFonts w:ascii="Marianne" w:hAnsi="Marianne"/>
          <w:sz w:val="18"/>
          <w:szCs w:val="18"/>
        </w:rPr>
      </w:pPr>
      <w:r>
        <w:rPr>
          <w:rFonts w:ascii="Marianne" w:hAnsi="Marianne"/>
          <w:sz w:val="18"/>
          <w:szCs w:val="18"/>
        </w:rPr>
        <w:t>Nota :</w:t>
      </w:r>
    </w:p>
    <w:p>
      <w:pPr>
        <w:pStyle w:val="Normal"/>
        <w:bidi w:val="0"/>
        <w:spacing w:before="0" w:after="0"/>
        <w:jc w:val="both"/>
        <w:rPr>
          <w:rFonts w:ascii="Marianne" w:hAnsi="Marianne"/>
          <w:sz w:val="18"/>
          <w:szCs w:val="18"/>
        </w:rPr>
      </w:pPr>
      <w:r>
        <w:rPr>
          <w:rFonts w:ascii="Marianne" w:hAnsi="Marianne"/>
          <w:sz w:val="18"/>
          <w:szCs w:val="18"/>
        </w:rPr>
        <w:t xml:space="preserve">- Les candidats entrant dans le cas des interdictions de soumissionner prévues </w:t>
      </w:r>
      <w:r>
        <w:rPr>
          <w:rFonts w:ascii="Marianne" w:hAnsi="Marianne"/>
          <w:color w:val="auto"/>
          <w:sz w:val="18"/>
          <w:szCs w:val="18"/>
        </w:rPr>
        <w:t>aux articles L.2141-1 à L.2141-6 du CCP s</w:t>
      </w:r>
      <w:r>
        <w:rPr>
          <w:rFonts w:ascii="Marianne" w:hAnsi="Marianne"/>
          <w:sz w:val="18"/>
          <w:szCs w:val="18"/>
        </w:rPr>
        <w:t>eront exclus;</w:t>
      </w:r>
    </w:p>
    <w:p>
      <w:pPr>
        <w:pStyle w:val="Normal"/>
        <w:bidi w:val="0"/>
        <w:spacing w:before="0" w:after="0"/>
        <w:jc w:val="both"/>
        <w:rPr>
          <w:rFonts w:ascii="Marianne" w:hAnsi="Marianne"/>
          <w:sz w:val="18"/>
          <w:szCs w:val="18"/>
        </w:rPr>
      </w:pPr>
      <w:r>
        <w:rPr>
          <w:rFonts w:ascii="Marianne" w:hAnsi="Marianne"/>
          <w:sz w:val="18"/>
          <w:szCs w:val="18"/>
        </w:rPr>
        <w:t xml:space="preserve">- Les candidats entrant dans les cas des interdictions de soumissionner prévues </w:t>
      </w:r>
      <w:r>
        <w:rPr>
          <w:rFonts w:ascii="Marianne" w:hAnsi="Marianne"/>
          <w:color w:val="auto"/>
          <w:sz w:val="18"/>
          <w:szCs w:val="18"/>
        </w:rPr>
        <w:t>aux articles L.2141-7 à L.2141-11 du CCP pourront être exclus;</w:t>
      </w:r>
    </w:p>
    <w:p>
      <w:pPr>
        <w:pStyle w:val="Normal"/>
        <w:bidi w:val="0"/>
        <w:spacing w:before="0" w:after="0"/>
        <w:jc w:val="both"/>
        <w:rPr>
          <w:rFonts w:ascii="Marianne" w:hAnsi="Marianne"/>
          <w:sz w:val="18"/>
          <w:szCs w:val="18"/>
        </w:rPr>
      </w:pPr>
      <w:r>
        <w:rPr>
          <w:rFonts w:ascii="Marianne" w:hAnsi="Marianne"/>
          <w:sz w:val="18"/>
          <w:szCs w:val="18"/>
        </w:rPr>
      </w:r>
    </w:p>
    <w:p>
      <w:pPr>
        <w:pStyle w:val="Normal"/>
        <w:keepNext w:val="true"/>
        <w:bidi w:val="0"/>
        <w:spacing w:before="0" w:after="0"/>
        <w:rPr>
          <w:rFonts w:ascii="Marianne" w:hAnsi="Marianne"/>
          <w:b/>
          <w:sz w:val="18"/>
          <w:szCs w:val="18"/>
        </w:rPr>
      </w:pPr>
      <w:r>
        <w:rPr>
          <w:rFonts w:ascii="Marianne" w:hAnsi="Marianne"/>
          <w:b/>
          <w:sz w:val="18"/>
          <w:szCs w:val="18"/>
        </w:rPr>
        <w:t>Capacité économique et financière - références requises :</w:t>
      </w:r>
    </w:p>
    <w:p>
      <w:pPr>
        <w:pStyle w:val="Normal"/>
        <w:bidi w:val="0"/>
        <w:spacing w:before="0" w:after="0"/>
        <w:rPr>
          <w:rFonts w:ascii="Marianne" w:hAnsi="Marianne"/>
          <w:sz w:val="18"/>
          <w:szCs w:val="18"/>
        </w:rPr>
      </w:pPr>
      <w:r>
        <w:rPr>
          <w:rFonts w:ascii="Marianne" w:hAnsi="Marianne"/>
          <w:sz w:val="18"/>
          <w:szCs w:val="18"/>
        </w:rPr>
        <w:t>Si le candidat utilise le DUME :</w:t>
      </w:r>
    </w:p>
    <w:p>
      <w:pPr>
        <w:pStyle w:val="Normal"/>
        <w:bidi w:val="0"/>
        <w:spacing w:before="0" w:after="0"/>
        <w:rPr>
          <w:rFonts w:ascii="Marianne" w:hAnsi="Marianne"/>
          <w:sz w:val="18"/>
          <w:szCs w:val="18"/>
        </w:rPr>
      </w:pPr>
      <w:r>
        <w:rPr>
          <w:rFonts w:ascii="Marianne" w:hAnsi="Marianne"/>
          <w:sz w:val="18"/>
          <w:szCs w:val="18"/>
        </w:rPr>
        <w:t>=&gt; Les documents et renseignements mentionnés à l'article R.2143-4 du CCP en complétant le DUME rédigé en français avec :</w:t>
      </w:r>
    </w:p>
    <w:p>
      <w:pPr>
        <w:pStyle w:val="Normal"/>
        <w:bidi w:val="0"/>
        <w:spacing w:before="0" w:after="0"/>
        <w:rPr>
          <w:rFonts w:ascii="Marianne" w:hAnsi="Marianne"/>
          <w:sz w:val="18"/>
          <w:szCs w:val="18"/>
        </w:rPr>
      </w:pPr>
      <w:r>
        <w:rPr>
          <w:rFonts w:ascii="Marianne" w:hAnsi="Marianne"/>
          <w:sz w:val="18"/>
          <w:szCs w:val="18"/>
        </w:rPr>
        <w:t>- le chiffre d'affaires annuel des 3 derniers exercices (partie IV B 1a)</w:t>
      </w:r>
    </w:p>
    <w:p>
      <w:pPr>
        <w:pStyle w:val="Normal"/>
        <w:bidi w:val="0"/>
        <w:spacing w:before="0" w:after="0"/>
        <w:rPr>
          <w:rFonts w:ascii="Marianne" w:hAnsi="Marianne"/>
          <w:sz w:val="18"/>
          <w:szCs w:val="18"/>
        </w:rPr>
      </w:pPr>
      <w:r>
        <w:rPr>
          <w:rFonts w:ascii="Marianne" w:hAnsi="Marianne"/>
          <w:sz w:val="18"/>
          <w:szCs w:val="18"/>
        </w:rPr>
        <w:t>- le chiffre d'affaires annuel moyen dans le domaine d'activités couvert par le marché (partie IV B 2b)</w:t>
      </w:r>
    </w:p>
    <w:p>
      <w:pPr>
        <w:pStyle w:val="Normal"/>
        <w:bidi w:val="0"/>
        <w:spacing w:before="0" w:after="0"/>
        <w:rPr>
          <w:rFonts w:ascii="Marianne" w:hAnsi="Marianne"/>
          <w:sz w:val="18"/>
          <w:szCs w:val="18"/>
        </w:rPr>
      </w:pPr>
      <w:r>
        <w:rPr>
          <w:rFonts w:ascii="Marianne" w:hAnsi="Marianne"/>
          <w:sz w:val="18"/>
          <w:szCs w:val="18"/>
        </w:rPr>
        <w:t>Si le candidat n'utilise pas le DUME :</w:t>
      </w:r>
    </w:p>
    <w:p>
      <w:pPr>
        <w:pStyle w:val="Normal"/>
        <w:bidi w:val="0"/>
        <w:spacing w:before="0" w:after="0"/>
        <w:rPr>
          <w:rFonts w:ascii="Marianne" w:hAnsi="Marianne"/>
          <w:sz w:val="18"/>
          <w:szCs w:val="18"/>
        </w:rPr>
      </w:pPr>
      <w:r>
        <w:rPr>
          <w:rFonts w:ascii="Marianne" w:hAnsi="Marianne"/>
          <w:sz w:val="18"/>
          <w:szCs w:val="18"/>
        </w:rPr>
        <w:t>=&gt; Une déclaration concernant le chiffre d'affaires global et le chiffre d'affaires concernant les travaux objet du marché, réalisés au cours des 3 derniers exercices disponibles ;</w:t>
      </w:r>
    </w:p>
    <w:p>
      <w:pPr>
        <w:pStyle w:val="Normal"/>
        <w:bidi w:val="0"/>
        <w:spacing w:before="0" w:after="0"/>
        <w:rPr>
          <w:rFonts w:ascii="Marianne" w:hAnsi="Marianne"/>
          <w:sz w:val="18"/>
          <w:szCs w:val="18"/>
        </w:rPr>
      </w:pPr>
      <w:r>
        <w:rPr>
          <w:rFonts w:ascii="Marianne" w:hAnsi="Marianne"/>
          <w:sz w:val="18"/>
          <w:szCs w:val="18"/>
        </w:rPr>
        <w:t>=&gt; Une déclaration appropriée de banques ou preuve d'une assurance pour les risques professionnels par attestation conforme à l'article A 243-2 et suivants du code des assurances</w:t>
      </w:r>
    </w:p>
    <w:p>
      <w:pPr>
        <w:pStyle w:val="Normal"/>
        <w:bidi w:val="0"/>
        <w:spacing w:before="0" w:after="0"/>
        <w:rPr>
          <w:rFonts w:ascii="Marianne" w:hAnsi="Marianne"/>
          <w:sz w:val="18"/>
          <w:szCs w:val="18"/>
        </w:rPr>
      </w:pPr>
      <w:bookmarkStart w:id="25" w:name="RC_3_2_1_3c_a"/>
      <w:r>
        <w:rPr>
          <w:rFonts w:ascii="Marianne" w:hAnsi="Marianne"/>
          <w:sz w:val="18"/>
          <w:szCs w:val="18"/>
        </w:rPr>
        <w:t>Le candidat peut prouver sa capacité par tout autre document considéré comme équivalent par le maître d'ouvrage.</w:t>
      </w:r>
      <w:bookmarkEnd w:id="25"/>
    </w:p>
    <w:p>
      <w:pPr>
        <w:pStyle w:val="Normal"/>
        <w:bidi w:val="0"/>
        <w:spacing w:before="0" w:after="0"/>
        <w:rPr>
          <w:rFonts w:ascii="Marianne" w:hAnsi="Marianne"/>
          <w:sz w:val="18"/>
          <w:szCs w:val="18"/>
        </w:rPr>
      </w:pPr>
      <w:r>
        <w:rPr>
          <w:rFonts w:ascii="Marianne" w:hAnsi="Marianne"/>
          <w:sz w:val="18"/>
          <w:szCs w:val="18"/>
        </w:rPr>
      </w:r>
    </w:p>
    <w:p>
      <w:pPr>
        <w:pStyle w:val="Normal"/>
        <w:keepNext w:val="true"/>
        <w:bidi w:val="0"/>
        <w:spacing w:before="0" w:after="0"/>
        <w:rPr>
          <w:rFonts w:ascii="Marianne" w:hAnsi="Marianne"/>
          <w:b/>
          <w:sz w:val="18"/>
          <w:szCs w:val="18"/>
        </w:rPr>
      </w:pPr>
      <w:r>
        <w:rPr>
          <w:rFonts w:ascii="Marianne" w:hAnsi="Marianne"/>
          <w:b/>
          <w:sz w:val="18"/>
          <w:szCs w:val="18"/>
        </w:rPr>
        <w:t>Référence professionnelle et capacité technique - références requises :</w:t>
      </w:r>
    </w:p>
    <w:p>
      <w:pPr>
        <w:pStyle w:val="Normal"/>
        <w:widowControl w:val="false"/>
        <w:bidi w:val="0"/>
        <w:spacing w:before="0" w:after="0"/>
        <w:rPr>
          <w:rFonts w:ascii="Marianne" w:hAnsi="Marianne"/>
          <w:sz w:val="18"/>
          <w:szCs w:val="18"/>
        </w:rPr>
      </w:pPr>
      <w:r>
        <w:rPr>
          <w:rFonts w:ascii="Marianne" w:hAnsi="Marianne"/>
          <w:sz w:val="18"/>
          <w:szCs w:val="18"/>
        </w:rPr>
        <w:t>Si le candidat utilise le DUME :</w:t>
      </w:r>
    </w:p>
    <w:p>
      <w:pPr>
        <w:pStyle w:val="Normal"/>
        <w:widowControl w:val="false"/>
        <w:bidi w:val="0"/>
        <w:spacing w:before="0" w:after="0"/>
        <w:rPr>
          <w:rFonts w:ascii="Marianne" w:hAnsi="Marianne"/>
          <w:sz w:val="18"/>
          <w:szCs w:val="18"/>
        </w:rPr>
      </w:pPr>
      <w:r>
        <w:rPr>
          <w:rFonts w:ascii="Marianne" w:hAnsi="Marianne"/>
          <w:sz w:val="18"/>
          <w:szCs w:val="18"/>
        </w:rPr>
        <w:t>=&gt; Les documents et renseignements mentionnés à l'article R.2143-4 du CCP en complétant le DUME rédigé en français avec :</w:t>
      </w:r>
    </w:p>
    <w:p>
      <w:pPr>
        <w:pStyle w:val="Normal"/>
        <w:widowControl w:val="false"/>
        <w:bidi w:val="0"/>
        <w:spacing w:before="0" w:after="0"/>
        <w:rPr>
          <w:rFonts w:ascii="Marianne" w:hAnsi="Marianne"/>
          <w:sz w:val="18"/>
          <w:szCs w:val="18"/>
        </w:rPr>
      </w:pPr>
      <w:r>
        <w:rPr>
          <w:rFonts w:ascii="Marianne" w:hAnsi="Marianne"/>
          <w:sz w:val="18"/>
          <w:szCs w:val="18"/>
        </w:rPr>
        <w:t>- une liste des travaux exécutés sur les 5 dernières années~RC</w:t>
        <w:tab/>
      </w:r>
    </w:p>
    <w:p>
      <w:pPr>
        <w:pStyle w:val="Normal"/>
        <w:widowControl w:val="false"/>
        <w:bidi w:val="0"/>
        <w:spacing w:before="0" w:after="0"/>
        <w:rPr>
          <w:rFonts w:ascii="Marianne" w:hAnsi="Marianne"/>
          <w:sz w:val="18"/>
          <w:szCs w:val="18"/>
        </w:rPr>
      </w:pPr>
      <w:r>
        <w:rPr>
          <w:rFonts w:ascii="Marianne" w:hAnsi="Marianne"/>
          <w:sz w:val="18"/>
          <w:szCs w:val="18"/>
        </w:rPr>
        <w:t>- le nom des techniciens ou des organismes techniques auxquels il fera appel (partie IV C 2)</w:t>
      </w:r>
    </w:p>
    <w:p>
      <w:pPr>
        <w:pStyle w:val="Normal"/>
        <w:widowControl w:val="false"/>
        <w:bidi w:val="0"/>
        <w:spacing w:before="0" w:after="0"/>
        <w:rPr>
          <w:rFonts w:ascii="Marianne" w:hAnsi="Marianne"/>
          <w:sz w:val="18"/>
          <w:szCs w:val="18"/>
        </w:rPr>
      </w:pPr>
      <w:r>
        <w:rPr>
          <w:rFonts w:ascii="Marianne" w:hAnsi="Marianne"/>
          <w:sz w:val="18"/>
          <w:szCs w:val="18"/>
        </w:rPr>
        <w:t>- la liste des équipements techniques et des mesures pour s'assurer de la qualité et celle des moyens d'études et de recherches (partie IV C 3)</w:t>
      </w:r>
    </w:p>
    <w:p>
      <w:pPr>
        <w:pStyle w:val="Normal"/>
        <w:widowControl w:val="false"/>
        <w:bidi w:val="0"/>
        <w:spacing w:before="0" w:after="0"/>
        <w:rPr>
          <w:rFonts w:ascii="Marianne" w:hAnsi="Marianne"/>
          <w:sz w:val="18"/>
          <w:szCs w:val="18"/>
        </w:rPr>
      </w:pPr>
      <w:r>
        <w:rPr>
          <w:rFonts w:ascii="Marianne" w:hAnsi="Marianne"/>
          <w:sz w:val="18"/>
          <w:szCs w:val="18"/>
        </w:rPr>
      </w:r>
    </w:p>
    <w:p>
      <w:pPr>
        <w:pStyle w:val="Normal"/>
        <w:widowControl w:val="false"/>
        <w:bidi w:val="0"/>
        <w:spacing w:before="0" w:after="0"/>
        <w:rPr>
          <w:rFonts w:ascii="Marianne" w:hAnsi="Marianne"/>
          <w:sz w:val="18"/>
          <w:szCs w:val="18"/>
        </w:rPr>
      </w:pPr>
      <w:r>
        <w:rPr>
          <w:rFonts w:ascii="Marianne" w:hAnsi="Marianne"/>
          <w:sz w:val="18"/>
          <w:szCs w:val="18"/>
        </w:rPr>
        <w:t>Si le candidat n'utilise pas le DUME :</w:t>
      </w:r>
    </w:p>
    <w:p>
      <w:pPr>
        <w:pStyle w:val="Normal"/>
        <w:widowControl w:val="false"/>
        <w:bidi w:val="0"/>
        <w:spacing w:before="0" w:after="0"/>
        <w:rPr>
          <w:rFonts w:ascii="Marianne" w:hAnsi="Marianne"/>
          <w:sz w:val="18"/>
          <w:szCs w:val="18"/>
        </w:rPr>
      </w:pPr>
      <w:r>
        <w:rPr>
          <w:rFonts w:ascii="Marianne" w:hAnsi="Marianne"/>
          <w:sz w:val="18"/>
          <w:szCs w:val="18"/>
        </w:rPr>
        <w:t>=&gt; Expérience : La présentation d'une liste des travaux en cours d'exécution ou exécutés au cours des 5 dernières années, appuyée d'attestations de bonne exécution pour les travaux les plus importants. Ces attestations indiquent le montant, l'époque et le lieu d'exécution des travaux et précisent s'ils ont été effectués selon les règles de l'art et menés régulièrement à bonne fin.</w:t>
      </w:r>
    </w:p>
    <w:p>
      <w:pPr>
        <w:pStyle w:val="Normal"/>
        <w:widowControl w:val="false"/>
        <w:bidi w:val="0"/>
        <w:spacing w:before="0" w:after="0"/>
        <w:rPr>
          <w:rFonts w:ascii="Marianne" w:hAnsi="Marianne"/>
          <w:sz w:val="18"/>
          <w:szCs w:val="18"/>
        </w:rPr>
      </w:pPr>
      <w:r>
        <w:rPr>
          <w:rFonts w:ascii="Marianne" w:hAnsi="Marianne"/>
          <w:sz w:val="18"/>
          <w:szCs w:val="18"/>
        </w:rPr>
        <w:t>=&gt; Capacités professionnelles :</w:t>
      </w:r>
    </w:p>
    <w:p>
      <w:pPr>
        <w:pStyle w:val="Normal"/>
        <w:widowControl w:val="false"/>
        <w:bidi w:val="0"/>
        <w:spacing w:before="0" w:after="0"/>
        <w:rPr>
          <w:rFonts w:ascii="Marianne" w:hAnsi="Marianne"/>
          <w:sz w:val="18"/>
          <w:szCs w:val="18"/>
        </w:rPr>
      </w:pPr>
      <w:r>
        <w:rPr>
          <w:rFonts w:ascii="Marianne" w:hAnsi="Marianne"/>
          <w:sz w:val="18"/>
          <w:szCs w:val="18"/>
        </w:rPr>
        <w:t>* L'indication des titres d'études et professionnels de l'opérateur économique et/ou des cadres de l'entreprise, et notamment des responsables de conduite des travaux de même nature que celle du marché</w:t>
      </w:r>
    </w:p>
    <w:p>
      <w:pPr>
        <w:pStyle w:val="Normal"/>
        <w:widowControl w:val="false"/>
        <w:bidi w:val="0"/>
        <w:spacing w:before="0" w:after="0"/>
        <w:rPr>
          <w:rFonts w:ascii="Marianne" w:hAnsi="Marianne"/>
          <w:sz w:val="18"/>
          <w:szCs w:val="18"/>
        </w:rPr>
      </w:pPr>
      <w:r>
        <w:rPr>
          <w:rFonts w:ascii="Marianne" w:hAnsi="Marianne"/>
          <w:sz w:val="18"/>
          <w:szCs w:val="18"/>
        </w:rPr>
        <w:t>* Les certificats de qualifications professionnelles suivants :</w:t>
      </w:r>
    </w:p>
    <w:p>
      <w:pPr>
        <w:pStyle w:val="Normal"/>
        <w:widowControl w:val="false"/>
        <w:bidi w:val="0"/>
        <w:spacing w:before="0" w:after="0"/>
        <w:rPr>
          <w:rFonts w:ascii="Marianne" w:hAnsi="Marianne"/>
          <w:sz w:val="18"/>
          <w:szCs w:val="18"/>
        </w:rPr>
      </w:pPr>
      <w:r>
        <w:rPr>
          <w:rFonts w:ascii="Marianne" w:hAnsi="Marianne"/>
          <w:sz w:val="18"/>
          <w:szCs w:val="18"/>
        </w:rPr>
        <w:t>* Les certificats de qualité ci-après, délivrés par des organismes indépendants fondés sur les normes européennes :</w:t>
      </w:r>
    </w:p>
    <w:p>
      <w:pPr>
        <w:pStyle w:val="Normal"/>
        <w:widowControl w:val="false"/>
        <w:bidi w:val="0"/>
        <w:spacing w:before="0" w:after="0"/>
        <w:rPr>
          <w:rFonts w:ascii="Marianne" w:hAnsi="Marianne"/>
          <w:sz w:val="18"/>
          <w:szCs w:val="18"/>
        </w:rPr>
      </w:pPr>
      <w:r>
        <w:rPr>
          <w:rFonts w:ascii="Marianne" w:hAnsi="Marianne"/>
          <w:sz w:val="18"/>
          <w:szCs w:val="18"/>
        </w:rPr>
        <w:t>La preuve de ces capacités peut être apportée par tout autre moyen notamment par des certificats d'identité professionnelle ou des références de travaux attestant de la compétence de l'opérateur économique à réaliser la prestation pour laquelle il se porte candidat.</w:t>
      </w:r>
    </w:p>
    <w:p>
      <w:pPr>
        <w:pStyle w:val="Normal"/>
        <w:widowControl w:val="false"/>
        <w:bidi w:val="0"/>
        <w:spacing w:before="0" w:after="0"/>
        <w:rPr>
          <w:rFonts w:ascii="Marianne" w:hAnsi="Marianne"/>
          <w:sz w:val="18"/>
          <w:szCs w:val="18"/>
        </w:rPr>
      </w:pPr>
      <w:r>
        <w:rPr>
          <w:rFonts w:ascii="Marianne" w:hAnsi="Marianne"/>
          <w:sz w:val="18"/>
          <w:szCs w:val="18"/>
        </w:rPr>
        <w:t>=&gt;</w:t>
      </w:r>
      <w:bookmarkStart w:id="26" w:name="RC_3_1_2_3d_a"/>
      <w:r>
        <w:rPr>
          <w:rFonts w:ascii="Marianne" w:hAnsi="Marianne"/>
          <w:sz w:val="18"/>
          <w:szCs w:val="18"/>
        </w:rPr>
        <w:t xml:space="preserve"> Capacités techniques :</w:t>
      </w:r>
    </w:p>
    <w:p>
      <w:pPr>
        <w:pStyle w:val="Normal"/>
        <w:widowControl w:val="false"/>
        <w:bidi w:val="0"/>
        <w:spacing w:before="0" w:after="0"/>
        <w:rPr>
          <w:rFonts w:ascii="Marianne" w:hAnsi="Marianne"/>
          <w:sz w:val="18"/>
          <w:szCs w:val="18"/>
        </w:rPr>
      </w:pPr>
      <w:r>
        <w:rPr>
          <w:rFonts w:ascii="Marianne" w:hAnsi="Marianne"/>
          <w:sz w:val="18"/>
          <w:szCs w:val="18"/>
        </w:rPr>
        <w:t>* Une déclaration indiquant les effectifs moyens annuels du candidat et l'importance du personnel d'encadrement, pour chacune des 3 dernières années ;</w:t>
      </w:r>
    </w:p>
    <w:p>
      <w:pPr>
        <w:pStyle w:val="Normal"/>
        <w:widowControl w:val="false"/>
        <w:bidi w:val="0"/>
        <w:spacing w:before="0" w:after="0"/>
        <w:rPr>
          <w:rFonts w:ascii="Marianne" w:hAnsi="Marianne"/>
          <w:sz w:val="18"/>
          <w:szCs w:val="18"/>
        </w:rPr>
      </w:pPr>
      <w:r>
        <w:rPr>
          <w:rFonts w:ascii="Marianne" w:hAnsi="Marianne"/>
          <w:sz w:val="18"/>
          <w:szCs w:val="18"/>
        </w:rPr>
        <w:t>* Une déclaration indiquant l'outillage, le matériel et l'équipement technique dont le candidat dispose pour la réalisation du marché public ;</w:t>
      </w:r>
      <w:bookmarkEnd w:id="26"/>
    </w:p>
    <w:p>
      <w:pPr>
        <w:pStyle w:val="Normal"/>
        <w:bidi w:val="0"/>
        <w:spacing w:before="0" w:after="0"/>
        <w:rPr>
          <w:rFonts w:ascii="Marianne" w:hAnsi="Marianne"/>
          <w:sz w:val="18"/>
          <w:szCs w:val="18"/>
        </w:rPr>
      </w:pPr>
      <w:r>
        <w:rPr>
          <w:rFonts w:ascii="Marianne" w:hAnsi="Marianne"/>
          <w:sz w:val="18"/>
          <w:szCs w:val="18"/>
        </w:rPr>
      </w:r>
    </w:p>
    <w:p>
      <w:pPr>
        <w:pStyle w:val="Normal"/>
        <w:bidi w:val="0"/>
        <w:spacing w:before="0" w:after="0"/>
        <w:rPr>
          <w:rFonts w:ascii="Marianne" w:hAnsi="Marianne"/>
          <w:sz w:val="18"/>
          <w:szCs w:val="18"/>
        </w:rPr>
      </w:pPr>
      <w:r>
        <w:rPr>
          <w:rFonts w:ascii="Marianne" w:hAnsi="Marianne"/>
          <w:sz w:val="18"/>
          <w:szCs w:val="18"/>
        </w:rPr>
        <w:t>Pour justifier de ses capacités professionnelles, techniques et financières, le candidat, même s’il s’agit d’un groupement, peut demander que soient également prises en compte les capacités professionnelles, techniques et financières d’autres opérateurs économiques quelle que soit la nature juridique des liens existant entre ces opérateurs et lui (notamment en cas de sous-traitance). Dans cette hypothèse, le candidat apporte les justifications des capacités du ou des opérateurs économiques en cause et produit un engagement écrit de ce ou ces derniers justifiant qu’il en dispose pour l’exécution du marché.</w:t>
      </w:r>
    </w:p>
    <w:p>
      <w:pPr>
        <w:pStyle w:val="Normal"/>
        <w:bidi w:val="0"/>
        <w:spacing w:before="0" w:after="0"/>
        <w:rPr>
          <w:rFonts w:ascii="Marianne" w:hAnsi="Marianne"/>
          <w:sz w:val="18"/>
          <w:szCs w:val="18"/>
        </w:rPr>
      </w:pPr>
      <w:r>
        <w:rPr>
          <w:rFonts w:ascii="Marianne" w:hAnsi="Marianne"/>
          <w:sz w:val="18"/>
          <w:szCs w:val="18"/>
        </w:rPr>
      </w:r>
    </w:p>
    <w:p>
      <w:pPr>
        <w:pStyle w:val="FootnoteText"/>
        <w:widowControl w:val="false"/>
        <w:bidi w:val="0"/>
        <w:spacing w:before="0" w:after="0"/>
        <w:jc w:val="both"/>
        <w:rPr>
          <w:rFonts w:ascii="Marianne" w:hAnsi="Marianne"/>
          <w:b w:val="false"/>
          <w:bCs w:val="false"/>
          <w:i w:val="false"/>
          <w:iCs w:val="false"/>
          <w:color w:val="auto"/>
          <w:sz w:val="18"/>
          <w:szCs w:val="18"/>
          <w:u w:val="none"/>
          <w:shd w:fill="auto" w:val="clear"/>
        </w:rPr>
      </w:pPr>
      <w:r>
        <w:rPr>
          <w:rFonts w:ascii="Marianne" w:hAnsi="Marianne"/>
          <w:b w:val="false"/>
          <w:bCs w:val="false"/>
          <w:i w:val="false"/>
          <w:iCs w:val="false"/>
          <w:color w:val="000000"/>
          <w:sz w:val="18"/>
          <w:szCs w:val="18"/>
          <w:u w:val="none"/>
          <w:shd w:fill="auto" w:val="clear"/>
        </w:rPr>
        <w:t>L’acheteur exige la fourniture des documents demandés même s’ils ont déjà été transmis lors d’une précédente consultation</w:t>
      </w:r>
    </w:p>
    <w:p>
      <w:pPr>
        <w:pStyle w:val="FootnoteText"/>
        <w:widowControl w:val="false"/>
        <w:bidi w:val="0"/>
        <w:spacing w:before="0" w:after="0"/>
        <w:jc w:val="both"/>
        <w:rPr>
          <w:b w:val="false"/>
          <w:bCs w:val="false"/>
          <w:i w:val="false"/>
          <w:iCs w:val="false"/>
          <w:color w:val="auto"/>
          <w:u w:val="none"/>
          <w:shd w:fill="auto" w:val="clear"/>
        </w:rPr>
      </w:pPr>
      <w:r>
        <w:rPr>
          <w:b w:val="false"/>
          <w:bCs w:val="false"/>
          <w:i w:val="false"/>
          <w:iCs w:val="false"/>
          <w:color w:val="auto"/>
          <w:u w:val="none"/>
          <w:shd w:fill="auto" w:val="clear"/>
        </w:rPr>
      </w:r>
    </w:p>
    <w:p>
      <w:pPr>
        <w:pStyle w:val="Normal"/>
        <w:keepNext w:val="true"/>
        <w:numPr>
          <w:ilvl w:val="0"/>
          <w:numId w:val="0"/>
        </w:numPr>
        <w:bidi w:val="0"/>
        <w:spacing w:before="0" w:after="0"/>
        <w:ind w:hanging="0" w:left="0"/>
        <w:jc w:val="left"/>
        <w:rPr>
          <w:rFonts w:ascii="Marianne" w:hAnsi="Marianne"/>
          <w:b/>
          <w:i/>
          <w:sz w:val="18"/>
          <w:szCs w:val="18"/>
          <w:u w:val="single"/>
        </w:rPr>
      </w:pPr>
      <w:r>
        <w:rPr>
          <w:rFonts w:ascii="Marianne" w:hAnsi="Marianne"/>
          <w:b/>
          <w:i/>
          <w:sz w:val="18"/>
          <w:szCs w:val="18"/>
          <w:u w:val="single"/>
        </w:rPr>
        <w:t xml:space="preserve">dans </w:t>
      </w:r>
      <w:r>
        <w:rPr>
          <w:rFonts w:ascii="Marianne" w:hAnsi="Marianne"/>
          <w:b/>
          <w:i/>
          <w:color w:val="000000"/>
          <w:sz w:val="18"/>
          <w:szCs w:val="18"/>
          <w:u w:val="single"/>
        </w:rPr>
        <w:t>un autre sous dossier</w:t>
      </w:r>
      <w:r>
        <w:rPr>
          <w:rFonts w:ascii="Marianne" w:hAnsi="Marianne"/>
          <w:b/>
          <w:i/>
          <w:sz w:val="18"/>
          <w:szCs w:val="18"/>
          <w:u w:val="single"/>
        </w:rPr>
        <w:t> :</w:t>
      </w:r>
    </w:p>
    <w:p>
      <w:pPr>
        <w:pStyle w:val="Normal"/>
        <w:bidi w:val="0"/>
        <w:spacing w:before="0" w:after="0"/>
        <w:rPr>
          <w:rFonts w:ascii="Marianne" w:hAnsi="Marianne"/>
          <w:sz w:val="18"/>
          <w:szCs w:val="18"/>
        </w:rPr>
      </w:pPr>
      <w:r>
        <w:rPr>
          <w:rFonts w:ascii="Marianne" w:hAnsi="Marianne"/>
          <w:b/>
          <w:sz w:val="18"/>
          <w:szCs w:val="18"/>
        </w:rPr>
        <w:t>-</w:t>
      </w:r>
      <w:r>
        <w:rPr>
          <w:rFonts w:ascii="Marianne" w:hAnsi="Marianne"/>
          <w:sz w:val="18"/>
          <w:szCs w:val="18"/>
        </w:rPr>
        <w:t xml:space="preserve"> </w:t>
      </w:r>
      <w:r>
        <w:rPr>
          <w:rFonts w:ascii="Marianne" w:hAnsi="Marianne"/>
          <w:b/>
          <w:sz w:val="18"/>
          <w:szCs w:val="18"/>
        </w:rPr>
        <w:t>Un projet de marché</w:t>
      </w:r>
      <w:r>
        <w:rPr>
          <w:rFonts w:ascii="Marianne" w:hAnsi="Marianne"/>
          <w:sz w:val="18"/>
          <w:szCs w:val="18"/>
        </w:rPr>
        <w:t xml:space="preserve"> comprenant :</w:t>
      </w:r>
    </w:p>
    <w:p>
      <w:pPr>
        <w:pStyle w:val="Normal"/>
        <w:numPr>
          <w:ilvl w:val="0"/>
          <w:numId w:val="6"/>
        </w:numPr>
        <w:tabs>
          <w:tab w:val="clear" w:pos="709"/>
          <w:tab w:val="left" w:pos="1004" w:leader="none"/>
        </w:tabs>
        <w:bidi w:val="0"/>
        <w:spacing w:before="0" w:after="0"/>
        <w:ind w:hanging="360" w:left="1004" w:right="0"/>
        <w:jc w:val="both"/>
        <w:rPr>
          <w:rFonts w:ascii="Marianne" w:hAnsi="Marianne"/>
          <w:sz w:val="18"/>
          <w:szCs w:val="18"/>
        </w:rPr>
      </w:pPr>
      <w:r>
        <w:rPr>
          <w:rFonts w:ascii="Marianne" w:hAnsi="Marianne"/>
          <w:sz w:val="18"/>
          <w:szCs w:val="18"/>
        </w:rPr>
        <w:t>L'acte d'engagement : cadre ci-joint à compléter, par le(s) représentant(s) habilité(s) de l'entreprise ;</w:t>
      </w:r>
    </w:p>
    <w:p>
      <w:pPr>
        <w:pStyle w:val="Normal"/>
        <w:keepNext w:val="true"/>
        <w:bidi w:val="0"/>
        <w:spacing w:before="0" w:after="0"/>
        <w:ind w:hanging="0" w:left="570" w:right="0"/>
        <w:rPr>
          <w:rFonts w:ascii="Marianne" w:hAnsi="Marianne"/>
          <w:sz w:val="18"/>
          <w:szCs w:val="18"/>
        </w:rPr>
      </w:pPr>
      <w:r>
        <w:rPr>
          <w:rFonts w:ascii="Marianne" w:hAnsi="Marianne"/>
          <w:sz w:val="18"/>
          <w:szCs w:val="18"/>
        </w:rPr>
        <w:t xml:space="preserve">Dans le cas d'un </w:t>
      </w:r>
      <w:r>
        <w:rPr>
          <w:rFonts w:ascii="Marianne" w:hAnsi="Marianne"/>
          <w:b/>
          <w:sz w:val="18"/>
          <w:szCs w:val="18"/>
        </w:rPr>
        <w:t>groupement conjoint</w:t>
      </w:r>
      <w:r>
        <w:rPr>
          <w:rFonts w:ascii="Marianne" w:hAnsi="Marianne"/>
          <w:sz w:val="18"/>
          <w:szCs w:val="18"/>
        </w:rPr>
        <w:t>, le candidat joindra l'annexe relative à la répartition et la valorisation des prestations entre les cotraitants ;</w:t>
      </w:r>
    </w:p>
    <w:p>
      <w:pPr>
        <w:pStyle w:val="Normal"/>
        <w:bidi w:val="0"/>
        <w:spacing w:before="0" w:after="0"/>
        <w:ind w:hanging="0" w:left="567" w:right="0"/>
        <w:rPr>
          <w:rFonts w:ascii="Marianne" w:hAnsi="Marianne"/>
          <w:sz w:val="18"/>
          <w:szCs w:val="18"/>
        </w:rPr>
      </w:pPr>
      <w:r>
        <w:rPr>
          <w:rFonts w:ascii="Marianne" w:hAnsi="Marianne"/>
          <w:sz w:val="18"/>
          <w:szCs w:val="18"/>
        </w:rPr>
        <w:t xml:space="preserve">En cas de recours à la sous-traitance, conformément </w:t>
      </w:r>
      <w:r>
        <w:rPr>
          <w:rFonts w:ascii="Marianne" w:hAnsi="Marianne"/>
          <w:b w:val="false"/>
          <w:bCs w:val="false"/>
          <w:sz w:val="18"/>
          <w:szCs w:val="18"/>
          <w:u w:val="none"/>
        </w:rPr>
        <w:t>aux articles L.2193-4, L.2193-5 et R.2193-1 du CCP</w:t>
      </w:r>
      <w:r>
        <w:rPr>
          <w:rFonts w:ascii="Marianne" w:hAnsi="Marianne"/>
          <w:sz w:val="18"/>
          <w:szCs w:val="18"/>
        </w:rPr>
        <w:t xml:space="preserve">, le candidat doit compléter cet acte d'engagement en l'accompagnant de formulaires DC4 complétés à raison d'un par sous-traitant. Ce formulaire est téléchargeable sur le site https://www.economie.gouv.fr/daj/formulaires-declaration-du-candidat. Pour chacun des sous-traitants, le candidat devra également joindre les renseignements exigés par l'article </w:t>
      </w:r>
      <w:r>
        <w:rPr>
          <w:rFonts w:ascii="Marianne" w:hAnsi="Marianne"/>
          <w:sz w:val="18"/>
          <w:szCs w:val="18"/>
          <w:shd w:fill="auto" w:val="clear"/>
        </w:rPr>
        <w:t>R.2193-1 du CCP</w:t>
      </w:r>
      <w:r>
        <w:rPr>
          <w:rFonts w:ascii="Marianne" w:hAnsi="Marianne"/>
          <w:sz w:val="18"/>
          <w:szCs w:val="18"/>
        </w:rPr>
        <w:t>.</w:t>
      </w:r>
    </w:p>
    <w:p>
      <w:pPr>
        <w:pStyle w:val="Normal"/>
        <w:keepNext w:val="true"/>
        <w:bidi w:val="0"/>
        <w:spacing w:before="0" w:after="0"/>
        <w:rPr>
          <w:rFonts w:ascii="Marianne" w:hAnsi="Marianne"/>
          <w:b/>
          <w:sz w:val="18"/>
          <w:szCs w:val="18"/>
        </w:rPr>
      </w:pPr>
      <w:r>
        <w:rPr>
          <w:rFonts w:ascii="Marianne" w:hAnsi="Marianne"/>
          <w:b/>
          <w:sz w:val="18"/>
          <w:szCs w:val="18"/>
        </w:rPr>
        <w:t>- Les documents explicatifs</w:t>
      </w:r>
    </w:p>
    <w:p>
      <w:pPr>
        <w:pStyle w:val="Normal"/>
        <w:keepNext w:val="true"/>
        <w:bidi w:val="0"/>
        <w:spacing w:before="0" w:after="0"/>
        <w:ind w:hanging="0" w:left="284" w:right="0"/>
        <w:rPr>
          <w:rFonts w:ascii="Marianne" w:hAnsi="Marianne"/>
          <w:sz w:val="18"/>
          <w:szCs w:val="18"/>
        </w:rPr>
      </w:pPr>
      <w:r>
        <w:rPr>
          <w:rFonts w:ascii="Marianne" w:hAnsi="Marianne"/>
          <w:sz w:val="18"/>
          <w:szCs w:val="18"/>
        </w:rPr>
        <w:t>Au pro</w:t>
      </w:r>
      <w:r>
        <w:rPr>
          <w:rFonts w:ascii="Marianne" w:hAnsi="Marianne"/>
          <w:sz w:val="18"/>
          <w:szCs w:val="18"/>
          <w:shd w:fill="auto" w:val="clear"/>
        </w:rPr>
        <w:t>jet de marché sera joint le mémoire justificatif et explicatif comportant les éléments suivants :</w:t>
      </w:r>
    </w:p>
    <w:p>
      <w:pPr>
        <w:pStyle w:val="Normal"/>
        <w:numPr>
          <w:ilvl w:val="0"/>
          <w:numId w:val="7"/>
        </w:numPr>
        <w:tabs>
          <w:tab w:val="clear" w:pos="709"/>
          <w:tab w:val="left" w:pos="1020" w:leader="none"/>
        </w:tabs>
        <w:bidi w:val="0"/>
        <w:spacing w:before="0" w:after="0"/>
        <w:ind w:hanging="360" w:left="1020" w:right="0"/>
        <w:rPr>
          <w:rFonts w:ascii="Marianne" w:hAnsi="Marianne"/>
          <w:sz w:val="18"/>
          <w:szCs w:val="18"/>
          <w:shd w:fill="auto" w:val="clear"/>
        </w:rPr>
      </w:pPr>
      <w:r>
        <w:rPr>
          <w:rFonts w:ascii="Marianne" w:hAnsi="Marianne"/>
          <w:sz w:val="18"/>
          <w:szCs w:val="18"/>
          <w:shd w:fill="auto" w:val="clear"/>
        </w:rPr>
        <w:t xml:space="preserve">Méthodologies et techniques d’exécution </w:t>
      </w:r>
    </w:p>
    <w:p>
      <w:pPr>
        <w:pStyle w:val="Normal"/>
        <w:numPr>
          <w:ilvl w:val="0"/>
          <w:numId w:val="7"/>
        </w:numPr>
        <w:tabs>
          <w:tab w:val="clear" w:pos="709"/>
          <w:tab w:val="left" w:pos="1020" w:leader="none"/>
        </w:tabs>
        <w:bidi w:val="0"/>
        <w:spacing w:before="0" w:after="0"/>
        <w:ind w:hanging="360" w:left="1020" w:right="0"/>
        <w:rPr>
          <w:rFonts w:ascii="Marianne" w:hAnsi="Marianne"/>
          <w:sz w:val="18"/>
          <w:szCs w:val="18"/>
          <w:shd w:fill="auto" w:val="clear"/>
        </w:rPr>
      </w:pPr>
      <w:r>
        <w:rPr>
          <w:rFonts w:ascii="Marianne" w:hAnsi="Marianne"/>
          <w:sz w:val="18"/>
          <w:szCs w:val="18"/>
          <w:shd w:fill="auto" w:val="clear"/>
        </w:rPr>
        <w:t>Moyens humains affectés au chantier</w:t>
      </w:r>
    </w:p>
    <w:p>
      <w:pPr>
        <w:pStyle w:val="Standard"/>
        <w:widowControl w:val="false"/>
        <w:numPr>
          <w:ilvl w:val="0"/>
          <w:numId w:val="8"/>
        </w:numPr>
        <w:suppressAutoHyphens w:val="true"/>
        <w:bidi w:val="0"/>
        <w:spacing w:before="0" w:after="0"/>
        <w:ind w:hanging="340" w:left="1020" w:right="0"/>
        <w:contextualSpacing w:val="false"/>
        <w:jc w:val="both"/>
        <w:textAlignment w:val="baseline"/>
        <w:rPr>
          <w:rFonts w:ascii="Marianne" w:hAnsi="Marianne"/>
          <w:sz w:val="18"/>
          <w:szCs w:val="18"/>
          <w:shd w:fill="auto" w:val="clear"/>
        </w:rPr>
      </w:pPr>
      <w:r>
        <w:rPr>
          <w:rFonts w:ascii="Marianne" w:hAnsi="Marianne"/>
          <w:sz w:val="18"/>
          <w:szCs w:val="18"/>
          <w:shd w:fill="auto" w:val="clear"/>
        </w:rPr>
        <w:t>Marques et provenance des principaux produits utilisés</w:t>
      </w:r>
    </w:p>
    <w:p>
      <w:pPr>
        <w:pStyle w:val="Standard"/>
        <w:numPr>
          <w:ilvl w:val="0"/>
          <w:numId w:val="8"/>
        </w:numPr>
        <w:spacing w:before="0" w:after="0"/>
        <w:ind w:hanging="340" w:left="1020" w:right="0"/>
        <w:contextualSpacing w:val="false"/>
        <w:rPr>
          <w:rFonts w:ascii="Marianne" w:hAnsi="Marianne"/>
          <w:sz w:val="18"/>
          <w:szCs w:val="18"/>
          <w:shd w:fill="auto" w:val="clear"/>
        </w:rPr>
      </w:pPr>
      <w:r>
        <w:rPr>
          <w:rFonts w:ascii="Marianne" w:hAnsi="Marianne"/>
          <w:sz w:val="18"/>
          <w:szCs w:val="18"/>
          <w:shd w:fill="auto" w:val="clear"/>
        </w:rPr>
        <w:t>Méthodes pour le respect des délais </w:t>
      </w:r>
    </w:p>
    <w:p>
      <w:pPr>
        <w:pStyle w:val="Standard"/>
        <w:numPr>
          <w:ilvl w:val="0"/>
          <w:numId w:val="8"/>
        </w:numPr>
        <w:spacing w:before="0" w:after="0"/>
        <w:ind w:hanging="340" w:left="1020" w:right="0"/>
        <w:contextualSpacing w:val="false"/>
        <w:rPr>
          <w:rFonts w:ascii="Marianne" w:hAnsi="Marianne"/>
          <w:sz w:val="18"/>
          <w:szCs w:val="18"/>
          <w:shd w:fill="auto" w:val="clear"/>
        </w:rPr>
      </w:pPr>
      <w:r>
        <w:rPr>
          <w:rFonts w:ascii="Marianne" w:hAnsi="Marianne"/>
          <w:sz w:val="18"/>
          <w:szCs w:val="18"/>
          <w:shd w:fill="auto" w:val="clear"/>
        </w:rPr>
        <w:t xml:space="preserve">Gestion des déchets </w:t>
      </w:r>
    </w:p>
    <w:p>
      <w:pPr>
        <w:pStyle w:val="Normal"/>
        <w:numPr>
          <w:ilvl w:val="0"/>
          <w:numId w:val="8"/>
        </w:numPr>
        <w:bidi w:val="0"/>
        <w:spacing w:lineRule="auto" w:line="240" w:before="0" w:after="0"/>
        <w:ind w:hanging="340" w:left="1020"/>
        <w:rPr>
          <w:rFonts w:ascii="Marianne" w:hAnsi="Marianne"/>
          <w:b w:val="false"/>
          <w:bCs w:val="false"/>
          <w:i w:val="false"/>
          <w:iCs w:val="false"/>
          <w:color w:val="000000"/>
          <w:sz w:val="18"/>
          <w:szCs w:val="18"/>
          <w:shd w:fill="auto" w:val="clear"/>
        </w:rPr>
      </w:pPr>
      <w:r>
        <w:rPr>
          <w:rFonts w:eastAsia="Trebuchet MS" w:cs="Trebuchet MS" w:ascii="Marianne" w:hAnsi="Marianne"/>
          <w:b w:val="false"/>
          <w:bCs w:val="false"/>
          <w:color w:val="000000"/>
          <w:kern w:val="0"/>
          <w:sz w:val="18"/>
          <w:szCs w:val="18"/>
          <w:shd w:fill="auto" w:val="clear"/>
          <w:lang w:eastAsia="en-US"/>
        </w:rPr>
        <w:t>Précisions sur la mise en œuvre de l’action d’insertion prévue au marché (article 11 du CCAP)</w:t>
      </w:r>
    </w:p>
    <w:p>
      <w:pPr>
        <w:pStyle w:val="Normal"/>
        <w:keepNext w:val="true"/>
        <w:bidi w:val="0"/>
        <w:spacing w:before="0" w:after="0"/>
        <w:rPr>
          <w:rFonts w:ascii="Marianne" w:hAnsi="Marianne"/>
          <w:b/>
          <w:sz w:val="18"/>
          <w:szCs w:val="18"/>
          <w:shd w:fill="auto" w:val="clear"/>
        </w:rPr>
      </w:pPr>
      <w:r>
        <w:rPr>
          <w:rFonts w:ascii="Marianne" w:hAnsi="Marianne"/>
          <w:b/>
          <w:sz w:val="18"/>
          <w:szCs w:val="18"/>
          <w:shd w:fill="auto" w:val="clear"/>
        </w:rPr>
        <w:t>- Les pièces non contractuelles destinées au jugement de l'offre :</w:t>
      </w:r>
    </w:p>
    <w:p>
      <w:pPr>
        <w:pStyle w:val="Normal"/>
        <w:numPr>
          <w:ilvl w:val="0"/>
          <w:numId w:val="9"/>
        </w:numPr>
        <w:tabs>
          <w:tab w:val="clear" w:pos="709"/>
          <w:tab w:val="left" w:pos="1004" w:leader="none"/>
        </w:tabs>
        <w:bidi w:val="0"/>
        <w:spacing w:before="0" w:after="0"/>
        <w:ind w:hanging="360" w:left="1004" w:right="0"/>
        <w:rPr>
          <w:rFonts w:ascii="Marianne" w:hAnsi="Marianne"/>
          <w:sz w:val="18"/>
          <w:szCs w:val="18"/>
          <w:shd w:fill="auto" w:val="clear"/>
        </w:rPr>
      </w:pPr>
      <w:r>
        <w:rPr>
          <w:rFonts w:ascii="Marianne" w:hAnsi="Marianne"/>
          <w:sz w:val="18"/>
          <w:szCs w:val="18"/>
          <w:shd w:fill="auto" w:val="clear"/>
        </w:rPr>
        <w:t>La décomposition du prix global forfaitaire : cadre ci-joint à compléter sans modification. Seule la colonne quantité, qui est fournie à titre indicatif, peut être modifiée ;</w:t>
      </w:r>
    </w:p>
    <w:p>
      <w:pPr>
        <w:pStyle w:val="Normal"/>
        <w:bidi w:val="0"/>
        <w:spacing w:before="0" w:after="0"/>
        <w:ind w:hanging="0" w:left="567" w:right="0"/>
        <w:rPr>
          <w:rFonts w:ascii="Marianne" w:hAnsi="Marianne"/>
          <w:sz w:val="18"/>
          <w:szCs w:val="18"/>
          <w:shd w:fill="auto" w:val="clear"/>
        </w:rPr>
      </w:pPr>
      <w:r>
        <w:rPr>
          <w:rFonts w:ascii="Marianne" w:hAnsi="Marianne"/>
          <w:sz w:val="18"/>
          <w:szCs w:val="18"/>
          <w:shd w:fill="auto" w:val="clear"/>
        </w:rPr>
      </w:r>
    </w:p>
    <w:p>
      <w:pPr>
        <w:pStyle w:val="Heading3"/>
        <w:bidi w:val="0"/>
        <w:spacing w:before="0" w:after="0"/>
        <w:ind w:hanging="283" w:left="0" w:right="0"/>
        <w:rPr>
          <w:rFonts w:ascii="Marianne" w:hAnsi="Marianne"/>
          <w:sz w:val="18"/>
          <w:szCs w:val="18"/>
        </w:rPr>
      </w:pPr>
      <w:r>
        <w:rPr>
          <w:rFonts w:ascii="Marianne" w:hAnsi="Marianne"/>
          <w:b/>
          <w:sz w:val="18"/>
          <w:szCs w:val="18"/>
          <w:u w:val="single"/>
        </w:rPr>
        <w:t>3-1.3.</w:t>
      </w:r>
      <w:r>
        <w:rPr>
          <w:rFonts w:ascii="Marianne" w:hAnsi="Marianne"/>
          <w:sz w:val="18"/>
          <w:szCs w:val="18"/>
        </w:rPr>
        <w:t xml:space="preserve"> Fourniture d'échantillons, de maquettes ou de prototypes</w:t>
      </w:r>
    </w:p>
    <w:p>
      <w:pPr>
        <w:pStyle w:val="Paragraphe"/>
        <w:bidi w:val="0"/>
        <w:spacing w:before="0" w:after="0"/>
        <w:rPr>
          <w:rFonts w:ascii="Marianne" w:hAnsi="Marianne"/>
          <w:sz w:val="18"/>
          <w:szCs w:val="18"/>
        </w:rPr>
      </w:pPr>
      <w:r>
        <w:rPr>
          <w:rFonts w:ascii="Marianne" w:hAnsi="Marianne"/>
          <w:sz w:val="18"/>
          <w:szCs w:val="18"/>
        </w:rPr>
        <w:t>Sans objet.</w:t>
      </w:r>
    </w:p>
    <w:p>
      <w:pPr>
        <w:pStyle w:val="Heading3"/>
        <w:bidi w:val="0"/>
        <w:spacing w:before="0" w:after="0"/>
        <w:ind w:hanging="283" w:left="0" w:right="0"/>
        <w:rPr>
          <w:b/>
          <w:u w:val="single"/>
        </w:rPr>
      </w:pPr>
      <w:r>
        <w:rPr>
          <w:b/>
          <w:u w:val="single"/>
        </w:rPr>
      </w:r>
    </w:p>
    <w:p>
      <w:pPr>
        <w:pStyle w:val="Heading3"/>
        <w:bidi w:val="0"/>
        <w:spacing w:before="0" w:after="0"/>
        <w:ind w:hanging="283" w:left="0" w:right="0"/>
        <w:rPr>
          <w:rFonts w:ascii="Marianne" w:hAnsi="Marianne"/>
          <w:sz w:val="18"/>
          <w:szCs w:val="18"/>
        </w:rPr>
      </w:pPr>
      <w:r>
        <w:rPr>
          <w:rFonts w:ascii="Marianne" w:hAnsi="Marianne"/>
          <w:b/>
          <w:sz w:val="18"/>
          <w:szCs w:val="18"/>
          <w:u w:val="single"/>
        </w:rPr>
        <w:t>3-1.4.</w:t>
      </w:r>
      <w:r>
        <w:rPr>
          <w:rFonts w:ascii="Marianne" w:hAnsi="Marianne"/>
          <w:sz w:val="18"/>
          <w:szCs w:val="18"/>
        </w:rPr>
        <w:t xml:space="preserve"> Documents à fournir par le candidat susceptible d'être retenu</w:t>
      </w:r>
    </w:p>
    <w:p>
      <w:pPr>
        <w:pStyle w:val="Normal"/>
        <w:keepNext w:val="true"/>
        <w:bidi w:val="0"/>
        <w:spacing w:before="0" w:after="0"/>
        <w:ind w:hanging="0" w:left="0" w:right="0"/>
        <w:rPr>
          <w:rFonts w:ascii="Marianne" w:hAnsi="Marianne"/>
          <w:sz w:val="18"/>
          <w:szCs w:val="18"/>
        </w:rPr>
      </w:pPr>
      <w:r>
        <w:rPr>
          <w:rFonts w:ascii="Marianne" w:hAnsi="Marianne"/>
          <w:sz w:val="18"/>
          <w:szCs w:val="18"/>
        </w:rPr>
        <w:t xml:space="preserve">Pour l'application des articles </w:t>
      </w:r>
      <w:r>
        <w:rPr>
          <w:rFonts w:ascii="Marianne" w:hAnsi="Marianne"/>
          <w:color w:val="000000"/>
          <w:sz w:val="18"/>
          <w:szCs w:val="18"/>
          <w:shd w:fill="auto" w:val="clear"/>
        </w:rPr>
        <w:t>L.2141-1 à L.2141-14 du CCP</w:t>
      </w:r>
      <w:r>
        <w:rPr>
          <w:rFonts w:ascii="Marianne" w:hAnsi="Marianne"/>
          <w:sz w:val="18"/>
          <w:szCs w:val="18"/>
        </w:rPr>
        <w:t xml:space="preserve"> le candidat susceptible d'être retenu devra fournir :</w:t>
      </w:r>
    </w:p>
    <w:p>
      <w:pPr>
        <w:pStyle w:val="Normal"/>
        <w:numPr>
          <w:ilvl w:val="0"/>
          <w:numId w:val="10"/>
        </w:numPr>
        <w:tabs>
          <w:tab w:val="clear" w:pos="709"/>
          <w:tab w:val="left" w:pos="284" w:leader="none"/>
        </w:tabs>
        <w:bidi w:val="0"/>
        <w:spacing w:before="0" w:after="0"/>
        <w:ind w:hanging="284" w:left="284"/>
        <w:rPr>
          <w:rFonts w:ascii="Marianne" w:hAnsi="Marianne"/>
          <w:sz w:val="18"/>
          <w:szCs w:val="18"/>
        </w:rPr>
      </w:pPr>
      <w:r>
        <w:rPr>
          <w:rFonts w:ascii="Marianne" w:hAnsi="Marianne"/>
          <w:sz w:val="18"/>
          <w:szCs w:val="18"/>
          <w:shd w:fill="auto" w:val="clear"/>
        </w:rPr>
        <w:t xml:space="preserve">Une déclaration sur l'honneur attestant que le candidat ne se trouve pas dans un cas </w:t>
      </w:r>
      <w:r>
        <w:rPr>
          <w:rFonts w:ascii="Marianne" w:hAnsi="Marianne"/>
          <w:sz w:val="18"/>
          <w:szCs w:val="18"/>
        </w:rPr>
        <w:t>d'interdictions</w:t>
      </w:r>
      <w:r>
        <w:rPr>
          <w:rFonts w:ascii="Marianne" w:hAnsi="Marianne"/>
          <w:sz w:val="18"/>
          <w:szCs w:val="18"/>
          <w:shd w:fill="auto" w:val="clear"/>
        </w:rPr>
        <w:t xml:space="preserve"> visées aux articles L.2141-1 et L.2141-4 du CCP</w:t>
      </w:r>
    </w:p>
    <w:p>
      <w:pPr>
        <w:pStyle w:val="Normal"/>
        <w:numPr>
          <w:ilvl w:val="0"/>
          <w:numId w:val="10"/>
        </w:numPr>
        <w:tabs>
          <w:tab w:val="clear" w:pos="709"/>
          <w:tab w:val="left" w:pos="568" w:leader="none"/>
        </w:tabs>
        <w:bidi w:val="0"/>
        <w:spacing w:before="0" w:after="0"/>
        <w:ind w:hanging="568" w:left="568" w:right="0"/>
        <w:rPr>
          <w:rFonts w:ascii="Marianne" w:hAnsi="Marianne"/>
          <w:sz w:val="18"/>
          <w:szCs w:val="18"/>
        </w:rPr>
      </w:pPr>
      <w:r>
        <w:rPr>
          <w:rFonts w:ascii="Marianne" w:hAnsi="Marianne"/>
          <w:sz w:val="18"/>
          <w:szCs w:val="18"/>
          <w:shd w:fill="auto" w:val="clear"/>
        </w:rPr>
        <w:t>Les certificats fiscaux et sociaux</w:t>
      </w:r>
    </w:p>
    <w:p>
      <w:pPr>
        <w:pStyle w:val="Normal"/>
        <w:numPr>
          <w:ilvl w:val="0"/>
          <w:numId w:val="10"/>
        </w:numPr>
        <w:tabs>
          <w:tab w:val="clear" w:pos="709"/>
          <w:tab w:val="left" w:pos="284" w:leader="none"/>
        </w:tabs>
        <w:bidi w:val="0"/>
        <w:spacing w:before="0" w:after="0"/>
        <w:ind w:hanging="284" w:left="284" w:right="0"/>
        <w:rPr>
          <w:rFonts w:ascii="Marianne" w:hAnsi="Marianne"/>
          <w:sz w:val="18"/>
          <w:szCs w:val="18"/>
          <w:shd w:fill="auto" w:val="clear"/>
        </w:rPr>
      </w:pPr>
      <w:r>
        <w:rPr>
          <w:rFonts w:ascii="Marianne" w:hAnsi="Marianne"/>
          <w:sz w:val="18"/>
          <w:szCs w:val="18"/>
          <w:shd w:fill="auto" w:val="clear"/>
        </w:rPr>
        <w:t>Les pièces prévues aux articles R. 1263-12 (copie de la déclaration de détachement de travailleurs), D. 8222-5 ou D. 8222-7 ou D. 8254-2 à D. 8254-5 (attestation sociale ou documents relatifs aux contractants étrangers ou liste nominative des salariés étrangers) du code du travail</w:t>
      </w:r>
    </w:p>
    <w:p>
      <w:pPr>
        <w:pStyle w:val="Normal"/>
        <w:numPr>
          <w:ilvl w:val="0"/>
          <w:numId w:val="10"/>
        </w:numPr>
        <w:tabs>
          <w:tab w:val="clear" w:pos="709"/>
          <w:tab w:val="left" w:pos="284" w:leader="none"/>
        </w:tabs>
        <w:bidi w:val="0"/>
        <w:spacing w:before="0" w:after="0"/>
        <w:ind w:hanging="284" w:left="284" w:right="0"/>
        <w:rPr>
          <w:rFonts w:ascii="Marianne" w:hAnsi="Marianne"/>
          <w:sz w:val="18"/>
          <w:szCs w:val="18"/>
          <w:shd w:fill="auto" w:val="clear"/>
        </w:rPr>
      </w:pPr>
      <w:r>
        <w:rPr>
          <w:rFonts w:ascii="Marianne" w:hAnsi="Marianne"/>
          <w:sz w:val="18"/>
          <w:szCs w:val="18"/>
          <w:shd w:fill="auto" w:val="clear"/>
        </w:rPr>
        <w:t>Le numéro unique d’identification permettant à l’acheteur d’accéder aux informations pertinentes par le biais d’un système électronique mentionné au 1o de l’article R. 2143-13 ou, s’il est étranger, produit un document délivré par l’autorité judiciaire ou administrative compétente de son pays d’origine ou d’établissement, attestant de l’absence de cas d’exclusion</w:t>
      </w:r>
    </w:p>
    <w:p>
      <w:pPr>
        <w:pStyle w:val="Paragraphe"/>
        <w:bidi w:val="0"/>
        <w:spacing w:before="0" w:after="0"/>
        <w:rPr>
          <w:rFonts w:ascii="Marianne" w:hAnsi="Marianne"/>
          <w:sz w:val="18"/>
          <w:szCs w:val="18"/>
          <w:shd w:fill="auto" w:val="clear"/>
        </w:rPr>
      </w:pPr>
      <w:r>
        <w:rPr>
          <w:rFonts w:ascii="Marianne" w:hAnsi="Marianne"/>
          <w:sz w:val="18"/>
          <w:szCs w:val="18"/>
          <w:shd w:fill="auto" w:val="clear"/>
        </w:rPr>
        <w:t>ou les documents équivalents ou déclaration en cas de candidats étrangers, traduits en français.</w:t>
      </w:r>
    </w:p>
    <w:p>
      <w:pPr>
        <w:pStyle w:val="Paragraphe"/>
        <w:numPr>
          <w:ilvl w:val="0"/>
          <w:numId w:val="11"/>
        </w:numPr>
        <w:tabs>
          <w:tab w:val="clear" w:pos="709"/>
          <w:tab w:val="left" w:pos="284" w:leader="none"/>
        </w:tabs>
        <w:bidi w:val="0"/>
        <w:spacing w:before="0" w:after="0"/>
        <w:ind w:hanging="284" w:left="284" w:right="0"/>
        <w:rPr>
          <w:rFonts w:ascii="Marianne" w:hAnsi="Marianne"/>
          <w:sz w:val="18"/>
          <w:szCs w:val="18"/>
          <w:shd w:fill="auto" w:val="clear"/>
        </w:rPr>
      </w:pPr>
      <w:r>
        <w:rPr>
          <w:rFonts w:ascii="Marianne" w:hAnsi="Marianne"/>
          <w:sz w:val="18"/>
          <w:szCs w:val="18"/>
          <w:shd w:fill="auto" w:val="clear"/>
        </w:rPr>
        <w:t>L'acte d'engagement constituant le marché daté et signé conformément à l’article 5-1 du présent RC par le(s) représentant(s) habilité(s) de l'/des entreprise(s) </w:t>
      </w:r>
    </w:p>
    <w:p>
      <w:pPr>
        <w:pStyle w:val="Paragraphe"/>
        <w:bidi w:val="0"/>
        <w:spacing w:before="0" w:after="0"/>
        <w:rPr>
          <w:rFonts w:ascii="Marianne" w:hAnsi="Marianne"/>
          <w:sz w:val="18"/>
          <w:szCs w:val="18"/>
          <w:shd w:fill="auto" w:val="clear"/>
        </w:rPr>
      </w:pPr>
      <w:r>
        <w:rPr>
          <w:rFonts w:ascii="Marianne" w:hAnsi="Marianne"/>
          <w:sz w:val="18"/>
          <w:szCs w:val="18"/>
          <w:shd w:fill="auto" w:val="clear"/>
        </w:rPr>
        <w:t>En sus, les attestations d’assurance visées à l’article 1-6.3 du CCAP seront remises avant la notification du marché.</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bidi w:val="0"/>
        <w:spacing w:before="0" w:after="120"/>
        <w:ind w:hanging="0" w:left="0" w:right="0"/>
        <w:rPr>
          <w:rFonts w:ascii="Marianne" w:hAnsi="Marianne"/>
          <w:sz w:val="18"/>
          <w:szCs w:val="18"/>
        </w:rPr>
      </w:pPr>
      <w:bookmarkStart w:id="27" w:name="__RefHeading___Toc2478_177311366"/>
      <w:bookmarkEnd w:id="27"/>
      <w:r>
        <w:rPr>
          <w:rFonts w:ascii="Marianne" w:hAnsi="Marianne"/>
          <w:sz w:val="18"/>
          <w:szCs w:val="18"/>
        </w:rPr>
        <w:t>3-2. Variantes</w:t>
      </w:r>
    </w:p>
    <w:p>
      <w:pPr>
        <w:pStyle w:val="BodyText"/>
        <w:spacing w:before="119" w:after="0"/>
        <w:ind w:hanging="0" w:left="0" w:right="0"/>
        <w:jc w:val="both"/>
        <w:rPr>
          <w:rFonts w:ascii="Marianne" w:hAnsi="Marianne"/>
          <w:sz w:val="18"/>
        </w:rPr>
      </w:pPr>
      <w:r>
        <w:rPr>
          <w:rFonts w:ascii="Marianne" w:hAnsi="Marianne"/>
          <w:strike w:val="false"/>
          <w:dstrike w:val="false"/>
          <w:color w:val="000000"/>
          <w:sz w:val="18"/>
          <w:u w:val="none"/>
          <w:effect w:val="none"/>
        </w:rPr>
        <w:t>Sans objet – les variantes ne sont pas autorisées.</w:t>
      </w:r>
    </w:p>
    <w:p>
      <w:pPr>
        <w:pStyle w:val="Paragraphe"/>
        <w:bidi w:val="0"/>
        <w:ind w:hanging="0" w:left="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1"/>
        <w:numPr>
          <w:ilvl w:val="0"/>
          <w:numId w:val="0"/>
        </w:numPr>
        <w:tabs>
          <w:tab w:val="left" w:pos="0" w:leader="none"/>
        </w:tabs>
        <w:bidi w:val="0"/>
        <w:spacing w:before="0" w:after="0"/>
        <w:ind w:hanging="0" w:left="0" w:right="0"/>
        <w:outlineLvl w:val="9"/>
        <w:rPr>
          <w:rFonts w:ascii="Marianne" w:hAnsi="Marianne"/>
          <w:sz w:val="18"/>
          <w:szCs w:val="18"/>
        </w:rPr>
      </w:pPr>
      <w:bookmarkStart w:id="28" w:name="__RefHeading___Toc18279_2630935504"/>
      <w:bookmarkEnd w:id="28"/>
      <w:r>
        <w:rPr>
          <w:rFonts w:ascii="Marianne" w:hAnsi="Marianne"/>
          <w:sz w:val="18"/>
          <w:szCs w:val="18"/>
        </w:rPr>
        <w:t>ARTICLE 4. SELECTION DES CANDIDATURES - EXAMEN DES OFFRES ET NEGOCIATION</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Le maître d’ouvrage commencera par examiner les offres, seule la candidature du soumissionnaire susceptible d'être retenu sera analysée.</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29" w:name="__RefHeading___Toc18281_2630935504"/>
      <w:bookmarkEnd w:id="29"/>
      <w:r>
        <w:rPr>
          <w:rFonts w:ascii="Marianne" w:hAnsi="Marianne"/>
          <w:sz w:val="18"/>
          <w:szCs w:val="18"/>
        </w:rPr>
        <w:t>4-1. Sélection des candidatures</w:t>
      </w:r>
    </w:p>
    <w:p>
      <w:pPr>
        <w:pStyle w:val="Paragraphe"/>
        <w:bidi w:val="0"/>
        <w:spacing w:before="0" w:after="0"/>
        <w:rPr>
          <w:rFonts w:ascii="Marianne" w:hAnsi="Marianne"/>
          <w:sz w:val="18"/>
          <w:szCs w:val="18"/>
        </w:rPr>
      </w:pPr>
      <w:r>
        <w:rPr>
          <w:rFonts w:ascii="Marianne" w:hAnsi="Marianne"/>
          <w:sz w:val="18"/>
          <w:szCs w:val="18"/>
        </w:rPr>
        <w:t>Seuls seront ouverts les plis qui ont été reçus au plus tard à la date et l’heure limites de remise des offres.</w:t>
      </w:r>
    </w:p>
    <w:p>
      <w:pPr>
        <w:pStyle w:val="Paragraphe"/>
        <w:bidi w:val="0"/>
        <w:spacing w:before="0" w:after="0"/>
        <w:rPr>
          <w:rFonts w:ascii="Marianne" w:hAnsi="Marianne"/>
          <w:sz w:val="18"/>
          <w:szCs w:val="18"/>
        </w:rPr>
      </w:pPr>
      <w:r>
        <w:rPr>
          <w:rFonts w:ascii="Marianne" w:hAnsi="Marianne"/>
          <w:sz w:val="18"/>
          <w:szCs w:val="18"/>
        </w:rPr>
        <w:t>En cas de candidatures incomplètes, le maître d’ouvrage demandera aux candidats concernés de compléter celles-ci.</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30" w:name="__RefHeading___Toc18283_2630935504"/>
      <w:bookmarkEnd w:id="30"/>
      <w:r>
        <w:rPr>
          <w:rFonts w:ascii="Marianne" w:hAnsi="Marianne"/>
          <w:sz w:val="18"/>
          <w:szCs w:val="18"/>
        </w:rPr>
        <w:t>4-2. Jugement et classement des offres</w:t>
      </w:r>
    </w:p>
    <w:p>
      <w:pPr>
        <w:pStyle w:val="Normal"/>
        <w:bidi w:val="0"/>
        <w:spacing w:before="0" w:after="0"/>
        <w:rPr>
          <w:rFonts w:ascii="Marianne" w:hAnsi="Marianne"/>
          <w:sz w:val="18"/>
          <w:szCs w:val="18"/>
        </w:rPr>
      </w:pPr>
      <w:r>
        <w:rPr>
          <w:rFonts w:ascii="Marianne" w:hAnsi="Marianne"/>
          <w:sz w:val="18"/>
          <w:szCs w:val="18"/>
        </w:rPr>
        <w:t>Les offres anormalement basses sont définies à l’article L.2152-5 du CCP. Elles seront traitées conformément aux articles R.2152-3 à R.2152-5 du CCP.</w:t>
      </w:r>
    </w:p>
    <w:p>
      <w:pPr>
        <w:pStyle w:val="Paragraphe"/>
        <w:bidi w:val="0"/>
        <w:spacing w:before="0" w:after="0"/>
        <w:rPr>
          <w:rFonts w:ascii="Marianne" w:hAnsi="Marianne"/>
          <w:sz w:val="18"/>
          <w:szCs w:val="18"/>
        </w:rPr>
      </w:pPr>
      <w:r>
        <w:rPr>
          <w:rFonts w:ascii="Marianne" w:hAnsi="Marianne"/>
          <w:sz w:val="18"/>
          <w:szCs w:val="18"/>
        </w:rPr>
        <w:t>Les offres inappropriées, inacceptables et irrégulières sont définies aux articles L.2152-1 et L.2152-4 du CCP.</w:t>
      </w:r>
    </w:p>
    <w:p>
      <w:pPr>
        <w:pStyle w:val="Paragraphe"/>
        <w:bidi w:val="0"/>
        <w:spacing w:before="0" w:after="0"/>
        <w:rPr>
          <w:rFonts w:ascii="Marianne" w:hAnsi="Marianne"/>
          <w:sz w:val="18"/>
          <w:szCs w:val="18"/>
        </w:rPr>
      </w:pPr>
      <w:r>
        <w:rPr>
          <w:rFonts w:ascii="Marianne" w:hAnsi="Marianne"/>
          <w:sz w:val="18"/>
          <w:szCs w:val="18"/>
        </w:rPr>
        <w:t>Après examen, les offres inappropriées seront éliminées conformément à l’article R.2152-1 du CCP.</w:t>
      </w:r>
    </w:p>
    <w:p>
      <w:pPr>
        <w:pStyle w:val="Normal"/>
        <w:bidi w:val="0"/>
        <w:spacing w:before="0" w:after="0"/>
        <w:rPr>
          <w:rFonts w:ascii="Marianne" w:hAnsi="Marianne"/>
          <w:sz w:val="18"/>
          <w:szCs w:val="18"/>
        </w:rPr>
      </w:pPr>
      <w:r>
        <w:rPr>
          <w:rFonts w:ascii="Marianne" w:hAnsi="Marianne"/>
          <w:sz w:val="18"/>
          <w:szCs w:val="18"/>
        </w:rPr>
        <w:t>Le RMO prévoit une négociation des offres. Toutefois, il se réserve la possibilité d’attribuer le marché sur la base des offres initiales sans négociation.</w:t>
      </w:r>
    </w:p>
    <w:p>
      <w:pPr>
        <w:pStyle w:val="Paragraphe"/>
        <w:bidi w:val="0"/>
        <w:spacing w:before="0" w:after="0"/>
        <w:rPr>
          <w:rFonts w:ascii="Marianne" w:hAnsi="Marianne"/>
          <w:sz w:val="18"/>
          <w:szCs w:val="18"/>
        </w:rPr>
      </w:pPr>
      <w:r>
        <w:rPr>
          <w:rFonts w:ascii="Marianne" w:hAnsi="Marianne"/>
          <w:sz w:val="18"/>
          <w:szCs w:val="18"/>
        </w:rPr>
        <w:t>Le RMO examinera l'offre de base des soumissionnaires pour établir un classement unique.</w:t>
      </w:r>
    </w:p>
    <w:p>
      <w:pPr>
        <w:pStyle w:val="Paragraphe"/>
        <w:bidi w:val="0"/>
        <w:spacing w:before="0" w:after="0"/>
        <w:rPr>
          <w:rFonts w:ascii="Marianne" w:hAnsi="Marianne"/>
          <w:sz w:val="18"/>
          <w:szCs w:val="18"/>
        </w:rPr>
      </w:pPr>
      <w:r>
        <w:rPr>
          <w:rFonts w:ascii="Marianne" w:hAnsi="Marianne"/>
          <w:sz w:val="18"/>
          <w:szCs w:val="18"/>
        </w:rPr>
        <w:t xml:space="preserve">Après classement des offres </w:t>
      </w:r>
      <w:r>
        <w:rPr>
          <w:rFonts w:ascii="Marianne" w:hAnsi="Marianne"/>
          <w:b/>
          <w:sz w:val="18"/>
          <w:szCs w:val="18"/>
        </w:rPr>
        <w:t>de chaque lot</w:t>
      </w:r>
      <w:r>
        <w:rPr>
          <w:rFonts w:ascii="Marianne" w:hAnsi="Marianne"/>
          <w:sz w:val="18"/>
          <w:szCs w:val="18"/>
        </w:rPr>
        <w:t xml:space="preserve"> conformément aux critères pondérés définis ci-après, l'offre économiquement la plus avantageuse est choisie par </w:t>
      </w:r>
      <w:bookmarkStart w:id="31" w:name="R4B_p2D_a"/>
      <w:r>
        <w:rPr>
          <w:rFonts w:ascii="Marianne" w:hAnsi="Marianne"/>
          <w:sz w:val="18"/>
          <w:szCs w:val="18"/>
        </w:rPr>
        <w:t>le RMO</w:t>
      </w:r>
      <w:bookmarkEnd w:id="31"/>
      <w:r>
        <w:rPr>
          <w:rFonts w:ascii="Marianne" w:hAnsi="Marianne"/>
          <w:sz w:val="18"/>
          <w:szCs w:val="18"/>
        </w:rPr>
        <w:t>.</w:t>
      </w:r>
    </w:p>
    <w:p>
      <w:pPr>
        <w:pStyle w:val="Paradouble"/>
        <w:bidi w:val="0"/>
        <w:spacing w:before="0" w:after="0"/>
        <w:rPr>
          <w:rFonts w:ascii="Marianne" w:hAnsi="Marianne"/>
          <w:sz w:val="18"/>
          <w:szCs w:val="18"/>
        </w:rPr>
      </w:pPr>
      <w:r>
        <w:rPr>
          <w:rFonts w:ascii="Marianne" w:hAnsi="Marianne"/>
          <w:sz w:val="18"/>
          <w:szCs w:val="18"/>
        </w:rPr>
        <w:t>Les critères d'attribution des marchés seront pondérés comme suit :</w:t>
      </w:r>
    </w:p>
    <w:tbl>
      <w:tblPr>
        <w:tblW w:w="8521" w:type="dxa"/>
        <w:jc w:val="center"/>
        <w:tblInd w:w="0" w:type="dxa"/>
        <w:tblLayout w:type="fixed"/>
        <w:tblCellMar>
          <w:top w:w="0" w:type="dxa"/>
          <w:left w:w="71" w:type="dxa"/>
          <w:bottom w:w="0" w:type="dxa"/>
          <w:right w:w="71" w:type="dxa"/>
        </w:tblCellMar>
      </w:tblPr>
      <w:tblGrid>
        <w:gridCol w:w="7086"/>
        <w:gridCol w:w="1435"/>
      </w:tblGrid>
      <w:tr>
        <w:trPr>
          <w:tblHeader w:val="true"/>
        </w:trPr>
        <w:tc>
          <w:tcPr>
            <w:tcW w:w="7086" w:type="dxa"/>
            <w:tcBorders>
              <w:top w:val="single" w:sz="4" w:space="0" w:color="000000"/>
              <w:left w:val="single" w:sz="4" w:space="0" w:color="000000"/>
            </w:tcBorders>
            <w:shd w:fill="BFBFBF" w:val="clear"/>
          </w:tcPr>
          <w:p>
            <w:pPr>
              <w:pStyle w:val="Parareponse"/>
              <w:bidi w:val="0"/>
              <w:snapToGrid w:val="false"/>
              <w:spacing w:before="0" w:after="0"/>
              <w:jc w:val="center"/>
              <w:rPr>
                <w:rFonts w:ascii="Marianne" w:hAnsi="Marianne"/>
                <w:b/>
                <w:sz w:val="18"/>
                <w:szCs w:val="18"/>
              </w:rPr>
            </w:pPr>
            <w:bookmarkStart w:id="32" w:name="R4_p1A_a"/>
            <w:r>
              <w:rPr>
                <w:rFonts w:ascii="Marianne" w:hAnsi="Marianne"/>
                <w:b/>
                <w:sz w:val="18"/>
                <w:szCs w:val="18"/>
              </w:rPr>
              <w:t>Critère d</w:t>
            </w:r>
            <w:bookmarkEnd w:id="32"/>
            <w:r>
              <w:rPr>
                <w:rFonts w:ascii="Marianne" w:hAnsi="Marianne"/>
                <w:b/>
                <w:sz w:val="18"/>
                <w:szCs w:val="18"/>
              </w:rPr>
              <w:t>'attribution</w:t>
            </w:r>
          </w:p>
        </w:tc>
        <w:tc>
          <w:tcPr>
            <w:tcW w:w="1435" w:type="dxa"/>
            <w:tcBorders>
              <w:top w:val="single" w:sz="4" w:space="0" w:color="000000"/>
              <w:left w:val="single" w:sz="4" w:space="0" w:color="000000"/>
              <w:right w:val="single" w:sz="4" w:space="0" w:color="000000"/>
            </w:tcBorders>
            <w:shd w:fill="BFBFBF" w:val="clear"/>
          </w:tcPr>
          <w:p>
            <w:pPr>
              <w:pStyle w:val="Parareponse"/>
              <w:bidi w:val="0"/>
              <w:snapToGrid w:val="false"/>
              <w:spacing w:before="0" w:after="0"/>
              <w:jc w:val="center"/>
              <w:rPr>
                <w:rFonts w:ascii="Marianne" w:hAnsi="Marianne"/>
                <w:b/>
                <w:sz w:val="18"/>
                <w:szCs w:val="18"/>
              </w:rPr>
            </w:pPr>
            <w:r>
              <w:rPr>
                <w:rFonts w:ascii="Marianne" w:hAnsi="Marianne"/>
                <w:b/>
                <w:sz w:val="18"/>
                <w:szCs w:val="18"/>
              </w:rPr>
              <w:t>Pondération</w:t>
            </w:r>
          </w:p>
          <w:p>
            <w:pPr>
              <w:pStyle w:val="Parareponse"/>
              <w:bidi w:val="0"/>
              <w:snapToGrid w:val="false"/>
              <w:spacing w:before="0" w:after="0"/>
              <w:jc w:val="center"/>
              <w:rPr>
                <w:rFonts w:ascii="Marianne" w:hAnsi="Marianne"/>
                <w:b/>
                <w:sz w:val="18"/>
                <w:szCs w:val="18"/>
              </w:rPr>
            </w:pPr>
            <w:r>
              <w:rPr>
                <w:rFonts w:ascii="Marianne" w:hAnsi="Marianne"/>
                <w:b/>
                <w:sz w:val="18"/>
                <w:szCs w:val="18"/>
              </w:rPr>
              <w:t>totale</w:t>
            </w:r>
          </w:p>
        </w:tc>
      </w:tr>
      <w:tr>
        <w:trPr/>
        <w:tc>
          <w:tcPr>
            <w:tcW w:w="7086" w:type="dxa"/>
            <w:tcBorders>
              <w:top w:val="single" w:sz="4" w:space="0" w:color="000000"/>
              <w:left w:val="single" w:sz="4" w:space="0" w:color="000000"/>
              <w:bottom w:val="single" w:sz="4" w:space="0" w:color="000000"/>
            </w:tcBorders>
          </w:tcPr>
          <w:p>
            <w:pPr>
              <w:pStyle w:val="Parareponse"/>
              <w:keepNext w:val="false"/>
              <w:bidi w:val="0"/>
              <w:snapToGrid w:val="false"/>
              <w:spacing w:before="0" w:after="0"/>
              <w:rPr>
                <w:rFonts w:ascii="Marianne" w:hAnsi="Marianne"/>
                <w:sz w:val="18"/>
                <w:szCs w:val="18"/>
                <w:highlight w:val="none"/>
                <w:shd w:fill="auto" w:val="clear"/>
              </w:rPr>
            </w:pPr>
            <w:r>
              <w:rPr>
                <w:rFonts w:ascii="Marianne" w:hAnsi="Marianne"/>
                <w:b/>
                <w:bCs/>
                <w:sz w:val="18"/>
                <w:szCs w:val="18"/>
                <w:u w:val="single"/>
                <w:shd w:fill="auto" w:val="clear"/>
              </w:rPr>
              <w:t>Valeur technique </w:t>
            </w:r>
            <w:r>
              <w:rPr>
                <w:rFonts w:ascii="Marianne" w:hAnsi="Marianne"/>
                <w:sz w:val="18"/>
                <w:szCs w:val="18"/>
                <w:shd w:fill="auto" w:val="clear"/>
              </w:rPr>
              <w:t>:</w:t>
            </w:r>
          </w:p>
          <w:p>
            <w:pPr>
              <w:pStyle w:val="Parareponse"/>
              <w:bidi w:val="0"/>
              <w:snapToGrid w:val="false"/>
              <w:spacing w:before="0" w:after="0"/>
              <w:rPr>
                <w:rFonts w:ascii="Marianne" w:hAnsi="Marianne"/>
                <w:sz w:val="18"/>
                <w:szCs w:val="18"/>
                <w:highlight w:val="none"/>
                <w:shd w:fill="auto" w:val="clear"/>
              </w:rPr>
            </w:pPr>
            <w:r>
              <w:rPr>
                <w:rFonts w:ascii="Marianne" w:hAnsi="Marianne"/>
                <w:sz w:val="18"/>
                <w:szCs w:val="18"/>
                <w:shd w:fill="auto" w:val="clear"/>
              </w:rPr>
              <w:t>La valeur technique des prestations est appréciée au vu du mémoire exigé, et selon les items suivants</w:t>
            </w:r>
          </w:p>
          <w:p>
            <w:pPr>
              <w:pStyle w:val="Normal"/>
              <w:numPr>
                <w:ilvl w:val="0"/>
                <w:numId w:val="7"/>
              </w:numPr>
              <w:tabs>
                <w:tab w:val="clear" w:pos="709"/>
                <w:tab w:val="left" w:pos="1020" w:leader="none"/>
              </w:tabs>
              <w:bidi w:val="0"/>
              <w:spacing w:before="0" w:after="0"/>
              <w:ind w:hanging="360" w:left="1020" w:right="0"/>
              <w:rPr>
                <w:rFonts w:ascii="Marianne" w:hAnsi="Marianne"/>
                <w:sz w:val="18"/>
                <w:szCs w:val="18"/>
                <w:highlight w:val="none"/>
                <w:shd w:fill="auto" w:val="clear"/>
              </w:rPr>
            </w:pPr>
            <w:r>
              <w:rPr>
                <w:rFonts w:ascii="Marianne" w:hAnsi="Marianne"/>
                <w:sz w:val="18"/>
                <w:szCs w:val="18"/>
                <w:shd w:fill="auto" w:val="clear"/>
              </w:rPr>
              <w:t>Méthodologies et techniques d’exécution (25 points)</w:t>
            </w:r>
          </w:p>
          <w:p>
            <w:pPr>
              <w:pStyle w:val="Normal"/>
              <w:numPr>
                <w:ilvl w:val="0"/>
                <w:numId w:val="7"/>
              </w:numPr>
              <w:tabs>
                <w:tab w:val="clear" w:pos="709"/>
                <w:tab w:val="left" w:pos="1020" w:leader="none"/>
              </w:tabs>
              <w:bidi w:val="0"/>
              <w:spacing w:before="0" w:after="0"/>
              <w:ind w:hanging="360" w:left="1020" w:right="0"/>
              <w:rPr>
                <w:rFonts w:ascii="Marianne" w:hAnsi="Marianne"/>
                <w:sz w:val="18"/>
                <w:szCs w:val="18"/>
                <w:highlight w:val="none"/>
                <w:shd w:fill="auto" w:val="clear"/>
              </w:rPr>
            </w:pPr>
            <w:r>
              <w:rPr>
                <w:rFonts w:ascii="Marianne" w:hAnsi="Marianne"/>
                <w:sz w:val="18"/>
                <w:szCs w:val="18"/>
                <w:shd w:fill="auto" w:val="clear"/>
              </w:rPr>
              <w:t>Moyens humains affectés au chantier (10 points)</w:t>
            </w:r>
          </w:p>
          <w:p>
            <w:pPr>
              <w:pStyle w:val="Standard"/>
              <w:widowControl w:val="false"/>
              <w:numPr>
                <w:ilvl w:val="0"/>
                <w:numId w:val="12"/>
              </w:numPr>
              <w:suppressAutoHyphens w:val="true"/>
              <w:bidi w:val="0"/>
              <w:spacing w:before="0" w:after="0"/>
              <w:ind w:hanging="340" w:left="1020" w:right="0"/>
              <w:contextualSpacing w:val="false"/>
              <w:jc w:val="both"/>
              <w:textAlignment w:val="baseline"/>
              <w:rPr>
                <w:rFonts w:ascii="Marianne" w:hAnsi="Marianne"/>
                <w:sz w:val="18"/>
                <w:szCs w:val="18"/>
                <w:highlight w:val="none"/>
                <w:shd w:fill="auto" w:val="clear"/>
              </w:rPr>
            </w:pPr>
            <w:r>
              <w:rPr>
                <w:rFonts w:ascii="Marianne" w:hAnsi="Marianne"/>
                <w:sz w:val="18"/>
                <w:szCs w:val="18"/>
                <w:shd w:fill="auto" w:val="clear"/>
              </w:rPr>
              <w:t>Marques et provenance des principaux produits utilisés (5 points)</w:t>
            </w:r>
          </w:p>
          <w:p>
            <w:pPr>
              <w:pStyle w:val="Standard"/>
              <w:widowControl w:val="false"/>
              <w:numPr>
                <w:ilvl w:val="0"/>
                <w:numId w:val="12"/>
              </w:numPr>
              <w:suppressAutoHyphens w:val="true"/>
              <w:bidi w:val="0"/>
              <w:spacing w:before="0" w:after="0"/>
              <w:ind w:hanging="340" w:left="1020" w:right="0"/>
              <w:contextualSpacing w:val="false"/>
              <w:jc w:val="both"/>
              <w:textAlignment w:val="baseline"/>
              <w:rPr>
                <w:rFonts w:ascii="Marianne" w:hAnsi="Marianne"/>
                <w:sz w:val="18"/>
                <w:szCs w:val="18"/>
                <w:highlight w:val="none"/>
                <w:shd w:fill="auto" w:val="clear"/>
              </w:rPr>
            </w:pPr>
            <w:r>
              <w:rPr>
                <w:rFonts w:ascii="Marianne" w:hAnsi="Marianne"/>
                <w:sz w:val="18"/>
                <w:szCs w:val="18"/>
                <w:shd w:fill="auto" w:val="clear"/>
              </w:rPr>
              <w:t>Méthodes pour le respect des délais (10 points)</w:t>
            </w:r>
          </w:p>
          <w:p>
            <w:pPr>
              <w:pStyle w:val="Standard"/>
              <w:widowControl w:val="false"/>
              <w:numPr>
                <w:ilvl w:val="0"/>
                <w:numId w:val="12"/>
              </w:numPr>
              <w:suppressAutoHyphens w:val="true"/>
              <w:bidi w:val="0"/>
              <w:spacing w:before="0" w:after="0"/>
              <w:ind w:hanging="340" w:left="1020" w:right="0"/>
              <w:contextualSpacing w:val="false"/>
              <w:jc w:val="both"/>
              <w:textAlignment w:val="baseline"/>
              <w:rPr>
                <w:rFonts w:ascii="Marianne" w:hAnsi="Marianne"/>
                <w:sz w:val="18"/>
                <w:szCs w:val="18"/>
                <w:highlight w:val="none"/>
                <w:shd w:fill="auto" w:val="clear"/>
              </w:rPr>
            </w:pPr>
            <w:r>
              <w:rPr>
                <w:rFonts w:ascii="Marianne" w:hAnsi="Marianne"/>
                <w:sz w:val="18"/>
                <w:szCs w:val="18"/>
                <w:shd w:fill="auto" w:val="clear"/>
              </w:rPr>
              <w:t>Gestion des déchets (10 points)</w:t>
            </w:r>
          </w:p>
        </w:tc>
        <w:tc>
          <w:tcPr>
            <w:tcW w:w="1435" w:type="dxa"/>
            <w:tcBorders>
              <w:top w:val="single" w:sz="4" w:space="0" w:color="000000"/>
              <w:left w:val="single" w:sz="4" w:space="0" w:color="000000"/>
              <w:bottom w:val="single" w:sz="4" w:space="0" w:color="000000"/>
              <w:right w:val="single" w:sz="4" w:space="0" w:color="000000"/>
            </w:tcBorders>
          </w:tcPr>
          <w:p>
            <w:pPr>
              <w:pStyle w:val="Parareponse"/>
              <w:bidi w:val="0"/>
              <w:snapToGrid w:val="false"/>
              <w:spacing w:before="0" w:after="0"/>
              <w:jc w:val="center"/>
              <w:rPr>
                <w:rFonts w:ascii="Marianne" w:hAnsi="Marianne"/>
                <w:sz w:val="18"/>
                <w:szCs w:val="18"/>
                <w:highlight w:val="none"/>
                <w:shd w:fill="auto" w:val="clear"/>
              </w:rPr>
            </w:pPr>
            <w:r>
              <w:rPr>
                <w:rFonts w:ascii="Marianne" w:hAnsi="Marianne"/>
                <w:sz w:val="18"/>
                <w:szCs w:val="18"/>
                <w:shd w:fill="auto" w:val="clear"/>
              </w:rPr>
              <w:t>20</w:t>
            </w:r>
          </w:p>
        </w:tc>
      </w:tr>
      <w:tr>
        <w:trPr/>
        <w:tc>
          <w:tcPr>
            <w:tcW w:w="7086" w:type="dxa"/>
            <w:tcBorders>
              <w:top w:val="single" w:sz="4" w:space="0" w:color="000000"/>
              <w:left w:val="single" w:sz="4" w:space="0" w:color="000000"/>
              <w:bottom w:val="single" w:sz="4" w:space="0" w:color="000000"/>
            </w:tcBorders>
          </w:tcPr>
          <w:p>
            <w:pPr>
              <w:pStyle w:val="Normal"/>
              <w:bidi w:val="0"/>
              <w:spacing w:before="57" w:after="57"/>
              <w:rPr>
                <w:rFonts w:ascii="Marianne" w:hAnsi="Marianne"/>
                <w:sz w:val="18"/>
                <w:szCs w:val="18"/>
                <w:highlight w:val="none"/>
                <w:shd w:fill="auto" w:val="clear"/>
              </w:rPr>
            </w:pPr>
            <w:r>
              <w:rPr>
                <w:rFonts w:ascii="Marianne" w:hAnsi="Marianne"/>
                <w:b/>
                <w:bCs/>
                <w:i w:val="false"/>
                <w:iCs w:val="false"/>
                <w:sz w:val="18"/>
                <w:szCs w:val="18"/>
                <w:u w:val="single"/>
                <w:shd w:fill="auto" w:val="clear"/>
              </w:rPr>
              <w:t>Environnemental</w:t>
            </w:r>
          </w:p>
          <w:p>
            <w:pPr>
              <w:pStyle w:val="Parareponse"/>
              <w:widowControl w:val="false"/>
              <w:suppressAutoHyphens w:val="true"/>
              <w:overflowPunct w:val="true"/>
              <w:bidi w:val="0"/>
              <w:snapToGrid w:val="false"/>
              <w:spacing w:before="0" w:after="0"/>
              <w:ind w:hanging="0" w:left="0" w:right="0"/>
              <w:jc w:val="both"/>
              <w:rPr>
                <w:rFonts w:ascii="Marianne" w:hAnsi="Marianne"/>
                <w:sz w:val="18"/>
                <w:szCs w:val="18"/>
                <w:highlight w:val="none"/>
                <w:shd w:fill="auto" w:val="clear"/>
              </w:rPr>
            </w:pPr>
            <w:r>
              <w:rPr>
                <w:rFonts w:eastAsia="Trebuchet MS" w:cs="Trebuchet MS" w:ascii="Marianne" w:hAnsi="Marianne"/>
                <w:b w:val="false"/>
                <w:bCs w:val="false"/>
                <w:color w:val="000000"/>
                <w:kern w:val="0"/>
                <w:sz w:val="18"/>
                <w:szCs w:val="18"/>
                <w:shd w:fill="auto" w:val="clear"/>
                <w:lang w:eastAsia="en-US"/>
              </w:rPr>
              <w:t>La valeur environnementale de l’offre est évaluée en regard de l’ensemble des stratégies, moyens et méthodes mise en oeuvre par le candidat dans l’exécution du marché</w:t>
            </w:r>
          </w:p>
        </w:tc>
        <w:tc>
          <w:tcPr>
            <w:tcW w:w="1435" w:type="dxa"/>
            <w:tcBorders>
              <w:top w:val="single" w:sz="4" w:space="0" w:color="000000"/>
              <w:left w:val="single" w:sz="4" w:space="0" w:color="000000"/>
              <w:bottom w:val="single" w:sz="4" w:space="0" w:color="000000"/>
              <w:right w:val="single" w:sz="4" w:space="0" w:color="000000"/>
            </w:tcBorders>
          </w:tcPr>
          <w:p>
            <w:pPr>
              <w:pStyle w:val="Parareponse"/>
              <w:bidi w:val="0"/>
              <w:snapToGrid w:val="false"/>
              <w:spacing w:before="0" w:after="0"/>
              <w:jc w:val="center"/>
              <w:rPr>
                <w:rFonts w:ascii="Marianne" w:hAnsi="Marianne"/>
                <w:sz w:val="18"/>
                <w:szCs w:val="18"/>
                <w:highlight w:val="none"/>
                <w:shd w:fill="auto" w:val="clear"/>
              </w:rPr>
            </w:pPr>
            <w:r>
              <w:rPr>
                <w:rFonts w:ascii="Marianne" w:hAnsi="Marianne"/>
                <w:sz w:val="18"/>
                <w:szCs w:val="18"/>
                <w:shd w:fill="auto" w:val="clear"/>
              </w:rPr>
              <w:t>10</w:t>
            </w:r>
          </w:p>
        </w:tc>
      </w:tr>
      <w:tr>
        <w:trPr/>
        <w:tc>
          <w:tcPr>
            <w:tcW w:w="7086" w:type="dxa"/>
            <w:tcBorders>
              <w:left w:val="single" w:sz="4" w:space="0" w:color="000000"/>
              <w:bottom w:val="single" w:sz="4" w:space="0" w:color="000000"/>
            </w:tcBorders>
          </w:tcPr>
          <w:p>
            <w:pPr>
              <w:pStyle w:val="Normal"/>
              <w:bidi w:val="0"/>
              <w:spacing w:before="57" w:after="57"/>
              <w:rPr>
                <w:rFonts w:ascii="Marianne" w:hAnsi="Marianne"/>
                <w:sz w:val="18"/>
                <w:szCs w:val="18"/>
                <w:highlight w:val="none"/>
                <w:shd w:fill="auto" w:val="clear"/>
              </w:rPr>
            </w:pPr>
            <w:r>
              <w:rPr>
                <w:rFonts w:ascii="Marianne" w:hAnsi="Marianne"/>
                <w:b/>
                <w:bCs/>
                <w:i w:val="false"/>
                <w:iCs w:val="false"/>
                <w:sz w:val="18"/>
                <w:szCs w:val="18"/>
                <w:u w:val="single"/>
                <w:shd w:fill="auto" w:val="clear"/>
              </w:rPr>
              <w:t>Social</w:t>
            </w:r>
          </w:p>
          <w:p>
            <w:pPr>
              <w:pStyle w:val="Parareponse"/>
              <w:widowControl w:val="false"/>
              <w:suppressAutoHyphens w:val="true"/>
              <w:overflowPunct w:val="true"/>
              <w:bidi w:val="0"/>
              <w:snapToGrid w:val="false"/>
              <w:spacing w:before="0" w:after="0"/>
              <w:ind w:hanging="0" w:left="0" w:right="0"/>
              <w:jc w:val="both"/>
              <w:rPr>
                <w:rFonts w:ascii="Marianne" w:hAnsi="Marianne"/>
                <w:sz w:val="18"/>
                <w:szCs w:val="18"/>
                <w:highlight w:val="none"/>
                <w:shd w:fill="auto" w:val="clear"/>
              </w:rPr>
            </w:pPr>
            <w:r>
              <w:rPr>
                <w:rFonts w:eastAsia="Trebuchet MS" w:cs="Trebuchet MS" w:ascii="Marianne" w:hAnsi="Marianne"/>
                <w:b w:val="false"/>
                <w:bCs w:val="false"/>
                <w:color w:val="000000"/>
                <w:kern w:val="0"/>
                <w:sz w:val="18"/>
                <w:szCs w:val="18"/>
                <w:shd w:fill="auto" w:val="clear"/>
                <w:lang w:eastAsia="en-US"/>
              </w:rPr>
              <w:t>Le critère est évalué au vu du mémoire exigé, et selon les items suivants :</w:t>
            </w:r>
          </w:p>
          <w:p>
            <w:pPr>
              <w:pStyle w:val="Normal"/>
              <w:numPr>
                <w:ilvl w:val="0"/>
                <w:numId w:val="8"/>
              </w:numPr>
              <w:bidi w:val="0"/>
              <w:spacing w:lineRule="auto" w:line="240" w:before="0" w:after="0"/>
              <w:ind w:hanging="340" w:left="1020"/>
              <w:rPr>
                <w:rFonts w:ascii="Marianne" w:hAnsi="Marianne"/>
                <w:sz w:val="18"/>
                <w:szCs w:val="18"/>
                <w:highlight w:val="none"/>
                <w:shd w:fill="auto" w:val="clear"/>
              </w:rPr>
            </w:pPr>
            <w:r>
              <w:rPr>
                <w:rFonts w:eastAsia="Trebuchet MS" w:cs="Trebuchet MS" w:ascii="Marianne" w:hAnsi="Marianne"/>
                <w:b w:val="false"/>
                <w:bCs w:val="false"/>
                <w:color w:val="000000"/>
                <w:kern w:val="0"/>
                <w:sz w:val="18"/>
                <w:szCs w:val="18"/>
                <w:shd w:fill="auto" w:val="clear"/>
                <w:lang w:eastAsia="en-US"/>
              </w:rPr>
              <w:t>Précisions sur la mise en œuvre envisagée pour l’action d’insertion prévue au marché (article 11 du CCAP)</w:t>
            </w:r>
          </w:p>
        </w:tc>
        <w:tc>
          <w:tcPr>
            <w:tcW w:w="1435" w:type="dxa"/>
            <w:tcBorders>
              <w:left w:val="single" w:sz="4" w:space="0" w:color="000000"/>
              <w:bottom w:val="single" w:sz="4" w:space="0" w:color="000000"/>
              <w:right w:val="single" w:sz="4" w:space="0" w:color="000000"/>
            </w:tcBorders>
          </w:tcPr>
          <w:p>
            <w:pPr>
              <w:pStyle w:val="Parareponse"/>
              <w:bidi w:val="0"/>
              <w:snapToGrid w:val="false"/>
              <w:spacing w:before="0" w:after="0"/>
              <w:jc w:val="center"/>
              <w:rPr>
                <w:rFonts w:ascii="Marianne" w:hAnsi="Marianne"/>
                <w:sz w:val="18"/>
                <w:szCs w:val="18"/>
                <w:highlight w:val="none"/>
                <w:shd w:fill="auto" w:val="clear"/>
              </w:rPr>
            </w:pPr>
            <w:r>
              <w:rPr>
                <w:rFonts w:ascii="Marianne" w:hAnsi="Marianne"/>
                <w:sz w:val="18"/>
                <w:szCs w:val="18"/>
                <w:shd w:fill="auto" w:val="clear"/>
              </w:rPr>
              <w:t>5</w:t>
            </w:r>
          </w:p>
        </w:tc>
      </w:tr>
      <w:tr>
        <w:trPr/>
        <w:tc>
          <w:tcPr>
            <w:tcW w:w="8521" w:type="dxa"/>
            <w:gridSpan w:val="2"/>
            <w:tcBorders>
              <w:left w:val="single" w:sz="4" w:space="0" w:color="000000"/>
              <w:bottom w:val="single" w:sz="4" w:space="0" w:color="000000"/>
              <w:right w:val="single" w:sz="4" w:space="0" w:color="000000"/>
            </w:tcBorders>
          </w:tcPr>
          <w:p>
            <w:pPr>
              <w:pStyle w:val="Standard"/>
              <w:widowControl w:val="false"/>
              <w:suppressAutoHyphens w:val="true"/>
              <w:bidi w:val="0"/>
              <w:spacing w:before="0" w:after="0"/>
              <w:ind w:hanging="0" w:left="0" w:right="0"/>
              <w:contextualSpacing/>
              <w:jc w:val="both"/>
              <w:textAlignment w:val="baseline"/>
              <w:rPr>
                <w:rFonts w:ascii="Marianne" w:hAnsi="Marianne"/>
                <w:i/>
                <w:iCs/>
                <w:sz w:val="18"/>
                <w:szCs w:val="18"/>
                <w:highlight w:val="none"/>
                <w:shd w:fill="auto" w:val="clear"/>
              </w:rPr>
            </w:pPr>
            <w:r>
              <w:rPr>
                <w:rFonts w:ascii="Marianne" w:hAnsi="Marianne"/>
                <w:i/>
                <w:iCs/>
                <w:sz w:val="18"/>
                <w:szCs w:val="18"/>
                <w:shd w:fill="auto" w:val="clear"/>
              </w:rPr>
              <w:t>Les items ci-dessus seront pondérés selon le barème suivant:</w:t>
            </w:r>
          </w:p>
          <w:p>
            <w:pPr>
              <w:pStyle w:val="Standard"/>
              <w:widowControl w:val="false"/>
              <w:suppressAutoHyphens w:val="true"/>
              <w:bidi w:val="0"/>
              <w:spacing w:before="0" w:after="0"/>
              <w:ind w:hanging="0" w:left="0" w:right="0"/>
              <w:contextualSpacing/>
              <w:jc w:val="both"/>
              <w:textAlignment w:val="baseline"/>
              <w:rPr>
                <w:rFonts w:ascii="Marianne" w:hAnsi="Marianne"/>
                <w:i/>
                <w:iCs/>
                <w:sz w:val="18"/>
                <w:szCs w:val="18"/>
                <w:highlight w:val="none"/>
                <w:shd w:fill="auto" w:val="clear"/>
              </w:rPr>
            </w:pPr>
            <w:r>
              <w:rPr>
                <w:rFonts w:ascii="Marianne" w:hAnsi="Marianne"/>
                <w:i/>
                <w:iCs/>
                <w:sz w:val="18"/>
                <w:szCs w:val="18"/>
                <w:shd w:fill="auto" w:val="clear"/>
              </w:rPr>
              <w:t>100% = très satisfaisant / 80% = satisfaisant / 50% =moyen / 20% = insuffisant / 10% =très insuffisant / 0% = non abordé</w:t>
            </w:r>
          </w:p>
        </w:tc>
      </w:tr>
      <w:tr>
        <w:trPr/>
        <w:tc>
          <w:tcPr>
            <w:tcW w:w="7086" w:type="dxa"/>
            <w:tcBorders>
              <w:left w:val="single" w:sz="4" w:space="0" w:color="000000"/>
              <w:bottom w:val="single" w:sz="4" w:space="0" w:color="000000"/>
            </w:tcBorders>
          </w:tcPr>
          <w:p>
            <w:pPr>
              <w:pStyle w:val="Normal"/>
              <w:bidi w:val="0"/>
              <w:spacing w:before="57" w:after="57"/>
              <w:rPr>
                <w:rFonts w:ascii="Marianne" w:hAnsi="Marianne"/>
                <w:b/>
                <w:bCs/>
                <w:i w:val="false"/>
                <w:iCs w:val="false"/>
                <w:sz w:val="18"/>
                <w:szCs w:val="18"/>
                <w:u w:val="single"/>
                <w:shd w:fill="auto" w:val="clear"/>
              </w:rPr>
            </w:pPr>
            <w:r>
              <w:rPr>
                <w:rFonts w:ascii="Marianne" w:hAnsi="Marianne"/>
                <w:b/>
                <w:bCs/>
                <w:i w:val="false"/>
                <w:iCs w:val="false"/>
                <w:sz w:val="18"/>
                <w:szCs w:val="18"/>
                <w:u w:val="single"/>
                <w:shd w:fill="auto" w:val="clear"/>
              </w:rPr>
              <w:t>Prix</w:t>
            </w:r>
          </w:p>
          <w:p>
            <w:pPr>
              <w:pStyle w:val="Contenudetableau"/>
              <w:bidi w:val="0"/>
              <w:rPr>
                <w:rFonts w:ascii="Marianne" w:hAnsi="Marianne"/>
                <w:i w:val="false"/>
                <w:iCs w:val="false"/>
                <w:sz w:val="18"/>
                <w:szCs w:val="18"/>
                <w:shd w:fill="auto" w:val="clear"/>
              </w:rPr>
            </w:pPr>
            <w:r>
              <w:rPr>
                <w:rFonts w:ascii="Marianne" w:hAnsi="Marianne"/>
                <w:i w:val="false"/>
                <w:iCs w:val="false"/>
                <w:sz w:val="18"/>
                <w:szCs w:val="18"/>
                <w:shd w:fill="auto" w:val="clear"/>
              </w:rPr>
              <w:t>La note attribuée au montant de l’offre sera jugée en fonction de l’ensemble des offres remises selon la formule suivante :</w:t>
            </w:r>
          </w:p>
          <w:p>
            <w:pPr>
              <w:pStyle w:val="Contenudetableau"/>
              <w:tabs>
                <w:tab w:val="clear" w:pos="709"/>
              </w:tabs>
              <w:bidi w:val="0"/>
              <w:jc w:val="left"/>
              <w:rPr>
                <w:rFonts w:ascii="Marianne" w:hAnsi="Marianne"/>
                <w:i w:val="false"/>
                <w:iCs w:val="false"/>
                <w:sz w:val="18"/>
                <w:szCs w:val="18"/>
                <w:shd w:fill="auto" w:val="clear"/>
              </w:rPr>
            </w:pPr>
            <w:r>
              <w:rPr/>
            </w:r>
            <m:oMathPara xmlns:m="http://schemas.openxmlformats.org/officeDocument/2006/math">
              <m:oMathParaPr>
                <m:jc m:val="left"/>
              </m:oMathParaPr>
              <m:oMath>
                <m:r>
                  <w:rPr>
                    <w:rFonts w:ascii="Cambria Math" w:hAnsi="Cambria Math"/>
                  </w:rPr>
                  <m:t xml:space="preserve">N</m:t>
                </m:r>
                <m:d>
                  <m:dPr>
                    <m:begChr m:val="("/>
                    <m:endChr m:val=")"/>
                  </m:dPr>
                  <m:e>
                    <m:r>
                      <w:rPr>
                        <w:rFonts w:ascii="Cambria Math" w:hAnsi="Cambria Math"/>
                      </w:rPr>
                      <m:t xml:space="preserve">P</m:t>
                    </m:r>
                  </m:e>
                </m:d>
                <m:r>
                  <m:rPr>
                    <m:lit/>
                    <m:nor/>
                  </m:rPr>
                  <w:rPr>
                    <w:rFonts w:ascii="Cambria Math" w:hAnsi="Cambria Math"/>
                  </w:rPr>
                  <m:t xml:space="preserve">=</m:t>
                </m:r>
                <m:r>
                  <w:rPr>
                    <w:rFonts w:ascii="Cambria Math" w:hAnsi="Cambria Math"/>
                  </w:rPr>
                  <m:t xml:space="preserve">40</m:t>
                </m:r>
                <m:r>
                  <w:rPr>
                    <w:rFonts w:ascii="Cambria Math" w:hAnsi="Cambria Math"/>
                  </w:rPr>
                  <m:t xml:space="preserve">−</m:t>
                </m:r>
                <m:r>
                  <w:rPr>
                    <w:rFonts w:ascii="Cambria Math" w:hAnsi="Cambria Math"/>
                  </w:rPr>
                  <m:t xml:space="preserve">40</m:t>
                </m:r>
                <m:r>
                  <w:rPr>
                    <w:rFonts w:ascii="Cambria Math" w:hAnsi="Cambria Math"/>
                  </w:rPr>
                  <m:t xml:space="preserve">×</m:t>
                </m:r>
                <m:d>
                  <m:dPr>
                    <m:begChr m:val="("/>
                    <m:endChr m:val=")"/>
                  </m:dPr>
                  <m:e>
                    <m:f>
                      <m:num>
                        <m:r>
                          <w:rPr>
                            <w:rFonts w:ascii="Cambria Math" w:hAnsi="Cambria Math"/>
                          </w:rPr>
                          <m:t xml:space="preserve">P</m:t>
                        </m:r>
                        <m:r>
                          <w:rPr>
                            <w:rFonts w:ascii="Cambria Math" w:hAnsi="Cambria Math"/>
                          </w:rPr>
                          <m:t xml:space="preserve">−</m:t>
                        </m:r>
                        <m:sSub>
                          <m:e>
                            <m:r>
                              <w:rPr>
                                <w:rFonts w:ascii="Cambria Math" w:hAnsi="Cambria Math"/>
                              </w:rPr>
                              <m:t xml:space="preserve">P</m:t>
                            </m:r>
                          </m:e>
                          <m:sub>
                            <m:r>
                              <m:rPr>
                                <m:lit/>
                                <m:nor/>
                              </m:rPr>
                              <w:rPr>
                                <w:rFonts w:ascii="Cambria Math" w:hAnsi="Cambria Math"/>
                              </w:rPr>
                              <m:t xml:space="preserve">min</m:t>
                            </m:r>
                          </m:sub>
                        </m:sSub>
                      </m:num>
                      <m:den>
                        <m:sSub>
                          <m:e>
                            <m:r>
                              <w:rPr>
                                <w:rFonts w:ascii="Cambria Math" w:hAnsi="Cambria Math"/>
                              </w:rPr>
                              <m:t xml:space="preserve">P</m:t>
                            </m:r>
                          </m:e>
                          <m:sub>
                            <m:r>
                              <m:rPr>
                                <m:lit/>
                                <m:nor/>
                              </m:rPr>
                              <w:rPr>
                                <w:rFonts w:ascii="Cambria Math" w:hAnsi="Cambria Math"/>
                              </w:rPr>
                              <m:t xml:space="preserve">max</m:t>
                            </m:r>
                          </m:sub>
                        </m:sSub>
                      </m:den>
                    </m:f>
                  </m:e>
                </m:d>
              </m:oMath>
            </m:oMathPara>
          </w:p>
          <w:p>
            <w:pPr>
              <w:pStyle w:val="Contenudetableau"/>
              <w:tabs>
                <w:tab w:val="clear" w:pos="709"/>
                <w:tab w:val="left" w:pos="791" w:leader="none"/>
              </w:tabs>
              <w:bidi w:val="0"/>
              <w:jc w:val="left"/>
              <w:rPr>
                <w:rFonts w:ascii="Marianne" w:hAnsi="Marianne"/>
                <w:i w:val="false"/>
                <w:iCs w:val="false"/>
                <w:sz w:val="18"/>
                <w:szCs w:val="18"/>
                <w:shd w:fill="auto" w:val="clear"/>
              </w:rPr>
            </w:pPr>
            <w:r>
              <w:rPr>
                <w:rFonts w:ascii="Marianne" w:hAnsi="Marianne"/>
                <w:b w:val="false"/>
                <w:bCs w:val="false"/>
                <w:i w:val="false"/>
                <w:iCs w:val="false"/>
                <w:spacing w:val="40"/>
                <w:sz w:val="18"/>
                <w:szCs w:val="18"/>
                <w:shd w:fill="auto" w:val="clear"/>
              </w:rPr>
              <w:t>N</w:t>
            </w:r>
            <w:r>
              <w:rPr>
                <w:rFonts w:ascii="Marianne" w:hAnsi="Marianne"/>
                <w:b w:val="false"/>
                <w:bCs w:val="false"/>
                <w:i w:val="false"/>
                <w:iCs w:val="false"/>
                <w:spacing w:val="20"/>
                <w:sz w:val="18"/>
                <w:szCs w:val="18"/>
                <w:shd w:fill="auto" w:val="clear"/>
              </w:rPr>
              <w:t>(P</w:t>
            </w:r>
            <w:r>
              <w:rPr>
                <w:rFonts w:ascii="Marianne" w:hAnsi="Marianne"/>
                <w:b w:val="false"/>
                <w:bCs w:val="false"/>
                <w:i w:val="false"/>
                <w:iCs w:val="false"/>
                <w:spacing w:val="0"/>
                <w:sz w:val="18"/>
                <w:szCs w:val="18"/>
                <w:shd w:fill="auto" w:val="clear"/>
              </w:rPr>
              <w:t>)</w:t>
            </w:r>
            <w:r>
              <w:rPr>
                <w:rFonts w:ascii="Marianne" w:hAnsi="Marianne"/>
                <w:b w:val="false"/>
                <w:bCs w:val="false"/>
                <w:i w:val="false"/>
                <w:iCs w:val="false"/>
                <w:sz w:val="18"/>
                <w:szCs w:val="18"/>
                <w:shd w:fill="auto" w:val="clear"/>
              </w:rPr>
              <w:t> :</w:t>
              <w:tab/>
              <w:t>note obtenue par le candidat</w:t>
              <w:br/>
              <w:t>P :</w:t>
              <w:tab/>
              <w:t>l’offre du candidat</w:t>
              <w:br/>
              <w:t>P</w:t>
            </w:r>
            <w:r>
              <w:rPr>
                <w:rFonts w:ascii="Marianne" w:hAnsi="Marianne"/>
                <w:b w:val="false"/>
                <w:bCs w:val="false"/>
                <w:i w:val="false"/>
                <w:iCs w:val="false"/>
                <w:sz w:val="18"/>
                <w:szCs w:val="18"/>
                <w:shd w:fill="auto" w:val="clear"/>
                <w:vertAlign w:val="subscript"/>
              </w:rPr>
              <w:t>min</w:t>
            </w:r>
            <w:r>
              <w:rPr>
                <w:rFonts w:ascii="Marianne" w:hAnsi="Marianne"/>
                <w:b w:val="false"/>
                <w:bCs w:val="false"/>
                <w:i w:val="false"/>
                <w:iCs w:val="false"/>
                <w:sz w:val="18"/>
                <w:szCs w:val="18"/>
                <w:shd w:fill="auto" w:val="clear"/>
              </w:rPr>
              <w:t> :</w:t>
              <w:tab/>
              <w:t>montant de l’offre la plus basse</w:t>
            </w:r>
          </w:p>
          <w:p>
            <w:pPr>
              <w:pStyle w:val="Contenudetableau"/>
              <w:keepNext w:val="false"/>
              <w:tabs>
                <w:tab w:val="clear" w:pos="709"/>
                <w:tab w:val="left" w:pos="791" w:leader="none"/>
              </w:tabs>
              <w:bidi w:val="0"/>
              <w:snapToGrid w:val="false"/>
              <w:spacing w:before="0" w:after="0"/>
              <w:jc w:val="left"/>
              <w:rPr>
                <w:rFonts w:ascii="Marianne" w:hAnsi="Marianne"/>
                <w:i w:val="false"/>
                <w:iCs w:val="false"/>
                <w:sz w:val="18"/>
                <w:szCs w:val="18"/>
                <w:shd w:fill="auto" w:val="clear"/>
              </w:rPr>
            </w:pPr>
            <w:r>
              <w:rPr>
                <w:rFonts w:ascii="Marianne" w:hAnsi="Marianne"/>
                <w:b w:val="false"/>
                <w:bCs w:val="false"/>
                <w:i w:val="false"/>
                <w:iCs w:val="false"/>
                <w:sz w:val="18"/>
                <w:szCs w:val="18"/>
                <w:shd w:fill="auto" w:val="clear"/>
              </w:rPr>
              <w:t>P</w:t>
            </w:r>
            <w:r>
              <w:rPr>
                <w:rFonts w:ascii="Marianne" w:hAnsi="Marianne"/>
                <w:b w:val="false"/>
                <w:bCs w:val="false"/>
                <w:i w:val="false"/>
                <w:iCs w:val="false"/>
                <w:sz w:val="18"/>
                <w:szCs w:val="18"/>
                <w:shd w:fill="auto" w:val="clear"/>
                <w:vertAlign w:val="subscript"/>
              </w:rPr>
              <w:t>max</w:t>
            </w:r>
            <w:r>
              <w:rPr>
                <w:rFonts w:ascii="Marianne" w:hAnsi="Marianne"/>
                <w:b w:val="false"/>
                <w:bCs w:val="false"/>
                <w:i w:val="false"/>
                <w:iCs w:val="false"/>
                <w:sz w:val="18"/>
                <w:szCs w:val="18"/>
                <w:shd w:fill="auto" w:val="clear"/>
              </w:rPr>
              <w:t> :</w:t>
              <w:tab/>
              <w:t>montant de l’offre la plus haute</w:t>
            </w:r>
          </w:p>
        </w:tc>
        <w:tc>
          <w:tcPr>
            <w:tcW w:w="1435" w:type="dxa"/>
            <w:tcBorders>
              <w:left w:val="single" w:sz="4" w:space="0" w:color="000000"/>
              <w:bottom w:val="single" w:sz="4" w:space="0" w:color="000000"/>
              <w:right w:val="single" w:sz="4" w:space="0" w:color="000000"/>
            </w:tcBorders>
          </w:tcPr>
          <w:p>
            <w:pPr>
              <w:pStyle w:val="Parareponse"/>
              <w:bidi w:val="0"/>
              <w:snapToGrid w:val="false"/>
              <w:spacing w:before="0" w:after="0"/>
              <w:jc w:val="center"/>
              <w:rPr>
                <w:rFonts w:ascii="Marianne" w:hAnsi="Marianne"/>
                <w:sz w:val="18"/>
                <w:szCs w:val="18"/>
              </w:rPr>
            </w:pPr>
            <w:r>
              <w:rPr>
                <w:rFonts w:ascii="Marianne" w:hAnsi="Marianne"/>
                <w:sz w:val="18"/>
                <w:szCs w:val="18"/>
              </w:rPr>
              <w:t>65</w:t>
            </w:r>
          </w:p>
        </w:tc>
      </w:tr>
    </w:tbl>
    <w:p>
      <w:pPr>
        <w:pStyle w:val="Normal"/>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t>Dans le cas où des erreurs de multiplication ou d'addition seraient constatées dans la décomposition du prix global forfaitaire figurant dans l'offre d'un candidat, le montant de ce prix ne sera pas rectifié pour le jugement de la consultation.</w:t>
      </w:r>
    </w:p>
    <w:p>
      <w:pPr>
        <w:pStyle w:val="Paragraphe"/>
        <w:bidi w:val="0"/>
        <w:spacing w:before="0" w:after="0"/>
        <w:rPr>
          <w:rFonts w:ascii="Marianne" w:hAnsi="Marianne"/>
          <w:sz w:val="18"/>
          <w:szCs w:val="18"/>
        </w:rPr>
      </w:pPr>
      <w:r>
        <w:rPr>
          <w:rFonts w:ascii="Marianne" w:hAnsi="Marianne"/>
          <w:sz w:val="18"/>
          <w:szCs w:val="18"/>
        </w:rPr>
        <w:t>Toutefois, si le candidat concerné est sur le point d'être retenu, il sera invité à rectifier la décomposition pour la mettre en harmonie avec le prix global forfaitaire, en cas de refus son offre sera éliminée comme non cohérente.</w:t>
      </w:r>
    </w:p>
    <w:p>
      <w:pPr>
        <w:pStyle w:val="Paragraphe"/>
        <w:bidi w:val="0"/>
        <w:spacing w:before="0" w:after="0"/>
        <w:rPr>
          <w:rFonts w:ascii="Marianne" w:hAnsi="Marianne"/>
          <w:sz w:val="18"/>
          <w:szCs w:val="18"/>
        </w:rPr>
      </w:pPr>
      <w:r>
        <w:rPr>
          <w:rFonts w:ascii="Marianne" w:hAnsi="Marianne"/>
          <w:sz w:val="18"/>
          <w:szCs w:val="18"/>
        </w:rPr>
        <w:t>Lors de l'examen des offres, le RMO se réservera la possibilité de se faire communiquer les décompositions ou sous-détails des prix, ayant servi à l'élaboration des prix, ainsi que toutes précisions qu'il estimera nécessaires.</w:t>
      </w:r>
    </w:p>
    <w:p>
      <w:pPr>
        <w:pStyle w:val="Paragraphe"/>
        <w:bidi w:val="0"/>
        <w:spacing w:before="0" w:after="0"/>
        <w:rPr>
          <w:rFonts w:ascii="Marianne" w:hAnsi="Marianne"/>
          <w:sz w:val="18"/>
          <w:szCs w:val="18"/>
        </w:rPr>
      </w:pPr>
      <w:r>
        <w:rPr>
          <w:rFonts w:ascii="Marianne" w:hAnsi="Marianne"/>
          <w:sz w:val="18"/>
          <w:szCs w:val="18"/>
        </w:rPr>
        <w:t>Si le candidat pressenti ne fournit pas les certificats, attestations ou déclarations mentionnés aux articles R.2143-6 à R.2143-10 du CCP son offre sera rejetée. Dans ce cas, l'élimination du candidat sera prononcée par le RMO qui présentera la même demande au candidat suivant dans le classement des offres.</w:t>
      </w:r>
    </w:p>
    <w:p>
      <w:pPr>
        <w:pStyle w:val="Paragraphe"/>
        <w:bidi w:val="0"/>
        <w:spacing w:before="0" w:after="0"/>
        <w:rPr>
          <w:rFonts w:ascii="Marianne" w:hAnsi="Marianne"/>
          <w:sz w:val="18"/>
          <w:szCs w:val="18"/>
        </w:rPr>
      </w:pPr>
      <w:r>
        <w:rPr>
          <w:rFonts w:ascii="Marianne" w:hAnsi="Marianne"/>
          <w:sz w:val="18"/>
          <w:szCs w:val="18"/>
        </w:rPr>
        <w:t>Le RMO pourra, à tout moment, ne pas donner suite à la procédure. Les candidats en seront informés.</w:t>
      </w:r>
    </w:p>
    <w:p>
      <w:pPr>
        <w:pStyle w:val="Paragraphe"/>
        <w:bidi w:val="0"/>
        <w:spacing w:before="0" w:after="0"/>
        <w:rPr>
          <w:rFonts w:ascii="Marianne" w:hAnsi="Marianne"/>
          <w:sz w:val="18"/>
          <w:szCs w:val="18"/>
        </w:rPr>
      </w:pPr>
      <w:r>
        <w:rPr>
          <w:rFonts w:ascii="Marianne" w:hAnsi="Marianne"/>
          <w:sz w:val="18"/>
          <w:szCs w:val="18"/>
        </w:rPr>
      </w:r>
    </w:p>
    <w:p>
      <w:pPr>
        <w:pStyle w:val="Heading1"/>
        <w:numPr>
          <w:ilvl w:val="0"/>
          <w:numId w:val="0"/>
        </w:numPr>
        <w:tabs>
          <w:tab w:val="left" w:pos="0" w:leader="none"/>
        </w:tabs>
        <w:bidi w:val="0"/>
        <w:spacing w:before="0" w:after="0"/>
        <w:ind w:hanging="0" w:left="0" w:right="0"/>
        <w:outlineLvl w:val="9"/>
        <w:rPr>
          <w:rFonts w:ascii="Marianne" w:hAnsi="Marianne"/>
          <w:sz w:val="18"/>
          <w:szCs w:val="18"/>
        </w:rPr>
      </w:pPr>
      <w:bookmarkStart w:id="33" w:name="__RefHeading___Toc18285_2630935504"/>
      <w:bookmarkEnd w:id="33"/>
      <w:r>
        <w:rPr>
          <w:rFonts w:ascii="Marianne" w:hAnsi="Marianne"/>
          <w:sz w:val="18"/>
          <w:szCs w:val="18"/>
        </w:rPr>
        <w:t>ARTICLE 5. CONDITIONS D'ENVOI OU DE REMISE DE L'OFFRE</w:t>
      </w:r>
    </w:p>
    <w:p>
      <w:pPr>
        <w:pStyle w:val="Paragraphe"/>
        <w:bidi w:val="0"/>
        <w:spacing w:before="0" w:after="0"/>
        <w:rPr>
          <w:rFonts w:ascii="Marianne" w:hAnsi="Marianne"/>
          <w:b/>
          <w:sz w:val="18"/>
          <w:szCs w:val="18"/>
        </w:rPr>
      </w:pPr>
      <w:r>
        <w:rPr>
          <w:rFonts w:ascii="Marianne" w:hAnsi="Marianne"/>
          <w:b/>
          <w:sz w:val="18"/>
          <w:szCs w:val="18"/>
        </w:rPr>
      </w:r>
    </w:p>
    <w:p>
      <w:pPr>
        <w:pStyle w:val="Paragraphe"/>
        <w:bidi w:val="0"/>
        <w:spacing w:before="0" w:after="0"/>
        <w:rPr>
          <w:rFonts w:ascii="Marianne" w:hAnsi="Marianne"/>
          <w:b/>
          <w:sz w:val="18"/>
          <w:szCs w:val="18"/>
        </w:rPr>
      </w:pPr>
      <w:r>
        <w:rPr>
          <w:rFonts w:ascii="Marianne" w:hAnsi="Marianne"/>
          <w:b/>
          <w:sz w:val="18"/>
          <w:szCs w:val="18"/>
        </w:rPr>
        <w:t>Les offres seront établies en euros et transmises en une seule fois.</w:t>
      </w:r>
    </w:p>
    <w:p>
      <w:pPr>
        <w:pStyle w:val="Paragraphe"/>
        <w:bidi w:val="0"/>
        <w:spacing w:before="0" w:after="0"/>
        <w:rPr>
          <w:rFonts w:ascii="Marianne" w:hAnsi="Marianne"/>
          <w:sz w:val="18"/>
          <w:szCs w:val="18"/>
        </w:rPr>
      </w:pPr>
      <w:r>
        <w:rPr>
          <w:rFonts w:ascii="Marianne" w:hAnsi="Marianne"/>
          <w:b/>
          <w:bCs/>
          <w:sz w:val="18"/>
          <w:szCs w:val="18"/>
        </w:rPr>
        <w:t>Les offres seront remises par voie postale ou électronique</w:t>
      </w:r>
      <w:r>
        <w:rPr>
          <w:rFonts w:ascii="Marianne" w:hAnsi="Marianne"/>
          <w:sz w:val="18"/>
          <w:szCs w:val="18"/>
        </w:rPr>
        <w:t>.</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34" w:name="__RefHeading___Toc18287_2630935504"/>
      <w:bookmarkEnd w:id="34"/>
      <w:r>
        <w:rPr>
          <w:rFonts w:ascii="Marianne" w:hAnsi="Marianne"/>
          <w:sz w:val="18"/>
          <w:szCs w:val="18"/>
        </w:rPr>
        <w:t>5-1. Offre remise par échange électronique sur la plate-forme de dématérialisation</w:t>
      </w:r>
    </w:p>
    <w:p>
      <w:pPr>
        <w:pStyle w:val="BodyText"/>
        <w:bidi w:val="0"/>
        <w:spacing w:before="0" w:after="0"/>
        <w:rPr>
          <w:rFonts w:ascii="Marianne" w:hAnsi="Marianne"/>
          <w:sz w:val="18"/>
          <w:szCs w:val="18"/>
        </w:rPr>
      </w:pPr>
      <w:r>
        <w:rPr>
          <w:rFonts w:ascii="Marianne" w:hAnsi="Marianne"/>
          <w:sz w:val="18"/>
          <w:szCs w:val="18"/>
        </w:rPr>
        <w:t>Si plusieurs offres sont successivement transmises par un même candidat, seule est ouverte la dernière offre reçue, par voie électronique , par le maître d'ouvrage dans le délai fixé pour la remise des offres.</w:t>
      </w:r>
    </w:p>
    <w:p>
      <w:pPr>
        <w:pStyle w:val="BodyText"/>
        <w:bidi w:val="0"/>
        <w:spacing w:before="0" w:after="0"/>
        <w:rPr>
          <w:rFonts w:ascii="Marianne" w:hAnsi="Marianne"/>
          <w:sz w:val="18"/>
          <w:szCs w:val="18"/>
        </w:rPr>
      </w:pPr>
      <w:r>
        <w:rPr>
          <w:rFonts w:ascii="Marianne" w:hAnsi="Marianne"/>
          <w:sz w:val="18"/>
          <w:szCs w:val="18"/>
        </w:rPr>
        <w:t>Les candidats appliquent le même mode de transmission à l'ensemble des documents qu'ils adressent au maître d’ouvrage.</w:t>
      </w:r>
    </w:p>
    <w:p>
      <w:pPr>
        <w:pStyle w:val="Paragraphe"/>
        <w:bidi w:val="0"/>
        <w:spacing w:before="0" w:after="0"/>
        <w:rPr>
          <w:rFonts w:ascii="Marianne" w:hAnsi="Marianne"/>
          <w:sz w:val="18"/>
          <w:szCs w:val="18"/>
        </w:rPr>
      </w:pPr>
      <w:r>
        <w:rPr>
          <w:rFonts w:ascii="Marianne" w:hAnsi="Marianne"/>
          <w:sz w:val="18"/>
          <w:szCs w:val="18"/>
        </w:rPr>
        <w:t>Lors de la première utilisation de la plate-forme de dématérialisation (</w:t>
      </w:r>
      <w:bookmarkStart w:id="35" w:name="R5_p1_a"/>
      <w:r>
        <w:rPr>
          <w:rFonts w:ascii="Marianne" w:hAnsi="Marianne"/>
          <w:sz w:val="18"/>
          <w:szCs w:val="18"/>
        </w:rPr>
        <w:t>https://www.marches-publics.gouv.fr</w:t>
      </w:r>
      <w:bookmarkEnd w:id="35"/>
      <w:r>
        <w:rPr>
          <w:rFonts w:ascii="Marianne" w:hAnsi="Marianne"/>
          <w:sz w:val="18"/>
          <w:szCs w:val="18"/>
        </w:rPr>
        <w:t>), le candidat installera les pré-requis techniques et prendra connaissance du manuel d'utilisation.</w:t>
      </w:r>
    </w:p>
    <w:p>
      <w:pPr>
        <w:pStyle w:val="Paradouble"/>
        <w:bidi w:val="0"/>
        <w:spacing w:before="0" w:after="0"/>
        <w:rPr>
          <w:rFonts w:ascii="Marianne" w:hAnsi="Marianne"/>
          <w:sz w:val="18"/>
          <w:szCs w:val="18"/>
        </w:rPr>
      </w:pPr>
      <w:r>
        <w:rPr>
          <w:rFonts w:ascii="Marianne" w:hAnsi="Marianne"/>
          <w:sz w:val="18"/>
          <w:szCs w:val="18"/>
        </w:rPr>
        <w:t xml:space="preserve">La remise d'une offre par voie électronique se fera sur la plate-forme de dématérialisation sous la référence </w:t>
      </w:r>
      <w:r>
        <w:rPr>
          <w:rFonts w:ascii="Marianne" w:hAnsi="Marianne"/>
          <w:b/>
          <w:bCs/>
          <w:sz w:val="18"/>
          <w:szCs w:val="18"/>
          <w:shd w:fill="auto" w:val="clear"/>
        </w:rPr>
        <w:t>PRA052798</w:t>
      </w:r>
      <w:r>
        <w:rPr>
          <w:rFonts w:ascii="Marianne" w:hAnsi="Marianne"/>
          <w:sz w:val="18"/>
          <w:szCs w:val="18"/>
        </w:rPr>
        <w:t xml:space="preserve"> </w:t>
      </w:r>
    </w:p>
    <w:p>
      <w:pPr>
        <w:pStyle w:val="Paradouble"/>
        <w:keepNext w:val="true"/>
        <w:bidi w:val="0"/>
        <w:spacing w:before="0" w:after="0"/>
        <w:rPr>
          <w:rFonts w:ascii="Marianne" w:hAnsi="Marianne"/>
          <w:sz w:val="18"/>
          <w:szCs w:val="18"/>
        </w:rPr>
      </w:pPr>
      <w:r>
        <w:rPr>
          <w:rFonts w:ascii="Marianne" w:hAnsi="Marianne"/>
          <w:sz w:val="18"/>
          <w:szCs w:val="18"/>
        </w:rPr>
        <w:t>En outre, cette transmission le sera selon les modalités suivantes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L'offre devra parvenir à destination avant la date et l'heure indiquées dans la page de garde du présent règlement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La durée de la transmission de l'offre est fonction du débit de l’accès Internet du candidat et de la taille des documents à transmettre, il est invité à s’assurer que tous les documents sont utiles à la compréhension de son offre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dossiers qui seraient remis ou dont l'avis de réception serait délivré après la date et l'heure limites fixées ci-dessus ne seront pas retenus, ils ne seront pas renvoyés à leurs auteurs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documents à fournir, conformément à l'article 3-1.2 ci-dessus, devront l'être sous forme de fichiers informatiques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 xml:space="preserve">Seuls les formats de fichiers informatiques de types </w:t>
      </w:r>
      <w:bookmarkStart w:id="36" w:name="R5_p1_b"/>
      <w:r>
        <w:rPr>
          <w:rFonts w:ascii="Marianne" w:hAnsi="Marianne"/>
          <w:sz w:val="18"/>
          <w:szCs w:val="18"/>
        </w:rPr>
        <w:t>pdf, dxf, ppt, doc, xls, sxw, sxc, sxi, sxd, odt, ods, odp, odg</w:t>
      </w:r>
      <w:bookmarkEnd w:id="36"/>
      <w:r>
        <w:rPr>
          <w:rFonts w:ascii="Marianne" w:hAnsi="Marianne"/>
          <w:sz w:val="18"/>
          <w:szCs w:val="18"/>
        </w:rPr>
        <w:t xml:space="preserve"> seront acceptés, ils ne doivent pas comporter de macros et peuvent être compressés dans des fichiers d'archives au format Zip. Leurs noms devront être suffisamment explicites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documents pour lesquels une signature est requise sont signés, le cas échéant électroniquement selon les modalités de l'annexe n°12 du CCP. Un zip signé ne vaut pas signature des documents qu’il contient. En cas de fichier zippé, chaque document pour lequel une signature est requise doit être signé séparément et ne doit pas être verrouillé.</w:t>
      </w:r>
    </w:p>
    <w:p>
      <w:pPr>
        <w:pStyle w:val="Paragraphe"/>
        <w:bidi w:val="0"/>
        <w:spacing w:before="0" w:after="0"/>
        <w:rPr>
          <w:rFonts w:ascii="Marianne" w:hAnsi="Marianne"/>
          <w:sz w:val="18"/>
          <w:szCs w:val="18"/>
        </w:rPr>
      </w:pPr>
      <w:r>
        <w:rPr>
          <w:rFonts w:ascii="Marianne" w:hAnsi="Marianne"/>
          <w:sz w:val="18"/>
          <w:szCs w:val="18"/>
        </w:rPr>
        <w:t xml:space="preserve">Les candidatures ou les offres dans lesquelles un programme informatique malveillant serait détecté par le maître d’ouvrage ne feront pas l’objet d’une réparation, le cas échéant, la copie de sauvegarde sera ouverte. </w:t>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37" w:name="__RefHeading___Toc18289_2630935504"/>
      <w:bookmarkEnd w:id="37"/>
      <w:r>
        <w:rPr>
          <w:rFonts w:ascii="Marianne" w:hAnsi="Marianne"/>
          <w:sz w:val="18"/>
          <w:szCs w:val="18"/>
        </w:rPr>
        <w:t xml:space="preserve">5-2. Copie de sauvegarde sur support papier ou sur support physique électronique </w:t>
      </w:r>
    </w:p>
    <w:p>
      <w:pPr>
        <w:pStyle w:val="Normal"/>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b/>
          <w:bCs/>
          <w:sz w:val="18"/>
          <w:szCs w:val="18"/>
          <w:u w:val="single"/>
        </w:rPr>
      </w:pPr>
      <w:r>
        <w:rPr>
          <w:rFonts w:ascii="Marianne" w:hAnsi="Marianne"/>
          <w:b/>
          <w:bCs/>
          <w:sz w:val="18"/>
          <w:szCs w:val="18"/>
          <w:u w:val="single"/>
        </w:rPr>
        <w:t>5-2-1 Remise de la copie de sauvegarde</w:t>
      </w:r>
    </w:p>
    <w:p>
      <w:pPr>
        <w:pStyle w:val="Normal"/>
        <w:bidi w:val="0"/>
        <w:spacing w:before="0" w:after="0"/>
        <w:rPr>
          <w:rFonts w:ascii="Marianne" w:hAnsi="Marianne"/>
          <w:color w:val="FAA61A"/>
          <w:sz w:val="18"/>
          <w:szCs w:val="18"/>
          <w:u w:val="single"/>
        </w:rPr>
      </w:pPr>
      <w:r>
        <w:rPr>
          <w:rFonts w:ascii="Marianne" w:hAnsi="Marianne"/>
          <w:color w:val="FAA61A"/>
          <w:sz w:val="18"/>
          <w:szCs w:val="18"/>
          <w:u w:val="single"/>
        </w:rPr>
      </w:r>
    </w:p>
    <w:p>
      <w:pPr>
        <w:pStyle w:val="Normal"/>
        <w:bidi w:val="0"/>
        <w:spacing w:before="0" w:after="0"/>
        <w:rPr>
          <w:rFonts w:ascii="Marianne" w:hAnsi="Marianne"/>
          <w:sz w:val="18"/>
          <w:szCs w:val="18"/>
        </w:rPr>
      </w:pPr>
      <w:r>
        <w:rPr>
          <w:rFonts w:ascii="Marianne" w:hAnsi="Marianne"/>
          <w:color w:val="000000"/>
          <w:sz w:val="18"/>
          <w:szCs w:val="18"/>
        </w:rPr>
        <w:t xml:space="preserve">Le candidat ou le soumissionnaire peut faire parvenir une copie de sauvegarde </w:t>
      </w:r>
      <w:r>
        <w:rPr>
          <w:rFonts w:ascii="Marianne" w:hAnsi="Marianne"/>
          <w:color w:val="auto"/>
          <w:sz w:val="18"/>
          <w:szCs w:val="18"/>
        </w:rPr>
        <w:t xml:space="preserve">prévue à l'article </w:t>
      </w:r>
      <w:r>
        <w:rPr>
          <w:rFonts w:ascii="Marianne" w:hAnsi="Marianne"/>
          <w:color w:val="000000"/>
          <w:sz w:val="18"/>
          <w:szCs w:val="18"/>
          <w:shd w:fill="auto" w:val="clear"/>
        </w:rPr>
        <w:t>R.2132-11 du CCP,</w:t>
      </w:r>
      <w:r>
        <w:rPr>
          <w:rFonts w:ascii="Marianne" w:hAnsi="Marianne"/>
          <w:color w:val="auto"/>
          <w:sz w:val="18"/>
          <w:szCs w:val="18"/>
        </w:rPr>
        <w:t xml:space="preserve"> dans les délais impartis pour la remise des candidatures ou des offres.</w:t>
      </w:r>
    </w:p>
    <w:p>
      <w:pPr>
        <w:pStyle w:val="Normal"/>
        <w:bidi w:val="0"/>
        <w:spacing w:before="0" w:after="0"/>
        <w:rPr>
          <w:rFonts w:ascii="Marianne" w:hAnsi="Marianne"/>
          <w:color w:val="auto"/>
          <w:sz w:val="18"/>
          <w:szCs w:val="18"/>
        </w:rPr>
      </w:pPr>
      <w:r>
        <w:rPr>
          <w:rFonts w:ascii="Marianne" w:hAnsi="Marianne"/>
          <w:color w:val="auto"/>
          <w:sz w:val="18"/>
          <w:szCs w:val="18"/>
        </w:rPr>
      </w:r>
    </w:p>
    <w:p>
      <w:pPr>
        <w:pStyle w:val="Normal"/>
        <w:bidi w:val="0"/>
        <w:spacing w:before="0" w:after="0"/>
        <w:rPr>
          <w:rFonts w:ascii="Marianne" w:hAnsi="Marianne"/>
          <w:sz w:val="18"/>
          <w:szCs w:val="18"/>
        </w:rPr>
      </w:pPr>
      <w:r>
        <w:rPr>
          <w:rFonts w:ascii="Marianne" w:hAnsi="Marianne"/>
          <w:color w:val="auto"/>
          <w:sz w:val="18"/>
          <w:szCs w:val="18"/>
        </w:rPr>
        <w:t>La copie de sauvegarde transmise à l’acheteur sur support papier ou sur support physique électronique doit être placée dans un pli comportant la mention lisible «copie de sauvegarde».</w:t>
      </w:r>
      <w:r>
        <w:rPr>
          <w:rFonts w:ascii="Marianne" w:hAnsi="Marianne"/>
          <w:color w:val="000000"/>
          <w:sz w:val="18"/>
          <w:szCs w:val="18"/>
        </w:rPr>
        <w:t xml:space="preserve"> </w:t>
      </w:r>
    </w:p>
    <w:p>
      <w:pPr>
        <w:pStyle w:val="Paradouble"/>
        <w:bidi w:val="0"/>
        <w:spacing w:before="0" w:after="0"/>
        <w:rPr>
          <w:rFonts w:ascii="Marianne" w:hAnsi="Marianne"/>
          <w:sz w:val="18"/>
          <w:szCs w:val="18"/>
        </w:rPr>
      </w:pPr>
      <w:r>
        <w:rPr>
          <w:rFonts w:ascii="Marianne" w:hAnsi="Marianne"/>
          <w:sz w:val="18"/>
          <w:szCs w:val="18"/>
        </w:rPr>
        <w:t>La copie de sauvegarde sera transmise sous pli cacheté :</w:t>
      </w:r>
    </w:p>
    <w:p>
      <w:pPr>
        <w:pStyle w:val="Paradouble"/>
        <w:bidi w:val="0"/>
        <w:spacing w:before="0" w:after="0"/>
        <w:rPr>
          <w:rFonts w:ascii="Marianne" w:hAnsi="Marianne"/>
          <w:sz w:val="18"/>
          <w:szCs w:val="18"/>
        </w:rPr>
      </w:pPr>
      <w:r>
        <w:rPr>
          <w:rFonts w:ascii="Marianne" w:hAnsi="Marianne"/>
          <w:b/>
          <w:bCs/>
          <w:sz w:val="18"/>
          <w:szCs w:val="18"/>
        </w:rPr>
        <w:t>L’enveloppe</w:t>
      </w:r>
      <w:r>
        <w:rPr>
          <w:rFonts w:ascii="Marianne" w:hAnsi="Marianne"/>
          <w:sz w:val="18"/>
          <w:szCs w:val="18"/>
        </w:rPr>
        <w:t xml:space="preserve"> portera l'adresse et mentions suivantes :</w:t>
      </w:r>
    </w:p>
    <w:p>
      <w:pPr>
        <w:pStyle w:val="Paradouble"/>
        <w:bidi w:val="0"/>
        <w:spacing w:before="0" w:after="0"/>
        <w:rPr>
          <w:rFonts w:ascii="Marianne" w:hAnsi="Marianne"/>
          <w:sz w:val="18"/>
          <w:szCs w:val="18"/>
        </w:rPr>
      </w:pPr>
      <w:r>
        <w:rPr>
          <w:rFonts w:ascii="Marianne" w:hAnsi="Marianne"/>
          <w:sz w:val="18"/>
          <w:szCs w:val="18"/>
        </w:rPr>
      </w:r>
    </w:p>
    <w:tbl>
      <w:tblPr>
        <w:tblW w:w="7989" w:type="dxa"/>
        <w:jc w:val="center"/>
        <w:tblInd w:w="0" w:type="dxa"/>
        <w:tblLayout w:type="fixed"/>
        <w:tblCellMar>
          <w:top w:w="0" w:type="dxa"/>
          <w:left w:w="71" w:type="dxa"/>
          <w:bottom w:w="0" w:type="dxa"/>
          <w:right w:w="71" w:type="dxa"/>
        </w:tblCellMar>
      </w:tblPr>
      <w:tblGrid>
        <w:gridCol w:w="7989"/>
      </w:tblGrid>
      <w:tr>
        <w:trPr/>
        <w:tc>
          <w:tcPr>
            <w:tcW w:w="7989" w:type="dxa"/>
            <w:tcBorders>
              <w:top w:val="double" w:sz="2" w:space="0" w:color="000000"/>
              <w:left w:val="double" w:sz="2" w:space="0" w:color="000000"/>
              <w:right w:val="double" w:sz="2" w:space="0" w:color="000000"/>
            </w:tcBorders>
            <w:shd w:fill="E5E5E5" w:val="clear"/>
          </w:tcPr>
          <w:p>
            <w:pPr>
              <w:pStyle w:val="Normal"/>
              <w:keepNext w:val="true"/>
              <w:bidi w:val="0"/>
              <w:snapToGrid w:val="false"/>
              <w:ind w:hanging="0" w:left="295" w:right="278"/>
              <w:rPr>
                <w:rFonts w:ascii="Marianne" w:hAnsi="Marianne"/>
                <w:sz w:val="18"/>
                <w:szCs w:val="18"/>
              </w:rPr>
            </w:pPr>
            <w:r>
              <w:rPr>
                <w:rFonts w:ascii="Marianne" w:hAnsi="Marianne"/>
                <w:sz w:val="18"/>
                <w:szCs w:val="18"/>
              </w:rPr>
            </w:r>
          </w:p>
          <w:p>
            <w:pPr>
              <w:pStyle w:val="Normal"/>
              <w:keepNext w:val="true"/>
              <w:bidi w:val="0"/>
              <w:ind w:hanging="0" w:left="284" w:right="284"/>
              <w:rPr>
                <w:rFonts w:ascii="Marianne" w:hAnsi="Marianne"/>
                <w:sz w:val="18"/>
                <w:szCs w:val="18"/>
              </w:rPr>
            </w:pPr>
            <w:r>
              <w:rPr>
                <w:rFonts w:ascii="Marianne" w:hAnsi="Marianne"/>
                <w:sz w:val="18"/>
                <w:szCs w:val="18"/>
              </w:rPr>
              <w:t>Direction départementale des territoires Meurthe-et-Moselle</w:t>
            </w:r>
          </w:p>
          <w:p>
            <w:pPr>
              <w:pStyle w:val="Normal"/>
              <w:bidi w:val="0"/>
              <w:ind w:hanging="0" w:left="284" w:right="284"/>
              <w:rPr>
                <w:rFonts w:ascii="Marianne" w:hAnsi="Marianne"/>
                <w:sz w:val="18"/>
                <w:szCs w:val="18"/>
              </w:rPr>
            </w:pPr>
            <w:r>
              <w:rPr>
                <w:rFonts w:ascii="Marianne" w:hAnsi="Marianne"/>
                <w:sz w:val="18"/>
                <w:szCs w:val="18"/>
              </w:rPr>
              <w:t>Place des Ducs de Bar</w:t>
            </w:r>
          </w:p>
          <w:p>
            <w:pPr>
              <w:pStyle w:val="Normal"/>
              <w:bidi w:val="0"/>
              <w:ind w:hanging="0" w:left="284" w:right="284"/>
              <w:rPr>
                <w:rFonts w:ascii="Marianne" w:hAnsi="Marianne"/>
                <w:sz w:val="18"/>
                <w:szCs w:val="18"/>
              </w:rPr>
            </w:pPr>
            <w:r>
              <w:rPr>
                <w:rFonts w:ascii="Marianne" w:hAnsi="Marianne"/>
                <w:sz w:val="18"/>
                <w:szCs w:val="18"/>
              </w:rPr>
              <w:t>C.O. n°60025</w:t>
            </w:r>
          </w:p>
          <w:p>
            <w:pPr>
              <w:pStyle w:val="Normal"/>
              <w:bidi w:val="0"/>
              <w:ind w:hanging="0" w:left="284" w:right="284"/>
              <w:rPr>
                <w:rFonts w:ascii="Marianne" w:hAnsi="Marianne"/>
                <w:sz w:val="18"/>
                <w:szCs w:val="18"/>
              </w:rPr>
            </w:pPr>
            <w:bookmarkStart w:id="38" w:name="R5C_p2_a_Copie_1"/>
            <w:r>
              <w:rPr>
                <w:rFonts w:ascii="Marianne" w:hAnsi="Marianne"/>
                <w:sz w:val="18"/>
                <w:szCs w:val="18"/>
              </w:rPr>
              <w:t>54035 Nancy cede</w:t>
            </w:r>
            <w:bookmarkEnd w:id="38"/>
            <w:r>
              <w:rPr>
                <w:rFonts w:ascii="Marianne" w:hAnsi="Marianne"/>
                <w:sz w:val="18"/>
                <w:szCs w:val="18"/>
              </w:rPr>
              <w:t>x</w:t>
            </w:r>
          </w:p>
          <w:p>
            <w:pPr>
              <w:pStyle w:val="Normal"/>
              <w:keepNext w:val="true"/>
              <w:bidi w:val="0"/>
              <w:ind w:hanging="0" w:left="284" w:right="278"/>
              <w:jc w:val="both"/>
              <w:rPr>
                <w:rFonts w:ascii="Marianne" w:hAnsi="Marianne"/>
                <w:sz w:val="18"/>
                <w:szCs w:val="18"/>
              </w:rPr>
            </w:pPr>
            <w:r>
              <w:rPr>
                <w:rFonts w:ascii="Marianne" w:hAnsi="Marianne"/>
                <w:sz w:val="18"/>
                <w:szCs w:val="18"/>
              </w:rPr>
            </w:r>
          </w:p>
          <w:p>
            <w:pPr>
              <w:pStyle w:val="Normal"/>
              <w:keepNext w:val="true"/>
              <w:bidi w:val="0"/>
              <w:ind w:hanging="0" w:left="284" w:right="284"/>
              <w:jc w:val="both"/>
              <w:rPr>
                <w:rFonts w:ascii="Marianne" w:hAnsi="Marianne"/>
                <w:sz w:val="18"/>
                <w:szCs w:val="18"/>
              </w:rPr>
            </w:pPr>
            <w:r>
              <w:rPr>
                <w:rFonts w:ascii="Marianne" w:hAnsi="Marianne"/>
                <w:sz w:val="18"/>
                <w:szCs w:val="18"/>
              </w:rPr>
              <w:t>Copie de sauvegarde pour :</w:t>
            </w:r>
          </w:p>
          <w:p>
            <w:pPr>
              <w:pStyle w:val="Normal"/>
              <w:bidi w:val="0"/>
              <w:ind w:hanging="0" w:left="284" w:right="284"/>
              <w:jc w:val="both"/>
              <w:rPr>
                <w:rFonts w:ascii="Marianne" w:hAnsi="Marianne"/>
                <w:sz w:val="18"/>
                <w:szCs w:val="18"/>
              </w:rPr>
            </w:pPr>
            <w:r>
              <w:rPr>
                <w:rFonts w:ascii="Marianne" w:hAnsi="Marianne"/>
                <w:sz w:val="18"/>
                <w:szCs w:val="18"/>
              </w:rPr>
              <w:t xml:space="preserve">Aménagement du </w:t>
            </w:r>
            <w:bookmarkStart w:id="39" w:name="R5C_p2_b_Copie_2"/>
            <w:r>
              <w:rPr>
                <w:rFonts w:ascii="Marianne" w:hAnsi="Marianne"/>
                <w:sz w:val="18"/>
                <w:szCs w:val="18"/>
              </w:rPr>
              <w:t>centre d'examen d</w:t>
            </w:r>
            <w:bookmarkEnd w:id="39"/>
            <w:r>
              <w:rPr>
                <w:rFonts w:ascii="Marianne" w:hAnsi="Marianne"/>
                <w:sz w:val="18"/>
                <w:szCs w:val="18"/>
              </w:rPr>
              <w:t>e Maxéville</w:t>
            </w:r>
          </w:p>
          <w:p>
            <w:pPr>
              <w:pStyle w:val="Normal"/>
              <w:bidi w:val="0"/>
              <w:ind w:hanging="0" w:left="284" w:right="284"/>
              <w:jc w:val="both"/>
              <w:rPr>
                <w:rFonts w:ascii="Marianne" w:hAnsi="Marianne"/>
                <w:sz w:val="18"/>
                <w:szCs w:val="18"/>
              </w:rPr>
            </w:pPr>
            <w:r>
              <w:rPr>
                <w:rFonts w:ascii="Marianne" w:hAnsi="Marianne"/>
                <w:sz w:val="18"/>
                <w:szCs w:val="18"/>
              </w:rPr>
            </w:r>
          </w:p>
        </w:tc>
      </w:tr>
      <w:tr>
        <w:trPr/>
        <w:tc>
          <w:tcPr>
            <w:tcW w:w="7989" w:type="dxa"/>
            <w:tcBorders>
              <w:left w:val="double" w:sz="2" w:space="0" w:color="000000"/>
              <w:right w:val="double" w:sz="2" w:space="0" w:color="000000"/>
            </w:tcBorders>
            <w:shd w:fill="E5E5E5" w:val="clear"/>
          </w:tcPr>
          <w:p>
            <w:pPr>
              <w:pStyle w:val="Normal"/>
              <w:keepNext w:val="true"/>
              <w:bidi w:val="0"/>
              <w:snapToGrid w:val="false"/>
              <w:spacing w:before="60" w:after="0"/>
              <w:ind w:hanging="0" w:left="284" w:right="284"/>
              <w:jc w:val="both"/>
              <w:rPr>
                <w:rFonts w:ascii="Marianne" w:hAnsi="Marianne"/>
                <w:color w:val="000000"/>
                <w:sz w:val="18"/>
                <w:szCs w:val="18"/>
              </w:rPr>
            </w:pPr>
            <w:r>
              <w:rPr>
                <w:rFonts w:ascii="Marianne" w:hAnsi="Marianne"/>
                <w:color w:val="000000"/>
                <w:sz w:val="18"/>
                <w:szCs w:val="18"/>
              </w:rPr>
              <w:t>Nom du candidat ou des membres du groupement candidat</w:t>
            </w:r>
            <w:r>
              <w:rPr>
                <w:rFonts w:ascii="Marianne" w:hAnsi="Marianne"/>
                <w:color w:val="000000"/>
                <w:sz w:val="18"/>
                <w:szCs w:val="18"/>
                <w:vertAlign w:val="superscript"/>
              </w:rPr>
              <w:t>(*)</w:t>
            </w:r>
            <w:r>
              <w:rPr>
                <w:rFonts w:ascii="Marianne" w:hAnsi="Marianne"/>
                <w:color w:val="000000"/>
                <w:sz w:val="18"/>
                <w:szCs w:val="18"/>
              </w:rPr>
              <w:t> :</w:t>
            </w:r>
          </w:p>
        </w:tc>
      </w:tr>
      <w:tr>
        <w:trPr/>
        <w:tc>
          <w:tcPr>
            <w:tcW w:w="7989" w:type="dxa"/>
            <w:tcBorders>
              <w:left w:val="double" w:sz="2" w:space="0" w:color="000000"/>
              <w:bottom w:val="double" w:sz="2" w:space="0" w:color="000000"/>
              <w:right w:val="double" w:sz="2" w:space="0" w:color="000000"/>
            </w:tcBorders>
            <w:shd w:fill="E5E5E5" w:val="clear"/>
          </w:tcPr>
          <w:p>
            <w:pPr>
              <w:pStyle w:val="Normal"/>
              <w:bidi w:val="0"/>
              <w:snapToGrid w:val="false"/>
              <w:spacing w:before="60" w:after="60"/>
              <w:ind w:hanging="0" w:left="284" w:right="284"/>
              <w:jc w:val="center"/>
              <w:rPr>
                <w:rFonts w:ascii="Marianne" w:hAnsi="Marianne"/>
                <w:b/>
                <w:i/>
                <w:sz w:val="18"/>
                <w:szCs w:val="18"/>
              </w:rPr>
            </w:pPr>
            <w:r>
              <w:rPr>
                <w:rFonts w:ascii="Marianne" w:hAnsi="Marianne"/>
                <w:b/>
                <w:i/>
                <w:sz w:val="18"/>
                <w:szCs w:val="18"/>
              </w:rPr>
              <w:t>« NE PAS OUVRIR »</w:t>
            </w:r>
          </w:p>
        </w:tc>
      </w:tr>
    </w:tbl>
    <w:p>
      <w:pPr>
        <w:pStyle w:val="Normal"/>
        <w:bidi w:val="0"/>
        <w:rPr>
          <w:vertAlign w:val="superscript"/>
        </w:rPr>
      </w:pPr>
      <w:r>
        <w:rPr>
          <w:vertAlign w:val="superscript"/>
        </w:rPr>
      </w:r>
    </w:p>
    <w:p>
      <w:pPr>
        <w:pStyle w:val="Paragraphe"/>
        <w:bidi w:val="0"/>
        <w:spacing w:before="0" w:after="0"/>
        <w:rPr>
          <w:vertAlign w:val="superscript"/>
        </w:rPr>
      </w:pPr>
      <w:r>
        <w:rPr>
          <w:vertAlign w:val="superscript"/>
        </w:rPr>
      </w:r>
    </w:p>
    <w:p>
      <w:pPr>
        <w:pStyle w:val="Paragraphe"/>
        <w:bidi w:val="0"/>
        <w:spacing w:before="0" w:after="0"/>
        <w:rPr>
          <w:rFonts w:ascii="Marianne" w:hAnsi="Marianne"/>
          <w:sz w:val="18"/>
          <w:szCs w:val="18"/>
        </w:rPr>
      </w:pPr>
      <w:r>
        <w:rPr>
          <w:rFonts w:ascii="Marianne" w:hAnsi="Marianne"/>
          <w:sz w:val="18"/>
          <w:szCs w:val="18"/>
          <w:vertAlign w:val="superscript"/>
        </w:rPr>
        <w:t>(*)</w:t>
      </w:r>
      <w:r>
        <w:rPr>
          <w:rFonts w:ascii="Marianne" w:hAnsi="Marianne"/>
          <w:sz w:val="18"/>
          <w:szCs w:val="18"/>
        </w:rPr>
        <w:t xml:space="preserve"> En cas de groupement, l'identité du mandataire sera précisée.</w:t>
      </w:r>
    </w:p>
    <w:p>
      <w:pPr>
        <w:pStyle w:val="Paragraphe"/>
        <w:bidi w:val="0"/>
        <w:spacing w:before="0" w:after="0"/>
        <w:rPr>
          <w:rFonts w:ascii="Marianne" w:hAnsi="Marianne"/>
          <w:sz w:val="18"/>
          <w:szCs w:val="18"/>
        </w:rPr>
      </w:pPr>
      <w:r>
        <w:rPr>
          <w:rFonts w:ascii="Marianne" w:hAnsi="Marianne"/>
          <w:sz w:val="18"/>
          <w:szCs w:val="18"/>
        </w:rPr>
        <w:t>Elle devra parvenir à destination avant la date et l'heure indiquées dans la page de garde du présent règlement.</w:t>
      </w:r>
    </w:p>
    <w:p>
      <w:pPr>
        <w:pStyle w:val="Paragraphe"/>
        <w:bidi w:val="0"/>
        <w:spacing w:before="0" w:after="0"/>
        <w:rPr>
          <w:rFonts w:ascii="Marianne" w:hAnsi="Marianne"/>
          <w:sz w:val="18"/>
          <w:szCs w:val="18"/>
        </w:rPr>
      </w:pPr>
      <w:r>
        <w:rPr>
          <w:rFonts w:ascii="Marianne" w:hAnsi="Marianne"/>
          <w:sz w:val="18"/>
          <w:szCs w:val="18"/>
        </w:rPr>
        <w:t>Dans l’hypothèse d’un envoi sur support physique électronique (CD-Rom formaté "Joliet"), les documents pour lesquels une signature est requise sont signés, le cas échéant électroniquement selon les modalités de l'annexe n°12 du CCP. Un zip signé ne vaut pas signature des documents qu’il contient. En cas de fichier zippé, chaque document pour lequel une signature est requise doit être signé séparément et ne doit pas être verrouillé.</w:t>
      </w:r>
    </w:p>
    <w:p>
      <w:pPr>
        <w:pStyle w:val="Paragraphe"/>
        <w:bidi w:val="0"/>
        <w:spacing w:before="0" w:after="0"/>
        <w:rPr>
          <w:rFonts w:ascii="Marianne" w:hAnsi="Marianne"/>
          <w:sz w:val="18"/>
          <w:szCs w:val="18"/>
        </w:rPr>
      </w:pPr>
      <w:r>
        <w:rPr>
          <w:rFonts w:ascii="Marianne" w:hAnsi="Marianne"/>
          <w:sz w:val="18"/>
          <w:szCs w:val="18"/>
        </w:rPr>
      </w:r>
    </w:p>
    <w:p>
      <w:pPr>
        <w:pStyle w:val="Paragraphe"/>
        <w:bidi w:val="0"/>
        <w:spacing w:before="0" w:after="0"/>
        <w:rPr>
          <w:rFonts w:ascii="Marianne" w:hAnsi="Marianne"/>
          <w:b/>
          <w:bCs/>
          <w:sz w:val="18"/>
          <w:szCs w:val="18"/>
          <w:u w:val="single"/>
        </w:rPr>
      </w:pPr>
      <w:r>
        <w:rPr>
          <w:rFonts w:ascii="Marianne" w:hAnsi="Marianne"/>
          <w:b/>
          <w:bCs/>
          <w:sz w:val="18"/>
          <w:szCs w:val="18"/>
          <w:u w:val="single"/>
        </w:rPr>
        <w:t>5-2-2 Modalités d’ouverture de la copie de sauvegarde</w:t>
      </w:r>
    </w:p>
    <w:p>
      <w:pPr>
        <w:pStyle w:val="Paragraphe"/>
        <w:bidi w:val="0"/>
        <w:spacing w:before="0" w:after="0"/>
        <w:rPr>
          <w:rFonts w:ascii="Marianne" w:hAnsi="Marianne"/>
          <w:sz w:val="18"/>
          <w:szCs w:val="18"/>
        </w:rPr>
      </w:pPr>
      <w:r>
        <w:rPr>
          <w:rFonts w:ascii="Marianne" w:hAnsi="Marianne"/>
          <w:sz w:val="18"/>
          <w:szCs w:val="18"/>
        </w:rPr>
        <w:t>La copie de sauvegarde sera ouverte, sous réserve qu’elle soit remise dans les conditions de précisées à l’art 5-2-1 :</w:t>
      </w:r>
    </w:p>
    <w:p>
      <w:pPr>
        <w:pStyle w:val="Paragraphe"/>
        <w:bidi w:val="0"/>
        <w:spacing w:before="0" w:after="0"/>
        <w:rPr>
          <w:rFonts w:ascii="Marianne" w:hAnsi="Marianne"/>
          <w:sz w:val="18"/>
          <w:szCs w:val="18"/>
        </w:rPr>
      </w:pPr>
      <w:r>
        <w:rPr>
          <w:rFonts w:ascii="Marianne" w:hAnsi="Marianne"/>
          <w:sz w:val="18"/>
          <w:szCs w:val="18"/>
        </w:rPr>
        <w:t>-  lorsqu’un programme informatique malveillant est détecté dans les candidatures ou offres remises par voie électronique</w:t>
      </w:r>
    </w:p>
    <w:p>
      <w:pPr>
        <w:pStyle w:val="Paragraphe"/>
        <w:bidi w:val="0"/>
        <w:spacing w:before="0" w:after="0"/>
        <w:rPr>
          <w:rFonts w:ascii="Marianne" w:hAnsi="Marianne"/>
          <w:sz w:val="18"/>
          <w:szCs w:val="18"/>
        </w:rPr>
      </w:pPr>
      <w:r>
        <w:rPr>
          <w:rFonts w:ascii="Marianne" w:hAnsi="Marianne"/>
          <w:sz w:val="18"/>
          <w:szCs w:val="18"/>
        </w:rPr>
        <w:t>- lorsqu’une candidature ou une offre électronique est reçue de façon incomplète, hors délais ou n’a pu être ouverte, sous réserve que la transmission de la candidature ou de l’offre électronique ait commencé avant la clôture de la remise des candidatures ou des offres.</w:t>
      </w:r>
    </w:p>
    <w:p>
      <w:pPr>
        <w:pStyle w:val="Paragraphe"/>
        <w:bidi w:val="0"/>
        <w:spacing w:before="0" w:after="0"/>
        <w:rPr>
          <w:rFonts w:ascii="Marianne" w:hAnsi="Marianne"/>
          <w:sz w:val="18"/>
          <w:szCs w:val="18"/>
        </w:rPr>
      </w:pPr>
      <w:r>
        <w:rPr>
          <w:rFonts w:ascii="Marianne" w:hAnsi="Marianne"/>
          <w:sz w:val="18"/>
          <w:szCs w:val="18"/>
        </w:rPr>
      </w:r>
    </w:p>
    <w:p>
      <w:pPr>
        <w:pStyle w:val="Heading2"/>
        <w:numPr>
          <w:ilvl w:val="0"/>
          <w:numId w:val="0"/>
        </w:numPr>
        <w:tabs>
          <w:tab w:val="left" w:pos="0" w:leader="none"/>
        </w:tabs>
        <w:bidi w:val="0"/>
        <w:spacing w:before="0" w:after="0"/>
        <w:ind w:hanging="0" w:left="0" w:right="0"/>
        <w:outlineLvl w:val="9"/>
        <w:rPr>
          <w:rFonts w:ascii="Marianne" w:hAnsi="Marianne"/>
          <w:sz w:val="18"/>
          <w:szCs w:val="18"/>
        </w:rPr>
      </w:pPr>
      <w:bookmarkStart w:id="40" w:name="__RefHeading___Toc18287_2630935504_Copie"/>
      <w:bookmarkEnd w:id="40"/>
      <w:r>
        <w:rPr>
          <w:rFonts w:ascii="Marianne" w:hAnsi="Marianne"/>
          <w:sz w:val="18"/>
          <w:szCs w:val="18"/>
        </w:rPr>
        <w:t xml:space="preserve">5-3. Offre remise par voie postale </w:t>
      </w:r>
    </w:p>
    <w:p>
      <w:pPr>
        <w:pStyle w:val="BodyText"/>
        <w:bidi w:val="0"/>
        <w:spacing w:before="0" w:after="0"/>
        <w:rPr>
          <w:rFonts w:ascii="Marianne" w:hAnsi="Marianne"/>
          <w:sz w:val="18"/>
          <w:szCs w:val="18"/>
        </w:rPr>
      </w:pPr>
      <w:r>
        <w:rPr>
          <w:rFonts w:ascii="Marianne" w:hAnsi="Marianne"/>
          <w:sz w:val="18"/>
          <w:szCs w:val="18"/>
        </w:rPr>
        <w:t>Si plusieurs offres sont successivement transmises par un même candidat, seule est ouverte la dernière offre reçue, par voie postale, par le maître d'ouvrage dans le délai fixé pour la remise des offres.</w:t>
      </w:r>
    </w:p>
    <w:p>
      <w:pPr>
        <w:pStyle w:val="BodyText"/>
        <w:bidi w:val="0"/>
        <w:spacing w:before="0" w:after="0"/>
        <w:rPr>
          <w:rFonts w:ascii="Marianne" w:hAnsi="Marianne"/>
          <w:sz w:val="18"/>
          <w:szCs w:val="18"/>
        </w:rPr>
      </w:pPr>
      <w:r>
        <w:rPr>
          <w:rFonts w:ascii="Marianne" w:hAnsi="Marianne"/>
          <w:sz w:val="18"/>
          <w:szCs w:val="18"/>
        </w:rPr>
        <w:t>Les candidats appliquent le même mode de transmission à l'ensemble des documents qu'ils adressent au maître d’ouvrage.</w:t>
      </w:r>
    </w:p>
    <w:p>
      <w:pPr>
        <w:pStyle w:val="Paradouble"/>
        <w:bidi w:val="0"/>
        <w:spacing w:before="0" w:after="0"/>
        <w:rPr>
          <w:rFonts w:ascii="Marianne" w:hAnsi="Marianne"/>
          <w:sz w:val="18"/>
          <w:szCs w:val="18"/>
        </w:rPr>
      </w:pPr>
      <w:r>
        <w:rPr>
          <w:rFonts w:ascii="Marianne" w:hAnsi="Marianne"/>
          <w:sz w:val="18"/>
          <w:szCs w:val="18"/>
        </w:rPr>
        <w:t xml:space="preserve">La remise d'une offre par voie postale se fera dans une enveloppe unique. </w:t>
      </w:r>
      <w:r>
        <w:rPr>
          <w:rFonts w:ascii="Marianne" w:hAnsi="Marianne"/>
          <w:b/>
          <w:bCs/>
          <w:sz w:val="18"/>
          <w:szCs w:val="18"/>
        </w:rPr>
        <w:t>L’enveloppe</w:t>
      </w:r>
      <w:r>
        <w:rPr>
          <w:rFonts w:ascii="Marianne" w:hAnsi="Marianne"/>
          <w:sz w:val="18"/>
          <w:szCs w:val="18"/>
        </w:rPr>
        <w:t xml:space="preserve"> portera l'adresse et mentions suivantes :</w:t>
      </w:r>
    </w:p>
    <w:p>
      <w:pPr>
        <w:pStyle w:val="Paradouble"/>
        <w:bidi w:val="0"/>
        <w:spacing w:before="0" w:after="0"/>
        <w:rPr>
          <w:rFonts w:ascii="Marianne" w:hAnsi="Marianne"/>
          <w:sz w:val="18"/>
          <w:szCs w:val="18"/>
        </w:rPr>
      </w:pPr>
      <w:r>
        <w:rPr>
          <w:rFonts w:ascii="Marianne" w:hAnsi="Marianne"/>
          <w:sz w:val="18"/>
          <w:szCs w:val="18"/>
        </w:rPr>
      </w:r>
    </w:p>
    <w:tbl>
      <w:tblPr>
        <w:tblW w:w="7989" w:type="dxa"/>
        <w:jc w:val="center"/>
        <w:tblInd w:w="0" w:type="dxa"/>
        <w:tblLayout w:type="fixed"/>
        <w:tblCellMar>
          <w:top w:w="0" w:type="dxa"/>
          <w:left w:w="71" w:type="dxa"/>
          <w:bottom w:w="0" w:type="dxa"/>
          <w:right w:w="71" w:type="dxa"/>
        </w:tblCellMar>
      </w:tblPr>
      <w:tblGrid>
        <w:gridCol w:w="7989"/>
      </w:tblGrid>
      <w:tr>
        <w:trPr/>
        <w:tc>
          <w:tcPr>
            <w:tcW w:w="7989" w:type="dxa"/>
            <w:tcBorders>
              <w:top w:val="double" w:sz="2" w:space="0" w:color="000000"/>
              <w:left w:val="double" w:sz="2" w:space="0" w:color="000000"/>
              <w:right w:val="double" w:sz="2" w:space="0" w:color="000000"/>
            </w:tcBorders>
            <w:shd w:fill="E5E5E5" w:val="clear"/>
          </w:tcPr>
          <w:p>
            <w:pPr>
              <w:pStyle w:val="Normal"/>
              <w:keepNext w:val="true"/>
              <w:bidi w:val="0"/>
              <w:snapToGrid w:val="false"/>
              <w:ind w:hanging="0" w:left="295" w:right="278"/>
              <w:rPr>
                <w:rFonts w:ascii="Marianne" w:hAnsi="Marianne"/>
                <w:sz w:val="18"/>
                <w:szCs w:val="18"/>
              </w:rPr>
            </w:pPr>
            <w:r>
              <w:rPr>
                <w:rFonts w:ascii="Marianne" w:hAnsi="Marianne"/>
                <w:sz w:val="18"/>
                <w:szCs w:val="18"/>
              </w:rPr>
            </w:r>
          </w:p>
          <w:p>
            <w:pPr>
              <w:pStyle w:val="Normal"/>
              <w:keepNext w:val="true"/>
              <w:bidi w:val="0"/>
              <w:ind w:hanging="0" w:left="284" w:right="284"/>
              <w:rPr>
                <w:rFonts w:ascii="Marianne" w:hAnsi="Marianne"/>
                <w:sz w:val="18"/>
                <w:szCs w:val="18"/>
              </w:rPr>
            </w:pPr>
            <w:r>
              <w:rPr>
                <w:rFonts w:ascii="Marianne" w:hAnsi="Marianne"/>
                <w:sz w:val="18"/>
                <w:szCs w:val="18"/>
              </w:rPr>
              <w:t>Direction départementale des territoires Meurthe-et-Moselle</w:t>
            </w:r>
          </w:p>
          <w:p>
            <w:pPr>
              <w:pStyle w:val="Normal"/>
              <w:bidi w:val="0"/>
              <w:ind w:hanging="0" w:left="284" w:right="284"/>
              <w:rPr>
                <w:rFonts w:ascii="Marianne" w:hAnsi="Marianne"/>
                <w:sz w:val="18"/>
                <w:szCs w:val="18"/>
              </w:rPr>
            </w:pPr>
            <w:r>
              <w:rPr>
                <w:rFonts w:ascii="Marianne" w:hAnsi="Marianne"/>
                <w:sz w:val="18"/>
                <w:szCs w:val="18"/>
              </w:rPr>
              <w:t>Place des Ducs de Bar</w:t>
            </w:r>
          </w:p>
          <w:p>
            <w:pPr>
              <w:pStyle w:val="Normal"/>
              <w:bidi w:val="0"/>
              <w:ind w:hanging="0" w:left="284" w:right="284"/>
              <w:rPr>
                <w:rFonts w:ascii="Marianne" w:hAnsi="Marianne"/>
                <w:sz w:val="18"/>
                <w:szCs w:val="18"/>
              </w:rPr>
            </w:pPr>
            <w:r>
              <w:rPr>
                <w:rFonts w:ascii="Marianne" w:hAnsi="Marianne"/>
                <w:sz w:val="18"/>
                <w:szCs w:val="18"/>
              </w:rPr>
              <w:t>C.O. n°60025</w:t>
            </w:r>
          </w:p>
          <w:p>
            <w:pPr>
              <w:pStyle w:val="Normal"/>
              <w:bidi w:val="0"/>
              <w:ind w:hanging="0" w:left="284" w:right="284"/>
              <w:rPr>
                <w:rFonts w:ascii="Marianne" w:hAnsi="Marianne"/>
                <w:sz w:val="18"/>
                <w:szCs w:val="18"/>
              </w:rPr>
            </w:pPr>
            <w:bookmarkStart w:id="41" w:name="R5C_p2_a_Copie_1_Copie_1"/>
            <w:r>
              <w:rPr>
                <w:rFonts w:ascii="Marianne" w:hAnsi="Marianne"/>
                <w:sz w:val="18"/>
                <w:szCs w:val="18"/>
              </w:rPr>
              <w:t>54035 Nancy cede</w:t>
            </w:r>
            <w:bookmarkEnd w:id="41"/>
            <w:r>
              <w:rPr>
                <w:rFonts w:ascii="Marianne" w:hAnsi="Marianne"/>
                <w:sz w:val="18"/>
                <w:szCs w:val="18"/>
              </w:rPr>
              <w:t>x</w:t>
            </w:r>
          </w:p>
          <w:p>
            <w:pPr>
              <w:pStyle w:val="Normal"/>
              <w:keepNext w:val="true"/>
              <w:bidi w:val="0"/>
              <w:ind w:hanging="0" w:left="284" w:right="278"/>
              <w:jc w:val="both"/>
              <w:rPr>
                <w:rFonts w:ascii="Marianne" w:hAnsi="Marianne"/>
                <w:sz w:val="18"/>
                <w:szCs w:val="18"/>
              </w:rPr>
            </w:pPr>
            <w:r>
              <w:rPr>
                <w:rFonts w:ascii="Marianne" w:hAnsi="Marianne"/>
                <w:sz w:val="18"/>
                <w:szCs w:val="18"/>
              </w:rPr>
            </w:r>
          </w:p>
          <w:p>
            <w:pPr>
              <w:pStyle w:val="Normal"/>
              <w:keepNext w:val="true"/>
              <w:bidi w:val="0"/>
              <w:ind w:hanging="0" w:left="284" w:right="284"/>
              <w:jc w:val="both"/>
              <w:rPr>
                <w:rFonts w:ascii="Marianne" w:hAnsi="Marianne"/>
                <w:sz w:val="18"/>
                <w:szCs w:val="18"/>
              </w:rPr>
            </w:pPr>
            <w:r>
              <w:rPr>
                <w:rFonts w:ascii="Marianne" w:hAnsi="Marianne"/>
                <w:sz w:val="18"/>
                <w:szCs w:val="18"/>
              </w:rPr>
              <w:t xml:space="preserve">Offre pour : Aménagement du </w:t>
            </w:r>
            <w:bookmarkStart w:id="42" w:name="R5C_p2_b_Copie_2_Copie_1"/>
            <w:r>
              <w:rPr>
                <w:rFonts w:ascii="Marianne" w:hAnsi="Marianne"/>
                <w:sz w:val="18"/>
                <w:szCs w:val="18"/>
              </w:rPr>
              <w:t>centre d'examen d</w:t>
            </w:r>
            <w:bookmarkEnd w:id="42"/>
            <w:r>
              <w:rPr>
                <w:rFonts w:ascii="Marianne" w:hAnsi="Marianne"/>
                <w:sz w:val="18"/>
                <w:szCs w:val="18"/>
              </w:rPr>
              <w:t xml:space="preserve">e Maxéville – Lot n°___ </w:t>
            </w:r>
            <w:r>
              <w:rPr>
                <w:rFonts w:ascii="Marianne" w:hAnsi="Marianne"/>
                <w:i/>
                <w:iCs/>
                <w:sz w:val="18"/>
                <w:szCs w:val="18"/>
              </w:rPr>
              <w:t>(à préciser)</w:t>
            </w:r>
          </w:p>
          <w:p>
            <w:pPr>
              <w:pStyle w:val="Paragraphe"/>
              <w:bidi w:val="0"/>
              <w:rPr>
                <w:rFonts w:ascii="Marianne" w:hAnsi="Marianne"/>
                <w:sz w:val="18"/>
                <w:szCs w:val="18"/>
              </w:rPr>
            </w:pPr>
            <w:r>
              <w:rPr>
                <w:rFonts w:ascii="Marianne" w:hAnsi="Marianne"/>
                <w:sz w:val="18"/>
                <w:szCs w:val="18"/>
              </w:rPr>
            </w:r>
          </w:p>
        </w:tc>
      </w:tr>
      <w:tr>
        <w:trPr/>
        <w:tc>
          <w:tcPr>
            <w:tcW w:w="7989" w:type="dxa"/>
            <w:tcBorders>
              <w:left w:val="double" w:sz="2" w:space="0" w:color="000000"/>
              <w:right w:val="double" w:sz="2" w:space="0" w:color="000000"/>
            </w:tcBorders>
            <w:shd w:fill="E5E5E5" w:val="clear"/>
          </w:tcPr>
          <w:p>
            <w:pPr>
              <w:pStyle w:val="Normal"/>
              <w:keepNext w:val="true"/>
              <w:bidi w:val="0"/>
              <w:snapToGrid w:val="false"/>
              <w:spacing w:before="60" w:after="0"/>
              <w:ind w:hanging="0" w:left="284" w:right="284"/>
              <w:jc w:val="both"/>
              <w:rPr>
                <w:rFonts w:ascii="Marianne" w:hAnsi="Marianne"/>
                <w:color w:val="000000"/>
                <w:sz w:val="18"/>
                <w:szCs w:val="18"/>
              </w:rPr>
            </w:pPr>
            <w:r>
              <w:rPr>
                <w:rFonts w:ascii="Marianne" w:hAnsi="Marianne"/>
                <w:color w:val="000000"/>
                <w:sz w:val="18"/>
                <w:szCs w:val="18"/>
              </w:rPr>
              <w:t>Nom du candidat ou des membres du groupement candidat</w:t>
            </w:r>
            <w:r>
              <w:rPr>
                <w:rFonts w:ascii="Marianne" w:hAnsi="Marianne"/>
                <w:color w:val="000000"/>
                <w:sz w:val="18"/>
                <w:szCs w:val="18"/>
                <w:vertAlign w:val="superscript"/>
              </w:rPr>
              <w:t>(*)</w:t>
            </w:r>
            <w:r>
              <w:rPr>
                <w:rFonts w:ascii="Marianne" w:hAnsi="Marianne"/>
                <w:color w:val="000000"/>
                <w:sz w:val="18"/>
                <w:szCs w:val="18"/>
              </w:rPr>
              <w:t> :</w:t>
            </w:r>
          </w:p>
        </w:tc>
      </w:tr>
      <w:tr>
        <w:trPr/>
        <w:tc>
          <w:tcPr>
            <w:tcW w:w="7989" w:type="dxa"/>
            <w:tcBorders>
              <w:left w:val="double" w:sz="2" w:space="0" w:color="000000"/>
              <w:bottom w:val="double" w:sz="2" w:space="0" w:color="000000"/>
              <w:right w:val="double" w:sz="2" w:space="0" w:color="000000"/>
            </w:tcBorders>
            <w:shd w:fill="E5E5E5" w:val="clear"/>
          </w:tcPr>
          <w:p>
            <w:pPr>
              <w:pStyle w:val="Normal"/>
              <w:bidi w:val="0"/>
              <w:snapToGrid w:val="false"/>
              <w:spacing w:before="60" w:after="60"/>
              <w:ind w:hanging="0" w:left="284" w:right="284"/>
              <w:jc w:val="center"/>
              <w:rPr>
                <w:rFonts w:ascii="Marianne" w:hAnsi="Marianne"/>
                <w:b/>
                <w:i/>
                <w:sz w:val="18"/>
                <w:szCs w:val="18"/>
              </w:rPr>
            </w:pPr>
            <w:r>
              <w:rPr>
                <w:rFonts w:ascii="Marianne" w:hAnsi="Marianne"/>
                <w:b/>
                <w:i/>
                <w:sz w:val="18"/>
                <w:szCs w:val="18"/>
              </w:rPr>
              <w:t>« NE PAS OUVRIR »</w:t>
            </w:r>
          </w:p>
        </w:tc>
      </w:tr>
    </w:tbl>
    <w:p>
      <w:pPr>
        <w:pStyle w:val="Normal"/>
        <w:bidi w:val="0"/>
        <w:rPr>
          <w:vertAlign w:val="superscript"/>
        </w:rPr>
      </w:pPr>
      <w:r>
        <w:rPr>
          <w:vertAlign w:val="superscript"/>
        </w:rPr>
      </w:r>
    </w:p>
    <w:p>
      <w:pPr>
        <w:pStyle w:val="Paradouble"/>
        <w:widowControl w:val="false"/>
        <w:suppressAutoHyphens w:val="true"/>
        <w:overflowPunct w:val="true"/>
        <w:bidi w:val="0"/>
        <w:spacing w:before="0" w:after="0"/>
        <w:jc w:val="both"/>
        <w:rPr>
          <w:rFonts w:ascii="Marianne" w:hAnsi="Marianne"/>
          <w:sz w:val="18"/>
          <w:szCs w:val="18"/>
          <w:shd w:fill="FFFF00" w:val="clear"/>
        </w:rPr>
      </w:pPr>
      <w:r>
        <w:rPr>
          <w:rFonts w:ascii="Marianne" w:hAnsi="Marianne"/>
          <w:sz w:val="18"/>
          <w:szCs w:val="18"/>
          <w:shd w:fill="FFFF00" w:val="clear"/>
        </w:rPr>
      </w:r>
    </w:p>
    <w:p>
      <w:pPr>
        <w:pStyle w:val="Paradouble"/>
        <w:keepNext w:val="true"/>
        <w:bidi w:val="0"/>
        <w:spacing w:before="0" w:after="0"/>
        <w:rPr>
          <w:rFonts w:ascii="Marianne" w:hAnsi="Marianne"/>
          <w:sz w:val="18"/>
          <w:szCs w:val="18"/>
        </w:rPr>
      </w:pPr>
      <w:r>
        <w:rPr>
          <w:rFonts w:ascii="Marianne" w:hAnsi="Marianne"/>
          <w:sz w:val="18"/>
          <w:szCs w:val="18"/>
        </w:rPr>
        <w:t>En outre, cette transmission le sera selon les modalités suivantes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L'offre devra parvenir à destination avant la date et l'heure indiquées dans la page de garde du présent règlement ; elle peut être remise à l’accueil de la DDT aux horaires d’ouverture, en demandant à l’opérateur de préciser lui-même sur l’enveloppe la date et l’heure de réception.</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dossiers qui seraient remis ou dont l'avis de réception serait délivré après la date et l'heure limites fixées ci-dessus ne seront pas retenus, ils ne seront pas renvoyés à leurs auteurs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documents à fournir, conformément à l'article 3-1.2 ci-dessus, devront l'être sous format lisible ;</w:t>
      </w:r>
    </w:p>
    <w:p>
      <w:pPr>
        <w:pStyle w:val="Paragraphe"/>
        <w:numPr>
          <w:ilvl w:val="0"/>
          <w:numId w:val="13"/>
        </w:numPr>
        <w:tabs>
          <w:tab w:val="clear" w:pos="709"/>
          <w:tab w:val="left" w:pos="284" w:leader="none"/>
        </w:tabs>
        <w:bidi w:val="0"/>
        <w:spacing w:before="0" w:after="0"/>
        <w:ind w:hanging="284" w:left="284" w:right="0"/>
        <w:rPr>
          <w:rFonts w:ascii="Marianne" w:hAnsi="Marianne"/>
          <w:sz w:val="18"/>
          <w:szCs w:val="18"/>
        </w:rPr>
      </w:pPr>
      <w:r>
        <w:rPr>
          <w:rFonts w:ascii="Marianne" w:hAnsi="Marianne"/>
          <w:sz w:val="18"/>
          <w:szCs w:val="18"/>
        </w:rPr>
        <w:t>Les documents pour lesquels une signature est requise sont signés</w:t>
      </w:r>
    </w:p>
    <w:p>
      <w:pPr>
        <w:pStyle w:val="Paragraphe"/>
        <w:numPr>
          <w:ilvl w:val="0"/>
          <w:numId w:val="0"/>
        </w:numPr>
        <w:tabs>
          <w:tab w:val="clear" w:pos="709"/>
          <w:tab w:val="left" w:pos="284" w:leader="none"/>
        </w:tabs>
        <w:bidi w:val="0"/>
        <w:spacing w:before="0" w:after="0"/>
        <w:ind w:hanging="0" w:left="284" w:right="0"/>
        <w:rPr>
          <w:rFonts w:ascii="Marianne" w:hAnsi="Marianne"/>
          <w:sz w:val="18"/>
          <w:szCs w:val="18"/>
        </w:rPr>
      </w:pPr>
      <w:r>
        <w:rPr>
          <w:rFonts w:ascii="Marianne" w:hAnsi="Marianne"/>
          <w:sz w:val="18"/>
          <w:szCs w:val="18"/>
        </w:rPr>
      </w:r>
    </w:p>
    <w:p>
      <w:pPr>
        <w:pStyle w:val="Paragraphe"/>
        <w:bidi w:val="0"/>
        <w:spacing w:before="0" w:after="0"/>
        <w:rPr>
          <w:rFonts w:ascii="Marianne" w:hAnsi="Marianne"/>
          <w:sz w:val="18"/>
          <w:szCs w:val="18"/>
        </w:rPr>
      </w:pPr>
      <w:r>
        <w:rPr>
          <w:rFonts w:ascii="Marianne" w:hAnsi="Marianne"/>
          <w:sz w:val="18"/>
          <w:szCs w:val="18"/>
        </w:rPr>
      </w:r>
    </w:p>
    <w:p>
      <w:pPr>
        <w:pStyle w:val="Heading1"/>
        <w:numPr>
          <w:ilvl w:val="0"/>
          <w:numId w:val="0"/>
        </w:numPr>
        <w:tabs>
          <w:tab w:val="left" w:pos="0" w:leader="none"/>
        </w:tabs>
        <w:bidi w:val="0"/>
        <w:spacing w:before="0" w:after="0"/>
        <w:ind w:hanging="0" w:left="0" w:right="0"/>
        <w:outlineLvl w:val="9"/>
        <w:rPr>
          <w:rFonts w:ascii="Marianne" w:hAnsi="Marianne"/>
          <w:sz w:val="18"/>
          <w:szCs w:val="18"/>
        </w:rPr>
      </w:pPr>
      <w:bookmarkStart w:id="43" w:name="__RefHeading___Toc18291_2630935504"/>
      <w:bookmarkEnd w:id="43"/>
      <w:r>
        <w:rPr>
          <w:rFonts w:ascii="Marianne" w:hAnsi="Marianne"/>
          <w:sz w:val="18"/>
          <w:szCs w:val="18"/>
        </w:rPr>
        <w:t>ARTICLE 6. RENSEIGNEMENTS COMPLEMENTAIRES</w:t>
      </w:r>
    </w:p>
    <w:p>
      <w:pPr>
        <w:pStyle w:val="Parareponse"/>
        <w:bidi w:val="0"/>
        <w:spacing w:before="0" w:after="0"/>
        <w:rPr/>
      </w:pPr>
      <w:r>
        <w:rPr>
          <w:rFonts w:ascii="Marianne" w:hAnsi="Marianne"/>
          <w:sz w:val="18"/>
          <w:szCs w:val="18"/>
        </w:rPr>
        <w:t xml:space="preserve">Pour obtenir tous les renseignements d'ordre administratif et technique qui leur seraient nécessaires au cours de leur étude, les candidats devront faire parvenir au plus tard </w:t>
      </w:r>
      <w:bookmarkStart w:id="44" w:name="R6_p1A_a"/>
      <w:r>
        <w:rPr>
          <w:rFonts w:ascii="Marianne" w:hAnsi="Marianne"/>
          <w:sz w:val="18"/>
          <w:szCs w:val="18"/>
        </w:rPr>
        <w:t>20 jours</w:t>
      </w:r>
      <w:bookmarkEnd w:id="44"/>
      <w:r>
        <w:rPr>
          <w:rFonts w:ascii="Marianne" w:hAnsi="Marianne"/>
          <w:sz w:val="18"/>
          <w:szCs w:val="18"/>
        </w:rPr>
        <w:t xml:space="preserve"> avant la date limite de remise des offres, une demande écrite en utilisant les fonctionnalités de la plate-forme de dématérialisation (</w:t>
      </w:r>
      <w:r>
        <w:rPr>
          <w:rFonts w:ascii="Marianne" w:hAnsi="Marianne"/>
          <w:color w:val="FF0000"/>
          <w:sz w:val="18"/>
          <w:szCs w:val="18"/>
        </w:rPr>
        <w:t>[</w:t>
      </w:r>
      <w:hyperlink r:id="rId3">
        <w:r>
          <w:rPr>
            <w:rStyle w:val="Hyperlink"/>
            <w:rFonts w:ascii="Marianne" w:hAnsi="Marianne"/>
            <w:sz w:val="18"/>
            <w:szCs w:val="18"/>
          </w:rPr>
          <w:t>http://www.marches-publics.gouv.fr</w:t>
        </w:r>
      </w:hyperlink>
      <w:r>
        <w:rPr>
          <w:rFonts w:ascii="Marianne" w:hAnsi="Marianne"/>
          <w:color w:val="FF0000"/>
          <w:sz w:val="18"/>
          <w:szCs w:val="18"/>
        </w:rPr>
        <w:t>]</w:t>
      </w:r>
      <w:r>
        <w:rPr>
          <w:rFonts w:ascii="Marianne" w:hAnsi="Marianne"/>
          <w:sz w:val="18"/>
          <w:szCs w:val="18"/>
        </w:rPr>
        <w:t>) sous la référence précisée au 5-1. </w:t>
      </w:r>
    </w:p>
    <w:p>
      <w:pPr>
        <w:pStyle w:val="Parareponse"/>
        <w:bidi w:val="0"/>
        <w:spacing w:before="0" w:after="0"/>
        <w:rPr>
          <w:rFonts w:ascii="Marianne" w:hAnsi="Marianne"/>
          <w:sz w:val="18"/>
          <w:szCs w:val="18"/>
        </w:rPr>
      </w:pPr>
      <w:r>
        <w:rPr>
          <w:rFonts w:ascii="Marianne" w:hAnsi="Marianne"/>
          <w:sz w:val="18"/>
          <w:szCs w:val="18"/>
        </w:rPr>
        <w:t xml:space="preserve">Une réponse sera alors adressée en temps utile par l’intermédiaire de cette plate-forme à tous les candidats ayant retiré ou reçu le dossier, au plus tard </w:t>
      </w:r>
      <w:bookmarkStart w:id="45" w:name="R6_p1A_c"/>
      <w:r>
        <w:rPr>
          <w:rFonts w:ascii="Marianne" w:hAnsi="Marianne"/>
          <w:sz w:val="18"/>
          <w:szCs w:val="18"/>
        </w:rPr>
        <w:t>10 jours</w:t>
      </w:r>
      <w:bookmarkEnd w:id="45"/>
      <w:r>
        <w:rPr>
          <w:rFonts w:ascii="Marianne" w:hAnsi="Marianne"/>
          <w:sz w:val="18"/>
          <w:szCs w:val="18"/>
        </w:rPr>
        <w:t xml:space="preserve"> avant la date limite de remise des offres.</w:t>
      </w:r>
    </w:p>
    <w:p>
      <w:pPr>
        <w:pStyle w:val="Parareponse"/>
        <w:keepNext w:val="true"/>
        <w:bidi w:val="0"/>
        <w:spacing w:before="0" w:after="0"/>
        <w:rPr>
          <w:rFonts w:ascii="Marianne" w:hAnsi="Marianne"/>
          <w:sz w:val="18"/>
          <w:szCs w:val="18"/>
          <w:shd w:fill="auto" w:val="clear"/>
        </w:rPr>
      </w:pPr>
      <w:r>
        <w:rPr>
          <w:rFonts w:ascii="Marianne" w:hAnsi="Marianne"/>
          <w:sz w:val="18"/>
          <w:szCs w:val="18"/>
          <w:shd w:fill="auto" w:val="clear"/>
        </w:rPr>
        <w:t xml:space="preserve">Les candidats désirant se rendre sur le site devront s'adresser à : </w:t>
      </w:r>
      <w:hyperlink r:id="rId4">
        <w:r>
          <w:rPr>
            <w:rStyle w:val="Hyperlink"/>
            <w:rFonts w:ascii="Marianne" w:hAnsi="Marianne"/>
            <w:b/>
            <w:bCs/>
            <w:sz w:val="18"/>
            <w:szCs w:val="18"/>
            <w:shd w:fill="auto" w:val="clear"/>
          </w:rPr>
          <w:t>frederic.thorner@meurthe-et-moselle.gouv.fr</w:t>
        </w:r>
      </w:hyperlink>
      <w:r>
        <w:rPr>
          <w:rFonts w:ascii="Marianne" w:hAnsi="Marianne"/>
          <w:b/>
          <w:bCs/>
          <w:sz w:val="18"/>
          <w:szCs w:val="18"/>
          <w:shd w:fill="auto" w:val="clear"/>
        </w:rPr>
        <w:t xml:space="preserve"> et </w:t>
      </w:r>
      <w:hyperlink r:id="rId5">
        <w:r>
          <w:rPr>
            <w:rStyle w:val="Hyperlink"/>
            <w:rFonts w:ascii="Marianne" w:hAnsi="Marianne"/>
            <w:b/>
            <w:bCs/>
            <w:sz w:val="18"/>
            <w:szCs w:val="18"/>
            <w:shd w:fill="auto" w:val="clear"/>
          </w:rPr>
          <w:t>catherine.meunier@meurthe-et-moselle.gouv.fr</w:t>
        </w:r>
      </w:hyperlink>
    </w:p>
    <w:p>
      <w:pPr>
        <w:pStyle w:val="Parareponse"/>
        <w:bidi w:val="0"/>
        <w:spacing w:before="0" w:after="0"/>
        <w:rPr>
          <w:rFonts w:ascii="Marianne" w:hAnsi="Marianne"/>
          <w:sz w:val="18"/>
          <w:szCs w:val="18"/>
          <w:shd w:fill="auto" w:val="clear"/>
        </w:rPr>
      </w:pPr>
      <w:r>
        <w:rPr>
          <w:rFonts w:ascii="Marianne" w:hAnsi="Marianne"/>
          <w:sz w:val="18"/>
          <w:szCs w:val="18"/>
          <w:shd w:fill="auto" w:val="clear"/>
        </w:rPr>
      </w:r>
    </w:p>
    <w:p>
      <w:pPr>
        <w:pStyle w:val="Normal"/>
        <w:bidi w:val="0"/>
        <w:spacing w:before="0" w:after="0"/>
        <w:rPr>
          <w:rFonts w:ascii="Marianne" w:hAnsi="Marianne"/>
          <w:sz w:val="18"/>
          <w:szCs w:val="18"/>
          <w:shd w:fill="auto" w:val="clear"/>
        </w:rPr>
      </w:pPr>
      <w:r>
        <w:rPr>
          <w:rFonts w:ascii="Marianne" w:hAnsi="Marianne"/>
          <w:sz w:val="18"/>
          <w:szCs w:val="18"/>
          <w:shd w:fill="auto" w:val="clear"/>
        </w:rPr>
      </w:r>
    </w:p>
    <w:p>
      <w:pPr>
        <w:pStyle w:val="Normal"/>
        <w:bidi w:val="0"/>
        <w:spacing w:before="0" w:after="0"/>
        <w:rPr>
          <w:rFonts w:ascii="Marianne" w:hAnsi="Marianne"/>
          <w:sz w:val="18"/>
          <w:szCs w:val="18"/>
        </w:rPr>
      </w:pPr>
      <w:r>
        <w:rPr>
          <w:rFonts w:ascii="Marianne" w:hAnsi="Marianne"/>
          <w:sz w:val="18"/>
          <w:szCs w:val="18"/>
        </w:rPr>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417" w:right="1134" w:gutter="0" w:header="720" w:top="1230" w:footer="720" w:bottom="1230"/>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1"/>
    <w:family w:val="roman"/>
    <w:pitch w:val="default"/>
  </w:font>
  <w:font w:name="OpenSymbol">
    <w:altName w:val="Arial Unicode MS"/>
    <w:charset w:val="01"/>
    <w:family w:val="roman"/>
    <w:pitch w:val="default"/>
  </w:font>
  <w:font w:name="Courier New">
    <w:charset w:val="01"/>
    <w:family w:val="roman"/>
    <w:pitch w:val="default"/>
  </w:font>
  <w:font w:name="Arial">
    <w:charset w:val="01"/>
    <w:family w:val="swiss"/>
    <w:pitch w:val="default"/>
  </w:font>
  <w:font w:name="Marianne">
    <w:charset w:val="01"/>
    <w:family w:val="roman"/>
    <w:pitch w:val="default"/>
  </w:font>
  <w:font w:name="MS LineDraw">
    <w:charset w:val="01"/>
    <w:family w:val="auto"/>
    <w:pitch w:val="fixed"/>
  </w:font>
  <w:font w:name="Wingdings">
    <w:charset w:val="02"/>
    <w:family w:val="auto"/>
    <w:pitch w:val="variable"/>
  </w:font>
  <w:font w:name="Wingdings 2">
    <w:charset w:val="02"/>
    <w:family w:val="auto"/>
    <w:pitch w:val="default"/>
  </w:font>
  <w:font w:name="Star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57" w:type="dxa"/>
        <w:bottom w:w="0" w:type="dxa"/>
        <w:right w:w="57" w:type="dxa"/>
      </w:tblCellMar>
    </w:tblPr>
    <w:tblGrid>
      <w:gridCol w:w="3117"/>
      <w:gridCol w:w="3119"/>
      <w:gridCol w:w="3119"/>
    </w:tblGrid>
    <w:tr>
      <w:trPr>
        <w:trHeight w:val="227" w:hRule="atLeast"/>
      </w:trPr>
      <w:tc>
        <w:tcPr>
          <w:tcW w:w="3117" w:type="dxa"/>
          <w:tcBorders/>
        </w:tcPr>
        <w:p>
          <w:pPr>
            <w:pStyle w:val="Footer"/>
            <w:tabs>
              <w:tab w:val="clear" w:pos="4818"/>
              <w:tab w:val="clear" w:pos="9637"/>
              <w:tab w:val="right" w:pos="8982" w:leader="none"/>
            </w:tabs>
            <w:bidi w:val="0"/>
            <w:snapToGrid w:val="false"/>
            <w:spacing w:before="0" w:after="0"/>
            <w:ind w:hanging="0" w:left="-90" w:right="11"/>
            <w:jc w:val="left"/>
            <w:rPr>
              <w:sz w:val="18"/>
            </w:rPr>
          </w:pPr>
          <w:r>
            <w:rPr>
              <w:sz w:val="18"/>
            </w:rPr>
          </w:r>
        </w:p>
      </w:tc>
      <w:tc>
        <w:tcPr>
          <w:tcW w:w="3119" w:type="dxa"/>
          <w:tcBorders/>
        </w:tcPr>
        <w:p>
          <w:pPr>
            <w:pStyle w:val="Footer"/>
            <w:tabs>
              <w:tab w:val="clear" w:pos="4818"/>
              <w:tab w:val="clear" w:pos="9637"/>
              <w:tab w:val="right" w:pos="9072" w:leader="none"/>
            </w:tabs>
            <w:bidi w:val="0"/>
            <w:snapToGrid w:val="false"/>
            <w:spacing w:before="0" w:after="0"/>
            <w:jc w:val="center"/>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w:t>
          </w:r>
          <w:r>
            <w:rPr>
              <w:sz w:val="18"/>
            </w:rPr>
            <w:fldChar w:fldCharType="begin"/>
          </w:r>
          <w:r>
            <w:rPr>
              <w:sz w:val="18"/>
            </w:rPr>
            <w:instrText xml:space="preserve"> NUMPAGES </w:instrText>
          </w:r>
          <w:r>
            <w:rPr>
              <w:sz w:val="18"/>
            </w:rPr>
            <w:fldChar w:fldCharType="separate"/>
          </w:r>
          <w:r>
            <w:rPr>
              <w:sz w:val="18"/>
            </w:rPr>
            <w:t>10</w:t>
          </w:r>
          <w:r>
            <w:rPr>
              <w:sz w:val="18"/>
            </w:rPr>
            <w:fldChar w:fldCharType="end"/>
          </w:r>
        </w:p>
      </w:tc>
      <w:tc>
        <w:tcPr>
          <w:tcW w:w="3119" w:type="dxa"/>
          <w:tcBorders/>
        </w:tcPr>
        <w:p>
          <w:pPr>
            <w:pStyle w:val="Footer"/>
            <w:tabs>
              <w:tab w:val="clear" w:pos="4818"/>
              <w:tab w:val="clear" w:pos="9637"/>
              <w:tab w:val="right" w:pos="9072" w:leader="none"/>
            </w:tabs>
            <w:bidi w:val="0"/>
            <w:snapToGrid w:val="false"/>
            <w:spacing w:before="0" w:after="0"/>
            <w:jc w:val="right"/>
            <w:rPr>
              <w:sz w:val="18"/>
            </w:rPr>
          </w:pPr>
          <w:r>
            <w:rPr>
              <w:sz w:val="18"/>
            </w:rPr>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57" w:type="dxa"/>
        <w:bottom w:w="0" w:type="dxa"/>
        <w:right w:w="57" w:type="dxa"/>
      </w:tblCellMar>
    </w:tblPr>
    <w:tblGrid>
      <w:gridCol w:w="3118"/>
      <w:gridCol w:w="3118"/>
      <w:gridCol w:w="3119"/>
    </w:tblGrid>
    <w:tr>
      <w:trPr>
        <w:trHeight w:val="227" w:hRule="atLeast"/>
      </w:trPr>
      <w:tc>
        <w:tcPr>
          <w:tcW w:w="3118" w:type="dxa"/>
          <w:tcBorders/>
        </w:tcPr>
        <w:p>
          <w:pPr>
            <w:pStyle w:val="Footer"/>
            <w:bidi w:val="0"/>
            <w:rPr>
              <w:sz w:val="18"/>
              <w:szCs w:val="18"/>
            </w:rPr>
          </w:pPr>
          <w:r>
            <w:rPr>
              <w:sz w:val="18"/>
              <w:szCs w:val="18"/>
            </w:rPr>
          </w:r>
          <w:bookmarkStart w:id="50" w:name="Version_1"/>
          <w:bookmarkStart w:id="51" w:name="Version_1"/>
          <w:bookmarkEnd w:id="51"/>
        </w:p>
      </w:tc>
      <w:tc>
        <w:tcPr>
          <w:tcW w:w="3118" w:type="dxa"/>
          <w:tcBorders/>
        </w:tcPr>
        <w:p>
          <w:pPr>
            <w:pStyle w:val="Footer"/>
            <w:tabs>
              <w:tab w:val="clear" w:pos="4818"/>
              <w:tab w:val="clear" w:pos="9637"/>
              <w:tab w:val="right" w:pos="9072" w:leader="none"/>
            </w:tabs>
            <w:bidi w:val="0"/>
            <w:snapToGrid w:val="false"/>
            <w:spacing w:before="0" w:after="0"/>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z w:val="18"/>
            </w:rPr>
            <w:t xml:space="preserve"> / </w:t>
          </w:r>
          <w:r>
            <w:rPr>
              <w:sz w:val="18"/>
            </w:rPr>
            <w:fldChar w:fldCharType="begin"/>
          </w:r>
          <w:r>
            <w:rPr>
              <w:sz w:val="18"/>
            </w:rPr>
            <w:instrText xml:space="preserve"> NUMPAGES </w:instrText>
          </w:r>
          <w:r>
            <w:rPr>
              <w:sz w:val="18"/>
            </w:rPr>
            <w:fldChar w:fldCharType="separate"/>
          </w:r>
          <w:r>
            <w:rPr>
              <w:sz w:val="18"/>
            </w:rPr>
            <w:t>10</w:t>
          </w:r>
          <w:r>
            <w:rPr>
              <w:sz w:val="18"/>
            </w:rPr>
            <w:fldChar w:fldCharType="end"/>
          </w:r>
        </w:p>
      </w:tc>
      <w:tc>
        <w:tcPr>
          <w:tcW w:w="3119" w:type="dxa"/>
          <w:tcBorders/>
        </w:tcPr>
        <w:p>
          <w:pPr>
            <w:pStyle w:val="Footer"/>
            <w:bidi w:val="0"/>
            <w:jc w:val="right"/>
            <w:rPr>
              <w:sz w:val="18"/>
              <w:szCs w:val="18"/>
            </w:rPr>
          </w:pPr>
          <w:r>
            <w:rPr>
              <w:sz w:val="18"/>
              <w:szCs w:val="18"/>
            </w:rPr>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1129"/>
      <w:gridCol w:w="8226"/>
    </w:tblGrid>
    <w:tr>
      <w:trPr>
        <w:trHeight w:val="227" w:hRule="atLeast"/>
      </w:trPr>
      <w:tc>
        <w:tcPr>
          <w:tcW w:w="1129" w:type="dxa"/>
          <w:tcBorders/>
        </w:tcPr>
        <w:p>
          <w:pPr>
            <w:pStyle w:val="Normal"/>
            <w:bidi w:val="0"/>
            <w:ind w:hanging="0" w:left="0" w:right="0"/>
            <w:jc w:val="left"/>
            <w:rPr>
              <w:sz w:val="18"/>
              <w:szCs w:val="18"/>
            </w:rPr>
          </w:pPr>
          <w:r>
            <w:rPr>
              <w:sz w:val="18"/>
              <w:szCs w:val="18"/>
            </w:rPr>
          </w:r>
        </w:p>
      </w:tc>
      <w:tc>
        <w:tcPr>
          <w:tcW w:w="8226" w:type="dxa"/>
          <w:tcBorders/>
        </w:tcPr>
        <w:p>
          <w:pPr>
            <w:pStyle w:val="Footer"/>
            <w:tabs>
              <w:tab w:val="clear" w:pos="4818"/>
              <w:tab w:val="clear" w:pos="9637"/>
              <w:tab w:val="right" w:pos="9072" w:leader="none"/>
            </w:tabs>
            <w:snapToGrid w:val="false"/>
            <w:spacing w:before="0" w:after="0"/>
            <w:jc w:val="right"/>
            <w:rPr>
              <w:rFonts w:ascii="Marianne" w:hAnsi="Marianne"/>
              <w:sz w:val="18"/>
              <w:szCs w:val="18"/>
            </w:rPr>
          </w:pPr>
          <w:bookmarkStart w:id="46" w:name="Reference_doc_1_Copie_4_Copie_14"/>
          <w:bookmarkStart w:id="47" w:name="Reference_doc_2"/>
          <w:bookmarkEnd w:id="46"/>
          <w:bookmarkEnd w:id="47"/>
          <w:r>
            <w:rPr>
              <w:rFonts w:ascii="Marianne" w:hAnsi="Marianne"/>
              <w:sz w:val="18"/>
              <w:szCs w:val="18"/>
            </w:rPr>
            <w:t>DDT54 : RC</w:t>
          </w:r>
        </w:p>
      </w:tc>
    </w:tr>
  </w:tbl>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71" w:type="dxa"/>
        <w:bottom w:w="0" w:type="dxa"/>
        <w:right w:w="71" w:type="dxa"/>
      </w:tblCellMar>
    </w:tblPr>
    <w:tblGrid>
      <w:gridCol w:w="1129"/>
      <w:gridCol w:w="8226"/>
    </w:tblGrid>
    <w:tr>
      <w:trPr>
        <w:trHeight w:val="227" w:hRule="atLeast"/>
      </w:trPr>
      <w:tc>
        <w:tcPr>
          <w:tcW w:w="1129" w:type="dxa"/>
          <w:tcBorders/>
        </w:tcPr>
        <w:p>
          <w:pPr>
            <w:pStyle w:val="Header"/>
            <w:tabs>
              <w:tab w:val="clear" w:pos="4818"/>
              <w:tab w:val="clear" w:pos="9637"/>
            </w:tabs>
            <w:bidi w:val="0"/>
            <w:snapToGrid w:val="false"/>
            <w:spacing w:before="0" w:after="0"/>
            <w:ind w:hanging="0" w:left="-91" w:right="-10"/>
            <w:jc w:val="left"/>
            <w:rPr>
              <w:sz w:val="18"/>
            </w:rPr>
          </w:pPr>
          <w:r>
            <w:rPr>
              <w:sz w:val="18"/>
            </w:rPr>
          </w:r>
        </w:p>
      </w:tc>
      <w:tc>
        <w:tcPr>
          <w:tcW w:w="8226" w:type="dxa"/>
          <w:tcBorders/>
        </w:tcPr>
        <w:p>
          <w:pPr>
            <w:pStyle w:val="Footer"/>
            <w:tabs>
              <w:tab w:val="clear" w:pos="4818"/>
              <w:tab w:val="clear" w:pos="9637"/>
              <w:tab w:val="right" w:pos="9072" w:leader="none"/>
            </w:tabs>
            <w:snapToGrid w:val="false"/>
            <w:spacing w:before="0" w:after="0"/>
            <w:jc w:val="right"/>
            <w:rPr>
              <w:rFonts w:ascii="Marianne" w:hAnsi="Marianne"/>
              <w:sz w:val="18"/>
              <w:szCs w:val="18"/>
            </w:rPr>
          </w:pPr>
          <w:bookmarkStart w:id="48" w:name="Reference_doc_1_Copie_4_Copie_14_Copie_1"/>
          <w:bookmarkStart w:id="49" w:name="Reference_doc_2_Copie_17"/>
          <w:bookmarkEnd w:id="48"/>
          <w:bookmarkEnd w:id="49"/>
          <w:r>
            <w:rPr>
              <w:rFonts w:ascii="Marianne" w:hAnsi="Marianne"/>
              <w:sz w:val="18"/>
              <w:szCs w:val="18"/>
            </w:rPr>
            <w:t>DDT54 : RC</w:t>
          </w:r>
        </w:p>
      </w:tc>
    </w:tr>
  </w:tbl>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283"/>
        </w:tabs>
        <w:ind w:left="283" w:hanging="283"/>
      </w:pPr>
      <w:rPr>
        <w:rFonts w:ascii="MS LineDraw" w:hAnsi="MS LineDraw" w:cs="MS LineDraw"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StarSymbol" w:hAnsi="StarSymbol" w:cs="StarSymbol"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StarSymbol" w:hAnsi="StarSymbol" w:cs="StarSymbol"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StarSymbol" w:hAnsi="StarSymbol" w:cs="StarSymbol"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StarSymbol" w:hAnsi="StarSymbol" w:cs="StarSymbol" w:hint="default"/>
      </w:rPr>
    </w:lvl>
  </w:abstractNum>
  <w:abstractNum w:abstractNumId="5">
    <w:lvl w:ilvl="0">
      <w:start w:val="1"/>
      <w:numFmt w:val="bullet"/>
      <w:lvlText w:val=""/>
      <w:lvlJc w:val="left"/>
      <w:pPr>
        <w:tabs>
          <w:tab w:val="num" w:pos="60"/>
        </w:tabs>
        <w:ind w:left="60" w:hanging="360"/>
      </w:pPr>
      <w:rPr>
        <w:rFonts w:ascii="Wingdings" w:hAnsi="Wingdings" w:cs="Wingdings" w:hint="default"/>
      </w:rPr>
    </w:lvl>
    <w:lvl w:ilvl="1">
      <w:start w:val="1"/>
      <w:numFmt w:val="bullet"/>
      <w:lvlText w:val=""/>
      <w:lvlJc w:val="left"/>
      <w:pPr>
        <w:tabs>
          <w:tab w:val="num" w:pos="780"/>
        </w:tabs>
        <w:ind w:left="780" w:hanging="360"/>
      </w:pPr>
      <w:rPr>
        <w:rFonts w:ascii="Wingdings 2" w:hAnsi="Wingdings 2" w:cs="Wingdings 2" w:hint="default"/>
      </w:rPr>
    </w:lvl>
    <w:lvl w:ilvl="2">
      <w:start w:val="1"/>
      <w:numFmt w:val="bullet"/>
      <w:lvlText w:val="■"/>
      <w:lvlJc w:val="left"/>
      <w:pPr>
        <w:tabs>
          <w:tab w:val="num" w:pos="1500"/>
        </w:tabs>
        <w:ind w:left="1500" w:hanging="360"/>
      </w:pPr>
      <w:rPr>
        <w:rFonts w:ascii="StarSymbol" w:hAnsi="StarSymbol" w:cs="StarSymbol" w:hint="default"/>
      </w:rPr>
    </w:lvl>
    <w:lvl w:ilvl="3">
      <w:start w:val="1"/>
      <w:numFmt w:val="bullet"/>
      <w:lvlText w:val=""/>
      <w:lvlJc w:val="left"/>
      <w:pPr>
        <w:tabs>
          <w:tab w:val="num" w:pos="2220"/>
        </w:tabs>
        <w:ind w:left="2220" w:hanging="360"/>
      </w:pPr>
      <w:rPr>
        <w:rFonts w:ascii="Wingdings" w:hAnsi="Wingdings" w:cs="Wingdings" w:hint="default"/>
      </w:rPr>
    </w:lvl>
    <w:lvl w:ilvl="4">
      <w:start w:val="1"/>
      <w:numFmt w:val="bullet"/>
      <w:lvlText w:val=""/>
      <w:lvlJc w:val="left"/>
      <w:pPr>
        <w:tabs>
          <w:tab w:val="num" w:pos="2940"/>
        </w:tabs>
        <w:ind w:left="2940" w:hanging="360"/>
      </w:pPr>
      <w:rPr>
        <w:rFonts w:ascii="Wingdings 2" w:hAnsi="Wingdings 2" w:cs="Wingdings 2" w:hint="default"/>
      </w:rPr>
    </w:lvl>
    <w:lvl w:ilvl="5">
      <w:start w:val="1"/>
      <w:numFmt w:val="bullet"/>
      <w:lvlText w:val="■"/>
      <w:lvlJc w:val="left"/>
      <w:pPr>
        <w:tabs>
          <w:tab w:val="num" w:pos="3660"/>
        </w:tabs>
        <w:ind w:left="3660" w:hanging="360"/>
      </w:pPr>
      <w:rPr>
        <w:rFonts w:ascii="StarSymbol" w:hAnsi="StarSymbol" w:cs="StarSymbol" w:hint="default"/>
      </w:rPr>
    </w:lvl>
    <w:lvl w:ilvl="6">
      <w:start w:val="1"/>
      <w:numFmt w:val="bullet"/>
      <w:lvlText w:val=""/>
      <w:lvlJc w:val="left"/>
      <w:pPr>
        <w:tabs>
          <w:tab w:val="num" w:pos="4380"/>
        </w:tabs>
        <w:ind w:left="4380" w:hanging="360"/>
      </w:pPr>
      <w:rPr>
        <w:rFonts w:ascii="Wingdings" w:hAnsi="Wingdings" w:cs="Wingdings" w:hint="default"/>
      </w:rPr>
    </w:lvl>
    <w:lvl w:ilvl="7">
      <w:start w:val="1"/>
      <w:numFmt w:val="bullet"/>
      <w:lvlText w:val=""/>
      <w:lvlJc w:val="left"/>
      <w:pPr>
        <w:tabs>
          <w:tab w:val="num" w:pos="5100"/>
        </w:tabs>
        <w:ind w:left="5100" w:hanging="360"/>
      </w:pPr>
      <w:rPr>
        <w:rFonts w:ascii="Wingdings 2" w:hAnsi="Wingdings 2" w:cs="Wingdings 2" w:hint="default"/>
      </w:rPr>
    </w:lvl>
    <w:lvl w:ilvl="8">
      <w:start w:val="1"/>
      <w:numFmt w:val="bullet"/>
      <w:lvlText w:val="■"/>
      <w:lvlJc w:val="left"/>
      <w:pPr>
        <w:tabs>
          <w:tab w:val="num" w:pos="5820"/>
        </w:tabs>
        <w:ind w:left="5820" w:hanging="360"/>
      </w:pPr>
      <w:rPr>
        <w:rFonts w:ascii="StarSymbol" w:hAnsi="StarSymbol" w:cs="StarSymbol"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StarSymbol" w:hAnsi="StarSymbol" w:cs="StarSymbol"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StarSymbol" w:hAnsi="StarSymbol" w:cs="StarSymbol" w:hint="default"/>
      </w:rPr>
    </w:lvl>
  </w:abstractNum>
  <w:abstractNum w:abstractNumId="7">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StarSymbol" w:hAnsi="StarSymbol" w:cs="StarSymbol"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StarSymbol" w:hAnsi="StarSymbol" w:cs="StarSymbol" w:hint="default"/>
      </w:rPr>
    </w:lvl>
  </w:abstractNum>
  <w:abstractNum w:abstractNumId="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StarSymbol" w:hAnsi="StarSymbol" w:cs="StarSymbol"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StarSymbol" w:hAnsi="StarSymbol" w:cs="StarSymbol" w:hint="default"/>
      </w:rPr>
    </w:lvl>
  </w:abstractNum>
  <w:abstractNum w:abstractNumId="10">
    <w:lvl w:ilvl="0">
      <w:start w:val="1"/>
      <w:numFmt w:val="bullet"/>
      <w:lvlText w:val="-"/>
      <w:lvlJc w:val="left"/>
      <w:pPr>
        <w:tabs>
          <w:tab w:val="num" w:pos="284"/>
        </w:tabs>
        <w:ind w:left="284" w:hanging="284"/>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284"/>
        </w:tabs>
        <w:ind w:left="284" w:hanging="284"/>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3">
    <w:lvl w:ilvl="0">
      <w:start w:val="1"/>
      <w:numFmt w:val="bullet"/>
      <w:lvlText w:val="-"/>
      <w:lvlJc w:val="left"/>
      <w:pPr>
        <w:tabs>
          <w:tab w:val="num" w:pos="284"/>
        </w:tabs>
        <w:ind w:left="284" w:hanging="284"/>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7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ahoma"/>
        <w:sz w:val="24"/>
        <w:szCs w:val="24"/>
        <w:lang w:val="fr-FR" w:eastAsia="zxx" w:bidi="zxx"/>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both"/>
    </w:pPr>
    <w:rPr>
      <w:rFonts w:ascii="Times New Roman" w:hAnsi="Times New Roman" w:eastAsia="Arial Unicode MS" w:cs="Tahoma"/>
      <w:color w:val="auto"/>
      <w:kern w:val="0"/>
      <w:sz w:val="24"/>
      <w:szCs w:val="24"/>
      <w:lang w:val="fr-FR" w:eastAsia="zxx" w:bidi="zxx"/>
    </w:rPr>
  </w:style>
  <w:style w:type="paragraph" w:styleId="Heading1">
    <w:name w:val="heading 1"/>
    <w:basedOn w:val="Normal"/>
    <w:next w:val="Normal"/>
    <w:qFormat/>
    <w:pPr>
      <w:keepNext w:val="true"/>
      <w:widowControl/>
      <w:numPr>
        <w:ilvl w:val="0"/>
        <w:numId w:val="1"/>
      </w:numPr>
      <w:shd w:val="clear" w:fill="CCCCCC"/>
      <w:tabs>
        <w:tab w:val="clear" w:pos="709"/>
      </w:tabs>
      <w:spacing w:before="601" w:after="238"/>
      <w:ind w:hanging="283" w:left="0" w:right="0"/>
      <w:outlineLvl w:val="0"/>
    </w:pPr>
    <w:rPr>
      <w:rFonts w:ascii="Times New Roman" w:hAnsi="Times New Roman"/>
      <w:b/>
      <w:bCs/>
      <w:kern w:val="2"/>
      <w:sz w:val="28"/>
      <w:szCs w:val="28"/>
      <w:u w:val="single"/>
    </w:rPr>
  </w:style>
  <w:style w:type="paragraph" w:styleId="Heading2">
    <w:name w:val="heading 2"/>
    <w:basedOn w:val="Normal"/>
    <w:next w:val="Normal"/>
    <w:qFormat/>
    <w:pPr>
      <w:keepNext w:val="true"/>
      <w:widowControl/>
      <w:numPr>
        <w:ilvl w:val="1"/>
        <w:numId w:val="1"/>
      </w:numPr>
      <w:tabs>
        <w:tab w:val="clear" w:pos="709"/>
      </w:tabs>
      <w:spacing w:before="238" w:after="119"/>
      <w:ind w:hanging="283" w:left="0" w:right="0"/>
      <w:outlineLvl w:val="1"/>
    </w:pPr>
    <w:rPr>
      <w:b/>
      <w:bCs/>
      <w:i w:val="false"/>
      <w:iCs/>
      <w:kern w:val="2"/>
      <w:sz w:val="28"/>
      <w:szCs w:val="28"/>
      <w:u w:val="single"/>
    </w:rPr>
  </w:style>
  <w:style w:type="paragraph" w:styleId="Heading3">
    <w:name w:val="heading 3"/>
    <w:basedOn w:val="Normal"/>
    <w:next w:val="Normal"/>
    <w:qFormat/>
    <w:pPr>
      <w:keepNext w:val="true"/>
      <w:widowControl/>
      <w:numPr>
        <w:ilvl w:val="0"/>
        <w:numId w:val="0"/>
      </w:numPr>
      <w:tabs>
        <w:tab w:val="clear" w:pos="709"/>
      </w:tabs>
      <w:spacing w:before="238" w:after="119"/>
      <w:ind w:hanging="283" w:left="0" w:right="0"/>
    </w:pPr>
    <w:rPr>
      <w:b w:val="false"/>
      <w:bCs/>
      <w:kern w:val="2"/>
      <w:sz w:val="24"/>
      <w:szCs w:val="28"/>
    </w:rPr>
  </w:style>
  <w:style w:type="paragraph" w:styleId="Heading4">
    <w:name w:val="heading 4"/>
    <w:basedOn w:val="Titre"/>
    <w:next w:val="BodyText"/>
    <w:qFormat/>
    <w:pPr/>
    <w:rPr>
      <w:b/>
      <w:bCs/>
      <w:i/>
      <w:iCs/>
      <w:sz w:val="24"/>
      <w:szCs w:val="24"/>
    </w:rPr>
  </w:style>
  <w:style w:type="paragraph" w:styleId="Heading5">
    <w:name w:val="heading 5"/>
    <w:basedOn w:val="Titre"/>
    <w:next w:val="BodyText"/>
    <w:qFormat/>
    <w:pPr/>
    <w:rPr>
      <w:b/>
      <w:bCs/>
      <w:sz w:val="24"/>
      <w:szCs w:val="24"/>
    </w:rPr>
  </w:style>
  <w:style w:type="paragraph" w:styleId="Heading6">
    <w:name w:val="heading 6"/>
    <w:basedOn w:val="Titre"/>
    <w:next w:val="BodyText"/>
    <w:qFormat/>
    <w:pPr/>
    <w:rPr>
      <w:b/>
      <w:bCs/>
      <w:sz w:val="21"/>
      <w:szCs w:val="21"/>
    </w:rPr>
  </w:style>
  <w:style w:type="paragraph" w:styleId="Heading7">
    <w:name w:val="heading 7"/>
    <w:basedOn w:val="Titre"/>
    <w:next w:val="BodyText"/>
    <w:qFormat/>
    <w:pPr/>
    <w:rPr>
      <w:b/>
      <w:bCs/>
      <w:sz w:val="21"/>
      <w:szCs w:val="21"/>
    </w:rPr>
  </w:style>
  <w:style w:type="paragraph" w:styleId="Heading8">
    <w:name w:val="heading 8"/>
    <w:basedOn w:val="Titre"/>
    <w:next w:val="BodyText"/>
    <w:qFormat/>
    <w:pPr/>
    <w:rPr>
      <w:b/>
      <w:bCs/>
      <w:sz w:val="21"/>
      <w:szCs w:val="21"/>
    </w:rPr>
  </w:style>
  <w:style w:type="paragraph" w:styleId="Heading9">
    <w:name w:val="heading 9"/>
    <w:basedOn w:val="Titre"/>
    <w:next w:val="BodyText"/>
    <w:qFormat/>
    <w:pPr/>
    <w:rPr>
      <w:b/>
      <w:bCs/>
      <w:sz w:val="21"/>
      <w:szCs w:val="21"/>
    </w:rPr>
  </w:style>
  <w:style w:type="character" w:styleId="InternetLink">
    <w:name w:val="Internet Link"/>
    <w:qFormat/>
    <w:rPr>
      <w:color w:val="000080"/>
      <w:u w:val="single"/>
    </w:rPr>
  </w:style>
  <w:style w:type="character" w:styleId="Caractresdenumrotation">
    <w:name w:val="Caractères de numérotation"/>
    <w:qFormat/>
    <w:rPr/>
  </w:style>
  <w:style w:type="character" w:styleId="Bullet20Symbols">
    <w:name w:val="Bullet_20_Symbols"/>
    <w:qFormat/>
    <w:rPr/>
  </w:style>
  <w:style w:type="character" w:styleId="Sautdindex">
    <w:name w:val="Saut d'index"/>
    <w:qFormat/>
    <w:rPr/>
  </w:style>
  <w:style w:type="character" w:styleId="Puces">
    <w:name w:val="Puces"/>
    <w:qFormat/>
    <w:rPr>
      <w:rFonts w:ascii="OpenSymbol" w:hAnsi="OpenSymbol" w:eastAsia="OpenSymbol" w:cs="OpenSymbol"/>
    </w:rPr>
  </w:style>
  <w:style w:type="character" w:styleId="WW8NumSt20z0">
    <w:name w:val="WW8NumSt20z0"/>
    <w:qFormat/>
    <w:rPr>
      <w:rFonts w:ascii="Courier New" w:hAnsi="Courier New" w:cs="Courier New"/>
    </w:rPr>
  </w:style>
  <w:style w:type="character" w:styleId="InternetLink1">
    <w:name w:val="Internet Link1"/>
    <w:qFormat/>
    <w:rPr>
      <w:color w:val="000080"/>
      <w:u w:val="single"/>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Hyperlink">
    <w:name w:val="Hyperlink"/>
    <w:rPr>
      <w:color w:val="000080"/>
      <w:u w:val="single"/>
    </w:rPr>
  </w:style>
  <w:style w:type="character" w:styleId="Sautdindexuser">
    <w:name w:val="Saut d'index (user)"/>
    <w:qFormat/>
    <w:rPr/>
  </w:style>
  <w:style w:type="paragraph" w:styleId="Titre">
    <w:name w:val="Titre"/>
    <w:basedOn w:val="Normal"/>
    <w:next w:val="BodyText"/>
    <w:qFormat/>
    <w:pPr>
      <w:keepNext w:val="true"/>
      <w:spacing w:before="240" w:after="120"/>
    </w:pPr>
    <w:rPr>
      <w:rFonts w:ascii="Arial" w:hAnsi="Arial" w:eastAsia="Arial Unicode MS" w:cs="Tahoma"/>
      <w:sz w:val="28"/>
      <w:szCs w:val="28"/>
    </w:rPr>
  </w:style>
  <w:style w:type="paragraph" w:styleId="BodyText">
    <w:name w:val="Body Text"/>
    <w:basedOn w:val="Normal"/>
    <w:pPr>
      <w:spacing w:before="0" w:after="120"/>
    </w:pPr>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Tahoma"/>
      <w:i/>
      <w:iCs/>
      <w:sz w:val="20"/>
      <w:szCs w:val="20"/>
    </w:rPr>
  </w:style>
  <w:style w:type="paragraph" w:styleId="Index">
    <w:name w:val="Index"/>
    <w:basedOn w:val="Normal"/>
    <w:qFormat/>
    <w:pPr>
      <w:suppressLineNumbers/>
    </w:pPr>
    <w:rPr>
      <w:rFonts w:cs="Tahoma"/>
    </w:rPr>
  </w:style>
  <w:style w:type="paragraph" w:styleId="Titreuser">
    <w:name w:val="Titre (user)"/>
    <w:basedOn w:val="Normal"/>
    <w:next w:val="BodyText"/>
    <w:qFormat/>
    <w:pPr>
      <w:keepNext w:val="true"/>
      <w:spacing w:before="240" w:after="120"/>
    </w:pPr>
    <w:rPr>
      <w:rFonts w:ascii="Marianne" w:hAnsi="Marianne" w:eastAsia="Microsoft YaHei" w:cs="Arial"/>
      <w:sz w:val="28"/>
      <w:szCs w:val="28"/>
    </w:rPr>
  </w:style>
  <w:style w:type="paragraph" w:styleId="En-tteetpieddepageuser">
    <w:name w:val="En-tête et pied de page (user)"/>
    <w:basedOn w:val="Normal"/>
    <w:qFormat/>
    <w:pPr>
      <w:suppressLineNumbers/>
      <w:tabs>
        <w:tab w:val="clear" w:pos="709"/>
        <w:tab w:val="center" w:pos="4819" w:leader="none"/>
        <w:tab w:val="right" w:pos="9638" w:leader="none"/>
      </w:tabs>
    </w:pPr>
    <w:rPr/>
  </w:style>
  <w:style w:type="paragraph" w:styleId="En-tteetpieddepage">
    <w:name w:val="En-tête et pied de page"/>
    <w:basedOn w:val="Normal"/>
    <w:qFormat/>
    <w:pPr/>
    <w:rPr/>
  </w:style>
  <w:style w:type="paragraph" w:styleId="Header">
    <w:name w:val="header"/>
    <w:basedOn w:val="Normal"/>
    <w:pPr>
      <w:suppressLineNumbers/>
      <w:tabs>
        <w:tab w:val="clear" w:pos="709"/>
        <w:tab w:val="center" w:pos="4818" w:leader="none"/>
        <w:tab w:val="right" w:pos="9637" w:leader="none"/>
      </w:tabs>
    </w:pPr>
    <w:rPr/>
  </w:style>
  <w:style w:type="paragraph" w:styleId="Footer">
    <w:name w:val="footer"/>
    <w:basedOn w:val="Normal"/>
    <w:pPr>
      <w:suppressLineNumbers/>
      <w:tabs>
        <w:tab w:val="clear" w:pos="709"/>
        <w:tab w:val="center" w:pos="4818" w:leader="none"/>
        <w:tab w:val="right" w:pos="9637" w:leader="none"/>
      </w:tabs>
    </w:pPr>
    <w:rPr/>
  </w:style>
  <w:style w:type="paragraph" w:styleId="Contenudetableau">
    <w:name w:val="Contenu de tableau"/>
    <w:basedOn w:val="Normal"/>
    <w:qFormat/>
    <w:pPr>
      <w:suppressLineNumbers/>
    </w:pPr>
    <w:rPr/>
  </w:style>
  <w:style w:type="paragraph" w:styleId="Titredetableau">
    <w:name w:val="Titre de tableau"/>
    <w:basedOn w:val="Contenudetableau"/>
    <w:qFormat/>
    <w:pPr>
      <w:suppressLineNumbers/>
      <w:jc w:val="center"/>
    </w:pPr>
    <w:rPr>
      <w:b/>
      <w:bCs/>
      <w:i/>
      <w:iCs/>
    </w:rPr>
  </w:style>
  <w:style w:type="paragraph" w:styleId="TOC1">
    <w:name w:val="toc 1"/>
    <w:basedOn w:val="Index"/>
    <w:pPr>
      <w:tabs>
        <w:tab w:val="clear" w:pos="709"/>
        <w:tab w:val="right" w:pos="9637" w:leader="dot"/>
      </w:tabs>
      <w:spacing w:before="170" w:after="0"/>
      <w:ind w:hanging="0" w:left="0" w:right="0"/>
    </w:pPr>
    <w:rPr>
      <w:rFonts w:ascii="Marianne" w:hAnsi="Marianne"/>
      <w:b/>
      <w:sz w:val="18"/>
    </w:rPr>
  </w:style>
  <w:style w:type="paragraph" w:styleId="TOC2">
    <w:name w:val="toc 2"/>
    <w:basedOn w:val="Index"/>
    <w:pPr>
      <w:tabs>
        <w:tab w:val="clear" w:pos="709"/>
        <w:tab w:val="right" w:pos="9637" w:leader="dot"/>
      </w:tabs>
      <w:spacing w:before="0" w:after="0"/>
      <w:ind w:hanging="0" w:left="283" w:right="0"/>
    </w:pPr>
    <w:rPr/>
  </w:style>
  <w:style w:type="paragraph" w:styleId="TOC3">
    <w:name w:val="toc 3"/>
    <w:basedOn w:val="Index"/>
    <w:pPr>
      <w:tabs>
        <w:tab w:val="clear" w:pos="709"/>
        <w:tab w:val="right" w:pos="9637" w:leader="dot"/>
      </w:tabs>
      <w:spacing w:before="170" w:after="0"/>
      <w:ind w:hanging="0" w:left="566" w:right="0"/>
    </w:pPr>
    <w:rPr/>
  </w:style>
  <w:style w:type="paragraph" w:styleId="TOC4">
    <w:name w:val="toc 4"/>
    <w:basedOn w:val="Index"/>
    <w:pPr>
      <w:tabs>
        <w:tab w:val="clear" w:pos="709"/>
        <w:tab w:val="right" w:pos="9637" w:leader="dot"/>
      </w:tabs>
      <w:spacing w:before="170" w:after="0"/>
      <w:ind w:hanging="0" w:left="849" w:right="0"/>
    </w:pPr>
    <w:rPr/>
  </w:style>
  <w:style w:type="paragraph" w:styleId="TOC5">
    <w:name w:val="toc 5"/>
    <w:basedOn w:val="Index"/>
    <w:pPr>
      <w:tabs>
        <w:tab w:val="clear" w:pos="709"/>
        <w:tab w:val="right" w:pos="9637" w:leader="dot"/>
      </w:tabs>
      <w:spacing w:before="170" w:after="0"/>
      <w:ind w:hanging="0" w:left="1132" w:right="0"/>
    </w:pPr>
    <w:rPr/>
  </w:style>
  <w:style w:type="paragraph" w:styleId="TOC6">
    <w:name w:val="toc 6"/>
    <w:basedOn w:val="Index"/>
    <w:pPr>
      <w:tabs>
        <w:tab w:val="clear" w:pos="709"/>
        <w:tab w:val="right" w:pos="9637" w:leader="dot"/>
      </w:tabs>
      <w:spacing w:before="170" w:after="0"/>
      <w:ind w:hanging="0" w:left="1415" w:right="0"/>
    </w:pPr>
    <w:rPr/>
  </w:style>
  <w:style w:type="paragraph" w:styleId="Trame">
    <w:name w:val="Trame"/>
    <w:basedOn w:val="Normal"/>
    <w:qFormat/>
    <w:pPr>
      <w:shd w:val="clear" w:fill="CCCCCC"/>
      <w:jc w:val="center"/>
    </w:pPr>
    <w:rPr>
      <w:b/>
      <w:sz w:val="40"/>
    </w:rPr>
  </w:style>
  <w:style w:type="paragraph" w:styleId="Cadrerelief">
    <w:name w:val="Cadre_relief"/>
    <w:basedOn w:val="Normal"/>
    <w:qFormat/>
    <w:pPr>
      <w:pBdr>
        <w:top w:val="double" w:sz="2" w:space="14" w:color="000000" w:shadow="1"/>
        <w:left w:val="double" w:sz="2" w:space="14" w:color="000000" w:shadow="1"/>
        <w:bottom w:val="double" w:sz="2" w:space="14" w:color="000000" w:shadow="1"/>
        <w:right w:val="double" w:sz="2" w:space="14" w:color="000000" w:shadow="1"/>
      </w:pBdr>
      <w:ind w:hanging="0" w:left="284" w:right="283"/>
    </w:pPr>
    <w:rPr/>
  </w:style>
  <w:style w:type="paragraph" w:styleId="Paragraphe">
    <w:name w:val="Paragraphe"/>
    <w:basedOn w:val="Normal"/>
    <w:qFormat/>
    <w:pPr>
      <w:spacing w:before="120" w:after="0"/>
      <w:jc w:val="both"/>
    </w:pPr>
    <w:rPr/>
  </w:style>
  <w:style w:type="paragraph" w:styleId="Paradouble">
    <w:name w:val="Para_double"/>
    <w:basedOn w:val="Paragraphe"/>
    <w:qFormat/>
    <w:pPr>
      <w:spacing w:before="120" w:after="240"/>
    </w:pPr>
    <w:rPr/>
  </w:style>
  <w:style w:type="paragraph" w:styleId="Parareponse">
    <w:name w:val="Para_reponse"/>
    <w:basedOn w:val="Normal"/>
    <w:qFormat/>
    <w:pPr>
      <w:spacing w:before="120" w:after="120"/>
    </w:pPr>
    <w:rPr/>
  </w:style>
  <w:style w:type="paragraph" w:styleId="Reponse">
    <w:name w:val="Reponse"/>
    <w:basedOn w:val="Normal"/>
    <w:qFormat/>
    <w:pPr>
      <w:ind w:hanging="0" w:left="567" w:right="567"/>
    </w:pPr>
    <w:rPr>
      <w:color w:val="auto"/>
    </w:rPr>
  </w:style>
  <w:style w:type="paragraph" w:styleId="TOC7">
    <w:name w:val="toc 7"/>
    <w:basedOn w:val="Index"/>
    <w:pPr>
      <w:tabs>
        <w:tab w:val="clear" w:pos="709"/>
        <w:tab w:val="right" w:pos="9355" w:leader="dot"/>
      </w:tabs>
      <w:ind w:hanging="0" w:left="1698" w:right="0"/>
    </w:pPr>
    <w:rPr/>
  </w:style>
  <w:style w:type="paragraph" w:styleId="TOC8">
    <w:name w:val="toc 8"/>
    <w:basedOn w:val="Index"/>
    <w:pPr>
      <w:tabs>
        <w:tab w:val="clear" w:pos="709"/>
        <w:tab w:val="right" w:pos="9355" w:leader="dot"/>
      </w:tabs>
      <w:ind w:hanging="0" w:left="1981" w:right="0"/>
    </w:pPr>
    <w:rPr/>
  </w:style>
  <w:style w:type="paragraph" w:styleId="TOC9">
    <w:name w:val="toc 9"/>
    <w:basedOn w:val="Index"/>
    <w:pPr>
      <w:tabs>
        <w:tab w:val="clear" w:pos="709"/>
        <w:tab w:val="right" w:pos="9355" w:leader="dot"/>
      </w:tabs>
      <w:ind w:hanging="0" w:left="2264" w:right="0"/>
    </w:pPr>
    <w:rPr/>
  </w:style>
  <w:style w:type="paragraph" w:styleId="Tabledesmatiresniveau10">
    <w:name w:val="Table des matières niveau 10"/>
    <w:basedOn w:val="Index"/>
    <w:qFormat/>
    <w:pPr>
      <w:tabs>
        <w:tab w:val="clear" w:pos="709"/>
        <w:tab w:val="right" w:pos="9355" w:leader="dot"/>
      </w:tabs>
      <w:ind w:hanging="0" w:left="2547" w:right="0"/>
    </w:pPr>
    <w:rPr/>
  </w:style>
  <w:style w:type="paragraph" w:styleId="IndexHeading">
    <w:name w:val="index heading"/>
    <w:basedOn w:val="Titre"/>
    <w:pPr>
      <w:suppressLineNumbers/>
      <w:ind w:hanging="0" w:left="0"/>
    </w:pPr>
    <w:rPr>
      <w:b/>
      <w:bCs/>
      <w:sz w:val="32"/>
      <w:szCs w:val="32"/>
    </w:rPr>
  </w:style>
  <w:style w:type="paragraph" w:styleId="TOCHeading">
    <w:name w:val="TOC Heading"/>
    <w:basedOn w:val="Titre"/>
    <w:qFormat/>
    <w:pPr>
      <w:suppressLineNumbers/>
      <w:ind w:hanging="0" w:left="0" w:right="0"/>
    </w:pPr>
    <w:rPr>
      <w:b/>
      <w:bCs/>
      <w:sz w:val="32"/>
      <w:szCs w:val="32"/>
    </w:rPr>
  </w:style>
  <w:style w:type="paragraph" w:styleId="Titre10">
    <w:name w:val="Titre 10"/>
    <w:basedOn w:val="Titre"/>
    <w:next w:val="BodyText"/>
    <w:qFormat/>
    <w:pPr/>
    <w:rPr>
      <w:b/>
      <w:bCs/>
      <w:sz w:val="21"/>
      <w:szCs w:val="21"/>
    </w:rPr>
  </w:style>
  <w:style w:type="paragraph" w:styleId="FootnoteText">
    <w:name w:val="footnote text"/>
    <w:basedOn w:val="Normal"/>
    <w:pPr>
      <w:suppressLineNumbers/>
      <w:ind w:hanging="340" w:left="340"/>
    </w:pPr>
    <w:rPr>
      <w:sz w:val="20"/>
      <w:szCs w:val="20"/>
    </w:rPr>
  </w:style>
  <w:style w:type="paragraph" w:styleId="Standard">
    <w:name w:val="Standard"/>
    <w:qFormat/>
    <w:pPr>
      <w:widowControl w:val="false"/>
      <w:suppressAutoHyphens w:val="true"/>
      <w:overflowPunct w:val="true"/>
      <w:bidi w:val="0"/>
      <w:spacing w:before="0" w:after="0"/>
      <w:contextualSpacing/>
      <w:jc w:val="both"/>
      <w:textAlignment w:val="baseline"/>
    </w:pPr>
    <w:rPr>
      <w:rFonts w:ascii="Times New Roman" w:hAnsi="Times New Roman" w:eastAsia="Arial Unicode MS" w:cs="Tahoma"/>
      <w:color w:val="auto"/>
      <w:kern w:val="2"/>
      <w:sz w:val="24"/>
      <w:szCs w:val="24"/>
      <w:lang w:val="fr-FR" w:eastAsia="fr-FR" w:bidi="ar-SA"/>
    </w:rPr>
  </w:style>
  <w:style w:type="paragraph" w:styleId="Contenudetableauuser">
    <w:name w:val="Contenu de tableau (user)"/>
    <w:basedOn w:val="Normal"/>
    <w:qFormat/>
    <w:pPr>
      <w:widowControl w:val="false"/>
      <w:suppressLineNumbers/>
    </w:pPr>
    <w:rPr/>
  </w:style>
  <w:style w:type="paragraph" w:styleId="Titredetableauuser">
    <w:name w:val="Titre de tableau (user)"/>
    <w:basedOn w:val="Contenudetableauuser"/>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conomie.gouv.fr/daj/formulaires-declaration-du-candidat" TargetMode="External"/><Relationship Id="rId3" Type="http://schemas.openxmlformats.org/officeDocument/2006/relationships/hyperlink" Target="http://www.marches-publics.gouv.fr/" TargetMode="External"/><Relationship Id="rId4" Type="http://schemas.openxmlformats.org/officeDocument/2006/relationships/hyperlink" Target="mailto:frederic.thorner@meurthe-et-moselle.gouv.fr" TargetMode="External"/><Relationship Id="rId5" Type="http://schemas.openxmlformats.org/officeDocument/2006/relationships/hyperlink" Target="mailto:catherine.meunier@meurthe-et-moselle.gouv.fr"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LibreOffice/25.8.4.2$Windows_X86_64 LibreOffice_project/290daaa01b999472f0c7a3890eb6a550fd74c6df</Application>
  <AppVersion>15.0000</AppVersion>
  <Pages>10</Pages>
  <Words>4136</Words>
  <Characters>22655</Characters>
  <CharactersWithSpaces>26493</CharactersWithSpaces>
  <Paragraphs>282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fr-FR</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