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EB28B" w14:textId="77777777" w:rsidR="00BD2234" w:rsidRDefault="00BD2234">
      <w:bookmarkStart w:id="0" w:name="_Toc526153388"/>
      <w:bookmarkStart w:id="1" w:name="_Toc526153317"/>
      <w:bookmarkStart w:id="2" w:name="_Toc526153361"/>
      <w:bookmarkStart w:id="3" w:name="_Toc526153318"/>
      <w:bookmarkStart w:id="4" w:name="_Toc526153324"/>
      <w:bookmarkStart w:id="5" w:name="_Toc526153323"/>
      <w:bookmarkStart w:id="6" w:name="_Toc526153320"/>
      <w:bookmarkStart w:id="7" w:name="_Toc526153326"/>
      <w:bookmarkStart w:id="8" w:name="_Toc526153340"/>
      <w:bookmarkEnd w:id="0"/>
      <w:bookmarkEnd w:id="1"/>
      <w:bookmarkEnd w:id="2"/>
    </w:p>
    <w:p w14:paraId="1A147BC7" w14:textId="77777777" w:rsidR="00BD2234" w:rsidRDefault="0093466E">
      <w:pPr>
        <w:pStyle w:val="RedaliaNormal"/>
        <w:jc w:val="center"/>
      </w:pPr>
      <w:r>
        <w:rPr>
          <w:noProof/>
        </w:rPr>
        <w:drawing>
          <wp:inline distT="0" distB="0" distL="0" distR="0" wp14:anchorId="6BB54E1B" wp14:editId="25826396">
            <wp:extent cx="2428920" cy="1009771"/>
            <wp:effectExtent l="0" t="0" r="948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428920" cy="1009771"/>
                    </a:xfrm>
                    <a:prstGeom prst="rect">
                      <a:avLst/>
                    </a:prstGeom>
                    <a:noFill/>
                    <a:ln>
                      <a:noFill/>
                      <a:prstDash/>
                    </a:ln>
                  </pic:spPr>
                </pic:pic>
              </a:graphicData>
            </a:graphic>
          </wp:inline>
        </w:drawing>
      </w:r>
    </w:p>
    <w:p w14:paraId="1EDD4FBF" w14:textId="77777777" w:rsidR="00BD2234" w:rsidRDefault="00BD2234">
      <w:pPr>
        <w:pStyle w:val="RedaliaNormal"/>
        <w:rPr>
          <w:sz w:val="40"/>
          <w:szCs w:val="40"/>
        </w:rPr>
      </w:pPr>
    </w:p>
    <w:p w14:paraId="2B490CAF" w14:textId="77777777" w:rsidR="00BD2234" w:rsidRDefault="0093466E">
      <w:pPr>
        <w:pStyle w:val="RedaliaTitredocument"/>
        <w:pBdr>
          <w:top w:val="single" w:sz="4" w:space="1" w:color="000000"/>
          <w:left w:val="single" w:sz="4" w:space="4" w:color="000000"/>
          <w:bottom w:val="single" w:sz="4" w:space="1" w:color="000000"/>
          <w:right w:val="single" w:sz="4" w:space="4" w:color="000000"/>
        </w:pBdr>
      </w:pPr>
      <w:r>
        <w:t>ACCORD-CADRE DE PRESTATIONS INTELLECTUELLES</w:t>
      </w:r>
    </w:p>
    <w:p w14:paraId="2C785531" w14:textId="77777777" w:rsidR="00BD2234" w:rsidRDefault="00BD2234">
      <w:pPr>
        <w:pStyle w:val="RedaliaNormal"/>
      </w:pPr>
    </w:p>
    <w:p w14:paraId="1F68F472" w14:textId="77777777" w:rsidR="00BD2234" w:rsidRDefault="00BD2234">
      <w:pPr>
        <w:pStyle w:val="RedaliaNormal"/>
        <w:jc w:val="center"/>
      </w:pPr>
    </w:p>
    <w:p w14:paraId="1876835F" w14:textId="77777777" w:rsidR="00BD2234" w:rsidRDefault="00BD2234">
      <w:pPr>
        <w:pStyle w:val="RedaliaNormal"/>
        <w:jc w:val="center"/>
      </w:pPr>
    </w:p>
    <w:p w14:paraId="159A91B5" w14:textId="77777777" w:rsidR="00BD2234" w:rsidRDefault="0093466E">
      <w:pPr>
        <w:pStyle w:val="RedaliaNormal"/>
        <w:pBdr>
          <w:top w:val="single" w:sz="4" w:space="1" w:color="000000"/>
          <w:left w:val="single" w:sz="4" w:space="4" w:color="000000"/>
          <w:bottom w:val="single" w:sz="4" w:space="1" w:color="000000"/>
          <w:right w:val="single" w:sz="4" w:space="4" w:color="000000"/>
        </w:pBdr>
        <w:shd w:val="clear" w:color="auto" w:fill="B4C6E7"/>
        <w:jc w:val="center"/>
        <w:rPr>
          <w:b/>
          <w:bCs/>
          <w:sz w:val="24"/>
          <w:szCs w:val="24"/>
        </w:rPr>
      </w:pPr>
      <w:r>
        <w:rPr>
          <w:b/>
          <w:bCs/>
          <w:sz w:val="24"/>
          <w:szCs w:val="24"/>
        </w:rPr>
        <w:t>Agence Française de Développement</w:t>
      </w:r>
    </w:p>
    <w:p w14:paraId="65D47716" w14:textId="77777777" w:rsidR="00BD2234" w:rsidRDefault="0093466E">
      <w:pPr>
        <w:pStyle w:val="RedaliaNormal"/>
        <w:pBdr>
          <w:top w:val="single" w:sz="4" w:space="1" w:color="000000"/>
          <w:left w:val="single" w:sz="4" w:space="4" w:color="000000"/>
          <w:bottom w:val="single" w:sz="4" w:space="1" w:color="000000"/>
          <w:right w:val="single" w:sz="4" w:space="4" w:color="000000"/>
        </w:pBdr>
        <w:shd w:val="clear" w:color="auto" w:fill="B4C6E7"/>
        <w:jc w:val="center"/>
      </w:pPr>
      <w:r>
        <w:t>5 Rue Roland BARTHES</w:t>
      </w:r>
    </w:p>
    <w:p w14:paraId="22E978E3" w14:textId="77777777" w:rsidR="00BD2234" w:rsidRDefault="0093466E">
      <w:pPr>
        <w:pStyle w:val="RedaliaNormal"/>
        <w:pBdr>
          <w:top w:val="single" w:sz="4" w:space="1" w:color="000000"/>
          <w:left w:val="single" w:sz="4" w:space="4" w:color="000000"/>
          <w:bottom w:val="single" w:sz="4" w:space="1" w:color="000000"/>
          <w:right w:val="single" w:sz="4" w:space="4" w:color="000000"/>
        </w:pBdr>
        <w:shd w:val="clear" w:color="auto" w:fill="B4C6E7"/>
        <w:jc w:val="center"/>
      </w:pPr>
      <w:r>
        <w:t>75012 PARIS</w:t>
      </w:r>
    </w:p>
    <w:p w14:paraId="71CF5389" w14:textId="77777777" w:rsidR="00BD2234" w:rsidRDefault="00BD2234">
      <w:pPr>
        <w:pStyle w:val="RedaliaNormal"/>
        <w:jc w:val="center"/>
      </w:pPr>
    </w:p>
    <w:p w14:paraId="39C49C04" w14:textId="77777777" w:rsidR="00BD2234" w:rsidRDefault="0093466E">
      <w:pPr>
        <w:pStyle w:val="RedaliaNormal"/>
        <w:pBdr>
          <w:top w:val="single" w:sz="4" w:space="1" w:color="000000"/>
          <w:left w:val="single" w:sz="4" w:space="4" w:color="000000"/>
          <w:bottom w:val="single" w:sz="4" w:space="1" w:color="000000"/>
          <w:right w:val="single" w:sz="4" w:space="4" w:color="000000"/>
        </w:pBdr>
        <w:shd w:val="clear" w:color="auto" w:fill="B4C6E7"/>
        <w:jc w:val="center"/>
        <w:rPr>
          <w:b/>
          <w:bCs/>
        </w:rPr>
      </w:pPr>
      <w:r>
        <w:rPr>
          <w:b/>
          <w:bCs/>
        </w:rPr>
        <w:t>Objet : Projet développement territorial région de Chisinau, moldavie</w:t>
      </w:r>
    </w:p>
    <w:p w14:paraId="46A21900" w14:textId="77777777" w:rsidR="00BD2234" w:rsidRDefault="00BD2234">
      <w:pPr>
        <w:pStyle w:val="RedaliaNormal"/>
      </w:pPr>
    </w:p>
    <w:p w14:paraId="53A5DCC8" w14:textId="77777777" w:rsidR="00BD2234" w:rsidRDefault="0093466E">
      <w:pPr>
        <w:pStyle w:val="RdaliaTitreparagraphe"/>
      </w:pPr>
      <w:r>
        <w:t>Date limite de remise des offres</w:t>
      </w:r>
    </w:p>
    <w:p w14:paraId="1D13BEF3" w14:textId="77777777" w:rsidR="00BD2234" w:rsidRDefault="0093466E">
      <w:pPr>
        <w:pStyle w:val="RedaliaNormal"/>
      </w:pPr>
      <w:r>
        <w:t>Date : le 28/07/2026</w:t>
      </w:r>
    </w:p>
    <w:p w14:paraId="19911F09" w14:textId="77777777" w:rsidR="00BD2234" w:rsidRDefault="0093466E">
      <w:pPr>
        <w:pStyle w:val="RedaliaNormal"/>
      </w:pPr>
      <w:r>
        <w:t>Heure : 14:00 (heure de Paris)</w:t>
      </w:r>
    </w:p>
    <w:p w14:paraId="6F605CEE" w14:textId="77777777" w:rsidR="00BD2234" w:rsidRDefault="00BD2234">
      <w:pPr>
        <w:pStyle w:val="TitreN5"/>
        <w:tabs>
          <w:tab w:val="right" w:leader="dot" w:pos="10417"/>
        </w:tabs>
        <w:spacing w:before="0" w:after="0"/>
        <w:outlineLvl w:val="9"/>
        <w:rPr>
          <w:i w:val="0"/>
        </w:rPr>
      </w:pPr>
    </w:p>
    <w:p w14:paraId="5EDA0D4C" w14:textId="77777777" w:rsidR="00BD2234" w:rsidRDefault="00BD2234">
      <w:pPr>
        <w:pStyle w:val="RedaliaNormal"/>
      </w:pPr>
    </w:p>
    <w:p w14:paraId="6E3CF9BE" w14:textId="77777777" w:rsidR="00BD2234" w:rsidRDefault="00BD2234">
      <w:pPr>
        <w:pStyle w:val="RedaliaNormal"/>
      </w:pPr>
    </w:p>
    <w:p w14:paraId="3445E5C3" w14:textId="77777777" w:rsidR="00BD2234" w:rsidRDefault="00BD2234">
      <w:pPr>
        <w:pStyle w:val="RedaliaSoustitredocument"/>
      </w:pPr>
    </w:p>
    <w:p w14:paraId="788C2781" w14:textId="77777777" w:rsidR="00BD2234" w:rsidRDefault="00BD2234">
      <w:pPr>
        <w:pStyle w:val="RedaliaSoustitredocument"/>
      </w:pPr>
    </w:p>
    <w:p w14:paraId="33D46C83" w14:textId="77777777" w:rsidR="00BD2234" w:rsidRDefault="0093466E">
      <w:pPr>
        <w:pStyle w:val="RedaliaSoustitredocument"/>
        <w:pBdr>
          <w:top w:val="single" w:sz="4" w:space="1" w:color="000000"/>
          <w:left w:val="single" w:sz="4" w:space="4" w:color="000000"/>
          <w:bottom w:val="single" w:sz="4" w:space="1" w:color="000000"/>
          <w:right w:val="single" w:sz="4" w:space="4" w:color="000000"/>
        </w:pBdr>
        <w:shd w:val="clear" w:color="auto" w:fill="B4C6E7"/>
        <w:rPr>
          <w:b/>
          <w:sz w:val="24"/>
          <w:szCs w:val="24"/>
        </w:rPr>
      </w:pPr>
      <w:r>
        <w:rPr>
          <w:b/>
          <w:sz w:val="24"/>
          <w:szCs w:val="24"/>
        </w:rPr>
        <w:t>Règlement de la consultation</w:t>
      </w:r>
    </w:p>
    <w:p w14:paraId="77539FC0" w14:textId="77777777" w:rsidR="00BD2234" w:rsidRDefault="00BD2234">
      <w:pPr>
        <w:pStyle w:val="RedaliaNormal"/>
      </w:pPr>
    </w:p>
    <w:p w14:paraId="5E247180" w14:textId="77777777" w:rsidR="00BD2234" w:rsidRDefault="00BD2234"/>
    <w:p w14:paraId="372312F1" w14:textId="77777777" w:rsidR="00BD2234" w:rsidRDefault="0093466E">
      <w:pPr>
        <w:pStyle w:val="RdaliaTitredossier"/>
        <w:pageBreakBefore/>
      </w:pPr>
      <w:r>
        <w:lastRenderedPageBreak/>
        <w:t>Sommaire</w:t>
      </w:r>
    </w:p>
    <w:p w14:paraId="579A806A" w14:textId="77777777" w:rsidR="00BD2234" w:rsidRDefault="00BD2234"/>
    <w:p w14:paraId="5D3D4CAE" w14:textId="77777777" w:rsidR="00BD2234" w:rsidRDefault="0093466E">
      <w:pPr>
        <w:pStyle w:val="TM1"/>
        <w:tabs>
          <w:tab w:val="clear" w:pos="9072"/>
          <w:tab w:val="right" w:leader="dot" w:pos="9638"/>
        </w:tabs>
      </w:pPr>
      <w:r>
        <w:rPr>
          <w:b w:val="0"/>
          <w:kern w:val="0"/>
          <w:sz w:val="22"/>
        </w:rPr>
        <w:fldChar w:fldCharType="begin"/>
      </w:r>
      <w:r>
        <w:instrText xml:space="preserve"> TOC \o "1-2" \u \h </w:instrText>
      </w:r>
      <w:r>
        <w:rPr>
          <w:b w:val="0"/>
          <w:kern w:val="0"/>
          <w:sz w:val="22"/>
        </w:rPr>
        <w:fldChar w:fldCharType="separate"/>
      </w:r>
      <w:hyperlink w:anchor="__RefHeading___Toc9357_844897495" w:history="1">
        <w:r>
          <w:t>1. Objet de l'accord-cadre</w:t>
        </w:r>
        <w:r>
          <w:tab/>
          <w:t>3</w:t>
        </w:r>
      </w:hyperlink>
    </w:p>
    <w:p w14:paraId="13B397D0" w14:textId="77777777" w:rsidR="00BD2234" w:rsidRDefault="00045BA2">
      <w:pPr>
        <w:pStyle w:val="TM2"/>
        <w:tabs>
          <w:tab w:val="clear" w:pos="9072"/>
          <w:tab w:val="right" w:leader="dot" w:pos="9638"/>
        </w:tabs>
      </w:pPr>
      <w:hyperlink w:anchor="__RefHeading___Toc9359_844897495" w:history="1">
        <w:r w:rsidR="0093466E">
          <w:t>1.1 Forme de l'accord-cadre</w:t>
        </w:r>
        <w:r w:rsidR="0093466E">
          <w:tab/>
          <w:t>3</w:t>
        </w:r>
      </w:hyperlink>
    </w:p>
    <w:p w14:paraId="6BD3CFEA" w14:textId="77777777" w:rsidR="00BD2234" w:rsidRDefault="00045BA2">
      <w:pPr>
        <w:pStyle w:val="TM1"/>
        <w:tabs>
          <w:tab w:val="clear" w:pos="9072"/>
          <w:tab w:val="right" w:leader="dot" w:pos="9638"/>
        </w:tabs>
      </w:pPr>
      <w:hyperlink w:anchor="__RefHeading___Toc9361_844897495" w:history="1">
        <w:r w:rsidR="0093466E">
          <w:t>2. Organisation de la consultation</w:t>
        </w:r>
        <w:r w:rsidR="0093466E">
          <w:tab/>
          <w:t>3</w:t>
        </w:r>
      </w:hyperlink>
    </w:p>
    <w:p w14:paraId="37DC3D8B" w14:textId="77777777" w:rsidR="00BD2234" w:rsidRDefault="00045BA2">
      <w:pPr>
        <w:pStyle w:val="TM2"/>
        <w:tabs>
          <w:tab w:val="clear" w:pos="9072"/>
          <w:tab w:val="right" w:leader="dot" w:pos="9638"/>
        </w:tabs>
      </w:pPr>
      <w:hyperlink w:anchor="__RefHeading___Toc9363_844897495" w:history="1">
        <w:r w:rsidR="0093466E">
          <w:t>2.1 Procédure de passation</w:t>
        </w:r>
        <w:r w:rsidR="0093466E">
          <w:tab/>
          <w:t>3</w:t>
        </w:r>
      </w:hyperlink>
    </w:p>
    <w:p w14:paraId="1731C8F4" w14:textId="77777777" w:rsidR="00BD2234" w:rsidRDefault="00045BA2">
      <w:pPr>
        <w:pStyle w:val="TM2"/>
        <w:tabs>
          <w:tab w:val="clear" w:pos="9072"/>
          <w:tab w:val="right" w:leader="dot" w:pos="9638"/>
        </w:tabs>
      </w:pPr>
      <w:hyperlink w:anchor="__RefHeading___Toc9365_844897495" w:history="1">
        <w:r w:rsidR="0093466E">
          <w:t>2.2 Justification en cas de non-allotissement</w:t>
        </w:r>
        <w:r w:rsidR="0093466E">
          <w:tab/>
          <w:t>3</w:t>
        </w:r>
      </w:hyperlink>
    </w:p>
    <w:p w14:paraId="6BF6E8BE" w14:textId="77777777" w:rsidR="00BD2234" w:rsidRDefault="00045BA2">
      <w:pPr>
        <w:pStyle w:val="TM2"/>
        <w:tabs>
          <w:tab w:val="clear" w:pos="9072"/>
          <w:tab w:val="right" w:leader="dot" w:pos="9638"/>
        </w:tabs>
      </w:pPr>
      <w:hyperlink w:anchor="__RefHeading___Toc9367_844897495" w:history="1">
        <w:r w:rsidR="0093466E">
          <w:t>2.3 Dispositions relatives aux groupements</w:t>
        </w:r>
        <w:r w:rsidR="0093466E">
          <w:tab/>
          <w:t>3</w:t>
        </w:r>
      </w:hyperlink>
    </w:p>
    <w:p w14:paraId="7A4BB263" w14:textId="77777777" w:rsidR="00BD2234" w:rsidRDefault="00045BA2">
      <w:pPr>
        <w:pStyle w:val="TM2"/>
        <w:tabs>
          <w:tab w:val="clear" w:pos="9072"/>
          <w:tab w:val="right" w:leader="dot" w:pos="9638"/>
        </w:tabs>
      </w:pPr>
      <w:hyperlink w:anchor="__RefHeading___Toc9369_844897495" w:history="1">
        <w:r w:rsidR="0093466E">
          <w:t>2.4 Variantes libres</w:t>
        </w:r>
        <w:r w:rsidR="0093466E">
          <w:tab/>
          <w:t>3</w:t>
        </w:r>
      </w:hyperlink>
    </w:p>
    <w:p w14:paraId="4507796C" w14:textId="77777777" w:rsidR="00BD2234" w:rsidRDefault="00045BA2">
      <w:pPr>
        <w:pStyle w:val="TM2"/>
        <w:tabs>
          <w:tab w:val="clear" w:pos="9072"/>
          <w:tab w:val="right" w:leader="dot" w:pos="9638"/>
        </w:tabs>
      </w:pPr>
      <w:hyperlink w:anchor="__RefHeading___Toc9371_844897495" w:history="1">
        <w:r w:rsidR="0093466E">
          <w:t>2.5 Variantes imposées</w:t>
        </w:r>
        <w:r w:rsidR="0093466E">
          <w:tab/>
          <w:t>4</w:t>
        </w:r>
      </w:hyperlink>
    </w:p>
    <w:p w14:paraId="4ACA0F02" w14:textId="77777777" w:rsidR="00BD2234" w:rsidRDefault="00045BA2">
      <w:pPr>
        <w:pStyle w:val="TM2"/>
        <w:tabs>
          <w:tab w:val="clear" w:pos="9072"/>
          <w:tab w:val="right" w:leader="dot" w:pos="9638"/>
        </w:tabs>
      </w:pPr>
      <w:hyperlink w:anchor="__RefHeading___Toc9373_844897495" w:history="1">
        <w:r w:rsidR="0093466E">
          <w:t>2.6 Modification du Dossier de Consultation</w:t>
        </w:r>
        <w:r w:rsidR="0093466E">
          <w:tab/>
          <w:t>4</w:t>
        </w:r>
      </w:hyperlink>
    </w:p>
    <w:p w14:paraId="44AE9359" w14:textId="77777777" w:rsidR="00BD2234" w:rsidRDefault="00045BA2">
      <w:pPr>
        <w:pStyle w:val="TM2"/>
        <w:tabs>
          <w:tab w:val="clear" w:pos="9072"/>
          <w:tab w:val="right" w:leader="dot" w:pos="9638"/>
        </w:tabs>
      </w:pPr>
      <w:hyperlink w:anchor="__RefHeading___Toc9375_844897495" w:history="1">
        <w:r w:rsidR="0093466E">
          <w:t>2.7 Délai de validité des offres</w:t>
        </w:r>
        <w:r w:rsidR="0093466E">
          <w:tab/>
          <w:t>4</w:t>
        </w:r>
      </w:hyperlink>
    </w:p>
    <w:p w14:paraId="78578C14" w14:textId="77777777" w:rsidR="00BD2234" w:rsidRDefault="00045BA2">
      <w:pPr>
        <w:pStyle w:val="TM1"/>
        <w:tabs>
          <w:tab w:val="clear" w:pos="9072"/>
          <w:tab w:val="right" w:leader="dot" w:pos="9638"/>
        </w:tabs>
      </w:pPr>
      <w:hyperlink w:anchor="__RefHeading___Toc9377_844897495" w:history="1">
        <w:r w:rsidR="0093466E">
          <w:t>3. Contenu du dossier de consultation</w:t>
        </w:r>
        <w:r w:rsidR="0093466E">
          <w:tab/>
          <w:t>4</w:t>
        </w:r>
      </w:hyperlink>
    </w:p>
    <w:p w14:paraId="51A5D7CC" w14:textId="77777777" w:rsidR="00BD2234" w:rsidRDefault="00045BA2">
      <w:pPr>
        <w:pStyle w:val="TM1"/>
        <w:tabs>
          <w:tab w:val="clear" w:pos="9072"/>
          <w:tab w:val="right" w:leader="dot" w:pos="9638"/>
        </w:tabs>
      </w:pPr>
      <w:hyperlink w:anchor="__RefHeading___Toc9379_844897495" w:history="1">
        <w:r w:rsidR="0093466E">
          <w:t>4. Présentation des candidatures et des offres</w:t>
        </w:r>
        <w:r w:rsidR="0093466E">
          <w:tab/>
          <w:t>4</w:t>
        </w:r>
      </w:hyperlink>
    </w:p>
    <w:p w14:paraId="625482C0" w14:textId="77777777" w:rsidR="00BD2234" w:rsidRDefault="00045BA2">
      <w:pPr>
        <w:pStyle w:val="TM2"/>
        <w:tabs>
          <w:tab w:val="clear" w:pos="9072"/>
          <w:tab w:val="right" w:leader="dot" w:pos="9638"/>
        </w:tabs>
      </w:pPr>
      <w:hyperlink w:anchor="__RefHeading___Toc9381_844897495" w:history="1">
        <w:r w:rsidR="0093466E">
          <w:t>4.1 Éléments nécessaires à la sélection des candidatures :</w:t>
        </w:r>
        <w:r w:rsidR="0093466E">
          <w:tab/>
          <w:t>4</w:t>
        </w:r>
      </w:hyperlink>
    </w:p>
    <w:p w14:paraId="5F28F131" w14:textId="77777777" w:rsidR="00BD2234" w:rsidRDefault="00045BA2">
      <w:pPr>
        <w:pStyle w:val="TM2"/>
        <w:tabs>
          <w:tab w:val="clear" w:pos="9072"/>
          <w:tab w:val="right" w:leader="dot" w:pos="9638"/>
        </w:tabs>
      </w:pPr>
      <w:hyperlink w:anchor="__RefHeading___Toc9383_844897495" w:history="1">
        <w:r w:rsidR="0093466E">
          <w:t>4.2 Éléments nécessaires au choix de l’offre</w:t>
        </w:r>
        <w:r w:rsidR="0093466E">
          <w:tab/>
          <w:t>5</w:t>
        </w:r>
      </w:hyperlink>
    </w:p>
    <w:p w14:paraId="40B9BECA" w14:textId="77777777" w:rsidR="00BD2234" w:rsidRDefault="00045BA2">
      <w:pPr>
        <w:pStyle w:val="TM1"/>
        <w:tabs>
          <w:tab w:val="clear" w:pos="9072"/>
          <w:tab w:val="right" w:leader="dot" w:pos="9638"/>
        </w:tabs>
      </w:pPr>
      <w:hyperlink w:anchor="__RefHeading___Toc9385_844897495" w:history="1">
        <w:r w:rsidR="0093466E">
          <w:t>5. Jugement des candidatures, des offres et attribution de l'accord-cadre</w:t>
        </w:r>
        <w:r w:rsidR="0093466E">
          <w:tab/>
          <w:t>6</w:t>
        </w:r>
      </w:hyperlink>
    </w:p>
    <w:p w14:paraId="30D92AFE" w14:textId="77777777" w:rsidR="00BD2234" w:rsidRDefault="00045BA2">
      <w:pPr>
        <w:pStyle w:val="TM2"/>
        <w:tabs>
          <w:tab w:val="clear" w:pos="9072"/>
          <w:tab w:val="right" w:leader="dot" w:pos="9638"/>
        </w:tabs>
      </w:pPr>
      <w:hyperlink w:anchor="__RefHeading___Toc9387_844897495" w:history="1">
        <w:r w:rsidR="0093466E">
          <w:t>5.1 Jugement des candidatures</w:t>
        </w:r>
        <w:r w:rsidR="0093466E">
          <w:tab/>
          <w:t>6</w:t>
        </w:r>
      </w:hyperlink>
    </w:p>
    <w:p w14:paraId="1653236C" w14:textId="77777777" w:rsidR="00BD2234" w:rsidRDefault="00045BA2">
      <w:pPr>
        <w:pStyle w:val="TM2"/>
        <w:tabs>
          <w:tab w:val="clear" w:pos="9072"/>
          <w:tab w:val="right" w:leader="dot" w:pos="9638"/>
        </w:tabs>
      </w:pPr>
      <w:hyperlink w:anchor="__RefHeading___Toc9389_844897495" w:history="1">
        <w:r w:rsidR="0093466E">
          <w:t>5.2 Jugement des offres</w:t>
        </w:r>
        <w:r w:rsidR="0093466E">
          <w:tab/>
          <w:t>6</w:t>
        </w:r>
      </w:hyperlink>
    </w:p>
    <w:p w14:paraId="0E82B536" w14:textId="77777777" w:rsidR="00BD2234" w:rsidRDefault="00045BA2">
      <w:pPr>
        <w:pStyle w:val="TM2"/>
        <w:tabs>
          <w:tab w:val="clear" w:pos="9072"/>
          <w:tab w:val="right" w:leader="dot" w:pos="9638"/>
        </w:tabs>
      </w:pPr>
      <w:hyperlink w:anchor="__RefHeading___Toc9391_844897495" w:history="1">
        <w:r w:rsidR="0093466E">
          <w:t>5.3 Attribution de l'accord-cadre</w:t>
        </w:r>
        <w:r w:rsidR="0093466E">
          <w:tab/>
          <w:t>8</w:t>
        </w:r>
      </w:hyperlink>
    </w:p>
    <w:p w14:paraId="476E9D54" w14:textId="77777777" w:rsidR="00BD2234" w:rsidRDefault="00045BA2">
      <w:pPr>
        <w:pStyle w:val="TM1"/>
        <w:tabs>
          <w:tab w:val="clear" w:pos="9072"/>
          <w:tab w:val="right" w:leader="dot" w:pos="9638"/>
        </w:tabs>
      </w:pPr>
      <w:hyperlink w:anchor="__RefHeading___Toc9393_844897495" w:history="1">
        <w:r w:rsidR="0093466E">
          <w:t>6. Conditions d’envoi et de remise des candidatures et des offres</w:t>
        </w:r>
        <w:r w:rsidR="0093466E">
          <w:tab/>
          <w:t>9</w:t>
        </w:r>
      </w:hyperlink>
    </w:p>
    <w:p w14:paraId="799668A4" w14:textId="77777777" w:rsidR="00BD2234" w:rsidRDefault="00045BA2">
      <w:pPr>
        <w:pStyle w:val="TM1"/>
        <w:tabs>
          <w:tab w:val="clear" w:pos="9072"/>
          <w:tab w:val="right" w:leader="dot" w:pos="9638"/>
        </w:tabs>
      </w:pPr>
      <w:hyperlink w:anchor="__RefHeading___Toc9395_844897495" w:history="1">
        <w:r w:rsidR="0093466E">
          <w:t>7. Renseignements complémentaires</w:t>
        </w:r>
        <w:r w:rsidR="0093466E">
          <w:tab/>
          <w:t>9</w:t>
        </w:r>
      </w:hyperlink>
    </w:p>
    <w:p w14:paraId="1A396693" w14:textId="77777777" w:rsidR="00BD2234" w:rsidRDefault="00045BA2">
      <w:pPr>
        <w:pStyle w:val="TM1"/>
        <w:tabs>
          <w:tab w:val="clear" w:pos="9072"/>
          <w:tab w:val="right" w:leader="dot" w:pos="9638"/>
        </w:tabs>
      </w:pPr>
      <w:hyperlink w:anchor="__RefHeading___Toc9397_844897495" w:history="1">
        <w:r w:rsidR="0093466E">
          <w:t>8. Annexe : Cadre de réponse imposé</w:t>
        </w:r>
        <w:r w:rsidR="0093466E">
          <w:tab/>
          <w:t>12</w:t>
        </w:r>
      </w:hyperlink>
    </w:p>
    <w:p w14:paraId="2720C6C8" w14:textId="77777777" w:rsidR="00BD2234" w:rsidRDefault="00045BA2">
      <w:pPr>
        <w:pStyle w:val="TM1"/>
        <w:tabs>
          <w:tab w:val="clear" w:pos="9072"/>
          <w:tab w:val="right" w:leader="dot" w:pos="9638"/>
        </w:tabs>
      </w:pPr>
      <w:hyperlink w:anchor="__RefHeading___Toc9399_844897495" w:history="1">
        <w:r w:rsidR="0093466E">
          <w:t>9. Annexe : Exigences relatives au certificat de signature</w:t>
        </w:r>
        <w:r w:rsidR="0093466E">
          <w:tab/>
          <w:t>13</w:t>
        </w:r>
      </w:hyperlink>
    </w:p>
    <w:p w14:paraId="2F76B508" w14:textId="77777777" w:rsidR="00BD2234" w:rsidRDefault="0093466E">
      <w:r>
        <w:rPr>
          <w:b/>
          <w:kern w:val="3"/>
          <w:sz w:val="24"/>
        </w:rPr>
        <w:fldChar w:fldCharType="end"/>
      </w:r>
    </w:p>
    <w:p w14:paraId="780BCD98" w14:textId="77777777" w:rsidR="00BD2234" w:rsidRDefault="00BD2234"/>
    <w:p w14:paraId="77DB2A50" w14:textId="77777777" w:rsidR="00BD2234" w:rsidRDefault="00BD2234">
      <w:pPr>
        <w:pageBreakBefore/>
      </w:pPr>
    </w:p>
    <w:p w14:paraId="2DF3470F" w14:textId="77777777" w:rsidR="00BD2234" w:rsidRDefault="0093466E">
      <w:pPr>
        <w:pStyle w:val="RedaliaTitre1"/>
      </w:pPr>
      <w:bookmarkStart w:id="9" w:name="_Toc79067688"/>
      <w:bookmarkStart w:id="10" w:name="__RefHeading___Toc9357_844897495"/>
      <w:bookmarkEnd w:id="9"/>
      <w:r>
        <w:t>Objet de l'accord-cadre</w:t>
      </w:r>
      <w:bookmarkEnd w:id="10"/>
    </w:p>
    <w:p w14:paraId="68F9D7FF" w14:textId="77777777" w:rsidR="00BD2234" w:rsidRDefault="0093466E">
      <w:pPr>
        <w:pStyle w:val="RedaliaNormal"/>
      </w:pPr>
      <w:r>
        <w:t>La consultation a pour objet : Projet de développement territorial de la région de Chisinau, la capitale moldave..</w:t>
      </w:r>
    </w:p>
    <w:p w14:paraId="53E051C3" w14:textId="77777777" w:rsidR="00BD2234" w:rsidRDefault="0093466E">
      <w:pPr>
        <w:pStyle w:val="RedaliaTitre2"/>
      </w:pPr>
      <w:bookmarkStart w:id="11" w:name="__RefHeading___Toc9359_844897495"/>
      <w:r>
        <w:t>Forme de l'accord-cadre</w:t>
      </w:r>
      <w:bookmarkEnd w:id="11"/>
    </w:p>
    <w:p w14:paraId="5FAD96E8" w14:textId="77777777" w:rsidR="00BD2234" w:rsidRDefault="0093466E">
      <w:pPr>
        <w:pStyle w:val="RedaliaNormal"/>
      </w:pPr>
      <w:r>
        <w:t>La consultation ne fait pas l'objet d'une décomposition en lots. Les prestations donneront lieu à un accord-cadre unique.</w:t>
      </w:r>
    </w:p>
    <w:p w14:paraId="21831FCB" w14:textId="77777777" w:rsidR="00BD2234" w:rsidRDefault="0093466E">
      <w:pPr>
        <w:pStyle w:val="RedaliaNormal"/>
      </w:pPr>
      <w:r>
        <w:t>Les prestations feront l’objet d’un accord-cadre fractionné à bons de commande en application des articles R. 2162-2 et suivants, R. 2162-13 et R. 2162-14 du Code de la commande publique. Les prestations de l'accord-cadre sont exécutées par l’émission de bons de commande successifs selon les besoins. Chaque bon de commande précise celles des prestations décrites dans l'accord-cadre dont l’exécution est demandée. Il en détermine la quantité.</w:t>
      </w:r>
    </w:p>
    <w:p w14:paraId="3E677C99" w14:textId="77777777" w:rsidR="00BD2234" w:rsidRDefault="0093466E">
      <w:pPr>
        <w:pStyle w:val="RedaliaNormal"/>
      </w:pPr>
      <w:r>
        <w:t>Le montant maximum est fixé au Contrat.</w:t>
      </w:r>
    </w:p>
    <w:p w14:paraId="2323C8DC" w14:textId="77777777" w:rsidR="00BD2234" w:rsidRDefault="0093466E">
      <w:r>
        <w:t>L'accord-cadre sera conclu avec un seul opérateur économique.</w:t>
      </w:r>
    </w:p>
    <w:p w14:paraId="2EDD5A24" w14:textId="77777777" w:rsidR="00BD2234" w:rsidRDefault="0093466E">
      <w:pPr>
        <w:pStyle w:val="RedaliaTitre1"/>
      </w:pPr>
      <w:bookmarkStart w:id="12" w:name="_Toc79067693"/>
      <w:bookmarkStart w:id="13" w:name="__RefHeading___Toc9361_844897495"/>
      <w:r>
        <w:t>Organisation de la consultation</w:t>
      </w:r>
      <w:bookmarkEnd w:id="12"/>
      <w:bookmarkEnd w:id="13"/>
      <w:bookmarkEnd w:id="3"/>
    </w:p>
    <w:p w14:paraId="7CD7F615" w14:textId="77777777" w:rsidR="00BD2234" w:rsidRDefault="0093466E">
      <w:pPr>
        <w:pStyle w:val="RedaliaTitre2"/>
      </w:pPr>
      <w:bookmarkStart w:id="14" w:name="_Toc526153319"/>
      <w:bookmarkStart w:id="15" w:name="_Toc79067694"/>
      <w:bookmarkStart w:id="16" w:name="__RefHeading___Toc9363_844897495"/>
      <w:r>
        <w:t xml:space="preserve">Procédure de </w:t>
      </w:r>
      <w:bookmarkEnd w:id="14"/>
      <w:r>
        <w:t>passation</w:t>
      </w:r>
      <w:bookmarkEnd w:id="15"/>
      <w:bookmarkEnd w:id="16"/>
    </w:p>
    <w:p w14:paraId="04089020" w14:textId="77777777" w:rsidR="00BD2234" w:rsidRDefault="0093466E">
      <w:pPr>
        <w:pStyle w:val="RedaliaNormal"/>
      </w:pPr>
      <w:r>
        <w:t>La présente consultation est lancée suivant la procédure de l’appel d’offres ouvert en application des articles R. 2124-1, R. 2124-2 1° et R. 2161-2 à R. 2161-5 du Code de la commande publique.</w:t>
      </w:r>
    </w:p>
    <w:p w14:paraId="578DBEEA" w14:textId="77777777" w:rsidR="00BD2234" w:rsidRDefault="0093466E">
      <w:pPr>
        <w:pStyle w:val="RedaliaTitre2"/>
      </w:pPr>
      <w:bookmarkStart w:id="17" w:name="__RefHeading___Toc9365_844897495"/>
      <w:r>
        <w:t>Justification en cas de non-allotissement</w:t>
      </w:r>
      <w:bookmarkEnd w:id="17"/>
    </w:p>
    <w:p w14:paraId="73E2060C" w14:textId="4FB1CEA1" w:rsidR="00BD2234" w:rsidRDefault="0093466E">
      <w:pPr>
        <w:pStyle w:val="RedaliaNormal"/>
      </w:pPr>
      <w:r>
        <w:t>L’objet du contrat ne permet pas l'identification de prestations distinctes.</w:t>
      </w:r>
    </w:p>
    <w:p w14:paraId="410F01E8" w14:textId="77777777" w:rsidR="00BD2234" w:rsidRDefault="0093466E">
      <w:pPr>
        <w:pStyle w:val="RedaliaTitre2"/>
      </w:pPr>
      <w:bookmarkStart w:id="18" w:name="__RefHeading___Toc9367_844897495"/>
      <w:r>
        <w:t>Dispositions relatives aux groupements</w:t>
      </w:r>
      <w:bookmarkEnd w:id="18"/>
    </w:p>
    <w:p w14:paraId="77C8EB62" w14:textId="77777777" w:rsidR="00BD2234" w:rsidRDefault="0093466E">
      <w:pPr>
        <w:pStyle w:val="RedaliaNormal"/>
      </w:pPr>
      <w:r>
        <w:t>L'accord-cadre pourra être attribué à une seule entreprise ou à un groupement d’entreprises.</w:t>
      </w:r>
    </w:p>
    <w:p w14:paraId="71FB0117" w14:textId="77777777" w:rsidR="00BD2234" w:rsidRDefault="0093466E">
      <w:pPr>
        <w:pStyle w:val="RedaliaNormal"/>
      </w:pPr>
      <w:r>
        <w:t>Si l'accord-cadre est attribué à un groupement conjoint, le mandataire conjoint sera solidaire de chacun des membres du groupement.</w:t>
      </w:r>
    </w:p>
    <w:p w14:paraId="4565BE2D" w14:textId="77777777" w:rsidR="00BD2234" w:rsidRDefault="00BD2234">
      <w:pPr>
        <w:pStyle w:val="RedaliaNormal"/>
      </w:pPr>
    </w:p>
    <w:p w14:paraId="6B3D90B3" w14:textId="77777777" w:rsidR="00BD2234" w:rsidRDefault="0093466E">
      <w:pPr>
        <w:pStyle w:val="RedaliaNormal"/>
      </w:pPr>
      <w:r>
        <w:t>Possibilité de présenter pour l'accord-cadre plusieurs offres en agissant à la fois en qualité de candidats individuels et de membres d’un ou plusieurs groupements :</w:t>
      </w:r>
    </w:p>
    <w:p w14:paraId="33E50064" w14:textId="77777777" w:rsidR="00BD2234" w:rsidRDefault="0093466E">
      <w:pPr>
        <w:pStyle w:val="RedaliaRetrait2avecpuce"/>
      </w:pPr>
      <w:r>
        <w:rPr>
          <w:rFonts w:ascii="Wingdings" w:eastAsia="Wingdings" w:hAnsi="Wingdings" w:cs="Wingdings"/>
          <w:szCs w:val="22"/>
        </w:rPr>
        <w:t></w:t>
      </w:r>
      <w:r>
        <w:t xml:space="preserve"> Oui</w:t>
      </w:r>
    </w:p>
    <w:p w14:paraId="734CBC64" w14:textId="77777777" w:rsidR="00BD2234" w:rsidRDefault="0093466E">
      <w:pPr>
        <w:pStyle w:val="RedaliaRetrait2avecpuce"/>
      </w:pPr>
      <w:r>
        <w:rPr>
          <w:rFonts w:ascii="Wingdings" w:eastAsia="Wingdings" w:hAnsi="Wingdings" w:cs="Wingdings"/>
          <w:szCs w:val="22"/>
        </w:rPr>
        <w:t></w:t>
      </w:r>
      <w:r>
        <w:t xml:space="preserve"> Non</w:t>
      </w:r>
    </w:p>
    <w:p w14:paraId="61E42DC8" w14:textId="77777777" w:rsidR="00BD2234" w:rsidRDefault="0093466E">
      <w:pPr>
        <w:pStyle w:val="RedaliaNormal"/>
      </w:pPr>
      <w:r>
        <w:t>Ou en qualité de membres de plusieurs groupements :</w:t>
      </w:r>
    </w:p>
    <w:p w14:paraId="09BD2967" w14:textId="77777777" w:rsidR="00BD2234" w:rsidRDefault="0093466E">
      <w:pPr>
        <w:pStyle w:val="RedaliaRetrait2avecpuce"/>
      </w:pPr>
      <w:r>
        <w:rPr>
          <w:rFonts w:ascii="Wingdings" w:eastAsia="Wingdings" w:hAnsi="Wingdings" w:cs="Wingdings"/>
          <w:szCs w:val="22"/>
        </w:rPr>
        <w:t></w:t>
      </w:r>
      <w:r>
        <w:t xml:space="preserve"> Oui</w:t>
      </w:r>
    </w:p>
    <w:p w14:paraId="38E9FC6E" w14:textId="77777777" w:rsidR="00BD2234" w:rsidRDefault="0093466E">
      <w:pPr>
        <w:pStyle w:val="RedaliaRetrait2avecpuce"/>
      </w:pPr>
      <w:r>
        <w:rPr>
          <w:rFonts w:ascii="Wingdings" w:eastAsia="Wingdings" w:hAnsi="Wingdings" w:cs="Wingdings"/>
          <w:szCs w:val="22"/>
        </w:rPr>
        <w:t></w:t>
      </w:r>
      <w:r>
        <w:t xml:space="preserve"> Non</w:t>
      </w:r>
    </w:p>
    <w:p w14:paraId="0385E1A7" w14:textId="77777777" w:rsidR="00BD2234" w:rsidRDefault="0093466E">
      <w:pPr>
        <w:pStyle w:val="RedaliaTitre2"/>
      </w:pPr>
      <w:bookmarkStart w:id="19" w:name="__RefHeading___Toc9369_844897495"/>
      <w:bookmarkStart w:id="20" w:name="_Toc79067695"/>
      <w:bookmarkEnd w:id="4"/>
      <w:bookmarkEnd w:id="5"/>
      <w:bookmarkEnd w:id="6"/>
      <w:r>
        <w:t>Variantes</w:t>
      </w:r>
      <w:bookmarkEnd w:id="7"/>
      <w:r>
        <w:t xml:space="preserve"> libres</w:t>
      </w:r>
      <w:bookmarkEnd w:id="19"/>
      <w:bookmarkEnd w:id="20"/>
    </w:p>
    <w:p w14:paraId="422E8767" w14:textId="77777777" w:rsidR="00BD2234" w:rsidRDefault="0093466E">
      <w:pPr>
        <w:pStyle w:val="RedaliaNormal"/>
      </w:pPr>
      <w:r>
        <w:t>Les variantes libres ne sont pas autorisées.</w:t>
      </w:r>
    </w:p>
    <w:p w14:paraId="0E0D5C0E" w14:textId="77777777" w:rsidR="00BD2234" w:rsidRDefault="0093466E">
      <w:pPr>
        <w:pStyle w:val="RedaliaTitre2"/>
      </w:pPr>
      <w:bookmarkStart w:id="21" w:name="_Toc79067696"/>
      <w:bookmarkStart w:id="22" w:name="__RefHeading___Toc9371_844897495"/>
      <w:r>
        <w:t>Variantes imposées</w:t>
      </w:r>
      <w:bookmarkEnd w:id="21"/>
      <w:bookmarkEnd w:id="22"/>
    </w:p>
    <w:p w14:paraId="31912C33" w14:textId="77777777" w:rsidR="00BD2234" w:rsidRDefault="0093466E">
      <w:pPr>
        <w:pStyle w:val="RedaliaNormal"/>
      </w:pPr>
      <w:r>
        <w:rPr>
          <w:b/>
          <w:bCs/>
          <w:color w:val="0070C0"/>
        </w:rPr>
        <w:lastRenderedPageBreak/>
        <w:t>Il n’est pas prévu de PSE</w:t>
      </w:r>
      <w:r>
        <w:t>.</w:t>
      </w:r>
    </w:p>
    <w:p w14:paraId="29597353" w14:textId="77777777" w:rsidR="00BD2234" w:rsidRDefault="0093466E">
      <w:pPr>
        <w:pStyle w:val="RedaliaTitre2"/>
      </w:pPr>
      <w:bookmarkStart w:id="23" w:name="__RefHeading___Toc9373_844897495"/>
      <w:r>
        <w:t>Modification du Dossier de Consultation</w:t>
      </w:r>
      <w:bookmarkEnd w:id="23"/>
    </w:p>
    <w:p w14:paraId="67AA05FA" w14:textId="77777777" w:rsidR="00BD2234" w:rsidRDefault="0093466E">
      <w:pPr>
        <w:pStyle w:val="RedaliaNormal"/>
      </w:pPr>
      <w:r>
        <w:t xml:space="preserve">Le Pouvoir Adjudicateur se réserve le droit d'apporter au plus tard </w:t>
      </w:r>
      <w:r>
        <w:rPr>
          <w:b/>
          <w:bCs/>
        </w:rPr>
        <w:t>6 jours</w:t>
      </w:r>
      <w:r>
        <w:t xml:space="preserve"> avant la date limite fixée pour la remise des offres, des modifications de détail au Dossier de Consultation.</w:t>
      </w:r>
    </w:p>
    <w:p w14:paraId="00B424F6" w14:textId="77777777" w:rsidR="00BD2234" w:rsidRDefault="0093466E">
      <w:pPr>
        <w:pStyle w:val="RedaliaNormal"/>
      </w:pPr>
      <w:r>
        <w:t>Les soumissionnaires devront alors répondre sur la base du dossier modifié sans pouvoir élever aucune réclamation à ce sujet.</w:t>
      </w:r>
    </w:p>
    <w:p w14:paraId="19FA9C61" w14:textId="77777777" w:rsidR="00BD2234" w:rsidRDefault="0093466E">
      <w:pPr>
        <w:pStyle w:val="RedaliaNormal"/>
      </w:pPr>
      <w:r>
        <w:t>Si pendant l'étude du dossier par les candidats la date limite ci-dessus est reportée, la disposition précédente est applicable en fonction de cette nouvelle date.</w:t>
      </w:r>
    </w:p>
    <w:p w14:paraId="3E4DF2C2" w14:textId="77777777" w:rsidR="00BD2234" w:rsidRDefault="0093466E">
      <w:pPr>
        <w:pStyle w:val="RedaliaTitre2"/>
      </w:pPr>
      <w:bookmarkStart w:id="24" w:name="_Toc79067697"/>
      <w:bookmarkStart w:id="25" w:name="__RefHeading___Toc9375_844897495"/>
      <w:r>
        <w:t>Délai de validité des offres</w:t>
      </w:r>
      <w:bookmarkEnd w:id="24"/>
      <w:bookmarkEnd w:id="25"/>
      <w:bookmarkEnd w:id="8"/>
    </w:p>
    <w:p w14:paraId="4F66C053" w14:textId="77777777" w:rsidR="00BD2234" w:rsidRDefault="0093466E">
      <w:pPr>
        <w:pStyle w:val="RedaliaNormal"/>
      </w:pPr>
      <w:r>
        <w:t>Le délai de validité des offres est de 180 jours à compter de la date limite de remise de l’offre.</w:t>
      </w:r>
    </w:p>
    <w:p w14:paraId="33ED0905" w14:textId="77777777" w:rsidR="00BD2234" w:rsidRDefault="0093466E">
      <w:pPr>
        <w:pStyle w:val="RedaliaTitre1"/>
      </w:pPr>
      <w:bookmarkStart w:id="26" w:name="_Toc79067699"/>
      <w:bookmarkStart w:id="27" w:name="__RefHeading___Toc9377_844897495"/>
      <w:r>
        <w:t>Contenu du dossier de consultation</w:t>
      </w:r>
      <w:bookmarkEnd w:id="26"/>
      <w:bookmarkEnd w:id="27"/>
    </w:p>
    <w:p w14:paraId="277FC8A1" w14:textId="77777777" w:rsidR="00BD2234" w:rsidRDefault="0093466E">
      <w:pPr>
        <w:pStyle w:val="RedaliaNormal"/>
      </w:pPr>
      <w:r>
        <w:t>Le dossier de consultation comprend les pièces suivantes :</w:t>
      </w:r>
    </w:p>
    <w:p w14:paraId="6C408AB9" w14:textId="77777777" w:rsidR="00BD2234" w:rsidRDefault="0093466E">
      <w:pPr>
        <w:pStyle w:val="RedaliaRetraitavecpuce"/>
        <w:numPr>
          <w:ilvl w:val="0"/>
          <w:numId w:val="18"/>
        </w:numPr>
      </w:pPr>
      <w:r>
        <w:t>Le présent règlement de la consultation.</w:t>
      </w:r>
    </w:p>
    <w:p w14:paraId="0316CAEE" w14:textId="77777777" w:rsidR="00BD2234" w:rsidRDefault="0093466E">
      <w:pPr>
        <w:pStyle w:val="RedaliaRetraitavecpuce"/>
        <w:numPr>
          <w:ilvl w:val="0"/>
          <w:numId w:val="8"/>
        </w:numPr>
      </w:pPr>
      <w:r>
        <w:t>La fiche de Candidature</w:t>
      </w:r>
    </w:p>
    <w:p w14:paraId="1C73B958" w14:textId="77777777" w:rsidR="00BD2234" w:rsidRDefault="0093466E">
      <w:pPr>
        <w:pStyle w:val="RedaliaRetraitavecpuce"/>
        <w:numPr>
          <w:ilvl w:val="0"/>
          <w:numId w:val="8"/>
        </w:numPr>
      </w:pPr>
      <w:r>
        <w:t>Le Contrat Unique (CU) et ses annexes éventuelles</w:t>
      </w:r>
    </w:p>
    <w:p w14:paraId="1E9A373F" w14:textId="77777777" w:rsidR="00BD2234" w:rsidRDefault="0093466E">
      <w:pPr>
        <w:pStyle w:val="RedaliaRetraitavecpuce"/>
        <w:numPr>
          <w:ilvl w:val="0"/>
          <w:numId w:val="8"/>
        </w:numPr>
      </w:pPr>
      <w:r>
        <w:t>Le cahier des clauses techniques particulières (C.C.T.P) et ses annexes éventuelles, le cas échéant.</w:t>
      </w:r>
    </w:p>
    <w:p w14:paraId="1D4620F0" w14:textId="77777777" w:rsidR="00BD2234" w:rsidRDefault="0093466E">
      <w:pPr>
        <w:pStyle w:val="RedaliaRetraitavecpuce"/>
        <w:numPr>
          <w:ilvl w:val="0"/>
          <w:numId w:val="8"/>
        </w:numPr>
      </w:pPr>
      <w:r>
        <w:t>Le bordereau des prix unitaires et forfaitaires.</w:t>
      </w:r>
    </w:p>
    <w:p w14:paraId="266A61BE" w14:textId="77777777" w:rsidR="00BD2234" w:rsidRDefault="0093466E">
      <w:pPr>
        <w:pStyle w:val="RedaliaTitre1"/>
      </w:pPr>
      <w:bookmarkStart w:id="28" w:name="_Toc79067701"/>
      <w:bookmarkStart w:id="29" w:name="__RefHeading___Toc9379_844897495"/>
      <w:r>
        <w:t>Présentation des candidatures et des offres</w:t>
      </w:r>
      <w:bookmarkEnd w:id="28"/>
      <w:bookmarkEnd w:id="29"/>
    </w:p>
    <w:p w14:paraId="5A348599" w14:textId="77777777" w:rsidR="00BD2234" w:rsidRDefault="0093466E">
      <w:pPr>
        <w:pStyle w:val="RedaliaNormal"/>
      </w:pPr>
      <w:r>
        <w:rPr>
          <w:b/>
          <w:bCs/>
          <w:u w:val="single"/>
        </w:rPr>
        <w:t>Les candidats auront à produire</w:t>
      </w:r>
      <w:r>
        <w:rPr>
          <w:b/>
          <w:bCs/>
        </w:rPr>
        <w:t xml:space="preserve"> les pièces ci-dessous définies rédigées en langue française</w:t>
      </w:r>
      <w:r>
        <w:t>.</w:t>
      </w:r>
    </w:p>
    <w:p w14:paraId="2BF614AD" w14:textId="77777777" w:rsidR="00BD2234" w:rsidRDefault="0093466E">
      <w:pPr>
        <w:pStyle w:val="RedaliaTitre2"/>
      </w:pPr>
      <w:bookmarkStart w:id="30" w:name="__RefHeading___Toc9381_844897495"/>
      <w:r>
        <w:t>Éléments nécessaires à la sélection des candidatures :</w:t>
      </w:r>
      <w:bookmarkEnd w:id="30"/>
    </w:p>
    <w:p w14:paraId="1A83FF60" w14:textId="77777777" w:rsidR="00BD2234" w:rsidRDefault="0093466E">
      <w:pPr>
        <w:pStyle w:val="RedaliaNormal"/>
      </w:pPr>
      <w:r>
        <w:t>Chaque candidat devra produire le formulaire de candidature joint en annexe du présent document, auquel seront joint les documents suivants :</w:t>
      </w:r>
    </w:p>
    <w:p w14:paraId="54E8C723" w14:textId="77777777" w:rsidR="00BD2234" w:rsidRDefault="0093466E">
      <w:pPr>
        <w:pStyle w:val="RedaliaNormal"/>
      </w:pPr>
      <w:r>
        <w:t>- Déclaration sur l'honneur justifiant que le candidat n'entre dans aucun des cas mentionnés aux articles L. 2141-1 à L. 2141-5 ou aux articles L. 2141-7 à L. 2141-10 du Code de la commande publique (document en annexe)</w:t>
      </w:r>
    </w:p>
    <w:p w14:paraId="012C6B93" w14:textId="77777777" w:rsidR="00BD2234" w:rsidRDefault="0093466E">
      <w:pPr>
        <w:pStyle w:val="RedaliaNormal"/>
      </w:pPr>
      <w:r>
        <w:t>- Le cas échéant, le(s) document(s) relatif(s) aux pouvoirs de la personne habilitée à engager l'entreprise</w:t>
      </w:r>
    </w:p>
    <w:p w14:paraId="2027A26C" w14:textId="77777777" w:rsidR="00BD2234" w:rsidRDefault="0093466E">
      <w:pPr>
        <w:pStyle w:val="RedaliaNormal"/>
      </w:pPr>
      <w:r>
        <w:t>- En cas de groupement, le document d'habilitation du mandataire signé par les membres du groupement</w:t>
      </w:r>
    </w:p>
    <w:p w14:paraId="2B8ECFAB" w14:textId="77777777" w:rsidR="00BD2234" w:rsidRDefault="0093466E">
      <w:pPr>
        <w:pStyle w:val="RedaliaNormal"/>
      </w:pPr>
      <w:r>
        <w:t>- En cas de sous-traitance, la déclaration de sous-traitance (modèle joint au Contrat Unique)</w:t>
      </w:r>
    </w:p>
    <w:p w14:paraId="20C1AE93" w14:textId="77777777" w:rsidR="00BD2234" w:rsidRDefault="00BD2234">
      <w:pPr>
        <w:pStyle w:val="RedaliaNormal"/>
      </w:pPr>
    </w:p>
    <w:p w14:paraId="4152F842" w14:textId="77777777" w:rsidR="00BD2234" w:rsidRDefault="0093466E">
      <w:pPr>
        <w:pStyle w:val="RedaliaNormal"/>
      </w:pPr>
      <w:r>
        <w:t>Le candidat pourra prouver sa capacité par tout autre document considéré comme équivalent par le pouvoir adjudicateur s’il est objectivement dans l’impossibilité de produire l’un des renseignements demandés relatifs à sa capacité financière.</w:t>
      </w:r>
    </w:p>
    <w:p w14:paraId="270ADCAC" w14:textId="77777777" w:rsidR="00BD2234" w:rsidRDefault="0093466E">
      <w:pPr>
        <w:pStyle w:val="RedaliaNormal"/>
      </w:pPr>
      <w:r>
        <w:t xml:space="preserve">Si, pour justifier de ses capacités, le candidat souhaite faire prévaloir les capacités professionnelles, techniques et financières d’un autre intervenant quel qu’il soit (sous-traitant notamment), il devra produire les pièces relatives à cet intervenant visées au présent article ci-dessus. Il devra également justifier qu’il disposera des capacités de cet intervenant pour l’exécution de l'accord-cadre par un </w:t>
      </w:r>
      <w:r>
        <w:lastRenderedPageBreak/>
        <w:t>engagement écrit de l’intervenant.</w:t>
      </w:r>
    </w:p>
    <w:p w14:paraId="66C088CD" w14:textId="77777777" w:rsidR="00BD2234" w:rsidRDefault="00BD2234">
      <w:pPr>
        <w:pStyle w:val="RedaliaNormal"/>
      </w:pPr>
    </w:p>
    <w:p w14:paraId="034D03E8" w14:textId="77777777" w:rsidR="00BD2234" w:rsidRDefault="0093466E">
      <w:pPr>
        <w:pStyle w:val="RedaliaNormal"/>
      </w:pPr>
      <w:r>
        <w:t>En vertu de l’article R. 2143-16 du Code de la commande publique, dans le cadre de leur candidature, il est exigé que les candidats joignent une traduction en français aux éléments rédigés dans une autre langue.</w:t>
      </w:r>
    </w:p>
    <w:p w14:paraId="3C9B902E" w14:textId="77777777" w:rsidR="00BD2234" w:rsidRDefault="00BD2234">
      <w:pPr>
        <w:pStyle w:val="RedaliaNormal"/>
      </w:pPr>
    </w:p>
    <w:p w14:paraId="36F717B2" w14:textId="77777777" w:rsidR="00BD2234" w:rsidRDefault="0093466E">
      <w:pPr>
        <w:pStyle w:val="RedaliaNormal"/>
      </w:pPr>
      <w:r>
        <w:t>Il est porté à l’attention des candidats que, conformément aux dispositions de l’article R. 2143-13 du Code de la commande publique, ils ne sont pas tenus de fournir les documents justificatifs et moyens de preuve que l’acheteur peut obtenir directement par le biais :</w:t>
      </w:r>
    </w:p>
    <w:p w14:paraId="4054D01F" w14:textId="77777777" w:rsidR="00BD2234" w:rsidRDefault="0093466E">
      <w:pPr>
        <w:pStyle w:val="RedaliaNormal"/>
      </w:pPr>
      <w:r>
        <w:t>- D'un système électronique de mise à disposition d'informations administré par un organisme officiel à condition que l'accès à celui-ci soit gratuit et, le cas échéant, que figurent dans le dossier de candidature toutes les informations nécessaires à sa consultation ;</w:t>
      </w:r>
    </w:p>
    <w:p w14:paraId="10C1018B" w14:textId="77777777" w:rsidR="00BD2234" w:rsidRDefault="0093466E">
      <w:pPr>
        <w:pStyle w:val="RedaliaNormal"/>
      </w:pPr>
      <w:r>
        <w:t>- D'un espace de stockage numérique, à condition que figurent dans le dossier de candidature toutes les informations nécessaires à sa consultation et que l'accès à ceux-ci soit gratuit.</w:t>
      </w:r>
    </w:p>
    <w:p w14:paraId="5764E186" w14:textId="77777777" w:rsidR="00BD2234" w:rsidRDefault="00BD2234">
      <w:pPr>
        <w:pStyle w:val="RedaliaNormal"/>
      </w:pPr>
    </w:p>
    <w:p w14:paraId="542CBC14" w14:textId="77777777" w:rsidR="00BD2234" w:rsidRDefault="0093466E">
      <w:pPr>
        <w:pStyle w:val="RedaliaNormal"/>
      </w:pPr>
      <w:r>
        <w:t>De plus, conformément aux dispositions de l’article R. 2143-14 du Code de la commande publique, les candidats ne sont pas tenus de fournir au pouvoir adjudicateur les documents justificatifs et moyens de preuve qui ont déjà été transmis lors d'une précédente consultation et qui demeurent valables.</w:t>
      </w:r>
    </w:p>
    <w:p w14:paraId="53382268" w14:textId="77777777" w:rsidR="00BD2234" w:rsidRDefault="00BD2234">
      <w:pPr>
        <w:pStyle w:val="RedaliaNormal"/>
      </w:pPr>
    </w:p>
    <w:p w14:paraId="2B8CD323" w14:textId="77777777" w:rsidR="00BD2234" w:rsidRDefault="0093466E">
      <w:pPr>
        <w:pStyle w:val="RedaliaNormal"/>
      </w:pPr>
      <w:r>
        <w:t>Enfin, selon les dispositions de l’article R. 2143-4 du Code de la commande publique, le pouvoir adjudicateur accepte que les candidats présentent leur candidature sous la forme d’un document unique de marché européen (DUME) établi conformément au modèle fixé par le règlement de la Commission européenne établissant le formulaire type pour le document unique de marché européen, en lieu et place de la déclaration sur l'honneur et des renseignements mentionnés à l'article R. 2143-3.</w:t>
      </w:r>
    </w:p>
    <w:p w14:paraId="548CBA02" w14:textId="77777777" w:rsidR="00BD2234" w:rsidRDefault="0093466E">
      <w:pPr>
        <w:pStyle w:val="RedaliaNormal"/>
      </w:pPr>
      <w:r>
        <w:t xml:space="preserve">Les candidats peuvent constituer ou réutiliser un DUME dans sa version électronique via l’une des url suivantes : </w:t>
      </w:r>
      <w:hyperlink r:id="rId8" w:history="1">
        <w:r>
          <w:rPr>
            <w:rStyle w:val="Lienhypertexte"/>
          </w:rPr>
          <w:t>https://ec.europa.eu/tools/espd/</w:t>
        </w:r>
      </w:hyperlink>
      <w:r>
        <w:t xml:space="preserve"> OU </w:t>
      </w:r>
      <w:hyperlink r:id="rId9" w:history="1">
        <w:r>
          <w:rPr>
            <w:rStyle w:val="Lienhypertexte"/>
          </w:rPr>
          <w:t>https://dume.chorus-pro.gouv.fr/</w:t>
        </w:r>
      </w:hyperlink>
    </w:p>
    <w:p w14:paraId="35C8C5D4" w14:textId="77777777" w:rsidR="00BD2234" w:rsidRDefault="0093466E">
      <w:pPr>
        <w:pStyle w:val="RedaliaNormal"/>
      </w:pPr>
      <w:r>
        <w:t>Il est précisé que le pouvoir adjudicateur n’autorise pas les candidats à se limiter à indiquer dans le document unique de marché européen qu’ils disposent de l’aptitude et des capacités requises sans fournir d’informations particulières sur celles-ci.</w:t>
      </w:r>
    </w:p>
    <w:p w14:paraId="725A2D74" w14:textId="77777777" w:rsidR="00BD2234" w:rsidRDefault="0093466E">
      <w:pPr>
        <w:pStyle w:val="RedaliaTitre2"/>
      </w:pPr>
      <w:bookmarkStart w:id="31" w:name="__RefHeading___Toc9383_844897495"/>
      <w:r>
        <w:t>Éléments nécessaires au choix de l’offre</w:t>
      </w:r>
      <w:bookmarkEnd w:id="31"/>
    </w:p>
    <w:p w14:paraId="088EBA5F" w14:textId="77777777" w:rsidR="00BD2234" w:rsidRDefault="0093466E">
      <w:pPr>
        <w:pStyle w:val="RedaliaNormal"/>
      </w:pPr>
      <w:r>
        <w:t>Pour le choix de l'offre, les candidats doivent produire les documents suivants :</w:t>
      </w:r>
    </w:p>
    <w:p w14:paraId="66909278" w14:textId="77777777" w:rsidR="00BD2234" w:rsidRDefault="0093466E">
      <w:pPr>
        <w:pStyle w:val="Redaliapuces"/>
        <w:numPr>
          <w:ilvl w:val="0"/>
          <w:numId w:val="19"/>
        </w:numPr>
      </w:pPr>
      <w:r>
        <w:t>Un  Contrat Unique (CU)   (ci-joint à compléter, à dater et à signer électroniquement)</w:t>
      </w:r>
    </w:p>
    <w:p w14:paraId="534FFC21" w14:textId="77777777" w:rsidR="00BD2234" w:rsidRDefault="0093466E">
      <w:pPr>
        <w:pStyle w:val="RedaliaNormal"/>
        <w:rPr>
          <w:u w:val="single"/>
        </w:rPr>
      </w:pPr>
      <w:r>
        <w:rPr>
          <w:u w:val="single"/>
        </w:rPr>
        <w:t>Information relative à l’utilisation de la signature électronique :</w:t>
      </w:r>
    </w:p>
    <w:p w14:paraId="3E886577" w14:textId="77777777" w:rsidR="00BD2234" w:rsidRDefault="0093466E">
      <w:pPr>
        <w:pStyle w:val="RedaliaNormal"/>
      </w:pPr>
      <w:r>
        <w:t>Il est demandé aux soumissionnaires de ne pas utiliser une signature électronique bloquant l’ajout d’une autre signature électronique.</w:t>
      </w:r>
    </w:p>
    <w:p w14:paraId="11A95A27" w14:textId="77777777" w:rsidR="00BD2234" w:rsidRDefault="0093466E">
      <w:pPr>
        <w:pStyle w:val="RedaliaNormal"/>
      </w:pPr>
      <w:r>
        <w:t>Le candidat précisera également la nature et le montant des prestations qu’il envisage de sous-traiter ainsi que la liste des sous-traitants qu'il se propose de présenter à l'agrément et à l'acceptation du pouvoir adjudicateur.</w:t>
      </w:r>
    </w:p>
    <w:p w14:paraId="28F44E6E" w14:textId="77777777" w:rsidR="00BD2234" w:rsidRDefault="0093466E">
      <w:pPr>
        <w:pStyle w:val="Redaliapuces"/>
        <w:numPr>
          <w:ilvl w:val="0"/>
          <w:numId w:val="7"/>
        </w:numPr>
      </w:pPr>
      <w:r>
        <w:t>Le bordereau des prix unitaires et forfaitaires</w:t>
      </w:r>
    </w:p>
    <w:p w14:paraId="3F7197A5" w14:textId="77777777" w:rsidR="00BD2234" w:rsidRDefault="0093466E">
      <w:pPr>
        <w:pStyle w:val="Redaliapuces"/>
        <w:numPr>
          <w:ilvl w:val="0"/>
          <w:numId w:val="7"/>
        </w:numPr>
      </w:pPr>
      <w:r>
        <w:t>Une note méthodologique ou un mémoire technique rédigé sur la base du canevas présenté dans l’annexe « Cadre de réponse imposé » au présent Règlement de la Consultation.</w:t>
      </w:r>
    </w:p>
    <w:p w14:paraId="03D36BF0" w14:textId="77777777" w:rsidR="00BD2234" w:rsidRDefault="0093466E">
      <w:pPr>
        <w:pStyle w:val="RedaliaNormal"/>
      </w:pPr>
      <w:r>
        <w:t>Les documents remis par le pouvoir adjudicateur à l’exception de :</w:t>
      </w:r>
    </w:p>
    <w:p w14:paraId="60E0853E" w14:textId="77777777" w:rsidR="00BD2234" w:rsidRDefault="0093466E">
      <w:pPr>
        <w:pStyle w:val="RedaliaNormal"/>
      </w:pPr>
      <w:r>
        <w:t>- Ceux listés ci-dessus ainsi que leurs annexes</w:t>
      </w:r>
    </w:p>
    <w:p w14:paraId="20647810" w14:textId="77777777" w:rsidR="00BD2234" w:rsidRDefault="0093466E">
      <w:pPr>
        <w:pStyle w:val="RedaliaNormal"/>
      </w:pPr>
      <w:r>
        <w:t>- Le Contrat dûment complété par le soumissionnaire</w:t>
      </w:r>
    </w:p>
    <w:p w14:paraId="495EBDCD" w14:textId="77777777" w:rsidR="00BD2234" w:rsidRDefault="0093466E">
      <w:pPr>
        <w:pStyle w:val="RedaliaNormal"/>
      </w:pPr>
      <w:r>
        <w:lastRenderedPageBreak/>
        <w:t>Ne sont pas à remettre dans l’offre.</w:t>
      </w:r>
    </w:p>
    <w:p w14:paraId="52A43FF5" w14:textId="77777777" w:rsidR="00BD2234" w:rsidRDefault="0093466E">
      <w:pPr>
        <w:pStyle w:val="RedaliaNormal"/>
      </w:pPr>
      <w:r>
        <w:t>Seuls les documents détenus par le Pouvoir Adjudicateur font foi. Y compris le Contrat si des modifications – autres que celles exigées pour son remplissage - ont été apportées par le soumissionnaire.</w:t>
      </w:r>
    </w:p>
    <w:p w14:paraId="023675B8" w14:textId="77777777" w:rsidR="00BD2234" w:rsidRDefault="0093466E">
      <w:pPr>
        <w:pStyle w:val="RedaliaNormal"/>
      </w:pPr>
      <w:r>
        <w:t>Il est rappelé aux candidats que la signature du Contrat Unique (CU) vaut acceptation de toutes les pièces contractuelles.</w:t>
      </w:r>
    </w:p>
    <w:p w14:paraId="7E4ED3E7" w14:textId="77777777" w:rsidR="00BD2234" w:rsidRDefault="0093466E">
      <w:pPr>
        <w:pStyle w:val="RedaliaTitre1"/>
      </w:pPr>
      <w:bookmarkStart w:id="32" w:name="_Toc79067702"/>
      <w:bookmarkStart w:id="33" w:name="__RefHeading___Toc9385_844897495"/>
      <w:bookmarkEnd w:id="32"/>
      <w:r>
        <w:t>Jugement des candidatures, des offres et attribution de l'accord-cadre</w:t>
      </w:r>
      <w:bookmarkEnd w:id="33"/>
    </w:p>
    <w:p w14:paraId="312450BD" w14:textId="77777777" w:rsidR="00BD2234" w:rsidRDefault="0093466E">
      <w:pPr>
        <w:pStyle w:val="RedaliaTitre2"/>
      </w:pPr>
      <w:bookmarkStart w:id="34" w:name="__RefHeading___Toc9387_844897495"/>
      <w:r>
        <w:t>Jugement des candidatures</w:t>
      </w:r>
      <w:bookmarkEnd w:id="34"/>
    </w:p>
    <w:p w14:paraId="593A2AF7" w14:textId="77777777" w:rsidR="00BD2234" w:rsidRDefault="0093466E">
      <w:pPr>
        <w:pStyle w:val="RedaliaNormal"/>
        <w:spacing w:before="120" w:after="120"/>
      </w:pPr>
      <w:r>
        <w:t>L'AFD se réserve la possibilité d’analyser les offres avant les candidatures. Dans ce cas elle peut limiter l’examen des pièces de candidature au seul candidat auquel elle envisage d’attribuer le marché.</w:t>
      </w:r>
    </w:p>
    <w:p w14:paraId="278F2A70" w14:textId="77777777" w:rsidR="00BD2234" w:rsidRDefault="0093466E">
      <w:pPr>
        <w:pStyle w:val="RedaliaNormal"/>
        <w:spacing w:before="120" w:after="120"/>
      </w:pPr>
      <w:r>
        <w:t>Les critères intervenant pour la recevabilité des candidatures sont :</w:t>
      </w:r>
    </w:p>
    <w:p w14:paraId="3A5BC2F6" w14:textId="77777777" w:rsidR="00BD2234" w:rsidRDefault="0093466E">
      <w:pPr>
        <w:pStyle w:val="Redaliapuces"/>
        <w:numPr>
          <w:ilvl w:val="0"/>
          <w:numId w:val="7"/>
        </w:numPr>
      </w:pPr>
      <w:r>
        <w:t>Garanties et capacités techniques et financières</w:t>
      </w:r>
    </w:p>
    <w:p w14:paraId="6D531AA6" w14:textId="77777777" w:rsidR="00BD2234" w:rsidRDefault="0093466E">
      <w:pPr>
        <w:pStyle w:val="Redaliapuces"/>
        <w:numPr>
          <w:ilvl w:val="0"/>
          <w:numId w:val="7"/>
        </w:numPr>
      </w:pPr>
      <w:r>
        <w:t>Capacités professionnelles </w:t>
      </w:r>
    </w:p>
    <w:p w14:paraId="283256DB" w14:textId="77777777" w:rsidR="00BD2234" w:rsidRDefault="0093466E">
      <w:pPr>
        <w:pStyle w:val="RedaliaNormal"/>
        <w:spacing w:before="120" w:after="120"/>
      </w:pPr>
      <w:r>
        <w:t>Sont déclarées comme irrecevables les candidatures ne présentant pas des garanties financières, techniques et professionnelles suffisantes au regard de l’objet de la prestation.</w:t>
      </w:r>
    </w:p>
    <w:p w14:paraId="2E3ACF79" w14:textId="77777777" w:rsidR="00BD2234" w:rsidRDefault="0093466E">
      <w:pPr>
        <w:pStyle w:val="RedaliaTitre2"/>
      </w:pPr>
      <w:bookmarkStart w:id="35" w:name="__RefHeading___Toc9389_844897495"/>
      <w:r>
        <w:t>Jugement des offres</w:t>
      </w:r>
      <w:bookmarkEnd w:id="35"/>
    </w:p>
    <w:p w14:paraId="21362C7A" w14:textId="77777777" w:rsidR="00BD2234" w:rsidRDefault="0093466E">
      <w:pPr>
        <w:pStyle w:val="RedaliaNormal"/>
        <w:spacing w:before="120" w:after="120"/>
      </w:pPr>
      <w:r>
        <w:t>Les critères intervenant pour le jugement des offres sont pondérés de la manière suivante :</w:t>
      </w:r>
    </w:p>
    <w:tbl>
      <w:tblPr>
        <w:tblW w:w="9245" w:type="dxa"/>
        <w:tblLayout w:type="fixed"/>
        <w:tblCellMar>
          <w:left w:w="10" w:type="dxa"/>
          <w:right w:w="10" w:type="dxa"/>
        </w:tblCellMar>
        <w:tblLook w:val="0000" w:firstRow="0" w:lastRow="0" w:firstColumn="0" w:lastColumn="0" w:noHBand="0" w:noVBand="0"/>
      </w:tblPr>
      <w:tblGrid>
        <w:gridCol w:w="7668"/>
        <w:gridCol w:w="1577"/>
      </w:tblGrid>
      <w:tr w:rsidR="00BD2234" w14:paraId="56E27F45" w14:textId="77777777">
        <w:tc>
          <w:tcPr>
            <w:tcW w:w="7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4FDCB"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Prix des prestations</w:t>
            </w:r>
          </w:p>
          <w:p w14:paraId="7599146F"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Définition et appréciation du critère : La note maximale (NM) sera attribuée au candidat ayant remis l'offre financière la moins disante. Les autres candidats se verront appliquer une note calculée sur la base de la formule suivante :</w:t>
            </w:r>
          </w:p>
          <w:p w14:paraId="0CB1CF4D" w14:textId="77777777" w:rsidR="00BD2234" w:rsidRPr="002349F6" w:rsidRDefault="0093466E">
            <w:pPr>
              <w:pStyle w:val="RedaliaNormal"/>
              <w:spacing w:before="120" w:after="120"/>
              <w:rPr>
                <w:rFonts w:ascii="Calibri" w:hAnsi="Calibri"/>
                <w:highlight w:val="yellow"/>
                <w:lang w:val="en-US"/>
              </w:rPr>
            </w:pPr>
            <w:r w:rsidRPr="002349F6">
              <w:rPr>
                <w:rFonts w:ascii="Calibri" w:hAnsi="Calibri"/>
                <w:highlight w:val="yellow"/>
                <w:lang w:val="en-US"/>
              </w:rPr>
              <w:t>N = NM x (OMD/OAN)</w:t>
            </w:r>
          </w:p>
          <w:p w14:paraId="1C6A82E2"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où N est la note du candidat, OMD le montant de l'offre la moins disante, OAN le montant de l'offre à noter.</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BDDA3"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20 / 100</w:t>
            </w:r>
          </w:p>
        </w:tc>
      </w:tr>
      <w:tr w:rsidR="00BD2234" w14:paraId="43451979" w14:textId="77777777">
        <w:tc>
          <w:tcPr>
            <w:tcW w:w="7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957BA"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Qualité de l’équipe d’expert.e.s présentée</w:t>
            </w:r>
          </w:p>
          <w:p w14:paraId="14E7565C"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Définition et appréciation du critère : Qualité et pertinence de la méthodologie proposée pour la mise en oeuvre des prestations.</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8CE75"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35 / 100</w:t>
            </w:r>
          </w:p>
        </w:tc>
      </w:tr>
      <w:tr w:rsidR="00BD2234" w14:paraId="4BB2A913" w14:textId="77777777">
        <w:tc>
          <w:tcPr>
            <w:tcW w:w="7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F0EEC"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Méthodologie et plan de travail proposés</w:t>
            </w:r>
          </w:p>
          <w:p w14:paraId="0A1C5705"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Définition et appréciation du critère : - Méthodologie de mise en œuvre des activités, et approche générale de l’intervention</w:t>
            </w:r>
          </w:p>
          <w:p w14:paraId="7C4301C7"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 Pertinence et adéquation du plan de travail proposé</w:t>
            </w:r>
          </w:p>
          <w:p w14:paraId="31A81A84" w14:textId="77777777" w:rsidR="00BD2234" w:rsidRPr="002349F6" w:rsidRDefault="00BD2234">
            <w:pPr>
              <w:pStyle w:val="RedaliaNormal"/>
              <w:spacing w:before="120" w:after="120"/>
              <w:rPr>
                <w:rFonts w:ascii="Calibri" w:hAnsi="Calibri"/>
                <w:highlight w:val="yellow"/>
              </w:rPr>
            </w:pP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E1119"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20 / 100</w:t>
            </w:r>
          </w:p>
        </w:tc>
      </w:tr>
      <w:tr w:rsidR="00BD2234" w14:paraId="1A7F20D4" w14:textId="77777777">
        <w:tc>
          <w:tcPr>
            <w:tcW w:w="7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D1233"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Organisation et dimensionnement de l’équipe</w:t>
            </w:r>
          </w:p>
          <w:p w14:paraId="307FEF44"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lastRenderedPageBreak/>
              <w:t>Définition et appréciation du critère : - Cohérence, pertinence et qualité de l’organisation des ressources humaines</w:t>
            </w:r>
          </w:p>
          <w:p w14:paraId="370ADB25"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 Répartition des ressources humaines par activité</w:t>
            </w:r>
          </w:p>
          <w:p w14:paraId="3685F34F" w14:textId="77777777" w:rsidR="00BD2234" w:rsidRPr="002349F6" w:rsidRDefault="00BD2234">
            <w:pPr>
              <w:pStyle w:val="RedaliaNormal"/>
              <w:spacing w:before="120" w:after="120"/>
              <w:rPr>
                <w:rFonts w:ascii="Calibri" w:hAnsi="Calibri"/>
                <w:highlight w:val="yellow"/>
              </w:rPr>
            </w:pP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3E182"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lastRenderedPageBreak/>
              <w:t>20 / 100</w:t>
            </w:r>
          </w:p>
        </w:tc>
      </w:tr>
      <w:tr w:rsidR="00BD2234" w14:paraId="5EBCA144" w14:textId="77777777">
        <w:tc>
          <w:tcPr>
            <w:tcW w:w="7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B2E60"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RSE</w:t>
            </w:r>
          </w:p>
          <w:p w14:paraId="1FCEC5AF"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Définition et appréciation du critère : Valorisation d’action(s) mises en œuvre dans le cadre de la prestation visant la minimisation des impacts environnementaux et sociaux</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295E0" w14:textId="77777777" w:rsidR="00BD2234" w:rsidRPr="002349F6" w:rsidRDefault="0093466E">
            <w:pPr>
              <w:pStyle w:val="RedaliaNormal"/>
              <w:spacing w:before="120" w:after="120"/>
              <w:rPr>
                <w:rFonts w:ascii="Calibri" w:hAnsi="Calibri"/>
                <w:highlight w:val="yellow"/>
              </w:rPr>
            </w:pPr>
            <w:r w:rsidRPr="002349F6">
              <w:rPr>
                <w:rFonts w:ascii="Calibri" w:hAnsi="Calibri"/>
                <w:highlight w:val="yellow"/>
              </w:rPr>
              <w:t>5 / 100</w:t>
            </w:r>
          </w:p>
        </w:tc>
      </w:tr>
    </w:tbl>
    <w:p w14:paraId="0583A751" w14:textId="77777777" w:rsidR="00BD2234" w:rsidRDefault="0093466E">
      <w:pPr>
        <w:pStyle w:val="Titre4"/>
        <w:spacing w:before="120" w:after="120"/>
      </w:pPr>
      <w:r>
        <w:t>Rectification des offres :</w:t>
      </w:r>
    </w:p>
    <w:p w14:paraId="26B67A56" w14:textId="77777777" w:rsidR="00BD2234" w:rsidRDefault="0093466E">
      <w:pPr>
        <w:pStyle w:val="RedaliaNormal"/>
        <w:spacing w:before="120" w:after="120"/>
      </w:pPr>
      <w:r>
        <w:t>En cas de contradiction entre les prix unitaires du bordereau des prix unitaires (contractuel) et les prix unitaires du détail quantitatif estimatif (DQE), ce sont les prix indiqués dans la pièce contractuelle qui priment.</w:t>
      </w:r>
    </w:p>
    <w:p w14:paraId="417FF9A7" w14:textId="77777777" w:rsidR="00BD2234" w:rsidRDefault="0093466E">
      <w:pPr>
        <w:pStyle w:val="RedaliaNormal"/>
        <w:spacing w:before="120" w:after="120"/>
      </w:pPr>
      <w:r>
        <w:t>Les erreurs de multiplication, d'addition ou de report, qui seraient constatées dans le détail quantitatif estimatif (DQE), seront rectifiées et, pour le jugement des offres, c'est le montant ainsi rectifié du DQE sera pris en considération.</w:t>
      </w:r>
    </w:p>
    <w:p w14:paraId="65994F49" w14:textId="77777777" w:rsidR="00BD2234" w:rsidRDefault="0093466E">
      <w:pPr>
        <w:pStyle w:val="RedaliaNormal"/>
        <w:spacing w:before="120" w:after="120"/>
      </w:pPr>
      <w:r>
        <w:t>Le montant forfaitaire indiqué à l’acte d’engagement prévaut sur les annexes financières.</w:t>
      </w:r>
    </w:p>
    <w:p w14:paraId="458398A2" w14:textId="77777777" w:rsidR="00BD2234" w:rsidRDefault="0093466E">
      <w:pPr>
        <w:pStyle w:val="Titre4"/>
        <w:spacing w:before="120" w:after="120"/>
      </w:pPr>
      <w:r>
        <w:t>Note éliminatoire :</w:t>
      </w:r>
    </w:p>
    <w:p w14:paraId="64835504" w14:textId="77777777" w:rsidR="00BD2234" w:rsidRDefault="0093466E">
      <w:pPr>
        <w:pStyle w:val="RedaliaNormal"/>
        <w:spacing w:before="120" w:after="120"/>
      </w:pPr>
      <w:r>
        <w:t>Lors de l’analyse des offres, les offres n’ayant pas obtenu la note minimale de XX/XXX au critère technique n°XX ou à la somme des notes obtenues aux critères n°X et X seront éliminées : elles ne seront pas classées et ne seront pas prises en compte dans le cadre de l’analyse financière</w:t>
      </w:r>
    </w:p>
    <w:p w14:paraId="1D617650" w14:textId="77777777" w:rsidR="00BD2234" w:rsidRDefault="0093466E">
      <w:pPr>
        <w:pStyle w:val="RedaliaNormal"/>
        <w:spacing w:before="120" w:after="120"/>
      </w:pPr>
      <w:r>
        <w:t>Sera déclarée comme irrégulière, une offre, qui, tout en apportant une réponse au besoin du pouvoir adjudicateur, est incomplète ou ne respecte pas les exigences formulées au sein des documents de la consultation.</w:t>
      </w:r>
    </w:p>
    <w:p w14:paraId="3F049834" w14:textId="77777777" w:rsidR="00BD2234" w:rsidRDefault="0093466E">
      <w:pPr>
        <w:pStyle w:val="RedaliaTitre2"/>
      </w:pPr>
      <w:bookmarkStart w:id="36" w:name="_Toc170898458"/>
      <w:bookmarkStart w:id="37" w:name="__RefHeading___Toc9391_844897495"/>
      <w:bookmarkEnd w:id="36"/>
      <w:r>
        <w:t>Attribution de l'accord-cadre</w:t>
      </w:r>
      <w:bookmarkEnd w:id="37"/>
    </w:p>
    <w:p w14:paraId="2E4FE51F" w14:textId="77777777" w:rsidR="00BD2234" w:rsidRDefault="0093466E">
      <w:pPr>
        <w:pStyle w:val="RedaliaNormal"/>
        <w:pBdr>
          <w:top w:val="single" w:sz="12" w:space="1" w:color="FF0000"/>
          <w:left w:val="single" w:sz="12" w:space="4" w:color="FF0000"/>
          <w:bottom w:val="single" w:sz="12" w:space="1" w:color="FF0000"/>
          <w:right w:val="single" w:sz="12" w:space="4" w:color="FF0000"/>
        </w:pBdr>
        <w:spacing w:before="120" w:after="120"/>
      </w:pPr>
      <w:r>
        <w:rPr>
          <w:b/>
          <w:bCs/>
        </w:rPr>
        <w:t>Préalablement à la signature du contrat par le Pouvoir Adjudicateur</w:t>
      </w:r>
      <w:r>
        <w:t>, et conformément à l’article R2144-7 du Code de la commande publique, l’</w:t>
      </w:r>
      <w:r>
        <w:rPr>
          <w:b/>
          <w:bCs/>
        </w:rPr>
        <w:t>attributaire</w:t>
      </w:r>
      <w:r>
        <w:t xml:space="preserve"> (ou </w:t>
      </w:r>
      <w:r>
        <w:rPr>
          <w:b/>
          <w:bCs/>
        </w:rPr>
        <w:t xml:space="preserve">l’ensemble des membres du groupement attributaire, y compris les éventuels </w:t>
      </w:r>
      <w:r>
        <w:rPr>
          <w:b/>
          <w:bCs/>
          <w:u w:val="single"/>
        </w:rPr>
        <w:t>sous-traitants</w:t>
      </w:r>
      <w:r>
        <w:t>) devra transmettre sur l’outil de recueil des attestations fournisseurs dont s’est doté le Pouvoir Adjudicateur (</w:t>
      </w:r>
      <w:r>
        <w:rPr>
          <w:b/>
          <w:bCs/>
          <w:u w:val="single"/>
        </w:rPr>
        <w:t>outil Provigis</w:t>
      </w:r>
      <w:r>
        <w:t>) les documents ci-dessous demandés :</w:t>
      </w:r>
    </w:p>
    <w:p w14:paraId="4A15B51F" w14:textId="77777777" w:rsidR="00BD2234" w:rsidRDefault="0093466E">
      <w:pPr>
        <w:pStyle w:val="RedaliaNormal"/>
        <w:pBdr>
          <w:top w:val="single" w:sz="12" w:space="1" w:color="FF0000"/>
          <w:left w:val="single" w:sz="12" w:space="4" w:color="FF0000"/>
          <w:bottom w:val="single" w:sz="12" w:space="1" w:color="FF0000"/>
          <w:right w:val="single" w:sz="12" w:space="4" w:color="FF0000"/>
        </w:pBdr>
        <w:spacing w:before="120" w:after="120"/>
      </w:pPr>
      <w:r>
        <w:t xml:space="preserve">-Un document en cours de validité attestant de </w:t>
      </w:r>
      <w:r>
        <w:rPr>
          <w:b/>
          <w:bCs/>
        </w:rPr>
        <w:t>l’immatriculation effective de la structure</w:t>
      </w:r>
      <w:r>
        <w:t xml:space="preserve"> (extrait K-bis ou équivalent) ;</w:t>
      </w:r>
    </w:p>
    <w:p w14:paraId="3DD23E74" w14:textId="77777777" w:rsidR="00BD2234" w:rsidRDefault="0093466E">
      <w:pPr>
        <w:pStyle w:val="RedaliaNormal"/>
        <w:pBdr>
          <w:top w:val="single" w:sz="12" w:space="1" w:color="FF0000"/>
          <w:left w:val="single" w:sz="12" w:space="4" w:color="FF0000"/>
          <w:bottom w:val="single" w:sz="12" w:space="1" w:color="FF0000"/>
          <w:right w:val="single" w:sz="12" w:space="4" w:color="FF0000"/>
        </w:pBdr>
        <w:spacing w:before="120" w:after="120"/>
      </w:pPr>
      <w:r>
        <w:t xml:space="preserve">-Une </w:t>
      </w:r>
      <w:r>
        <w:rPr>
          <w:b/>
          <w:bCs/>
        </w:rPr>
        <w:t>attestation</w:t>
      </w:r>
      <w:r>
        <w:t xml:space="preserve"> en cours de validité délivrée par les autorités compétentes certifiant que le candidat est à jour de ses </w:t>
      </w:r>
      <w:r>
        <w:rPr>
          <w:b/>
          <w:bCs/>
        </w:rPr>
        <w:t>obligations sociales</w:t>
      </w:r>
      <w:r>
        <w:t xml:space="preserve"> (URSSAF, RSI, AGESSA, MDA...) ;</w:t>
      </w:r>
    </w:p>
    <w:p w14:paraId="45B2B9F6" w14:textId="77777777" w:rsidR="00BD2234" w:rsidRDefault="0093466E">
      <w:pPr>
        <w:pStyle w:val="RedaliaNormal"/>
        <w:pBdr>
          <w:top w:val="single" w:sz="12" w:space="1" w:color="FF0000"/>
          <w:left w:val="single" w:sz="12" w:space="4" w:color="FF0000"/>
          <w:bottom w:val="single" w:sz="12" w:space="1" w:color="FF0000"/>
          <w:right w:val="single" w:sz="12" w:space="4" w:color="FF0000"/>
        </w:pBdr>
        <w:spacing w:before="120" w:after="120"/>
      </w:pPr>
      <w:r>
        <w:t xml:space="preserve">-La </w:t>
      </w:r>
      <w:r>
        <w:rPr>
          <w:b/>
          <w:bCs/>
        </w:rPr>
        <w:t>liste nominative des travailleurs étrangers hors CE</w:t>
      </w:r>
      <w:r>
        <w:t xml:space="preserve"> ou détachés, employés par la structure ou à défaut une attestation sur l’honneur de non emploi de travailleurs étrangers hors CE (daté de moins de 6 mois) ;</w:t>
      </w:r>
    </w:p>
    <w:p w14:paraId="7494F9B1" w14:textId="77777777" w:rsidR="00BD2234" w:rsidRDefault="0093466E">
      <w:pPr>
        <w:pStyle w:val="RedaliaNormal"/>
        <w:pBdr>
          <w:top w:val="single" w:sz="12" w:space="1" w:color="FF0000"/>
          <w:left w:val="single" w:sz="12" w:space="4" w:color="FF0000"/>
          <w:bottom w:val="single" w:sz="12" w:space="1" w:color="FF0000"/>
          <w:right w:val="single" w:sz="12" w:space="4" w:color="FF0000"/>
        </w:pBdr>
        <w:spacing w:before="120" w:after="120"/>
      </w:pPr>
      <w:r>
        <w:t xml:space="preserve">-Une </w:t>
      </w:r>
      <w:r>
        <w:rPr>
          <w:b/>
          <w:bCs/>
        </w:rPr>
        <w:t>attestation fiscale</w:t>
      </w:r>
      <w:r>
        <w:t xml:space="preserve"> en cours de validité délivrée par les autorités compétentes certifiant que le candidat est à jour de ses </w:t>
      </w:r>
      <w:r>
        <w:rPr>
          <w:b/>
          <w:bCs/>
        </w:rPr>
        <w:t>obligations fiscales</w:t>
      </w:r>
      <w:r>
        <w:t xml:space="preserve"> ;</w:t>
      </w:r>
    </w:p>
    <w:p w14:paraId="123BE7A6" w14:textId="77777777" w:rsidR="00BD2234" w:rsidRDefault="0093466E">
      <w:pPr>
        <w:pStyle w:val="RedaliaNormal"/>
        <w:pBdr>
          <w:top w:val="single" w:sz="12" w:space="1" w:color="FF0000"/>
          <w:left w:val="single" w:sz="12" w:space="4" w:color="FF0000"/>
          <w:bottom w:val="single" w:sz="12" w:space="1" w:color="FF0000"/>
          <w:right w:val="single" w:sz="12" w:space="4" w:color="FF0000"/>
        </w:pBdr>
        <w:spacing w:before="120" w:after="120"/>
      </w:pPr>
      <w:r>
        <w:t xml:space="preserve">-Une </w:t>
      </w:r>
      <w:r>
        <w:rPr>
          <w:b/>
          <w:bCs/>
        </w:rPr>
        <w:t xml:space="preserve">attestation d’assurances de responsabilité civile </w:t>
      </w:r>
      <w:r>
        <w:t>et / ou professionnelle en cours de validité.</w:t>
      </w:r>
    </w:p>
    <w:p w14:paraId="1F3297F5" w14:textId="77777777" w:rsidR="00BD2234" w:rsidRDefault="0093466E">
      <w:pPr>
        <w:pStyle w:val="RedaliaNormal"/>
        <w:spacing w:before="120" w:after="120"/>
      </w:pPr>
      <w:r>
        <w:lastRenderedPageBreak/>
        <w:t>Afin de satisfaire à cette dernière obligation, le candidat établi dans un autre Etat que la France doit produire un certificat établi par les administrations et organismes du pays d’origine. Lorsqu’un tel certificat n’est pas délivré par le pays concerné, il peut être remplacé par une déclaration sous serment, ou dans les Etats où un tel serment n’existe pas, par une déclaration solennelle faite par l’intéressé devant l’autorité judiciaire ou administrative compétente, un notaire ou un organisme professionnel qualifié du pays.</w:t>
      </w:r>
    </w:p>
    <w:p w14:paraId="72FC64DF" w14:textId="77777777" w:rsidR="00BD2234" w:rsidRDefault="0093466E">
      <w:pPr>
        <w:pStyle w:val="RedaliaNormal"/>
        <w:spacing w:before="120" w:after="120"/>
      </w:pPr>
      <w:r>
        <w:t>À défaut de produire ces documents dans le délai fixé, l’offre du candidat attributaire sera rejetée et il sera éliminé.</w:t>
      </w:r>
    </w:p>
    <w:p w14:paraId="57B6BB2B" w14:textId="77777777" w:rsidR="00BD2234" w:rsidRDefault="0093466E">
      <w:pPr>
        <w:pStyle w:val="RedaliaNormal"/>
        <w:spacing w:before="120" w:after="120"/>
      </w:pPr>
      <w:r>
        <w:t>Le candidat suivant sera alors sollicité pour produire les certificats et attestations nécessaires avant que l'accord-cadre ne lui soit attribué.</w:t>
      </w:r>
    </w:p>
    <w:p w14:paraId="183739B7" w14:textId="77777777" w:rsidR="00BD2234" w:rsidRDefault="0093466E">
      <w:pPr>
        <w:pStyle w:val="RedaliaTitre1"/>
      </w:pPr>
      <w:bookmarkStart w:id="38" w:name="_Toc79067703"/>
      <w:bookmarkStart w:id="39" w:name="__RefHeading___Toc9393_844897495"/>
      <w:r>
        <w:t>Conditions d’envoi et de remise des candidatures et des offres</w:t>
      </w:r>
      <w:bookmarkEnd w:id="38"/>
      <w:bookmarkEnd w:id="39"/>
    </w:p>
    <w:p w14:paraId="19ADD3D6" w14:textId="77777777" w:rsidR="00BD2234" w:rsidRDefault="0093466E">
      <w:pPr>
        <w:pStyle w:val="RedaliaNormal"/>
      </w:pPr>
      <w:r>
        <w:t>La transmission des documents par voie électronique ne peut être réalisée qu’à l’adresse suivante : https://www.marches-publics.gouv.fr/.</w:t>
      </w:r>
    </w:p>
    <w:p w14:paraId="3CA46E9E" w14:textId="77777777" w:rsidR="00BD2234" w:rsidRDefault="0093466E">
      <w:pPr>
        <w:pStyle w:val="RedaliaNormal"/>
      </w:pPr>
      <w:r>
        <w:t>Le fuseau horaire de référence sera celui de (GMT+01:00) Paris, Bruxelles, Copenhague, Madrid.</w:t>
      </w:r>
    </w:p>
    <w:p w14:paraId="0B346DE1" w14:textId="77777777" w:rsidR="00BD2234" w:rsidRDefault="0093466E">
      <w:pPr>
        <w:pStyle w:val="RedaliaNormal"/>
      </w:pPr>
      <w:r>
        <w:t>Chaque transmission fera l’objet d’une date certaine de réception et d’un accusé de réception électronique.</w:t>
      </w:r>
    </w:p>
    <w:p w14:paraId="75681957" w14:textId="77777777" w:rsidR="00BD2234" w:rsidRDefault="0093466E">
      <w:pPr>
        <w:pStyle w:val="RedaliaNormal"/>
      </w:pPr>
      <w:r>
        <w:t xml:space="preserve">Il est fortement recommandé d’initier le dépôt d’offre </w:t>
      </w:r>
      <w:r>
        <w:rPr>
          <w:b/>
        </w:rPr>
        <w:t>au moins 2 heures avant la DLRO.</w:t>
      </w:r>
    </w:p>
    <w:p w14:paraId="35A11F2F" w14:textId="77777777" w:rsidR="00BD2234" w:rsidRDefault="0093466E">
      <w:pPr>
        <w:pStyle w:val="RedaliaNormal"/>
      </w:pPr>
      <w:r>
        <w:t>En cas de difficultés, veuillez contacter la hotline PLACE.</w:t>
      </w:r>
    </w:p>
    <w:p w14:paraId="01361C3B" w14:textId="77777777" w:rsidR="00BD2234" w:rsidRDefault="00BD2234">
      <w:pPr>
        <w:pStyle w:val="RedaliaNormal"/>
      </w:pPr>
    </w:p>
    <w:p w14:paraId="13E5A1DC" w14:textId="77777777" w:rsidR="00BD2234" w:rsidRDefault="0093466E">
      <w:pPr>
        <w:pStyle w:val="RedaliaNormal"/>
      </w:pPr>
      <w:r>
        <w:rPr>
          <w:u w:val="single"/>
        </w:rPr>
        <w:t>Copie de sauvegarde</w:t>
      </w:r>
      <w:r>
        <w:t xml:space="preserve"> :</w:t>
      </w:r>
    </w:p>
    <w:p w14:paraId="6B7F1EA8" w14:textId="77777777" w:rsidR="00BD2234" w:rsidRDefault="00BD2234">
      <w:pPr>
        <w:pStyle w:val="RedaliaNormal"/>
      </w:pPr>
    </w:p>
    <w:p w14:paraId="06C7FF0B" w14:textId="77777777" w:rsidR="00BD2234" w:rsidRDefault="0093466E">
      <w:pPr>
        <w:pStyle w:val="RedaliaNormal"/>
      </w:pPr>
      <w:r>
        <w:t>Les candidats peuvent également transmettre, dans les délais impartis pour la remise des plis, une copie de sauvegarde sur support physique électronique (clé USB) ou sur support papier. Cette copie est transmise à l’adresse ci-dessous, sous pli scellé et comporte obligatoirement la mention : « copie de sauvegarde », l’identification de la procédure concernée et les coordonnées de l’entreprise :</w:t>
      </w:r>
    </w:p>
    <w:p w14:paraId="4190095C" w14:textId="77777777" w:rsidR="00BD2234" w:rsidRDefault="0093466E">
      <w:pPr>
        <w:pStyle w:val="RedaliaNormal"/>
        <w:jc w:val="center"/>
        <w:rPr>
          <w:b/>
          <w:bCs/>
        </w:rPr>
      </w:pPr>
      <w:r>
        <w:rPr>
          <w:b/>
          <w:bCs/>
        </w:rPr>
        <w:t>Département des Achats Groupe (DAG)</w:t>
      </w:r>
    </w:p>
    <w:p w14:paraId="4DC3E962" w14:textId="77777777" w:rsidR="00BD2234" w:rsidRDefault="0093466E">
      <w:pPr>
        <w:pStyle w:val="RedaliaNormal"/>
        <w:jc w:val="center"/>
      </w:pPr>
      <w:r>
        <w:t>5 Rue Roland Barthes</w:t>
      </w:r>
    </w:p>
    <w:p w14:paraId="6FDD4212" w14:textId="77777777" w:rsidR="00BD2234" w:rsidRDefault="0093466E">
      <w:pPr>
        <w:pStyle w:val="RedaliaNormal"/>
        <w:jc w:val="center"/>
      </w:pPr>
      <w:r>
        <w:t>75012 Paris</w:t>
      </w:r>
    </w:p>
    <w:p w14:paraId="163C94D8" w14:textId="77777777" w:rsidR="00BD2234" w:rsidRDefault="0093466E">
      <w:pPr>
        <w:pStyle w:val="RedaliaNormal"/>
        <w:jc w:val="center"/>
      </w:pPr>
      <w:r>
        <w:t>FRANCE</w:t>
      </w:r>
    </w:p>
    <w:p w14:paraId="2D26CFF4" w14:textId="77777777" w:rsidR="00BD2234" w:rsidRDefault="0093466E">
      <w:pPr>
        <w:pStyle w:val="RedaliaNormal"/>
      </w:pPr>
      <w:r>
        <w:t>Les documents de la copie de sauvegarde doivent être signés (pour les documents dont la signature est obligatoire). Si le support physique choisi est électronique, la signature est électronique.</w:t>
      </w:r>
    </w:p>
    <w:p w14:paraId="450480EF" w14:textId="77777777" w:rsidR="00BD2234" w:rsidRDefault="00BD2234">
      <w:pPr>
        <w:pStyle w:val="RedaliaNormal"/>
      </w:pPr>
    </w:p>
    <w:p w14:paraId="58D31AA1" w14:textId="77777777" w:rsidR="00BD2234" w:rsidRDefault="0093466E">
      <w:pPr>
        <w:pStyle w:val="RedaliaNormal"/>
      </w:pPr>
      <w:r>
        <w:t>Cette copie de sauvegarde pourra être ouverte dans les cas décrits à l’article 2 II de l’arrêté du 22 mars 2019 fixant les modalités de mise à disposition des documents de la consultation et de la copie de sauvegarde.</w:t>
      </w:r>
    </w:p>
    <w:p w14:paraId="35B1691B" w14:textId="77777777" w:rsidR="00BD2234" w:rsidRDefault="00BD2234">
      <w:pPr>
        <w:pStyle w:val="RedaliaNormal"/>
      </w:pPr>
    </w:p>
    <w:p w14:paraId="721A09BF" w14:textId="77777777" w:rsidR="00BD2234" w:rsidRDefault="0093466E">
      <w:pPr>
        <w:pStyle w:val="RedaliaNormal"/>
      </w:pPr>
      <w:r>
        <w:t>Les plis contenant la copie de sauvegarde, non ouverts, seront détruits à l’issue de la procédure par le pouvoir adjudicateur.</w:t>
      </w:r>
    </w:p>
    <w:p w14:paraId="6BF4D587" w14:textId="77777777" w:rsidR="00BD2234" w:rsidRDefault="0093466E">
      <w:pPr>
        <w:pStyle w:val="RedaliaTitre1"/>
      </w:pPr>
      <w:bookmarkStart w:id="40" w:name="_Toc79067704"/>
      <w:bookmarkStart w:id="41" w:name="__RefHeading___Toc9395_844897495"/>
      <w:r>
        <w:t>Renseignements complémentaires</w:t>
      </w:r>
      <w:bookmarkEnd w:id="40"/>
      <w:bookmarkEnd w:id="41"/>
    </w:p>
    <w:p w14:paraId="2AB080AC" w14:textId="77777777" w:rsidR="00BD2234" w:rsidRDefault="0093466E">
      <w:pPr>
        <w:pStyle w:val="RedaliaNormal"/>
      </w:pPr>
      <w:r>
        <w:t>Pour obtenir tous les renseignements complémentaires relatifs à cette consultation, les candidats devront faire parvenir leur demande :</w:t>
      </w:r>
    </w:p>
    <w:p w14:paraId="50451E3A" w14:textId="77777777" w:rsidR="00BD2234" w:rsidRDefault="0093466E">
      <w:pPr>
        <w:pStyle w:val="RdaliaRetraitniveau2"/>
        <w:numPr>
          <w:ilvl w:val="0"/>
          <w:numId w:val="20"/>
        </w:numPr>
      </w:pPr>
      <w:r>
        <w:t xml:space="preserve">De manière électronique, exclusivement sur la plateforme de dématérialisation, sur l’URL </w:t>
      </w:r>
      <w:r>
        <w:lastRenderedPageBreak/>
        <w:t>suivante : https://www.marches-publics.gouv.fr/</w:t>
      </w:r>
    </w:p>
    <w:p w14:paraId="06A56573" w14:textId="77777777" w:rsidR="00BD2234" w:rsidRDefault="0093466E">
      <w:pPr>
        <w:pStyle w:val="RedaliaNormal"/>
      </w:pPr>
      <w:r>
        <w:t>Lors du téléchargement du dossier de consultation, il est recommandé à l’entreprise de créer un compte sur la plateforme de dématérialisation où il renseignera notamment le nom de l’organisme soumissionnaire, et une adresse électronique afin de la tenir informée des modifications éventuelles intervenant en cours d’une procédure (ajout d’une pièce au DCE, envoi d’une liste de réponses aux questions reçues…).</w:t>
      </w:r>
    </w:p>
    <w:p w14:paraId="1231A01B" w14:textId="77777777" w:rsidR="00BD2234" w:rsidRDefault="00BD2234">
      <w:pPr>
        <w:pStyle w:val="RedaliaNormal"/>
      </w:pPr>
    </w:p>
    <w:p w14:paraId="14D7EF8C" w14:textId="77777777" w:rsidR="00BD2234" w:rsidRDefault="0093466E">
      <w:pPr>
        <w:pStyle w:val="RedaliaNormal"/>
      </w:pPr>
      <w:r>
        <w:t>Seules les demandes adressées au moins 6 jours avant la date limite de réception des offres feront l’objet d’une réponse de la part du pouvoir adjudicateur.</w:t>
      </w:r>
    </w:p>
    <w:p w14:paraId="3B0D8921" w14:textId="77777777" w:rsidR="00BD2234" w:rsidRDefault="0093466E">
      <w:pPr>
        <w:pStyle w:val="RedaliaNormal"/>
      </w:pPr>
      <w:r>
        <w:t>Une réponse sera adressée au plus tard 6 jours avant la date fixée pour la réception des offres aux candidats ayant téléchargé le dossier de consultation sur la plateforme de dématérialisation après s'être préalablement identifiés</w:t>
      </w:r>
    </w:p>
    <w:p w14:paraId="11528478" w14:textId="77777777" w:rsidR="00BD2234" w:rsidRDefault="0093466E">
      <w:pPr>
        <w:pStyle w:val="RedaliaNormal"/>
      </w:pPr>
      <w:r>
        <w:t xml:space="preserve">Concernant les informations relatives à la remise des offres dématérialisées, il convient de se reporter à l’article </w:t>
      </w:r>
      <w:r>
        <w:rPr>
          <w:i/>
          <w:iCs/>
        </w:rPr>
        <w:t>Conditions d’envoi et de remise des candidatures et/ou des offres</w:t>
      </w:r>
      <w:r>
        <w:t xml:space="preserve"> du présent document.</w:t>
      </w:r>
    </w:p>
    <w:p w14:paraId="25B09C07" w14:textId="77777777" w:rsidR="00BD2234" w:rsidRDefault="00BD2234">
      <w:pPr>
        <w:pStyle w:val="RedaliaNormal"/>
        <w:pageBreakBefore/>
      </w:pPr>
    </w:p>
    <w:p w14:paraId="035E875F" w14:textId="77777777" w:rsidR="00BD2234" w:rsidRDefault="00BD2234">
      <w:pPr>
        <w:pStyle w:val="RedaliaNormal"/>
        <w:pageBreakBefore/>
      </w:pPr>
    </w:p>
    <w:p w14:paraId="5C7BFE48" w14:textId="77777777" w:rsidR="00BD2234" w:rsidRDefault="00BD2234">
      <w:pPr>
        <w:pStyle w:val="RedaliaNormal"/>
      </w:pPr>
    </w:p>
    <w:p w14:paraId="1BD707E5" w14:textId="77777777" w:rsidR="00BD2234" w:rsidRDefault="0093466E">
      <w:pPr>
        <w:pStyle w:val="RedaliaTitre1"/>
      </w:pPr>
      <w:bookmarkStart w:id="42" w:name="__RefHeading___Toc9397_844897495"/>
      <w:r>
        <w:t>Annexe : Cadre de réponse imposé</w:t>
      </w:r>
      <w:bookmarkEnd w:id="42"/>
    </w:p>
    <w:p w14:paraId="235699B6" w14:textId="77777777" w:rsidR="00BD2234" w:rsidRDefault="00BD2234">
      <w:pPr>
        <w:pStyle w:val="RedaliaNormal"/>
      </w:pPr>
    </w:p>
    <w:p w14:paraId="4C539376" w14:textId="77777777" w:rsidR="00BD2234" w:rsidRPr="003C10EE" w:rsidRDefault="0093466E">
      <w:pPr>
        <w:pStyle w:val="RedaliaNormal"/>
        <w:rPr>
          <w:highlight w:val="yellow"/>
        </w:rPr>
      </w:pPr>
      <w:r>
        <w:t xml:space="preserve">Les réponses du Prestataire ne devront pas dépasser </w:t>
      </w:r>
      <w:r w:rsidRPr="003C10EE">
        <w:rPr>
          <w:color w:val="FF0000"/>
          <w:highlight w:val="yellow"/>
        </w:rPr>
        <w:t>XXX</w:t>
      </w:r>
      <w:r w:rsidRPr="003C10EE">
        <w:rPr>
          <w:highlight w:val="yellow"/>
        </w:rPr>
        <w:t xml:space="preserve"> pages et ne pas dépasser </w:t>
      </w:r>
      <w:r w:rsidRPr="003C10EE">
        <w:rPr>
          <w:color w:val="FF0000"/>
          <w:highlight w:val="yellow"/>
        </w:rPr>
        <w:t>XXX</w:t>
      </w:r>
      <w:r w:rsidRPr="003C10EE">
        <w:rPr>
          <w:highlight w:val="yellow"/>
        </w:rPr>
        <w:t xml:space="preserve"> Mo.</w:t>
      </w:r>
    </w:p>
    <w:p w14:paraId="3D4D067C" w14:textId="77777777" w:rsidR="00BD2234" w:rsidRPr="003C10EE" w:rsidRDefault="00BD2234">
      <w:pPr>
        <w:pStyle w:val="RedaliaNormal"/>
        <w:rPr>
          <w:highlight w:val="yellow"/>
        </w:rPr>
      </w:pPr>
    </w:p>
    <w:p w14:paraId="4EFE9D1C" w14:textId="77777777" w:rsidR="00BD2234" w:rsidRDefault="0093466E">
      <w:pPr>
        <w:pStyle w:val="RedaliaNormal"/>
      </w:pPr>
      <w:r w:rsidRPr="003C10EE">
        <w:rPr>
          <w:highlight w:val="yellow"/>
        </w:rPr>
        <w:t xml:space="preserve">Ces réponses devront impérativement respecter le canevas suivant : </w:t>
      </w:r>
      <w:r w:rsidRPr="003C10EE">
        <w:rPr>
          <w:color w:val="FF0000"/>
          <w:highlight w:val="yellow"/>
        </w:rPr>
        <w:t>(mettre à jour en fonction du besoin du prescripteur)</w:t>
      </w:r>
    </w:p>
    <w:p w14:paraId="18DE21C0" w14:textId="77777777" w:rsidR="00BD2234" w:rsidRDefault="00BD2234">
      <w:pPr>
        <w:pStyle w:val="RedaliaNormal"/>
      </w:pPr>
    </w:p>
    <w:p w14:paraId="1CC18FC7" w14:textId="77777777" w:rsidR="00BD2234" w:rsidRDefault="00BD2234">
      <w:pPr>
        <w:pStyle w:val="RedaliaNormal"/>
      </w:pPr>
    </w:p>
    <w:p w14:paraId="48B594A4" w14:textId="77777777" w:rsidR="00BD2234" w:rsidRDefault="0093466E">
      <w:pPr>
        <w:pStyle w:val="RedaliaNormal"/>
        <w:shd w:val="clear" w:color="auto" w:fill="C5E0B3"/>
        <w:rPr>
          <w:b/>
          <w:bCs/>
          <w:sz w:val="24"/>
          <w:szCs w:val="24"/>
        </w:rPr>
      </w:pPr>
      <w:r>
        <w:rPr>
          <w:b/>
          <w:bCs/>
          <w:sz w:val="24"/>
          <w:szCs w:val="24"/>
        </w:rPr>
        <w:t>A - Résumé de votre offre</w:t>
      </w:r>
    </w:p>
    <w:p w14:paraId="79143F20" w14:textId="77777777" w:rsidR="00BD2234" w:rsidRDefault="00BD2234">
      <w:pPr>
        <w:pStyle w:val="RedaliaNormal"/>
      </w:pPr>
    </w:p>
    <w:p w14:paraId="18C6AFE1" w14:textId="77777777" w:rsidR="00BD2234" w:rsidRDefault="0093466E">
      <w:pPr>
        <w:pStyle w:val="RedaliaNormal"/>
      </w:pPr>
      <w:r>
        <w:rPr>
          <w:b/>
          <w:bCs/>
        </w:rPr>
        <w:t>A.1</w:t>
      </w:r>
      <w:r>
        <w:t xml:space="preserve"> - Compréhension des attentes de l'AFD</w:t>
      </w:r>
    </w:p>
    <w:p w14:paraId="19560AF4" w14:textId="77777777" w:rsidR="00BD2234" w:rsidRDefault="0093466E">
      <w:pPr>
        <w:pStyle w:val="RedaliaNormal"/>
      </w:pPr>
      <w:r>
        <w:rPr>
          <w:b/>
          <w:bCs/>
        </w:rPr>
        <w:t>A.2</w:t>
      </w:r>
      <w:r>
        <w:t xml:space="preserve"> - Synthèse des étapes de votre intervention</w:t>
      </w:r>
    </w:p>
    <w:p w14:paraId="14EEFFAB" w14:textId="77777777" w:rsidR="00BD2234" w:rsidRDefault="0093466E">
      <w:pPr>
        <w:pStyle w:val="RedaliaNormal"/>
      </w:pPr>
      <w:r>
        <w:rPr>
          <w:b/>
          <w:bCs/>
        </w:rPr>
        <w:t>A.3</w:t>
      </w:r>
      <w:r>
        <w:t xml:space="preserve"> - Calendrier général de la mission</w:t>
      </w:r>
    </w:p>
    <w:p w14:paraId="2FD31279" w14:textId="77777777" w:rsidR="00BD2234" w:rsidRDefault="00BD2234">
      <w:pPr>
        <w:pStyle w:val="RedaliaNormal"/>
      </w:pPr>
    </w:p>
    <w:p w14:paraId="4F786D25" w14:textId="77777777" w:rsidR="00BD2234" w:rsidRDefault="00BD2234">
      <w:pPr>
        <w:pStyle w:val="RedaliaNormal"/>
      </w:pPr>
    </w:p>
    <w:p w14:paraId="59FFFF54" w14:textId="77777777" w:rsidR="00BD2234" w:rsidRDefault="0093466E">
      <w:pPr>
        <w:pStyle w:val="RedaliaNormal"/>
        <w:shd w:val="clear" w:color="auto" w:fill="C5E0B3"/>
        <w:rPr>
          <w:b/>
          <w:bCs/>
          <w:sz w:val="24"/>
          <w:szCs w:val="24"/>
        </w:rPr>
      </w:pPr>
      <w:r>
        <w:rPr>
          <w:b/>
          <w:bCs/>
          <w:sz w:val="24"/>
          <w:szCs w:val="24"/>
        </w:rPr>
        <w:t>B - Points forts et valeur ajoutée de votre offre pour effectuer cette mission</w:t>
      </w:r>
    </w:p>
    <w:p w14:paraId="4CF32004" w14:textId="77777777" w:rsidR="00BD2234" w:rsidRDefault="00BD2234">
      <w:pPr>
        <w:pStyle w:val="RedaliaNormal"/>
      </w:pPr>
    </w:p>
    <w:p w14:paraId="262025E0" w14:textId="77777777" w:rsidR="00BD2234" w:rsidRDefault="00BD2234">
      <w:pPr>
        <w:pStyle w:val="RedaliaNormal"/>
      </w:pPr>
    </w:p>
    <w:p w14:paraId="3A59D5D9" w14:textId="77777777" w:rsidR="00BD2234" w:rsidRDefault="0093466E">
      <w:pPr>
        <w:pStyle w:val="RedaliaNormal"/>
        <w:shd w:val="clear" w:color="auto" w:fill="C5E0B3"/>
        <w:rPr>
          <w:b/>
          <w:bCs/>
          <w:sz w:val="24"/>
          <w:szCs w:val="24"/>
        </w:rPr>
      </w:pPr>
      <w:r>
        <w:rPr>
          <w:b/>
          <w:bCs/>
          <w:sz w:val="24"/>
          <w:szCs w:val="24"/>
        </w:rPr>
        <w:t>C - Description détaillée de votre offre</w:t>
      </w:r>
    </w:p>
    <w:p w14:paraId="236DA6A6" w14:textId="77777777" w:rsidR="00BD2234" w:rsidRDefault="00BD2234">
      <w:pPr>
        <w:pStyle w:val="RedaliaNormal"/>
      </w:pPr>
    </w:p>
    <w:p w14:paraId="409EE65A" w14:textId="77777777" w:rsidR="00BD2234" w:rsidRDefault="0093466E">
      <w:pPr>
        <w:pStyle w:val="RedaliaNormal"/>
      </w:pPr>
      <w:r>
        <w:rPr>
          <w:b/>
          <w:bCs/>
        </w:rPr>
        <w:t>C.1</w:t>
      </w:r>
      <w:r>
        <w:t xml:space="preserve"> - Description détaillée du contenu des étapes proposées (diagnostic, analyses, scenarii, plan d’action, reporting…)</w:t>
      </w:r>
    </w:p>
    <w:p w14:paraId="2AF7DF71" w14:textId="77777777" w:rsidR="00BD2234" w:rsidRDefault="0093466E">
      <w:pPr>
        <w:pStyle w:val="RedaliaNormal"/>
      </w:pPr>
      <w:r>
        <w:rPr>
          <w:b/>
          <w:bCs/>
        </w:rPr>
        <w:t>C.2</w:t>
      </w:r>
      <w:r>
        <w:t xml:space="preserve"> - Moyens mis en œuvre</w:t>
      </w:r>
    </w:p>
    <w:p w14:paraId="0243B63D" w14:textId="77777777" w:rsidR="00BD2234" w:rsidRDefault="0093466E">
      <w:pPr>
        <w:pStyle w:val="RedaliaNormal"/>
      </w:pPr>
      <w:r>
        <w:rPr>
          <w:b/>
          <w:bCs/>
        </w:rPr>
        <w:t>C.3</w:t>
      </w:r>
      <w:r>
        <w:t xml:space="preserve"> - Instances et modalités pratiques de pilotage de la mission</w:t>
      </w:r>
    </w:p>
    <w:p w14:paraId="7AB300DF" w14:textId="77777777" w:rsidR="00BD2234" w:rsidRDefault="0093466E">
      <w:pPr>
        <w:pStyle w:val="RedaliaNormal"/>
      </w:pPr>
      <w:r>
        <w:rPr>
          <w:b/>
          <w:bCs/>
        </w:rPr>
        <w:t>C.4</w:t>
      </w:r>
      <w:r>
        <w:t xml:space="preserve"> - Tableau détaillé des livrables</w:t>
      </w:r>
    </w:p>
    <w:p w14:paraId="40356C7E" w14:textId="77777777" w:rsidR="00BD2234" w:rsidRDefault="0093466E">
      <w:pPr>
        <w:pStyle w:val="RedaliaNormal"/>
      </w:pPr>
      <w:r>
        <w:rPr>
          <w:b/>
          <w:bCs/>
        </w:rPr>
        <w:t>C.5</w:t>
      </w:r>
      <w:r>
        <w:t xml:space="preserve"> - Planning détaillé</w:t>
      </w:r>
    </w:p>
    <w:p w14:paraId="5C8FE388" w14:textId="77777777" w:rsidR="00BD2234" w:rsidRDefault="00BD2234">
      <w:pPr>
        <w:pStyle w:val="RedaliaNormal"/>
      </w:pPr>
    </w:p>
    <w:p w14:paraId="1718B65F" w14:textId="77777777" w:rsidR="00BD2234" w:rsidRDefault="00BD2234">
      <w:pPr>
        <w:pStyle w:val="RedaliaNormal"/>
      </w:pPr>
    </w:p>
    <w:p w14:paraId="2A190573" w14:textId="77777777" w:rsidR="00BD2234" w:rsidRDefault="0093466E">
      <w:pPr>
        <w:pStyle w:val="RedaliaNormal"/>
        <w:shd w:val="clear" w:color="auto" w:fill="C5E0B3"/>
        <w:rPr>
          <w:b/>
          <w:bCs/>
          <w:sz w:val="24"/>
          <w:szCs w:val="24"/>
        </w:rPr>
      </w:pPr>
      <w:r>
        <w:rPr>
          <w:b/>
          <w:bCs/>
          <w:sz w:val="24"/>
          <w:szCs w:val="24"/>
        </w:rPr>
        <w:t>D - Recommandations du prestataire pour la bonne réalisation de la mission</w:t>
      </w:r>
    </w:p>
    <w:p w14:paraId="1CF2C354" w14:textId="77777777" w:rsidR="00BD2234" w:rsidRDefault="00BD2234">
      <w:pPr>
        <w:pStyle w:val="RedaliaNormal"/>
      </w:pPr>
    </w:p>
    <w:p w14:paraId="283C29FC" w14:textId="77777777" w:rsidR="00BD2234" w:rsidRDefault="00BD2234">
      <w:pPr>
        <w:pStyle w:val="RedaliaNormal"/>
      </w:pPr>
    </w:p>
    <w:p w14:paraId="2723726E" w14:textId="77777777" w:rsidR="00BD2234" w:rsidRDefault="0093466E">
      <w:pPr>
        <w:pStyle w:val="RedaliaNormal"/>
        <w:shd w:val="clear" w:color="auto" w:fill="C5E0B3"/>
        <w:rPr>
          <w:b/>
          <w:bCs/>
          <w:sz w:val="24"/>
          <w:szCs w:val="24"/>
        </w:rPr>
      </w:pPr>
      <w:r>
        <w:rPr>
          <w:b/>
          <w:bCs/>
          <w:sz w:val="24"/>
          <w:szCs w:val="24"/>
        </w:rPr>
        <w:t>E - Présentation de l’équipe qui interviendra sur la présente mission</w:t>
      </w:r>
    </w:p>
    <w:p w14:paraId="15E99D30" w14:textId="77777777" w:rsidR="00BD2234" w:rsidRDefault="00BD2234">
      <w:pPr>
        <w:pStyle w:val="RedaliaNormal"/>
      </w:pPr>
    </w:p>
    <w:p w14:paraId="3E3FE8E5" w14:textId="77777777" w:rsidR="00BD2234" w:rsidRDefault="0093466E">
      <w:pPr>
        <w:pStyle w:val="RedaliaNormal"/>
      </w:pPr>
      <w:r>
        <w:rPr>
          <w:b/>
          <w:bCs/>
        </w:rPr>
        <w:t>E.1</w:t>
      </w:r>
      <w:r>
        <w:t xml:space="preserve"> – Constitution de l’équipe et répartition des responsabilités entre ses membres</w:t>
      </w:r>
    </w:p>
    <w:p w14:paraId="34D66458" w14:textId="77777777" w:rsidR="00BD2234" w:rsidRDefault="0093466E">
      <w:pPr>
        <w:pStyle w:val="RedaliaNormal"/>
      </w:pPr>
      <w:r>
        <w:rPr>
          <w:b/>
          <w:bCs/>
        </w:rPr>
        <w:t>E.2</w:t>
      </w:r>
      <w:r>
        <w:t xml:space="preserve"> – CV des intervenants (3 pages maximum par intervenant)</w:t>
      </w:r>
    </w:p>
    <w:p w14:paraId="1FD464EE" w14:textId="77777777" w:rsidR="00BD2234" w:rsidRDefault="00BD2234">
      <w:pPr>
        <w:pStyle w:val="RedaliaNormal"/>
      </w:pPr>
    </w:p>
    <w:p w14:paraId="3230B396" w14:textId="77777777" w:rsidR="00BD2234" w:rsidRDefault="0093466E">
      <w:pPr>
        <w:pStyle w:val="RedaliaNormal"/>
        <w:shd w:val="clear" w:color="auto" w:fill="C5E0B3"/>
        <w:rPr>
          <w:b/>
          <w:bCs/>
          <w:sz w:val="24"/>
          <w:szCs w:val="24"/>
        </w:rPr>
      </w:pPr>
      <w:r>
        <w:rPr>
          <w:b/>
          <w:bCs/>
          <w:sz w:val="24"/>
          <w:szCs w:val="24"/>
        </w:rPr>
        <w:t>F – Considérations RSE</w:t>
      </w:r>
    </w:p>
    <w:p w14:paraId="11665304" w14:textId="77777777" w:rsidR="00BD2234" w:rsidRDefault="00BD2234">
      <w:pPr>
        <w:pStyle w:val="RedaliaNormal"/>
      </w:pPr>
    </w:p>
    <w:p w14:paraId="1D8B8BE9" w14:textId="77777777" w:rsidR="00BD2234" w:rsidRDefault="0093466E">
      <w:pPr>
        <w:pStyle w:val="RedaliaNormal"/>
      </w:pPr>
      <w:r>
        <w:rPr>
          <w:b/>
          <w:bCs/>
        </w:rPr>
        <w:t>F.1</w:t>
      </w:r>
      <w:r>
        <w:t xml:space="preserve"> – Action environnementale mise en place pour la prestation conformément au contrat</w:t>
      </w:r>
    </w:p>
    <w:p w14:paraId="0D8319C0" w14:textId="77777777" w:rsidR="00BD2234" w:rsidRDefault="0093466E">
      <w:pPr>
        <w:pStyle w:val="RedaliaNormal"/>
      </w:pPr>
      <w:r>
        <w:rPr>
          <w:b/>
          <w:bCs/>
        </w:rPr>
        <w:t>F.2</w:t>
      </w:r>
      <w:r>
        <w:t xml:space="preserve"> – Action sociale mise en place pour la prestation</w:t>
      </w:r>
    </w:p>
    <w:p w14:paraId="797FA5C0" w14:textId="77777777" w:rsidR="00BD2234" w:rsidRDefault="00BD2234">
      <w:pPr>
        <w:pStyle w:val="RedaliaNormal"/>
      </w:pPr>
    </w:p>
    <w:p w14:paraId="3106B023" w14:textId="77777777" w:rsidR="00BD2234" w:rsidRDefault="00BD2234">
      <w:pPr>
        <w:pStyle w:val="RedaliaNormal"/>
      </w:pPr>
    </w:p>
    <w:p w14:paraId="689FEC14" w14:textId="77777777" w:rsidR="00BD2234" w:rsidRDefault="0093466E">
      <w:pPr>
        <w:pStyle w:val="RedaliaTitre1"/>
      </w:pPr>
      <w:bookmarkStart w:id="43" w:name="_Toc170898465"/>
      <w:bookmarkStart w:id="44" w:name="__RefHeading___Toc9399_844897495"/>
      <w:r>
        <w:t>Annexe : Exigences relatives au certificat de signature</w:t>
      </w:r>
      <w:bookmarkEnd w:id="43"/>
      <w:bookmarkEnd w:id="44"/>
    </w:p>
    <w:p w14:paraId="5A30B266" w14:textId="77777777" w:rsidR="00BD2234" w:rsidRDefault="00BD2234">
      <w:pPr>
        <w:pStyle w:val="RedaliaNormal"/>
      </w:pPr>
    </w:p>
    <w:p w14:paraId="1938EBEB" w14:textId="77777777" w:rsidR="00BD2234" w:rsidRDefault="00BD2234">
      <w:pPr>
        <w:pStyle w:val="RedaliaNormal"/>
      </w:pPr>
    </w:p>
    <w:p w14:paraId="37BF4953" w14:textId="77777777" w:rsidR="00BD2234" w:rsidRDefault="0093466E">
      <w:pPr>
        <w:pStyle w:val="RedaliaNormal"/>
      </w:pPr>
      <w:r>
        <w:rPr>
          <w:u w:val="single"/>
        </w:rPr>
        <w:t>Certificat de signature</w:t>
      </w:r>
      <w:r>
        <w:t xml:space="preserve"> :</w:t>
      </w:r>
    </w:p>
    <w:p w14:paraId="406CBC69" w14:textId="77777777" w:rsidR="00BD2234" w:rsidRDefault="00BD2234">
      <w:pPr>
        <w:pStyle w:val="RedaliaNormal"/>
      </w:pPr>
    </w:p>
    <w:p w14:paraId="2684D805" w14:textId="77777777" w:rsidR="00BD2234" w:rsidRDefault="0093466E">
      <w:pPr>
        <w:pStyle w:val="RedaliaNormal"/>
      </w:pPr>
      <w:r>
        <w:t>Le certificat de signature du signataire doit être conforme au règlement « eIDAS » ou équivalent et respecter le niveau de sécurité exigé. Le RGS (référentiel général de sécurité) est remplacé par le règlement « eIDAS » depuis le 1er octobre 2018.</w:t>
      </w:r>
    </w:p>
    <w:p w14:paraId="5160036B" w14:textId="77777777" w:rsidR="00BD2234" w:rsidRDefault="0093466E">
      <w:pPr>
        <w:pStyle w:val="RedaliaNormal"/>
      </w:pPr>
      <w:r>
        <w:t>Néanmoins, les candidats disposant déjà d’un certificat « RGS », celui-ci reste utilisable jusqu’au terme de sa période de validité.</w:t>
      </w:r>
    </w:p>
    <w:p w14:paraId="6B700446" w14:textId="77777777" w:rsidR="00BD2234" w:rsidRDefault="00BD2234">
      <w:pPr>
        <w:pStyle w:val="RedaliaNormal"/>
      </w:pPr>
    </w:p>
    <w:p w14:paraId="4360DA8E" w14:textId="77777777" w:rsidR="00BD2234" w:rsidRDefault="0093466E">
      <w:pPr>
        <w:pStyle w:val="RedaliaNormal"/>
      </w:pPr>
      <w:r>
        <w:rPr>
          <w:b/>
        </w:rPr>
        <w:t>- Cas 1 : Certificat émis par une Autorité de certification « reconnue » - Aucun justificatif à fournir</w:t>
      </w:r>
    </w:p>
    <w:p w14:paraId="75AD4D6E" w14:textId="77777777" w:rsidR="00BD2234" w:rsidRDefault="00BD2234">
      <w:pPr>
        <w:pStyle w:val="RedaliaNormal"/>
      </w:pPr>
    </w:p>
    <w:p w14:paraId="1480589E" w14:textId="77777777" w:rsidR="00BD2234" w:rsidRDefault="0093466E">
      <w:pPr>
        <w:pStyle w:val="RedaliaNormal"/>
      </w:pPr>
      <w:r>
        <w:t>Le certificat de signature est émis par une Autorité de certification mentionnée dans la liste de confiance suivante :</w:t>
      </w:r>
    </w:p>
    <w:p w14:paraId="1AD46F5B" w14:textId="77777777" w:rsidR="00BD2234" w:rsidRDefault="0093466E">
      <w:pPr>
        <w:pStyle w:val="RedaliaNormal"/>
        <w:jc w:val="center"/>
      </w:pPr>
      <w:r>
        <w:t>https://www.ssi.gouv.fr/administration/visa-de-securite/</w:t>
      </w:r>
    </w:p>
    <w:p w14:paraId="62C0B43F" w14:textId="77777777" w:rsidR="00BD2234" w:rsidRDefault="00BD2234">
      <w:pPr>
        <w:pStyle w:val="RedaliaNormal"/>
      </w:pPr>
    </w:p>
    <w:p w14:paraId="15CFCBF3" w14:textId="77777777" w:rsidR="00BD2234" w:rsidRDefault="0093466E">
      <w:pPr>
        <w:pStyle w:val="RedaliaNormal"/>
      </w:pPr>
      <w:r>
        <w:t>Les candidats européens trouveront également la liste complète des prestataires sur la liste de confiance tenue par la Commission européenne :</w:t>
      </w:r>
    </w:p>
    <w:p w14:paraId="5FCFF4CE" w14:textId="77777777" w:rsidR="00BD2234" w:rsidRDefault="00045BA2">
      <w:pPr>
        <w:pStyle w:val="RedaliaNormal"/>
        <w:jc w:val="center"/>
      </w:pPr>
      <w:hyperlink r:id="rId10" w:anchor="/tl/FR" w:history="1">
        <w:r w:rsidR="0093466E">
          <w:rPr>
            <w:rStyle w:val="Lienhypertexte"/>
          </w:rPr>
          <w:t>https://webgate.ec.europa.eu/tl-browser/#/tl/FR</w:t>
        </w:r>
      </w:hyperlink>
    </w:p>
    <w:p w14:paraId="47EF6045" w14:textId="77777777" w:rsidR="00BD2234" w:rsidRDefault="00BD2234">
      <w:pPr>
        <w:pStyle w:val="RedaliaNormal"/>
      </w:pPr>
    </w:p>
    <w:p w14:paraId="454D2450" w14:textId="77777777" w:rsidR="00BD2234" w:rsidRDefault="0093466E">
      <w:pPr>
        <w:pStyle w:val="RedaliaNormal"/>
      </w:pPr>
      <w:r>
        <w:t>Dans ce cas, le soumissionnaire n’a aucun justificatif à fournir sur le certificat de signature utilisé pour signer sa réponse.</w:t>
      </w:r>
    </w:p>
    <w:p w14:paraId="3B76E475" w14:textId="77777777" w:rsidR="00BD2234" w:rsidRDefault="00BD2234">
      <w:pPr>
        <w:pStyle w:val="RedaliaNormal"/>
      </w:pPr>
    </w:p>
    <w:p w14:paraId="5B273CB6" w14:textId="77777777" w:rsidR="00BD2234" w:rsidRDefault="0093466E">
      <w:pPr>
        <w:pStyle w:val="RedaliaNormal"/>
      </w:pPr>
      <w:r>
        <w:rPr>
          <w:b/>
        </w:rPr>
        <w:t>- Cas 2 : Le certificat de signature électronique n’est pas référencé sur une liste de confiance - Différents justificatifs à fournir</w:t>
      </w:r>
    </w:p>
    <w:p w14:paraId="0B50F4A7" w14:textId="77777777" w:rsidR="00BD2234" w:rsidRDefault="00BD2234">
      <w:pPr>
        <w:pStyle w:val="RedaliaNormal"/>
      </w:pPr>
    </w:p>
    <w:p w14:paraId="3BC658AD" w14:textId="77777777" w:rsidR="00BD2234" w:rsidRDefault="0093466E">
      <w:pPr>
        <w:pStyle w:val="RedaliaNormal"/>
      </w:pPr>
      <w:r>
        <w:t>La plateforme de dématérialisation accepte tous les certificats de signature électronique présentant des conditions de sécurité équivalentes à celles du Référentiel général de sécurité (RGS) et « eIDAS ».</w:t>
      </w:r>
    </w:p>
    <w:p w14:paraId="4344AC8E" w14:textId="77777777" w:rsidR="00BD2234" w:rsidRDefault="0093466E">
      <w:pPr>
        <w:pStyle w:val="RedaliaNormal"/>
      </w:pPr>
      <w:r>
        <w:t>Le candidat s’assure par lui-même que le certificat qu’il utilise est au moins conforme au niveau de sécurité défini par le Référentiel général de sécurité (RGS) ou « eIDAS », et en fournit les justificatifs dans sa réponse électronique.</w:t>
      </w:r>
    </w:p>
    <w:p w14:paraId="3C9C96E8" w14:textId="77777777" w:rsidR="00BD2234" w:rsidRDefault="0093466E">
      <w:pPr>
        <w:pStyle w:val="RedaliaNormal"/>
      </w:pPr>
      <w:r>
        <w:t>Le candidat fournit également tous les éléments techniques permettant au pouvoir adjudicateur de s’assurer de la bonne validité technique du certificat utilisé.</w:t>
      </w:r>
    </w:p>
    <w:p w14:paraId="5E561B85" w14:textId="77777777" w:rsidR="00BD2234" w:rsidRDefault="00BD2234">
      <w:pPr>
        <w:pStyle w:val="RedaliaNormal"/>
      </w:pPr>
    </w:p>
    <w:p w14:paraId="286AA3F8" w14:textId="77777777" w:rsidR="00BD2234" w:rsidRDefault="0093466E">
      <w:pPr>
        <w:pStyle w:val="RedaliaNormal"/>
      </w:pPr>
      <w:r>
        <w:t>Ainsi, le signataire doit transmettre avec sa réponse électronique les éléments suivants :</w:t>
      </w:r>
    </w:p>
    <w:p w14:paraId="1E213517" w14:textId="77777777" w:rsidR="00BD2234" w:rsidRDefault="00BD2234">
      <w:pPr>
        <w:pStyle w:val="RedaliaNormal"/>
      </w:pPr>
    </w:p>
    <w:p w14:paraId="7AFE7E95" w14:textId="77777777" w:rsidR="00BD2234" w:rsidRDefault="0093466E">
      <w:pPr>
        <w:pStyle w:val="RedaliaNormal"/>
      </w:pPr>
      <w:r>
        <w:t xml:space="preserve">     a) tout élément permettant la vérification de la qualité et du niveau de sécurité du certificat de signature (preuve de la qualification de l’Autorité de certification, politique de certification, adresse du site internet du référencement de l’Autorité de certification),</w:t>
      </w:r>
    </w:p>
    <w:p w14:paraId="104B020F" w14:textId="77777777" w:rsidR="00BD2234" w:rsidRDefault="0093466E">
      <w:pPr>
        <w:pStyle w:val="RedaliaNormal"/>
      </w:pPr>
      <w:r>
        <w:t xml:space="preserve">     b) les outils techniques de vérification du certificat (chaîne de certification complète jusqu’à l’Autorité de Certification racine, adresse de téléchargement de la dernière mise à jour de la liste de </w:t>
      </w:r>
      <w:r>
        <w:lastRenderedPageBreak/>
        <w:t>révocation des certificats).</w:t>
      </w:r>
    </w:p>
    <w:p w14:paraId="289AAA87" w14:textId="77777777" w:rsidR="00BD2234" w:rsidRDefault="00BD2234">
      <w:pPr>
        <w:pStyle w:val="RedaliaNormal"/>
      </w:pPr>
    </w:p>
    <w:p w14:paraId="508CD5E8" w14:textId="77777777" w:rsidR="00BD2234" w:rsidRDefault="0093466E">
      <w:pPr>
        <w:pStyle w:val="RedaliaNormal"/>
      </w:pPr>
      <w:r>
        <w:t>Il est précisé que tous ces éléments doivent être d’accès et d’utilisation gratuits pour l’acheteur, et être accompagnés le cas échéant de notices d’utilisation claires.</w:t>
      </w:r>
    </w:p>
    <w:p w14:paraId="45F70F74" w14:textId="77777777" w:rsidR="00BD2234" w:rsidRDefault="00BD2234">
      <w:pPr>
        <w:pStyle w:val="RedaliaNormal"/>
      </w:pPr>
    </w:p>
    <w:p w14:paraId="3218BDBE" w14:textId="77777777" w:rsidR="00BD2234" w:rsidRDefault="0093466E">
      <w:pPr>
        <w:pStyle w:val="RedaliaNormal"/>
      </w:pPr>
      <w:r>
        <w:rPr>
          <w:u w:val="single"/>
        </w:rPr>
        <w:t>Outil de signature utilisé pour signer les fichiers</w:t>
      </w:r>
      <w:r>
        <w:t xml:space="preserve"> :</w:t>
      </w:r>
    </w:p>
    <w:p w14:paraId="7A33EB60" w14:textId="77777777" w:rsidR="00BD2234" w:rsidRDefault="00BD2234">
      <w:pPr>
        <w:pStyle w:val="RedaliaNormal"/>
      </w:pPr>
    </w:p>
    <w:p w14:paraId="34D9BB69" w14:textId="77777777" w:rsidR="00BD2234" w:rsidRDefault="0093466E">
      <w:pPr>
        <w:pStyle w:val="RedaliaNormal"/>
      </w:pPr>
      <w:r>
        <w:t>La réglementation autorise le soumissionnaire à utiliser l’outil de signature de son choix.</w:t>
      </w:r>
    </w:p>
    <w:p w14:paraId="1FF77699" w14:textId="77777777" w:rsidR="00BD2234" w:rsidRDefault="00BD2234">
      <w:pPr>
        <w:pStyle w:val="RedaliaNormal"/>
      </w:pPr>
    </w:p>
    <w:p w14:paraId="738DA20C" w14:textId="77777777" w:rsidR="00BD2234" w:rsidRDefault="0093466E">
      <w:pPr>
        <w:pStyle w:val="RedaliaNormal"/>
      </w:pPr>
      <w:r>
        <w:rPr>
          <w:b/>
        </w:rPr>
        <w:t>- Cas 1 : Le soumissionnaire utilise l’outil de signature de la plate-forme - Aucun justificatif à fournir</w:t>
      </w:r>
    </w:p>
    <w:p w14:paraId="1B8E97BA" w14:textId="77777777" w:rsidR="00BD2234" w:rsidRDefault="00BD2234">
      <w:pPr>
        <w:pStyle w:val="RedaliaNormal"/>
      </w:pPr>
    </w:p>
    <w:p w14:paraId="485F8DAA" w14:textId="77777777" w:rsidR="00BD2234" w:rsidRDefault="0093466E">
      <w:pPr>
        <w:pStyle w:val="RedaliaNormal"/>
      </w:pPr>
      <w:r>
        <w:t>La plate-forme intègre un outil de signature électronique, qui réalise des Jetons de signature au format réglementaire XAdES.</w:t>
      </w:r>
    </w:p>
    <w:p w14:paraId="14CA9D75" w14:textId="77777777" w:rsidR="00BD2234" w:rsidRDefault="00BD2234">
      <w:pPr>
        <w:pStyle w:val="RedaliaNormal"/>
      </w:pPr>
    </w:p>
    <w:p w14:paraId="3C075E28" w14:textId="77777777" w:rsidR="00BD2234" w:rsidRDefault="0093466E">
      <w:pPr>
        <w:pStyle w:val="RedaliaNormal"/>
      </w:pPr>
      <w:r>
        <w:t>Dans ce cas, le soumissionnaire n’a aucun justificatif à fournir sur les signatures électroniques transmises et l’outil de signature utilisé.</w:t>
      </w:r>
    </w:p>
    <w:p w14:paraId="01B3F768" w14:textId="77777777" w:rsidR="00BD2234" w:rsidRDefault="00BD2234">
      <w:pPr>
        <w:pStyle w:val="RedaliaNormal"/>
      </w:pPr>
    </w:p>
    <w:p w14:paraId="70270035" w14:textId="77777777" w:rsidR="00BD2234" w:rsidRDefault="0093466E">
      <w:pPr>
        <w:pStyle w:val="RedaliaNormal"/>
      </w:pPr>
      <w:r>
        <w:rPr>
          <w:b/>
        </w:rPr>
        <w:t>- Cas 2 : Le soumissionnaire utilise un autre outil de signature que celui intégré à la plate-forme - Différents justificatifs à fournir</w:t>
      </w:r>
    </w:p>
    <w:p w14:paraId="233FF0A3" w14:textId="77777777" w:rsidR="00BD2234" w:rsidRDefault="00BD2234">
      <w:pPr>
        <w:pStyle w:val="RedaliaNormal"/>
      </w:pPr>
    </w:p>
    <w:p w14:paraId="66FF5FAD" w14:textId="77777777" w:rsidR="00BD2234" w:rsidRDefault="0093466E">
      <w:pPr>
        <w:pStyle w:val="RedaliaNormal"/>
      </w:pPr>
      <w:r>
        <w:t>Lorsque le candidat utilise un autre outil de signature que celui de la plate-forme, il doit respecter les deux obligations suivantes :</w:t>
      </w:r>
    </w:p>
    <w:p w14:paraId="6E064E1B" w14:textId="77777777" w:rsidR="00BD2234" w:rsidRDefault="00BD2234">
      <w:pPr>
        <w:pStyle w:val="RedaliaNormal"/>
      </w:pPr>
    </w:p>
    <w:p w14:paraId="02EF4EFC" w14:textId="77777777" w:rsidR="00BD2234" w:rsidRDefault="0093466E">
      <w:pPr>
        <w:pStyle w:val="RedaliaNormal"/>
      </w:pPr>
      <w:r>
        <w:t xml:space="preserve">     a) Produire des formats de signature XAdES, CAdES ou PAdES.</w:t>
      </w:r>
    </w:p>
    <w:p w14:paraId="31B5BFB0" w14:textId="77777777" w:rsidR="00BD2234" w:rsidRDefault="0093466E">
      <w:pPr>
        <w:pStyle w:val="RedaliaNormal"/>
      </w:pPr>
      <w:r>
        <w:t xml:space="preserve">     b) Permettre la vérification en transmettant en parallèle les éléments nécessaires pour procéder à la vérification de la validité de la signature et de l’intégrité du document, et ce, gratuitement.</w:t>
      </w:r>
    </w:p>
    <w:p w14:paraId="248787E0" w14:textId="77777777" w:rsidR="00BD2234" w:rsidRDefault="00BD2234">
      <w:pPr>
        <w:pStyle w:val="RedaliaNormal"/>
      </w:pPr>
    </w:p>
    <w:p w14:paraId="7E746B0C" w14:textId="77777777" w:rsidR="00BD2234" w:rsidRDefault="0093466E">
      <w:pPr>
        <w:pStyle w:val="RedaliaNormal"/>
      </w:pPr>
      <w:r>
        <w:t>Il est précisé que tous ces éléments doivent être d’accès et d’utilisation gratuits pour l’acheteur, et être accompagnés le cas échéant de notices d’utilisation claires.</w:t>
      </w:r>
    </w:p>
    <w:p w14:paraId="533BA0EC" w14:textId="77777777" w:rsidR="00BD2234" w:rsidRDefault="0093466E">
      <w:pPr>
        <w:pStyle w:val="RdaliaTitredossier"/>
        <w:pageBreakBefore/>
      </w:pPr>
      <w:r>
        <w:lastRenderedPageBreak/>
        <w:t>Annexe : Habilitation du mandataire par ses co-traitants (à remplir pour chaque co-traitant)</w:t>
      </w:r>
    </w:p>
    <w:p w14:paraId="3199576D" w14:textId="77777777" w:rsidR="00BD2234" w:rsidRDefault="00BD2234">
      <w:pPr>
        <w:pStyle w:val="RedaliaNormal"/>
      </w:pPr>
    </w:p>
    <w:p w14:paraId="62BBB455" w14:textId="77777777" w:rsidR="00BD2234" w:rsidRDefault="0093466E">
      <w:pPr>
        <w:pStyle w:val="RedaliaNormal"/>
      </w:pPr>
      <w:r>
        <w:t>Je soussigné(e)</w:t>
      </w:r>
      <w:r>
        <w:tab/>
      </w:r>
    </w:p>
    <w:p w14:paraId="56020282" w14:textId="77777777" w:rsidR="00BD2234" w:rsidRDefault="0093466E">
      <w:pPr>
        <w:pStyle w:val="RedaliaNormal"/>
      </w:pPr>
      <w:r>
        <w:t>Agissant en qualité de</w:t>
      </w:r>
      <w:r>
        <w:tab/>
      </w:r>
    </w:p>
    <w:p w14:paraId="26272911" w14:textId="77777777" w:rsidR="00BD2234" w:rsidRDefault="0093466E">
      <w:pPr>
        <w:pStyle w:val="RedaliaNormal"/>
      </w:pPr>
      <w:r>
        <w:t>Nom et adresse de l’entreprise :</w:t>
      </w:r>
      <w:r>
        <w:tab/>
      </w:r>
    </w:p>
    <w:p w14:paraId="475F43F9" w14:textId="77777777" w:rsidR="00BD2234" w:rsidRDefault="0093466E">
      <w:pPr>
        <w:pStyle w:val="RedaliaNormal"/>
      </w:pPr>
      <w:r>
        <w:tab/>
      </w:r>
    </w:p>
    <w:p w14:paraId="2CBF7648" w14:textId="77777777" w:rsidR="00BD2234" w:rsidRDefault="0093466E">
      <w:pPr>
        <w:pStyle w:val="RedaliaNormal"/>
      </w:pPr>
      <w:r>
        <w:tab/>
      </w:r>
    </w:p>
    <w:p w14:paraId="4829854B" w14:textId="77777777" w:rsidR="00BD2234" w:rsidRDefault="0093466E">
      <w:pPr>
        <w:pStyle w:val="RedaliaNormal"/>
      </w:pPr>
      <w:r>
        <w:t>N° d’identification (SIRET ou équivalent)</w:t>
      </w:r>
      <w:r>
        <w:tab/>
      </w:r>
    </w:p>
    <w:p w14:paraId="7BEB5F9D" w14:textId="77777777" w:rsidR="00BD2234" w:rsidRDefault="00BD2234">
      <w:pPr>
        <w:pStyle w:val="RedaliaNormal"/>
      </w:pPr>
    </w:p>
    <w:p w14:paraId="0FC01448" w14:textId="77777777" w:rsidR="00BD2234" w:rsidRDefault="00BD2234">
      <w:pPr>
        <w:pStyle w:val="RedaliaNormal"/>
        <w:rPr>
          <w:b/>
        </w:rPr>
      </w:pPr>
    </w:p>
    <w:p w14:paraId="56D6C694" w14:textId="77777777" w:rsidR="00BD2234" w:rsidRDefault="0093466E">
      <w:pPr>
        <w:pStyle w:val="RedaliaNormal"/>
        <w:rPr>
          <w:b/>
        </w:rPr>
      </w:pPr>
      <w:r>
        <w:rPr>
          <w:b/>
        </w:rPr>
        <w:t>Habilite le mandataire nommément mentionné ci-dessous pour :</w:t>
      </w:r>
    </w:p>
    <w:p w14:paraId="088CECFE" w14:textId="77777777" w:rsidR="00BD2234" w:rsidRDefault="0093466E">
      <w:pPr>
        <w:pStyle w:val="RedaliaNormal"/>
        <w:numPr>
          <w:ilvl w:val="0"/>
          <w:numId w:val="21"/>
        </w:numPr>
        <w:tabs>
          <w:tab w:val="clear" w:pos="8505"/>
        </w:tabs>
        <w:rPr>
          <w:b/>
        </w:rPr>
      </w:pPr>
      <w:r>
        <w:rPr>
          <w:b/>
        </w:rPr>
        <w:t>Le groupement constitué et détaillé dans le présent document</w:t>
      </w:r>
    </w:p>
    <w:p w14:paraId="216C7BDB" w14:textId="77777777" w:rsidR="00BD2234" w:rsidRDefault="0093466E">
      <w:pPr>
        <w:pStyle w:val="RedaliaNormal"/>
        <w:numPr>
          <w:ilvl w:val="0"/>
          <w:numId w:val="21"/>
        </w:numPr>
        <w:tabs>
          <w:tab w:val="clear" w:pos="8505"/>
        </w:tabs>
        <w:rPr>
          <w:b/>
        </w:rPr>
      </w:pPr>
      <w:r>
        <w:rPr>
          <w:b/>
        </w:rPr>
        <w:t>La seule présente consultation</w:t>
      </w:r>
    </w:p>
    <w:p w14:paraId="59D84125" w14:textId="77777777" w:rsidR="00BD2234" w:rsidRDefault="00BD2234">
      <w:pPr>
        <w:pStyle w:val="RedaliaNormal"/>
        <w:tabs>
          <w:tab w:val="clear" w:pos="8505"/>
        </w:tabs>
      </w:pPr>
    </w:p>
    <w:p w14:paraId="5848184F" w14:textId="77777777" w:rsidR="00BD2234" w:rsidRDefault="00BD2234">
      <w:pPr>
        <w:pStyle w:val="RedaliaNormal"/>
        <w:tabs>
          <w:tab w:val="clear" w:pos="8505"/>
        </w:tabs>
      </w:pPr>
    </w:p>
    <w:p w14:paraId="60D96FCE" w14:textId="77777777" w:rsidR="00BD2234" w:rsidRDefault="0093466E">
      <w:pPr>
        <w:pStyle w:val="RedaliaNormal"/>
        <w:tabs>
          <w:tab w:val="clear" w:pos="8505"/>
        </w:tabs>
        <w:rPr>
          <w:b/>
        </w:rPr>
      </w:pPr>
      <w:r>
        <w:rPr>
          <w:b/>
        </w:rPr>
        <w:t>Objet de la consultation :</w:t>
      </w:r>
    </w:p>
    <w:p w14:paraId="10A31B43" w14:textId="77777777" w:rsidR="00BD2234" w:rsidRDefault="00BD2234">
      <w:pPr>
        <w:pStyle w:val="RedaliaNormal"/>
        <w:tabs>
          <w:tab w:val="clear" w:pos="8505"/>
        </w:tabs>
      </w:pPr>
    </w:p>
    <w:p w14:paraId="5C59A29E" w14:textId="77777777" w:rsidR="00BD2234" w:rsidRDefault="00BD2234">
      <w:pPr>
        <w:pStyle w:val="RedaliaNormal"/>
        <w:tabs>
          <w:tab w:val="clear" w:pos="8505"/>
        </w:tabs>
      </w:pPr>
    </w:p>
    <w:p w14:paraId="75C079F6" w14:textId="77777777" w:rsidR="00BD2234" w:rsidRDefault="00BD2234">
      <w:pPr>
        <w:pStyle w:val="RedaliaNormal"/>
        <w:tabs>
          <w:tab w:val="clear" w:pos="8505"/>
        </w:tabs>
      </w:pPr>
    </w:p>
    <w:p w14:paraId="7413C827" w14:textId="77777777" w:rsidR="00BD2234" w:rsidRDefault="0093466E">
      <w:pPr>
        <w:pStyle w:val="RedaliaNormal"/>
        <w:tabs>
          <w:tab w:val="clear" w:pos="8505"/>
        </w:tabs>
        <w:rPr>
          <w:b/>
        </w:rPr>
      </w:pPr>
      <w:r>
        <w:rPr>
          <w:b/>
        </w:rPr>
        <w:t>Présentation du groupement</w:t>
      </w:r>
    </w:p>
    <w:p w14:paraId="35F26EB0" w14:textId="77777777" w:rsidR="00BD2234" w:rsidRDefault="0093466E">
      <w:pPr>
        <w:pStyle w:val="RedaliaNormal"/>
        <w:tabs>
          <w:tab w:val="clear" w:pos="8505"/>
        </w:tabs>
      </w:pPr>
      <w:r>
        <w:t>Le candidat est un groupement d’entreprises</w:t>
      </w:r>
    </w:p>
    <w:p w14:paraId="308D2CC8" w14:textId="77777777" w:rsidR="00BD2234" w:rsidRDefault="00BD2234">
      <w:pPr>
        <w:pStyle w:val="RedaliaNormal"/>
        <w:tabs>
          <w:tab w:val="clear" w:pos="8505"/>
        </w:tabs>
        <w:rPr>
          <w:iCs/>
        </w:rPr>
      </w:pPr>
    </w:p>
    <w:p w14:paraId="32FBBC24" w14:textId="77777777" w:rsidR="00BD2234" w:rsidRDefault="0093466E">
      <w:pPr>
        <w:pStyle w:val="RedaliaNormal"/>
        <w:tabs>
          <w:tab w:val="clear" w:pos="8505"/>
        </w:tabs>
        <w:rPr>
          <w:b/>
        </w:rPr>
      </w:pPr>
      <w:r>
        <w:rPr>
          <w:b/>
        </w:rPr>
        <w:t>Identification des membres du Groupement</w:t>
      </w:r>
    </w:p>
    <w:p w14:paraId="7E6D6F7D" w14:textId="77777777" w:rsidR="00BD2234" w:rsidRDefault="00BD2234">
      <w:pPr>
        <w:pStyle w:val="RedaliaNormal"/>
        <w:tabs>
          <w:tab w:val="clear" w:pos="8505"/>
        </w:tabs>
      </w:pPr>
    </w:p>
    <w:tbl>
      <w:tblPr>
        <w:tblW w:w="9628" w:type="dxa"/>
        <w:tblLayout w:type="fixed"/>
        <w:tblCellMar>
          <w:left w:w="10" w:type="dxa"/>
          <w:right w:w="10" w:type="dxa"/>
        </w:tblCellMar>
        <w:tblLook w:val="0000" w:firstRow="0" w:lastRow="0" w:firstColumn="0" w:lastColumn="0" w:noHBand="0" w:noVBand="0"/>
      </w:tblPr>
      <w:tblGrid>
        <w:gridCol w:w="4814"/>
        <w:gridCol w:w="4814"/>
      </w:tblGrid>
      <w:tr w:rsidR="00BD2234" w14:paraId="4B935C80"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B1A60" w14:textId="77777777" w:rsidR="00BD2234" w:rsidRDefault="0093466E">
            <w:pPr>
              <w:pStyle w:val="RedaliaNormal"/>
              <w:tabs>
                <w:tab w:val="clear" w:pos="8505"/>
              </w:tabs>
            </w:pPr>
            <w:r>
              <w:t>Nom commercial et dénomination sociale, adresse de l’établissement, adresse électronique, numéros de téléphone et de télécopie, numéro SIRET des membres du groupement</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FBA68" w14:textId="77777777" w:rsidR="00BD2234" w:rsidRDefault="00BD2234">
            <w:pPr>
              <w:pStyle w:val="RedaliaNormal"/>
              <w:numPr>
                <w:ilvl w:val="4"/>
                <w:numId w:val="22"/>
              </w:numPr>
              <w:tabs>
                <w:tab w:val="clear" w:pos="8505"/>
              </w:tabs>
            </w:pPr>
          </w:p>
          <w:p w14:paraId="2F6EDFFB" w14:textId="77777777" w:rsidR="00BD2234" w:rsidRDefault="0093466E">
            <w:pPr>
              <w:pStyle w:val="RedaliaNormal"/>
              <w:numPr>
                <w:ilvl w:val="4"/>
                <w:numId w:val="22"/>
              </w:numPr>
              <w:tabs>
                <w:tab w:val="clear" w:pos="8505"/>
              </w:tabs>
              <w:rPr>
                <w:i/>
              </w:rPr>
            </w:pPr>
            <w:r>
              <w:rPr>
                <w:i/>
              </w:rPr>
              <w:t>Prestations exécutées par les membres du groupement</w:t>
            </w:r>
          </w:p>
        </w:tc>
      </w:tr>
      <w:tr w:rsidR="00BD2234" w14:paraId="4EE1DDE7"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07CCE" w14:textId="77777777" w:rsidR="00BD2234" w:rsidRDefault="00BD2234">
            <w:pPr>
              <w:pStyle w:val="RedaliaNormal"/>
              <w:tabs>
                <w:tab w:val="clear" w:pos="8505"/>
              </w:tabs>
            </w:pP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0D0A9" w14:textId="77777777" w:rsidR="00BD2234" w:rsidRDefault="00BD2234">
            <w:pPr>
              <w:pStyle w:val="RedaliaNormal"/>
              <w:numPr>
                <w:ilvl w:val="4"/>
                <w:numId w:val="22"/>
              </w:numPr>
              <w:tabs>
                <w:tab w:val="clear" w:pos="8505"/>
              </w:tabs>
            </w:pPr>
          </w:p>
        </w:tc>
      </w:tr>
      <w:tr w:rsidR="00BD2234" w14:paraId="111FD012"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AC028" w14:textId="77777777" w:rsidR="00BD2234" w:rsidRDefault="00BD2234">
            <w:pPr>
              <w:pStyle w:val="RedaliaNormal"/>
              <w:tabs>
                <w:tab w:val="clear" w:pos="8505"/>
              </w:tabs>
            </w:pP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AA530" w14:textId="77777777" w:rsidR="00BD2234" w:rsidRDefault="00BD2234">
            <w:pPr>
              <w:pStyle w:val="RedaliaNormal"/>
              <w:numPr>
                <w:ilvl w:val="4"/>
                <w:numId w:val="22"/>
              </w:numPr>
              <w:tabs>
                <w:tab w:val="clear" w:pos="8505"/>
              </w:tabs>
            </w:pPr>
          </w:p>
        </w:tc>
      </w:tr>
      <w:tr w:rsidR="00BD2234" w14:paraId="5188C95B" w14:textId="77777777">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E0DC5" w14:textId="77777777" w:rsidR="00BD2234" w:rsidRDefault="00BD2234">
            <w:pPr>
              <w:pStyle w:val="RedaliaNormal"/>
              <w:tabs>
                <w:tab w:val="clear" w:pos="8505"/>
              </w:tabs>
            </w:pP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30021" w14:textId="77777777" w:rsidR="00BD2234" w:rsidRDefault="00BD2234">
            <w:pPr>
              <w:pStyle w:val="RedaliaNormal"/>
              <w:numPr>
                <w:ilvl w:val="4"/>
                <w:numId w:val="22"/>
              </w:numPr>
              <w:tabs>
                <w:tab w:val="clear" w:pos="8505"/>
              </w:tabs>
            </w:pPr>
          </w:p>
        </w:tc>
      </w:tr>
    </w:tbl>
    <w:p w14:paraId="07A179F5" w14:textId="77777777" w:rsidR="00BD2234" w:rsidRDefault="00BD2234">
      <w:pPr>
        <w:pStyle w:val="RedaliaNormal"/>
        <w:tabs>
          <w:tab w:val="clear" w:pos="8505"/>
        </w:tabs>
      </w:pPr>
    </w:p>
    <w:p w14:paraId="58D073EF" w14:textId="77777777" w:rsidR="00BD2234" w:rsidRDefault="0093466E">
      <w:pPr>
        <w:pStyle w:val="RedaliaNormal"/>
        <w:tabs>
          <w:tab w:val="clear" w:pos="8505"/>
        </w:tabs>
        <w:rPr>
          <w:b/>
        </w:rPr>
      </w:pPr>
      <w:r>
        <w:rPr>
          <w:b/>
        </w:rPr>
        <w:t>Désignation du Mandataire</w:t>
      </w:r>
    </w:p>
    <w:p w14:paraId="4FFC800C" w14:textId="77777777" w:rsidR="00BD2234" w:rsidRDefault="0093466E">
      <w:pPr>
        <w:pStyle w:val="RedaliaNormal"/>
        <w:tabs>
          <w:tab w:val="clear" w:pos="8505"/>
        </w:tabs>
      </w:pPr>
      <w:r>
        <w:t>Les membres du groupement désignent le mandataire suivant :</w:t>
      </w:r>
    </w:p>
    <w:p w14:paraId="24C93F9A" w14:textId="77777777" w:rsidR="00BD2234" w:rsidRDefault="0093466E">
      <w:pPr>
        <w:pStyle w:val="RedaliaNormal"/>
        <w:tabs>
          <w:tab w:val="clear" w:pos="8505"/>
        </w:tabs>
      </w:pPr>
      <w:r>
        <w:t>Nom commercial et dénomination sociale de l’unité ou de l’établissement qui exécutera la prestation :</w:t>
      </w:r>
    </w:p>
    <w:p w14:paraId="5799B85B" w14:textId="77777777" w:rsidR="00BD2234" w:rsidRDefault="00BD2234">
      <w:pPr>
        <w:pStyle w:val="RedaliaNormal"/>
        <w:tabs>
          <w:tab w:val="clear" w:pos="8505"/>
        </w:tabs>
      </w:pPr>
    </w:p>
    <w:p w14:paraId="3F426ADA" w14:textId="77777777" w:rsidR="00BD2234" w:rsidRDefault="0093466E">
      <w:pPr>
        <w:pStyle w:val="RedaliaNormal"/>
        <w:tabs>
          <w:tab w:val="clear" w:pos="8505"/>
        </w:tabs>
      </w:pPr>
      <w:r>
        <w:t>Adresses postale et du siège social (si elle est différente de l’adresse postale) :</w:t>
      </w:r>
    </w:p>
    <w:p w14:paraId="720A0755" w14:textId="77777777" w:rsidR="00BD2234" w:rsidRDefault="00BD2234">
      <w:pPr>
        <w:pStyle w:val="RedaliaNormal"/>
        <w:tabs>
          <w:tab w:val="clear" w:pos="8505"/>
        </w:tabs>
      </w:pPr>
    </w:p>
    <w:p w14:paraId="05C8356E" w14:textId="77777777" w:rsidR="00BD2234" w:rsidRDefault="00BD2234">
      <w:pPr>
        <w:pStyle w:val="RedaliaNormal"/>
        <w:tabs>
          <w:tab w:val="clear" w:pos="8505"/>
        </w:tabs>
      </w:pPr>
    </w:p>
    <w:p w14:paraId="6CB65FA6" w14:textId="77777777" w:rsidR="00BD2234" w:rsidRDefault="00BD2234">
      <w:pPr>
        <w:pStyle w:val="RedaliaNormal"/>
        <w:tabs>
          <w:tab w:val="clear" w:pos="8505"/>
        </w:tabs>
      </w:pPr>
    </w:p>
    <w:p w14:paraId="2B806754" w14:textId="77777777" w:rsidR="00BD2234" w:rsidRDefault="0093466E">
      <w:pPr>
        <w:pStyle w:val="RedaliaNormal"/>
        <w:tabs>
          <w:tab w:val="clear" w:pos="8505"/>
        </w:tabs>
      </w:pPr>
      <w:r>
        <w:t>Adresse électronique :</w:t>
      </w:r>
    </w:p>
    <w:p w14:paraId="7808DD73" w14:textId="77777777" w:rsidR="00BD2234" w:rsidRDefault="00BD2234">
      <w:pPr>
        <w:pStyle w:val="RedaliaNormal"/>
        <w:tabs>
          <w:tab w:val="clear" w:pos="8505"/>
        </w:tabs>
      </w:pPr>
    </w:p>
    <w:p w14:paraId="0724801D" w14:textId="77777777" w:rsidR="00BD2234" w:rsidRDefault="00BD2234">
      <w:pPr>
        <w:pStyle w:val="RedaliaNormal"/>
        <w:tabs>
          <w:tab w:val="clear" w:pos="8505"/>
        </w:tabs>
      </w:pPr>
    </w:p>
    <w:p w14:paraId="1E538B6A" w14:textId="77777777" w:rsidR="00BD2234" w:rsidRDefault="00BD2234">
      <w:pPr>
        <w:pStyle w:val="RedaliaNormal"/>
        <w:tabs>
          <w:tab w:val="clear" w:pos="8505"/>
        </w:tabs>
      </w:pPr>
    </w:p>
    <w:p w14:paraId="061821CD" w14:textId="77777777" w:rsidR="00BD2234" w:rsidRDefault="0093466E">
      <w:pPr>
        <w:pStyle w:val="RedaliaNormal"/>
        <w:tabs>
          <w:tab w:val="clear" w:pos="8505"/>
        </w:tabs>
      </w:pPr>
      <w:r>
        <w:t>Numéros de téléphone et de télécopie :</w:t>
      </w:r>
    </w:p>
    <w:p w14:paraId="66D5631A" w14:textId="77777777" w:rsidR="00BD2234" w:rsidRDefault="00BD2234">
      <w:pPr>
        <w:pStyle w:val="RedaliaNormal"/>
        <w:tabs>
          <w:tab w:val="clear" w:pos="8505"/>
        </w:tabs>
      </w:pPr>
    </w:p>
    <w:p w14:paraId="2347CE0A" w14:textId="77777777" w:rsidR="00BD2234" w:rsidRDefault="00BD2234">
      <w:pPr>
        <w:pStyle w:val="RedaliaNormal"/>
        <w:tabs>
          <w:tab w:val="clear" w:pos="8505"/>
        </w:tabs>
      </w:pPr>
    </w:p>
    <w:p w14:paraId="14B81733" w14:textId="77777777" w:rsidR="00BD2234" w:rsidRDefault="00BD2234">
      <w:pPr>
        <w:pStyle w:val="RedaliaNormal"/>
        <w:tabs>
          <w:tab w:val="clear" w:pos="8505"/>
        </w:tabs>
      </w:pPr>
    </w:p>
    <w:p w14:paraId="755EB087" w14:textId="77777777" w:rsidR="00BD2234" w:rsidRDefault="0093466E">
      <w:pPr>
        <w:pStyle w:val="RedaliaNormal"/>
        <w:tabs>
          <w:tab w:val="clear" w:pos="8505"/>
        </w:tabs>
      </w:pPr>
      <w:r>
        <w:t xml:space="preserve">Numéro SIRET, à défaut, un numéro d’identification européen ou international ou propre au pays d’origine de l’opérateur économique issu d’un répertoire figurant dans la liste des </w:t>
      </w:r>
      <w:hyperlink r:id="rId11" w:history="1">
        <w:r>
          <w:rPr>
            <w:rStyle w:val="Lienhypertexte"/>
          </w:rPr>
          <w:t>ICD</w:t>
        </w:r>
      </w:hyperlink>
      <w:r>
        <w:t> :</w:t>
      </w:r>
    </w:p>
    <w:p w14:paraId="4CA7234D" w14:textId="77777777" w:rsidR="00BD2234" w:rsidRDefault="00BD2234">
      <w:pPr>
        <w:pStyle w:val="RedaliaNormal"/>
        <w:tabs>
          <w:tab w:val="clear" w:pos="8505"/>
        </w:tabs>
      </w:pPr>
    </w:p>
    <w:p w14:paraId="43022F58" w14:textId="77777777" w:rsidR="00BD2234" w:rsidRDefault="00BD2234">
      <w:pPr>
        <w:pStyle w:val="RedaliaNormal"/>
        <w:tabs>
          <w:tab w:val="clear" w:pos="8505"/>
        </w:tabs>
      </w:pPr>
    </w:p>
    <w:p w14:paraId="45DF0BCD" w14:textId="77777777" w:rsidR="00BD2234" w:rsidRDefault="00BD2234">
      <w:pPr>
        <w:pStyle w:val="RedaliaNormal"/>
        <w:tabs>
          <w:tab w:val="clear" w:pos="8505"/>
        </w:tabs>
      </w:pPr>
    </w:p>
    <w:p w14:paraId="18D4803B" w14:textId="77777777" w:rsidR="00BD2234" w:rsidRDefault="00BD2234">
      <w:pPr>
        <w:pStyle w:val="RedaliaNormal"/>
        <w:tabs>
          <w:tab w:val="clear" w:pos="8505"/>
        </w:tabs>
      </w:pPr>
    </w:p>
    <w:p w14:paraId="2B481939" w14:textId="77777777" w:rsidR="00BD2234" w:rsidRDefault="0093466E">
      <w:pPr>
        <w:pStyle w:val="RedaliaNormal"/>
        <w:tabs>
          <w:tab w:val="clear" w:pos="8505"/>
        </w:tabs>
      </w:pPr>
      <w:r>
        <w:t>Pour faire valoir ce que de droit</w:t>
      </w:r>
    </w:p>
    <w:p w14:paraId="07FC659E" w14:textId="77777777" w:rsidR="00BD2234" w:rsidRDefault="0093466E">
      <w:pPr>
        <w:pStyle w:val="RedaliaNormal"/>
        <w:tabs>
          <w:tab w:val="clear" w:pos="8505"/>
        </w:tabs>
      </w:pPr>
      <w:r>
        <w:t>Fait à</w:t>
      </w:r>
      <w:r>
        <w:tab/>
      </w:r>
    </w:p>
    <w:p w14:paraId="78D323EE" w14:textId="77777777" w:rsidR="00BD2234" w:rsidRDefault="0093466E">
      <w:pPr>
        <w:pStyle w:val="RedaliaNormal"/>
        <w:tabs>
          <w:tab w:val="clear" w:pos="8505"/>
        </w:tabs>
      </w:pPr>
      <w:r>
        <w:t>Le</w:t>
      </w:r>
      <w:r>
        <w:tab/>
      </w:r>
    </w:p>
    <w:p w14:paraId="571650E1" w14:textId="77777777" w:rsidR="00BD2234" w:rsidRDefault="0093466E">
      <w:pPr>
        <w:pStyle w:val="RedaliaNormal"/>
        <w:tabs>
          <w:tab w:val="clear" w:pos="8505"/>
        </w:tabs>
      </w:pPr>
      <w:r>
        <w:t>Signature</w:t>
      </w:r>
      <w:r>
        <w:tab/>
      </w:r>
    </w:p>
    <w:p w14:paraId="0E29A57A" w14:textId="77777777" w:rsidR="00BD2234" w:rsidRDefault="0093466E">
      <w:pPr>
        <w:pStyle w:val="RedaliaNormal"/>
        <w:tabs>
          <w:tab w:val="clear" w:pos="8505"/>
        </w:tabs>
      </w:pPr>
      <w:r>
        <w:tab/>
      </w:r>
    </w:p>
    <w:p w14:paraId="6EBDF5B6" w14:textId="77777777" w:rsidR="00BD2234" w:rsidRDefault="00BD2234">
      <w:pPr>
        <w:pStyle w:val="RedaliaNormal"/>
        <w:tabs>
          <w:tab w:val="clear" w:pos="8505"/>
        </w:tabs>
      </w:pPr>
    </w:p>
    <w:p w14:paraId="08883065" w14:textId="77777777" w:rsidR="00BD2234" w:rsidRDefault="00BD2234">
      <w:pPr>
        <w:pStyle w:val="RedaliaNormal"/>
      </w:pPr>
    </w:p>
    <w:sectPr w:rsidR="00BD2234">
      <w:headerReference w:type="default" r:id="rId12"/>
      <w:footerReference w:type="default" r:id="rId13"/>
      <w:pgSz w:w="11906" w:h="16838"/>
      <w:pgMar w:top="1843" w:right="1134" w:bottom="1843" w:left="1134" w:header="113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3CDC9" w14:textId="77777777" w:rsidR="0093466E" w:rsidRDefault="0093466E">
      <w:r>
        <w:separator/>
      </w:r>
    </w:p>
  </w:endnote>
  <w:endnote w:type="continuationSeparator" w:id="0">
    <w:p w14:paraId="7766CA10" w14:textId="77777777" w:rsidR="0093466E" w:rsidRDefault="00934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ITC Avant Garde Std Bk">
    <w:altName w:val="Arial"/>
    <w:charset w:val="00"/>
    <w:family w:val="swiss"/>
    <w:pitch w:val="variable"/>
  </w:font>
  <w:font w:name="OpenSymbol">
    <w:charset w:val="02"/>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Liberation Sans">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0686D" w14:textId="77777777" w:rsidR="0093466E" w:rsidRDefault="0093466E">
    <w:pPr>
      <w:pStyle w:val="RedaliaNormal"/>
      <w:jc w:val="right"/>
    </w:pPr>
    <w:r>
      <w:rPr>
        <w:sz w:val="18"/>
        <w:szCs w:val="18"/>
      </w:rPr>
      <w:t xml:space="preserve">Page </w:t>
    </w:r>
    <w:r>
      <w:rPr>
        <w:b/>
        <w:bCs/>
        <w:sz w:val="18"/>
        <w:szCs w:val="18"/>
      </w:rPr>
      <w:fldChar w:fldCharType="begin"/>
    </w:r>
    <w:r>
      <w:rPr>
        <w:b/>
        <w:bCs/>
        <w:sz w:val="18"/>
        <w:szCs w:val="18"/>
      </w:rPr>
      <w:instrText xml:space="preserve"> PAGE \* ARABIC </w:instrText>
    </w:r>
    <w:r>
      <w:rPr>
        <w:b/>
        <w:bCs/>
        <w:sz w:val="18"/>
        <w:szCs w:val="18"/>
      </w:rPr>
      <w:fldChar w:fldCharType="separate"/>
    </w:r>
    <w:r>
      <w:rPr>
        <w:b/>
        <w:bCs/>
        <w:sz w:val="18"/>
        <w:szCs w:val="18"/>
      </w:rPr>
      <w:t>16</w:t>
    </w:r>
    <w:r>
      <w:rPr>
        <w:b/>
        <w:bCs/>
        <w:sz w:val="18"/>
        <w:szCs w:val="18"/>
      </w:rPr>
      <w:fldChar w:fldCharType="end"/>
    </w:r>
    <w:r>
      <w:rPr>
        <w:sz w:val="18"/>
        <w:szCs w:val="18"/>
      </w:rPr>
      <w:t xml:space="preserve"> sur </w:t>
    </w:r>
    <w:r>
      <w:rPr>
        <w:b/>
        <w:bCs/>
        <w:sz w:val="18"/>
        <w:szCs w:val="18"/>
      </w:rPr>
      <w:fldChar w:fldCharType="begin"/>
    </w:r>
    <w:r>
      <w:rPr>
        <w:b/>
        <w:bCs/>
        <w:sz w:val="18"/>
        <w:szCs w:val="18"/>
      </w:rPr>
      <w:instrText xml:space="preserve"> NUMPAGES \* ARABIC </w:instrText>
    </w:r>
    <w:r>
      <w:rPr>
        <w:b/>
        <w:bCs/>
        <w:sz w:val="18"/>
        <w:szCs w:val="18"/>
      </w:rPr>
      <w:fldChar w:fldCharType="separate"/>
    </w:r>
    <w:r>
      <w:rPr>
        <w:b/>
        <w:bCs/>
        <w:sz w:val="18"/>
        <w:szCs w:val="18"/>
      </w:rPr>
      <w:t>16</w:t>
    </w:r>
    <w:r>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367EF" w14:textId="77777777" w:rsidR="0093466E" w:rsidRDefault="0093466E">
      <w:r>
        <w:rPr>
          <w:color w:val="000000"/>
        </w:rPr>
        <w:separator/>
      </w:r>
    </w:p>
  </w:footnote>
  <w:footnote w:type="continuationSeparator" w:id="0">
    <w:p w14:paraId="4A4732E5" w14:textId="77777777" w:rsidR="0093466E" w:rsidRDefault="00934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2" w:type="dxa"/>
      <w:tblLayout w:type="fixed"/>
      <w:tblCellMar>
        <w:left w:w="10" w:type="dxa"/>
        <w:right w:w="10" w:type="dxa"/>
      </w:tblCellMar>
      <w:tblLook w:val="0000" w:firstRow="0" w:lastRow="0" w:firstColumn="0" w:lastColumn="0" w:noHBand="0" w:noVBand="0"/>
    </w:tblPr>
    <w:tblGrid>
      <w:gridCol w:w="1384"/>
      <w:gridCol w:w="7828"/>
    </w:tblGrid>
    <w:tr w:rsidR="00264C66" w14:paraId="7B9752CD" w14:textId="77777777">
      <w:tc>
        <w:tcPr>
          <w:tcW w:w="1384" w:type="dxa"/>
          <w:tcMar>
            <w:top w:w="0" w:type="dxa"/>
            <w:left w:w="108" w:type="dxa"/>
            <w:bottom w:w="0" w:type="dxa"/>
            <w:right w:w="108" w:type="dxa"/>
          </w:tcMar>
        </w:tcPr>
        <w:p w14:paraId="1024A446" w14:textId="77777777" w:rsidR="0093466E" w:rsidRDefault="0093466E">
          <w:pPr>
            <w:pStyle w:val="RedaliaNormal"/>
          </w:pPr>
        </w:p>
      </w:tc>
      <w:tc>
        <w:tcPr>
          <w:tcW w:w="7828" w:type="dxa"/>
          <w:tcBorders>
            <w:bottom w:val="single" w:sz="4" w:space="0" w:color="000000"/>
          </w:tcBorders>
          <w:tcMar>
            <w:top w:w="0" w:type="dxa"/>
            <w:left w:w="108" w:type="dxa"/>
            <w:bottom w:w="0" w:type="dxa"/>
            <w:right w:w="108" w:type="dxa"/>
          </w:tcMar>
        </w:tcPr>
        <w:p w14:paraId="68BED251" w14:textId="77777777" w:rsidR="0093466E" w:rsidRDefault="0093466E">
          <w:pPr>
            <w:pStyle w:val="RdaliaLgende"/>
            <w:jc w:val="right"/>
          </w:pPr>
          <w:r>
            <w:t xml:space="preserve"> VIL-2026-0272</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01F5"/>
    <w:multiLevelType w:val="multilevel"/>
    <w:tmpl w:val="96060884"/>
    <w:styleLink w:val="LFO23"/>
    <w:lvl w:ilvl="0">
      <w:numFmt w:val="bullet"/>
      <w:pStyle w:val="Chapitre"/>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Times New Roman"/>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Times New Roman"/>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Times New Roman"/>
      </w:rPr>
    </w:lvl>
  </w:abstractNum>
  <w:abstractNum w:abstractNumId="1" w15:restartNumberingAfterBreak="0">
    <w:nsid w:val="0661688A"/>
    <w:multiLevelType w:val="multilevel"/>
    <w:tmpl w:val="69EE6434"/>
    <w:lvl w:ilvl="0">
      <w:numFmt w:val="bullet"/>
      <w:lvlText w:val="-"/>
      <w:lvlJc w:val="left"/>
      <w:pPr>
        <w:ind w:left="720" w:hanging="360"/>
      </w:pPr>
      <w:rPr>
        <w:rFonts w:ascii="Calibri" w:eastAsia="ITC Avant Garde Std Bk"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81415BD"/>
    <w:multiLevelType w:val="multilevel"/>
    <w:tmpl w:val="4C92E544"/>
    <w:styleLink w:val="LFO26"/>
    <w:lvl w:ilvl="0">
      <w:numFmt w:val="bullet"/>
      <w:pStyle w:val="RdaliaTableau"/>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9593E08"/>
    <w:multiLevelType w:val="multilevel"/>
    <w:tmpl w:val="F74A943E"/>
    <w:styleLink w:val="LFO4"/>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09FB1B33"/>
    <w:multiLevelType w:val="multilevel"/>
    <w:tmpl w:val="450A2522"/>
    <w:styleLink w:val="LFO25"/>
    <w:lvl w:ilvl="0">
      <w:numFmt w:val="bullet"/>
      <w:pStyle w:val="RdaliaRetraitniveau2"/>
      <w:lvlText w:val=""/>
      <w:lvlJc w:val="left"/>
      <w:pPr>
        <w:ind w:left="1060" w:hanging="360"/>
      </w:pPr>
      <w:rPr>
        <w:rFonts w:ascii="Symbol" w:hAnsi="Symbol"/>
        <w:color w:val="auto"/>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19452BCC"/>
    <w:multiLevelType w:val="multilevel"/>
    <w:tmpl w:val="E26E1A48"/>
    <w:styleLink w:val="LFO5"/>
    <w:lvl w:ilvl="0">
      <w:numFmt w:val="bullet"/>
      <w:lvlText w:val=""/>
      <w:lvlJc w:val="left"/>
      <w:pPr>
        <w:ind w:left="1060" w:hanging="360"/>
      </w:pPr>
      <w:rPr>
        <w:rFonts w:ascii="Symbol" w:hAnsi="Symbol"/>
        <w:color w:val="auto"/>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2097C5A"/>
    <w:multiLevelType w:val="multilevel"/>
    <w:tmpl w:val="BF521F60"/>
    <w:styleLink w:val="LFO22"/>
    <w:lvl w:ilvl="0">
      <w:numFmt w:val="bullet"/>
      <w:pStyle w:val="AvecPuce"/>
      <w:lvlText w:val="•"/>
      <w:lvlJc w:val="left"/>
      <w:pPr>
        <w:ind w:left="284" w:hanging="114"/>
      </w:pPr>
      <w:rPr>
        <w:rFonts w:ascii="OpenSymbol" w:eastAsia="OpenSymbol" w:hAnsi="OpenSymbol" w:cs="OpenSymbol"/>
      </w:rPr>
    </w:lvl>
    <w:lvl w:ilvl="1">
      <w:numFmt w:val="bullet"/>
      <w:lvlText w:val="•"/>
      <w:lvlJc w:val="left"/>
      <w:pPr>
        <w:ind w:left="1440" w:hanging="360"/>
      </w:pPr>
      <w:rPr>
        <w:rFonts w:ascii="OpenSymbol" w:eastAsia="OpenSymbol" w:hAnsi="OpenSymbol" w:cs="OpenSymbol"/>
      </w:rPr>
    </w:lvl>
    <w:lvl w:ilvl="2">
      <w:numFmt w:val="bullet"/>
      <w:lvlText w:val="•"/>
      <w:lvlJc w:val="left"/>
      <w:pPr>
        <w:ind w:left="2160" w:hanging="360"/>
      </w:pPr>
      <w:rPr>
        <w:rFonts w:ascii="OpenSymbol" w:eastAsia="OpenSymbol" w:hAnsi="OpenSymbol" w:cs="OpenSymbol"/>
      </w:rPr>
    </w:lvl>
    <w:lvl w:ilvl="3">
      <w:numFmt w:val="bullet"/>
      <w:lvlText w:val="•"/>
      <w:lvlJc w:val="left"/>
      <w:pPr>
        <w:ind w:left="2880" w:hanging="360"/>
      </w:pPr>
      <w:rPr>
        <w:rFonts w:ascii="OpenSymbol" w:eastAsia="OpenSymbol" w:hAnsi="OpenSymbol" w:cs="OpenSymbol"/>
      </w:rPr>
    </w:lvl>
    <w:lvl w:ilvl="4">
      <w:numFmt w:val="bullet"/>
      <w:lvlText w:val="•"/>
      <w:lvlJc w:val="left"/>
      <w:pPr>
        <w:ind w:left="3600" w:hanging="360"/>
      </w:pPr>
      <w:rPr>
        <w:rFonts w:ascii="OpenSymbol" w:eastAsia="OpenSymbol" w:hAnsi="OpenSymbol" w:cs="OpenSymbol"/>
      </w:rPr>
    </w:lvl>
    <w:lvl w:ilvl="5">
      <w:numFmt w:val="bullet"/>
      <w:lvlText w:val="•"/>
      <w:lvlJc w:val="left"/>
      <w:pPr>
        <w:ind w:left="4320" w:hanging="360"/>
      </w:pPr>
      <w:rPr>
        <w:rFonts w:ascii="OpenSymbol" w:eastAsia="OpenSymbol" w:hAnsi="OpenSymbol" w:cs="OpenSymbol"/>
      </w:rPr>
    </w:lvl>
    <w:lvl w:ilvl="6">
      <w:numFmt w:val="bullet"/>
      <w:lvlText w:val="•"/>
      <w:lvlJc w:val="left"/>
      <w:pPr>
        <w:ind w:left="5040" w:hanging="360"/>
      </w:pPr>
      <w:rPr>
        <w:rFonts w:ascii="OpenSymbol" w:eastAsia="OpenSymbol" w:hAnsi="OpenSymbol" w:cs="OpenSymbol"/>
      </w:rPr>
    </w:lvl>
    <w:lvl w:ilvl="7">
      <w:numFmt w:val="bullet"/>
      <w:lvlText w:val="•"/>
      <w:lvlJc w:val="left"/>
      <w:pPr>
        <w:ind w:left="5760" w:hanging="360"/>
      </w:pPr>
      <w:rPr>
        <w:rFonts w:ascii="OpenSymbol" w:eastAsia="OpenSymbol" w:hAnsi="OpenSymbol" w:cs="OpenSymbol"/>
      </w:rPr>
    </w:lvl>
    <w:lvl w:ilvl="8">
      <w:numFmt w:val="bullet"/>
      <w:lvlText w:val="•"/>
      <w:lvlJc w:val="left"/>
      <w:pPr>
        <w:ind w:left="6480" w:hanging="360"/>
      </w:pPr>
      <w:rPr>
        <w:rFonts w:ascii="OpenSymbol" w:eastAsia="OpenSymbol" w:hAnsi="OpenSymbol" w:cs="OpenSymbol"/>
      </w:rPr>
    </w:lvl>
  </w:abstractNum>
  <w:abstractNum w:abstractNumId="7" w15:restartNumberingAfterBreak="0">
    <w:nsid w:val="25CC4DE3"/>
    <w:multiLevelType w:val="multilevel"/>
    <w:tmpl w:val="7A1847D4"/>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8" w15:restartNumberingAfterBreak="0">
    <w:nsid w:val="313C7A59"/>
    <w:multiLevelType w:val="multilevel"/>
    <w:tmpl w:val="EE921D4E"/>
    <w:styleLink w:val="LFO18"/>
    <w:lvl w:ilvl="0">
      <w:start w:val="1"/>
      <w:numFmt w:val="decimal"/>
      <w:suff w:val="space"/>
      <w:lvlText w:val="%1."/>
      <w:lvlJc w:val="left"/>
      <w:pPr>
        <w:ind w:left="360" w:hanging="360"/>
      </w:pPr>
      <w:rPr>
        <w:rFonts w:cs="Times New Roman"/>
      </w:rPr>
    </w:lvl>
    <w:lvl w:ilvl="1">
      <w:start w:val="1"/>
      <w:numFmt w:val="decimal"/>
      <w:suff w:val="space"/>
      <w:lvlText w:val="%1.%2"/>
      <w:lvlJc w:val="left"/>
      <w:pPr>
        <w:ind w:left="785" w:hanging="360"/>
      </w:pPr>
      <w:rPr>
        <w:rFonts w:cs="Times New Roman"/>
      </w:rPr>
    </w:lvl>
    <w:lvl w:ilvl="2">
      <w:start w:val="1"/>
      <w:numFmt w:val="decimal"/>
      <w:suff w:val="space"/>
      <w:lvlText w:val="%1.%2.%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322D14C5"/>
    <w:multiLevelType w:val="multilevel"/>
    <w:tmpl w:val="D6506968"/>
    <w:styleLink w:val="LFO33"/>
    <w:lvl w:ilvl="0">
      <w:start w:val="1"/>
      <w:numFmt w:val="decimal"/>
      <w:pStyle w:val="LIAParagraphe1"/>
      <w:lvlText w:val="%1."/>
      <w:lvlJc w:val="left"/>
      <w:pPr>
        <w:ind w:left="360" w:hanging="360"/>
      </w:p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47F4257B"/>
    <w:multiLevelType w:val="multilevel"/>
    <w:tmpl w:val="3AE4C5B8"/>
    <w:styleLink w:val="Outline"/>
    <w:lvl w:ilvl="0">
      <w:start w:val="1"/>
      <w:numFmt w:val="decimal"/>
      <w:pStyle w:val="RedaliaTitre1"/>
      <w:lvlText w:val="%1."/>
      <w:lvlJc w:val="left"/>
      <w:pPr>
        <w:ind w:left="360" w:hanging="360"/>
      </w:pPr>
    </w:lvl>
    <w:lvl w:ilvl="1">
      <w:start w:val="1"/>
      <w:numFmt w:val="decimal"/>
      <w:pStyle w:val="RedaliaTitre2"/>
      <w:lvlText w:val="%1.%2"/>
      <w:lvlJc w:val="left"/>
      <w:pPr>
        <w:ind w:left="720" w:hanging="360"/>
      </w:pPr>
    </w:lvl>
    <w:lvl w:ilvl="2">
      <w:start w:val="1"/>
      <w:numFmt w:val="decimal"/>
      <w:pStyle w:val="RedaliaTitre3"/>
      <w:lvlText w:val="%1.%2.%3"/>
      <w:lvlJc w:val="left"/>
      <w:pPr>
        <w:ind w:left="1080" w:hanging="36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A8E7543"/>
    <w:multiLevelType w:val="multilevel"/>
    <w:tmpl w:val="D0783B58"/>
    <w:styleLink w:val="LFO20"/>
    <w:lvl w:ilvl="0">
      <w:numFmt w:val="bullet"/>
      <w:lvlText w:val=""/>
      <w:lvlJc w:val="left"/>
      <w:pPr>
        <w:ind w:left="284" w:hanging="114"/>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4C581A5E"/>
    <w:multiLevelType w:val="multilevel"/>
    <w:tmpl w:val="6D4A2B60"/>
    <w:styleLink w:val="LFO35"/>
    <w:lvl w:ilvl="0">
      <w:start w:val="1"/>
      <w:numFmt w:val="upperLetter"/>
      <w:pStyle w:val="LIAParagrapheA"/>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36C1D62"/>
    <w:multiLevelType w:val="multilevel"/>
    <w:tmpl w:val="036ED4E6"/>
    <w:styleLink w:val="LFO29"/>
    <w:lvl w:ilvl="0">
      <w:start w:val="1"/>
      <w:numFmt w:val="upp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57D84EBF"/>
    <w:multiLevelType w:val="multilevel"/>
    <w:tmpl w:val="763AF59E"/>
    <w:styleLink w:val="LFO24"/>
    <w:lvl w:ilvl="0">
      <w:numFmt w:val="bullet"/>
      <w:pStyle w:val="Elmentrecens"/>
      <w:lvlText w:val="-"/>
      <w:lvlJc w:val="left"/>
      <w:pPr>
        <w:ind w:left="720" w:hanging="360"/>
      </w:pPr>
      <w:rPr>
        <w:rFonts w:ascii="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59E91BB4"/>
    <w:multiLevelType w:val="multilevel"/>
    <w:tmpl w:val="013CD6CA"/>
    <w:styleLink w:val="LFO1"/>
    <w:lvl w:ilvl="0">
      <w:numFmt w:val="bullet"/>
      <w:lvlText w:val=""/>
      <w:lvlJc w:val="left"/>
      <w:pPr>
        <w:ind w:left="360" w:hanging="360"/>
      </w:pPr>
      <w:rPr>
        <w:rFonts w:ascii="Symbol" w:hAnsi="Symbol"/>
        <w:color w:val="aut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603D5E50"/>
    <w:multiLevelType w:val="multilevel"/>
    <w:tmpl w:val="F74CAA52"/>
    <w:styleLink w:val="List1"/>
    <w:lvl w:ilvl="0">
      <w:numFmt w:val="bullet"/>
      <w:pStyle w:val="Redaliapuces"/>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17" w15:restartNumberingAfterBreak="0">
    <w:nsid w:val="692F7FB5"/>
    <w:multiLevelType w:val="multilevel"/>
    <w:tmpl w:val="2C82BCAE"/>
    <w:styleLink w:val="LFO28"/>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7B6478E9"/>
    <w:multiLevelType w:val="multilevel"/>
    <w:tmpl w:val="996675CE"/>
    <w:styleLink w:val="LFO2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514565378">
    <w:abstractNumId w:val="10"/>
  </w:num>
  <w:num w:numId="2" w16cid:durableId="1008212491">
    <w:abstractNumId w:val="16"/>
  </w:num>
  <w:num w:numId="3" w16cid:durableId="1339114463">
    <w:abstractNumId w:val="15"/>
  </w:num>
  <w:num w:numId="4" w16cid:durableId="1521746230">
    <w:abstractNumId w:val="3"/>
  </w:num>
  <w:num w:numId="5" w16cid:durableId="1360157079">
    <w:abstractNumId w:val="5"/>
  </w:num>
  <w:num w:numId="6" w16cid:durableId="1462655560">
    <w:abstractNumId w:val="8"/>
  </w:num>
  <w:num w:numId="7" w16cid:durableId="122236273">
    <w:abstractNumId w:val="11"/>
  </w:num>
  <w:num w:numId="8" w16cid:durableId="2071687402">
    <w:abstractNumId w:val="18"/>
  </w:num>
  <w:num w:numId="9" w16cid:durableId="59254315">
    <w:abstractNumId w:val="6"/>
  </w:num>
  <w:num w:numId="10" w16cid:durableId="361171153">
    <w:abstractNumId w:val="0"/>
  </w:num>
  <w:num w:numId="11" w16cid:durableId="911043199">
    <w:abstractNumId w:val="14"/>
  </w:num>
  <w:num w:numId="12" w16cid:durableId="2078893868">
    <w:abstractNumId w:val="17"/>
  </w:num>
  <w:num w:numId="13" w16cid:durableId="2075735180">
    <w:abstractNumId w:val="13"/>
  </w:num>
  <w:num w:numId="14" w16cid:durableId="123432857">
    <w:abstractNumId w:val="4"/>
  </w:num>
  <w:num w:numId="15" w16cid:durableId="77409320">
    <w:abstractNumId w:val="2"/>
  </w:num>
  <w:num w:numId="16" w16cid:durableId="495342001">
    <w:abstractNumId w:val="9"/>
  </w:num>
  <w:num w:numId="17" w16cid:durableId="821695788">
    <w:abstractNumId w:val="12"/>
  </w:num>
  <w:num w:numId="18" w16cid:durableId="1182088868">
    <w:abstractNumId w:val="18"/>
  </w:num>
  <w:num w:numId="19" w16cid:durableId="1966766977">
    <w:abstractNumId w:val="11"/>
  </w:num>
  <w:num w:numId="20" w16cid:durableId="1592621996">
    <w:abstractNumId w:val="5"/>
  </w:num>
  <w:num w:numId="21" w16cid:durableId="1029380414">
    <w:abstractNumId w:val="1"/>
  </w:num>
  <w:num w:numId="22" w16cid:durableId="20494055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234"/>
    <w:rsid w:val="00045BA2"/>
    <w:rsid w:val="000A4123"/>
    <w:rsid w:val="002349F6"/>
    <w:rsid w:val="003C10EE"/>
    <w:rsid w:val="00430A37"/>
    <w:rsid w:val="0093466E"/>
    <w:rsid w:val="00BD2234"/>
    <w:rsid w:val="00CF27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C25DF"/>
  <w15:docId w15:val="{788DA2E8-E407-4E6B-ACE2-D65E8F9D5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ITC Avant Garde Std Bk" w:eastAsia="ITC Avant Garde Std Bk" w:hAnsi="ITC Avant Garde Std Bk" w:cs="ITC Avant Garde Std Bk"/>
      <w:sz w:val="22"/>
    </w:rPr>
  </w:style>
  <w:style w:type="paragraph" w:styleId="Titre1">
    <w:name w:val="heading 1"/>
    <w:basedOn w:val="Normal"/>
    <w:next w:val="Normal"/>
    <w:uiPriority w:val="9"/>
    <w:qFormat/>
    <w:pPr>
      <w:keepNext/>
      <w:spacing w:before="240" w:after="160"/>
      <w:outlineLvl w:val="0"/>
    </w:pPr>
    <w:rPr>
      <w:b/>
      <w:kern w:val="3"/>
      <w:sz w:val="32"/>
    </w:rPr>
  </w:style>
  <w:style w:type="paragraph" w:styleId="Titre2">
    <w:name w:val="heading 2"/>
    <w:basedOn w:val="Normal"/>
    <w:next w:val="Normal"/>
    <w:uiPriority w:val="9"/>
    <w:unhideWhenUsed/>
    <w:qFormat/>
    <w:pPr>
      <w:keepNext/>
      <w:spacing w:before="240" w:after="160"/>
      <w:outlineLvl w:val="1"/>
    </w:pPr>
    <w:rPr>
      <w:sz w:val="28"/>
      <w:u w:val="single"/>
    </w:rPr>
  </w:style>
  <w:style w:type="paragraph" w:styleId="Titre3">
    <w:name w:val="heading 3"/>
    <w:basedOn w:val="Normal"/>
    <w:next w:val="Normal"/>
    <w:uiPriority w:val="9"/>
    <w:unhideWhenUsed/>
    <w:qFormat/>
    <w:pPr>
      <w:keepNext/>
      <w:spacing w:before="240" w:after="160"/>
      <w:outlineLvl w:val="2"/>
    </w:pPr>
    <w:rPr>
      <w:sz w:val="24"/>
      <w:u w:val="single"/>
    </w:rPr>
  </w:style>
  <w:style w:type="paragraph" w:styleId="Titre4">
    <w:name w:val="heading 4"/>
    <w:basedOn w:val="Normal"/>
    <w:next w:val="Normal"/>
    <w:uiPriority w:val="9"/>
    <w:unhideWhenUsed/>
    <w:qFormat/>
    <w:pPr>
      <w:keepNext/>
      <w:spacing w:before="240" w:after="60"/>
      <w:ind w:left="567"/>
      <w:outlineLvl w:val="3"/>
    </w:pPr>
    <w:rPr>
      <w:i/>
      <w:sz w:val="24"/>
    </w:rPr>
  </w:style>
  <w:style w:type="paragraph" w:styleId="Titre5">
    <w:name w:val="heading 5"/>
    <w:basedOn w:val="Normal"/>
    <w:next w:val="Normal"/>
    <w:uiPriority w:val="9"/>
    <w:semiHidden/>
    <w:unhideWhenUsed/>
    <w:qFormat/>
    <w:pPr>
      <w:spacing w:before="240" w:after="60"/>
      <w:ind w:left="1134"/>
      <w:outlineLvl w:val="4"/>
    </w:pPr>
    <w:rPr>
      <w:i/>
    </w:rPr>
  </w:style>
  <w:style w:type="paragraph" w:styleId="Titre6">
    <w:name w:val="heading 6"/>
    <w:basedOn w:val="Normal"/>
    <w:next w:val="Normal"/>
    <w:uiPriority w:val="9"/>
    <w:semiHidden/>
    <w:unhideWhenUsed/>
    <w:qFormat/>
    <w:pPr>
      <w:keepNext/>
      <w:spacing w:before="120" w:after="120"/>
      <w:jc w:val="center"/>
      <w:outlineLvl w:val="5"/>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Outline">
    <w:name w:val="Outline"/>
    <w:basedOn w:val="Aucuneliste"/>
    <w:pPr>
      <w:numPr>
        <w:numId w:val="1"/>
      </w:numPr>
    </w:pPr>
  </w:style>
  <w:style w:type="paragraph" w:customStyle="1" w:styleId="Standard">
    <w:name w:val="Standard"/>
  </w:style>
  <w:style w:type="paragraph" w:customStyle="1" w:styleId="RedaliaTitre2">
    <w:name w:val="Redalia Titre 2"/>
    <w:basedOn w:val="Normal"/>
    <w:next w:val="Normal"/>
    <w:pPr>
      <w:numPr>
        <w:ilvl w:val="1"/>
        <w:numId w:val="1"/>
      </w:numPr>
      <w:spacing w:before="240" w:after="160"/>
      <w:outlineLvl w:val="1"/>
    </w:pPr>
    <w:rPr>
      <w:sz w:val="28"/>
      <w:u w:val="single"/>
    </w:rPr>
  </w:style>
  <w:style w:type="paragraph" w:customStyle="1" w:styleId="RedaliaTitre3">
    <w:name w:val="Redalia Titre 3"/>
    <w:basedOn w:val="Normal"/>
    <w:pPr>
      <w:numPr>
        <w:ilvl w:val="2"/>
        <w:numId w:val="1"/>
      </w:numPr>
      <w:overflowPunct w:val="0"/>
      <w:autoSpaceDE w:val="0"/>
      <w:spacing w:before="240" w:after="160"/>
      <w:jc w:val="both"/>
      <w:outlineLvl w:val="2"/>
    </w:pPr>
    <w:rPr>
      <w:sz w:val="24"/>
      <w:u w:val="single"/>
    </w:rPr>
  </w:style>
  <w:style w:type="paragraph" w:customStyle="1" w:styleId="RedaliaTitre1">
    <w:name w:val="Redalia Titre 1"/>
    <w:basedOn w:val="Normal"/>
    <w:pPr>
      <w:numPr>
        <w:numId w:val="1"/>
      </w:numPr>
      <w:spacing w:before="240" w:after="160"/>
      <w:outlineLvl w:val="0"/>
    </w:pPr>
    <w:rPr>
      <w:b/>
      <w:sz w:val="32"/>
    </w:rPr>
  </w:style>
  <w:style w:type="paragraph" w:customStyle="1" w:styleId="RedaliaTitredocument">
    <w:name w:val="Redalia : Titre document"/>
    <w:basedOn w:val="RedaliaNormal"/>
    <w:pPr>
      <w:jc w:val="center"/>
    </w:pPr>
    <w:rPr>
      <w:b/>
      <w:sz w:val="40"/>
    </w:rPr>
  </w:style>
  <w:style w:type="paragraph" w:customStyle="1" w:styleId="Courriercivilit">
    <w:name w:val="Courrier civilité"/>
    <w:basedOn w:val="Normal"/>
    <w:pPr>
      <w:tabs>
        <w:tab w:val="left" w:pos="1134"/>
      </w:tabs>
    </w:pPr>
  </w:style>
  <w:style w:type="paragraph" w:customStyle="1" w:styleId="Courrierdate">
    <w:name w:val="Courrier date"/>
    <w:basedOn w:val="Normal"/>
    <w:pPr>
      <w:jc w:val="right"/>
    </w:pPr>
  </w:style>
  <w:style w:type="paragraph" w:customStyle="1" w:styleId="Courrierdest">
    <w:name w:val="Courrier dest"/>
    <w:basedOn w:val="Normal"/>
  </w:style>
  <w:style w:type="paragraph" w:customStyle="1" w:styleId="Courriersign">
    <w:name w:val="Courrier sign"/>
    <w:basedOn w:val="Courrierdest"/>
    <w:rPr>
      <w:caps/>
    </w:rPr>
  </w:style>
  <w:style w:type="paragraph" w:customStyle="1" w:styleId="Courriertext">
    <w:name w:val="Courrier text"/>
    <w:basedOn w:val="Normal"/>
    <w:pPr>
      <w:jc w:val="both"/>
    </w:pPr>
  </w:style>
  <w:style w:type="paragraph" w:customStyle="1" w:styleId="Dossierune">
    <w:name w:val="Dossier une"/>
    <w:basedOn w:val="Normal"/>
    <w:pPr>
      <w:jc w:val="center"/>
    </w:pPr>
    <w:rPr>
      <w:sz w:val="72"/>
    </w:rPr>
  </w:style>
  <w:style w:type="paragraph" w:customStyle="1" w:styleId="Dossierobjet">
    <w:name w:val="Dossier objet"/>
    <w:basedOn w:val="Dossierune"/>
    <w:rPr>
      <w:sz w:val="48"/>
    </w:rPr>
  </w:style>
  <w:style w:type="paragraph" w:customStyle="1" w:styleId="DossierobjetRdalia">
    <w:name w:val="Dossier objet Rédalia"/>
    <w:basedOn w:val="Dossierobjet"/>
    <w:next w:val="Normal"/>
    <w:rPr>
      <w:sz w:val="36"/>
    </w:rPr>
  </w:style>
  <w:style w:type="paragraph" w:customStyle="1" w:styleId="Dossiertitre">
    <w:name w:val="Dossier titre"/>
    <w:basedOn w:val="Dossierobjet"/>
    <w:pPr>
      <w:pBdr>
        <w:bottom w:val="single" w:sz="6" w:space="1" w:color="000000"/>
      </w:pBdr>
    </w:pPr>
    <w:rPr>
      <w:sz w:val="40"/>
    </w:rPr>
  </w:style>
  <w:style w:type="paragraph" w:customStyle="1" w:styleId="DossiertitreRedalia">
    <w:name w:val="Dossier titre Redalia"/>
    <w:basedOn w:val="Dossiertitre"/>
    <w:pPr>
      <w:jc w:val="left"/>
    </w:pPr>
    <w:rPr>
      <w:sz w:val="32"/>
    </w:rPr>
  </w:style>
  <w:style w:type="paragraph" w:customStyle="1" w:styleId="Enttecentre">
    <w:name w:val="Entête centre"/>
    <w:basedOn w:val="Normal"/>
    <w:pPr>
      <w:jc w:val="center"/>
    </w:pPr>
  </w:style>
  <w:style w:type="paragraph" w:customStyle="1" w:styleId="Enttedrte">
    <w:name w:val="Entête drte"/>
    <w:basedOn w:val="Normal"/>
    <w:pPr>
      <w:jc w:val="right"/>
    </w:pPr>
  </w:style>
  <w:style w:type="paragraph" w:customStyle="1" w:styleId="Enttegche">
    <w:name w:val="Entête gche"/>
    <w:basedOn w:val="Normal"/>
  </w:style>
  <w:style w:type="paragraph" w:customStyle="1" w:styleId="Enttemilieu">
    <w:name w:val="Entête milieu"/>
    <w:basedOn w:val="Normal"/>
    <w:pPr>
      <w:jc w:val="center"/>
    </w:pPr>
    <w:rPr>
      <w:sz w:val="28"/>
    </w:rPr>
  </w:style>
  <w:style w:type="paragraph" w:customStyle="1" w:styleId="PagedegardeRdalia">
    <w:name w:val="Page de garde Rédalia"/>
    <w:basedOn w:val="Normal"/>
    <w:next w:val="Normal"/>
    <w:rPr>
      <w:b/>
      <w:sz w:val="28"/>
    </w:rPr>
  </w:style>
  <w:style w:type="paragraph" w:customStyle="1" w:styleId="Piedpagecentre">
    <w:name w:val="Piedpage centre"/>
    <w:basedOn w:val="Normal"/>
    <w:pPr>
      <w:jc w:val="center"/>
    </w:pPr>
  </w:style>
  <w:style w:type="paragraph" w:customStyle="1" w:styleId="Piedpagedrte">
    <w:name w:val="Piedpage drte"/>
    <w:basedOn w:val="Normal"/>
    <w:pPr>
      <w:jc w:val="right"/>
    </w:pPr>
  </w:style>
  <w:style w:type="paragraph" w:customStyle="1" w:styleId="Piedpagegche">
    <w:name w:val="Piedpage gche"/>
    <w:basedOn w:val="Normal"/>
  </w:style>
  <w:style w:type="paragraph" w:customStyle="1" w:styleId="Tableau10centre">
    <w:name w:val="Tableau 10 centre"/>
    <w:basedOn w:val="Normal"/>
    <w:pPr>
      <w:jc w:val="center"/>
    </w:pPr>
  </w:style>
  <w:style w:type="paragraph" w:customStyle="1" w:styleId="Tableau10drte">
    <w:name w:val="Tableau 10 drte"/>
    <w:basedOn w:val="Normal"/>
    <w:pPr>
      <w:jc w:val="right"/>
    </w:pPr>
  </w:style>
  <w:style w:type="paragraph" w:customStyle="1" w:styleId="Tableau10gche">
    <w:name w:val="Tableau 10 gche"/>
    <w:basedOn w:val="Normal"/>
  </w:style>
  <w:style w:type="paragraph" w:customStyle="1" w:styleId="Tableau11centre">
    <w:name w:val="Tableau 11 centre"/>
    <w:basedOn w:val="Normal"/>
    <w:pPr>
      <w:jc w:val="center"/>
    </w:pPr>
  </w:style>
  <w:style w:type="paragraph" w:customStyle="1" w:styleId="Tableau11drte">
    <w:name w:val="Tableau 11 drte"/>
    <w:basedOn w:val="Normal"/>
    <w:pPr>
      <w:jc w:val="right"/>
    </w:pPr>
  </w:style>
  <w:style w:type="paragraph" w:customStyle="1" w:styleId="Tableau11gche">
    <w:name w:val="Tableau 11 gche"/>
    <w:basedOn w:val="Normal"/>
  </w:style>
  <w:style w:type="paragraph" w:customStyle="1" w:styleId="Tableau8centre">
    <w:name w:val="Tableau 8 centre"/>
    <w:basedOn w:val="Normal"/>
    <w:pPr>
      <w:jc w:val="center"/>
    </w:pPr>
    <w:rPr>
      <w:sz w:val="16"/>
    </w:rPr>
  </w:style>
  <w:style w:type="paragraph" w:customStyle="1" w:styleId="Tableau8drte">
    <w:name w:val="Tableau 8 drte"/>
    <w:basedOn w:val="Normal"/>
    <w:pPr>
      <w:jc w:val="right"/>
    </w:pPr>
    <w:rPr>
      <w:sz w:val="16"/>
    </w:rPr>
  </w:style>
  <w:style w:type="paragraph" w:customStyle="1" w:styleId="Tableau8gche">
    <w:name w:val="Tableau 8 gche"/>
    <w:basedOn w:val="Normal"/>
    <w:rPr>
      <w:sz w:val="16"/>
    </w:rPr>
  </w:style>
  <w:style w:type="paragraph" w:customStyle="1" w:styleId="Titredetableau">
    <w:name w:val="Titre de tableau"/>
    <w:basedOn w:val="Tableau11centre"/>
    <w:rPr>
      <w:b/>
    </w:rPr>
  </w:style>
  <w:style w:type="paragraph" w:customStyle="1" w:styleId="TitreN1">
    <w:name w:val="Titre N1"/>
    <w:basedOn w:val="Titre1"/>
    <w:pPr>
      <w:ind w:left="283" w:hanging="283"/>
    </w:pPr>
  </w:style>
  <w:style w:type="paragraph" w:customStyle="1" w:styleId="TitreN2">
    <w:name w:val="Titre N2"/>
    <w:basedOn w:val="Titre2"/>
    <w:pPr>
      <w:ind w:left="283" w:hanging="283"/>
    </w:pPr>
  </w:style>
  <w:style w:type="paragraph" w:customStyle="1" w:styleId="TitreN3">
    <w:name w:val="Titre N3"/>
    <w:basedOn w:val="Titre3"/>
    <w:pPr>
      <w:ind w:left="283" w:hanging="283"/>
    </w:pPr>
  </w:style>
  <w:style w:type="paragraph" w:customStyle="1" w:styleId="TitreN4">
    <w:name w:val="Titre N4"/>
    <w:basedOn w:val="Titre4"/>
    <w:pPr>
      <w:ind w:left="850" w:hanging="283"/>
    </w:pPr>
  </w:style>
  <w:style w:type="paragraph" w:customStyle="1" w:styleId="TitreN5">
    <w:name w:val="Titre N5"/>
    <w:basedOn w:val="Titre5"/>
    <w:pPr>
      <w:ind w:left="1417" w:hanging="283"/>
    </w:pPr>
  </w:style>
  <w:style w:type="paragraph" w:styleId="TM1">
    <w:name w:val="toc 1"/>
    <w:basedOn w:val="Titre1"/>
    <w:next w:val="Normal"/>
    <w:pPr>
      <w:keepNext w:val="0"/>
      <w:tabs>
        <w:tab w:val="right" w:leader="dot" w:pos="9072"/>
      </w:tabs>
      <w:spacing w:before="120" w:after="0"/>
    </w:pPr>
    <w:rPr>
      <w:sz w:val="24"/>
    </w:rPr>
  </w:style>
  <w:style w:type="paragraph" w:styleId="TM2">
    <w:name w:val="toc 2"/>
    <w:basedOn w:val="Titre2"/>
    <w:next w:val="Normal"/>
    <w:pPr>
      <w:keepNext w:val="0"/>
      <w:tabs>
        <w:tab w:val="right" w:leader="dot" w:pos="9072"/>
      </w:tabs>
      <w:spacing w:before="120" w:after="0"/>
      <w:ind w:left="198"/>
    </w:pPr>
    <w:rPr>
      <w:sz w:val="22"/>
      <w:u w:val="none"/>
    </w:rPr>
  </w:style>
  <w:style w:type="paragraph" w:styleId="TM3">
    <w:name w:val="toc 3"/>
    <w:basedOn w:val="Titre3"/>
    <w:next w:val="Normal"/>
    <w:pPr>
      <w:keepNext w:val="0"/>
      <w:tabs>
        <w:tab w:val="right" w:leader="dot" w:pos="9072"/>
      </w:tabs>
      <w:spacing w:before="120" w:after="0"/>
      <w:ind w:left="403"/>
    </w:pPr>
    <w:rPr>
      <w:sz w:val="20"/>
      <w:u w:val="none"/>
    </w:rPr>
  </w:style>
  <w:style w:type="paragraph" w:styleId="TM4">
    <w:name w:val="toc 4"/>
    <w:basedOn w:val="Titre4"/>
    <w:next w:val="Normal"/>
    <w:pPr>
      <w:keepNext w:val="0"/>
      <w:tabs>
        <w:tab w:val="right" w:leader="dot" w:pos="9072"/>
      </w:tabs>
      <w:spacing w:before="120" w:after="0"/>
      <w:ind w:left="601"/>
    </w:pPr>
    <w:rPr>
      <w:sz w:val="22"/>
    </w:rPr>
  </w:style>
  <w:style w:type="paragraph" w:styleId="TM5">
    <w:name w:val="toc 5"/>
    <w:basedOn w:val="Titre5"/>
    <w:next w:val="Normal"/>
    <w:pPr>
      <w:tabs>
        <w:tab w:val="right" w:leader="dot" w:pos="9072"/>
      </w:tabs>
      <w:spacing w:before="120" w:after="0"/>
      <w:ind w:left="799"/>
    </w:pPr>
  </w:style>
  <w:style w:type="paragraph" w:customStyle="1" w:styleId="CondInsert">
    <w:name w:val="Cond Insert"/>
    <w:basedOn w:val="Normal"/>
    <w:next w:val="Normal"/>
    <w:pPr>
      <w:tabs>
        <w:tab w:val="right" w:leader="dot" w:pos="9000"/>
      </w:tabs>
    </w:pPr>
    <w:rPr>
      <w:rFonts w:cs="Arial"/>
      <w:b/>
      <w:bCs/>
      <w:color w:val="0000FF"/>
    </w:rPr>
  </w:style>
  <w:style w:type="paragraph" w:customStyle="1" w:styleId="RdaliaCondens">
    <w:name w:val="Rédalia : Condensé"/>
    <w:basedOn w:val="Normal"/>
    <w:pPr>
      <w:spacing w:before="40"/>
      <w:jc w:val="both"/>
    </w:pPr>
    <w:rPr>
      <w:sz w:val="16"/>
    </w:rPr>
  </w:style>
  <w:style w:type="paragraph" w:customStyle="1" w:styleId="RdaliaLgende">
    <w:name w:val="Rédalia : Légende"/>
    <w:basedOn w:val="Normal"/>
    <w:pPr>
      <w:ind w:left="284" w:hanging="284"/>
      <w:jc w:val="both"/>
    </w:pPr>
    <w:rPr>
      <w:i/>
      <w:sz w:val="16"/>
    </w:rPr>
  </w:style>
  <w:style w:type="paragraph" w:customStyle="1" w:styleId="RedaliaNormal">
    <w:name w:val="Redalia : Normal"/>
    <w:basedOn w:val="Normal"/>
    <w:pPr>
      <w:tabs>
        <w:tab w:val="left" w:leader="dot" w:pos="8505"/>
      </w:tabs>
      <w:spacing w:before="40"/>
      <w:jc w:val="both"/>
    </w:pPr>
  </w:style>
  <w:style w:type="paragraph" w:customStyle="1" w:styleId="RdaliaRetraitniveau1">
    <w:name w:val="Rédalia : Retrait niveau 1"/>
    <w:basedOn w:val="RedaliaNormal"/>
  </w:style>
  <w:style w:type="paragraph" w:customStyle="1" w:styleId="RdaliaRetraitniveau2">
    <w:name w:val="Rédalia : Retrait niveau 2"/>
    <w:basedOn w:val="RedaliaNormal"/>
    <w:pPr>
      <w:numPr>
        <w:numId w:val="14"/>
      </w:numPr>
    </w:pPr>
  </w:style>
  <w:style w:type="paragraph" w:customStyle="1" w:styleId="RdaliaTableau">
    <w:name w:val="Rédalia : Tableau"/>
    <w:basedOn w:val="RedaliaNormal"/>
    <w:pPr>
      <w:numPr>
        <w:numId w:val="15"/>
      </w:numPr>
    </w:pPr>
    <w:rPr>
      <w:b/>
      <w:color w:val="0000FF"/>
    </w:rPr>
  </w:style>
  <w:style w:type="paragraph" w:customStyle="1" w:styleId="RdaliaTextemasqu">
    <w:name w:val="Rédalia : Texte masqué"/>
    <w:basedOn w:val="RdaliaRetraitniveau1"/>
    <w:pPr>
      <w:shd w:val="clear" w:color="auto" w:fill="FFFFFF"/>
    </w:pPr>
    <w:rPr>
      <w:vanish/>
      <w:sz w:val="20"/>
    </w:rPr>
  </w:style>
  <w:style w:type="paragraph" w:customStyle="1" w:styleId="RdaliaTitredestableaux">
    <w:name w:val="Rédalia : Titre des tableaux"/>
    <w:basedOn w:val="RedaliaNormal"/>
    <w:pPr>
      <w:jc w:val="center"/>
    </w:pPr>
    <w:rPr>
      <w:b/>
    </w:rPr>
  </w:style>
  <w:style w:type="paragraph" w:customStyle="1" w:styleId="RdaliaTitredossier">
    <w:name w:val="Rédalia : Titre dossier"/>
    <w:basedOn w:val="Dossierune"/>
    <w:rPr>
      <w:sz w:val="48"/>
    </w:rPr>
  </w:style>
  <w:style w:type="paragraph" w:customStyle="1" w:styleId="RdaliaTitreparagraphe">
    <w:name w:val="Rédalia : Titre paragraphe"/>
    <w:basedOn w:val="Dossiertitre"/>
    <w:pPr>
      <w:spacing w:before="320" w:after="240"/>
      <w:jc w:val="left"/>
    </w:pPr>
    <w:rPr>
      <w:sz w:val="32"/>
    </w:rPr>
  </w:style>
  <w:style w:type="paragraph" w:customStyle="1" w:styleId="RdaliaTitretableaucondens">
    <w:name w:val="Rédalia : Titre tableau condensé"/>
    <w:basedOn w:val="Normal"/>
    <w:pPr>
      <w:spacing w:before="40"/>
      <w:jc w:val="both"/>
    </w:pPr>
    <w:rPr>
      <w:b/>
      <w:sz w:val="18"/>
    </w:rPr>
  </w:style>
  <w:style w:type="paragraph" w:customStyle="1" w:styleId="RdaliaZonecandidat">
    <w:name w:val="Rédalia : Zone candidat"/>
    <w:basedOn w:val="Normal"/>
    <w:pPr>
      <w:shd w:val="clear" w:color="auto" w:fill="00FFFF"/>
      <w:spacing w:before="40"/>
      <w:jc w:val="center"/>
    </w:pPr>
    <w:rPr>
      <w:sz w:val="18"/>
    </w:rPr>
  </w:style>
  <w:style w:type="paragraph" w:customStyle="1" w:styleId="Concilianormal">
    <w:name w:val="Concilia normal"/>
    <w:basedOn w:val="Normal"/>
    <w:rPr>
      <w:rFonts w:cs="Arial"/>
      <w:szCs w:val="22"/>
    </w:rPr>
  </w:style>
  <w:style w:type="paragraph" w:customStyle="1" w:styleId="Conciliatitre">
    <w:name w:val="Concilia titre"/>
    <w:basedOn w:val="Concilianormal"/>
    <w:pPr>
      <w:jc w:val="center"/>
    </w:pPr>
    <w:rPr>
      <w:b/>
      <w:bCs/>
      <w:sz w:val="32"/>
      <w:szCs w:val="32"/>
    </w:rPr>
  </w:style>
  <w:style w:type="paragraph" w:customStyle="1" w:styleId="LIANormal">
    <w:name w:val="LIA : Normal"/>
    <w:basedOn w:val="Normal"/>
    <w:pPr>
      <w:overflowPunct w:val="0"/>
      <w:autoSpaceDE w:val="0"/>
      <w:jc w:val="both"/>
    </w:pPr>
    <w:rPr>
      <w:szCs w:val="18"/>
    </w:rPr>
  </w:style>
  <w:style w:type="paragraph" w:customStyle="1" w:styleId="LIACasecocher">
    <w:name w:val="LIA : Case à cocher"/>
    <w:basedOn w:val="LIANormal"/>
    <w:rPr>
      <w:rFonts w:cs="Wingdings"/>
    </w:rPr>
  </w:style>
  <w:style w:type="paragraph" w:customStyle="1" w:styleId="LIACondense">
    <w:name w:val="LIA : Condense"/>
    <w:basedOn w:val="LIANormal"/>
    <w:autoRedefine/>
    <w:pPr>
      <w:spacing w:before="120" w:after="120"/>
    </w:pPr>
    <w:rPr>
      <w:sz w:val="18"/>
      <w:szCs w:val="16"/>
    </w:rPr>
  </w:style>
  <w:style w:type="paragraph" w:customStyle="1" w:styleId="LiaTitre">
    <w:name w:val="Lia : Titre"/>
    <w:basedOn w:val="Normal"/>
    <w:pPr>
      <w:tabs>
        <w:tab w:val="left" w:leader="dot" w:pos="8505"/>
      </w:tabs>
      <w:overflowPunct w:val="0"/>
      <w:autoSpaceDE w:val="0"/>
      <w:spacing w:before="40"/>
      <w:jc w:val="both"/>
    </w:pPr>
    <w:rPr>
      <w:b/>
      <w:bCs/>
      <w:i/>
      <w:iCs/>
    </w:rPr>
  </w:style>
  <w:style w:type="paragraph" w:customStyle="1" w:styleId="LIAErreur">
    <w:name w:val="LIA : Erreur"/>
    <w:basedOn w:val="LIANormal"/>
    <w:pPr>
      <w:jc w:val="center"/>
    </w:pPr>
    <w:rPr>
      <w:b/>
      <w:bCs/>
      <w:i/>
      <w:iCs/>
      <w:sz w:val="24"/>
      <w:szCs w:val="24"/>
    </w:rPr>
  </w:style>
  <w:style w:type="paragraph" w:customStyle="1" w:styleId="LILIATitre1">
    <w:name w:val="LILIA : Titre 1"/>
    <w:basedOn w:val="LiaTitre"/>
    <w:pPr>
      <w:jc w:val="center"/>
    </w:pPr>
    <w:rPr>
      <w:caps/>
    </w:rPr>
  </w:style>
  <w:style w:type="paragraph" w:customStyle="1" w:styleId="LILIATitre2">
    <w:name w:val="LILIA : Titre 2"/>
    <w:basedOn w:val="LILIATitre1"/>
    <w:next w:val="Normal"/>
    <w:pPr>
      <w:jc w:val="left"/>
    </w:pPr>
  </w:style>
  <w:style w:type="paragraph" w:customStyle="1" w:styleId="STabCentre">
    <w:name w:val="STab Centre"/>
    <w:basedOn w:val="Normal"/>
    <w:pPr>
      <w:jc w:val="center"/>
    </w:pPr>
  </w:style>
  <w:style w:type="paragraph" w:customStyle="1" w:styleId="LiaLibell">
    <w:name w:val="Lia_Libellé"/>
    <w:basedOn w:val="Normal"/>
    <w:rPr>
      <w:b/>
    </w:rPr>
  </w:style>
  <w:style w:type="paragraph" w:customStyle="1" w:styleId="LiaDescription">
    <w:name w:val="Lia_Description"/>
    <w:basedOn w:val="Normal"/>
  </w:style>
  <w:style w:type="paragraph" w:customStyle="1" w:styleId="LiaUnit">
    <w:name w:val="Lia_Unité"/>
    <w:basedOn w:val="Normal"/>
    <w:rPr>
      <w:i/>
    </w:rPr>
  </w:style>
  <w:style w:type="paragraph" w:customStyle="1" w:styleId="DCENormal">
    <w:name w:val="DCE Normal"/>
    <w:basedOn w:val="Normal"/>
    <w:pPr>
      <w:jc w:val="both"/>
    </w:pPr>
    <w:rPr>
      <w:sz w:val="24"/>
    </w:rPr>
  </w:style>
  <w:style w:type="paragraph" w:customStyle="1" w:styleId="DCETableau">
    <w:name w:val="DCE Tableau"/>
    <w:basedOn w:val="Normal"/>
  </w:style>
  <w:style w:type="paragraph" w:customStyle="1" w:styleId="DCETitreTableau">
    <w:name w:val="DCE TitreTableau"/>
    <w:basedOn w:val="Normal"/>
    <w:pPr>
      <w:jc w:val="center"/>
    </w:pPr>
    <w:rPr>
      <w:b/>
    </w:rPr>
  </w:style>
  <w:style w:type="paragraph" w:customStyle="1" w:styleId="GnliaMarquedeparagraphe">
    <w:name w:val="Génélia : Marque de paragraphe"/>
    <w:basedOn w:val="Normal"/>
    <w:pPr>
      <w:keepNext/>
      <w:keepLines/>
      <w:tabs>
        <w:tab w:val="right" w:leader="dot" w:pos="10205"/>
      </w:tabs>
      <w:spacing w:before="40"/>
      <w:ind w:left="-1134"/>
      <w:jc w:val="both"/>
    </w:pPr>
    <w:rPr>
      <w:b/>
      <w:color w:val="008080"/>
    </w:rPr>
  </w:style>
  <w:style w:type="paragraph" w:customStyle="1" w:styleId="DGATitre1">
    <w:name w:val="DGA Titre1"/>
    <w:basedOn w:val="Titre1"/>
    <w:pPr>
      <w:tabs>
        <w:tab w:val="left" w:pos="360"/>
      </w:tabs>
      <w:overflowPunct w:val="0"/>
      <w:autoSpaceDE w:val="0"/>
      <w:ind w:left="360" w:hanging="360"/>
    </w:pPr>
    <w:rPr>
      <w:sz w:val="28"/>
    </w:rPr>
  </w:style>
  <w:style w:type="paragraph" w:customStyle="1" w:styleId="Redaliapuces">
    <w:name w:val="Redalia : puces"/>
    <w:basedOn w:val="RedaliaNormal"/>
    <w:pPr>
      <w:numPr>
        <w:numId w:val="2"/>
      </w:numPr>
      <w:tabs>
        <w:tab w:val="clear" w:pos="8505"/>
        <w:tab w:val="left" w:pos="510"/>
        <w:tab w:val="left" w:pos="8732"/>
      </w:tabs>
    </w:pPr>
  </w:style>
  <w:style w:type="paragraph" w:customStyle="1" w:styleId="RedaliaContenudetableau">
    <w:name w:val="Redalia : Contenu de tableau"/>
    <w:basedOn w:val="RedaliaNormal"/>
    <w:rPr>
      <w:sz w:val="18"/>
      <w:szCs w:val="18"/>
    </w:rPr>
  </w:style>
  <w:style w:type="paragraph" w:customStyle="1" w:styleId="RedaliaPartievaloriser">
    <w:name w:val="Redalia : Partie à valoriser"/>
    <w:basedOn w:val="RedaliaNormal"/>
    <w:next w:val="RedaliaNormal"/>
    <w:pPr>
      <w:tabs>
        <w:tab w:val="left" w:leader="dot" w:pos="8820"/>
      </w:tabs>
      <w:spacing w:before="240" w:line="360" w:lineRule="auto"/>
    </w:pPr>
  </w:style>
  <w:style w:type="paragraph" w:customStyle="1" w:styleId="RedaliaRetraitavecpuce">
    <w:name w:val="Redalia : Retrait avec puce"/>
    <w:basedOn w:val="RedaliaNormal"/>
  </w:style>
  <w:style w:type="paragraph" w:customStyle="1" w:styleId="RedaliaCentr">
    <w:name w:val="Redalia : Centré"/>
    <w:basedOn w:val="RedaliaNormal"/>
    <w:next w:val="RedaliaNormal"/>
    <w:pPr>
      <w:jc w:val="center"/>
    </w:pPr>
  </w:style>
  <w:style w:type="paragraph" w:customStyle="1" w:styleId="RedaliaRetrait2avecpuce">
    <w:name w:val="Redalia : Retrait 2 avec puce"/>
    <w:basedOn w:val="RedaliaRetraitavecpuce"/>
    <w:pPr>
      <w:tabs>
        <w:tab w:val="left" w:pos="1701"/>
      </w:tabs>
      <w:ind w:left="1701" w:hanging="567"/>
    </w:pPr>
  </w:style>
  <w:style w:type="paragraph" w:customStyle="1" w:styleId="RdaliaDrogations">
    <w:name w:val="Rédalia : Dérogations"/>
    <w:basedOn w:val="RedaliaNormal"/>
    <w:next w:val="RedaliaNormal"/>
    <w:rPr>
      <w:sz w:val="18"/>
      <w:szCs w:val="18"/>
    </w:rPr>
  </w:style>
  <w:style w:type="paragraph" w:customStyle="1" w:styleId="RdaliaCommentairesAE">
    <w:name w:val="Rédalia : Commentaires AE"/>
    <w:basedOn w:val="RedaliaNormal"/>
    <w:pPr>
      <w:overflowPunct w:val="0"/>
      <w:autoSpaceDE w:val="0"/>
    </w:pPr>
    <w:rPr>
      <w:rFonts w:ascii="Verdana" w:eastAsia="Verdana" w:hAnsi="Verdana" w:cs="Verdana"/>
      <w:i/>
      <w:iCs/>
      <w:color w:val="808080"/>
      <w:sz w:val="14"/>
      <w:szCs w:val="14"/>
    </w:rPr>
  </w:style>
  <w:style w:type="paragraph" w:styleId="TM6">
    <w:name w:val="toc 6"/>
    <w:basedOn w:val="Normal"/>
    <w:next w:val="Normal"/>
    <w:autoRedefine/>
    <w:pPr>
      <w:ind w:left="960"/>
    </w:pPr>
  </w:style>
  <w:style w:type="paragraph" w:styleId="TM7">
    <w:name w:val="toc 7"/>
    <w:basedOn w:val="Normal"/>
    <w:next w:val="Normal"/>
    <w:autoRedefine/>
    <w:pPr>
      <w:ind w:left="1200"/>
    </w:pPr>
  </w:style>
  <w:style w:type="paragraph" w:styleId="TM8">
    <w:name w:val="toc 8"/>
    <w:basedOn w:val="Normal"/>
    <w:next w:val="Normal"/>
    <w:autoRedefine/>
    <w:pPr>
      <w:ind w:left="1440"/>
    </w:pPr>
  </w:style>
  <w:style w:type="paragraph" w:styleId="TM9">
    <w:name w:val="toc 9"/>
    <w:basedOn w:val="Normal"/>
    <w:next w:val="Normal"/>
    <w:autoRedefine/>
    <w:pPr>
      <w:ind w:left="1680"/>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RedaliaSoustitredocument">
    <w:name w:val="Redalia : Sous titre document"/>
    <w:basedOn w:val="RedaliaNormal"/>
    <w:next w:val="RedaliaNormal"/>
    <w:pPr>
      <w:jc w:val="center"/>
    </w:pPr>
    <w:rPr>
      <w:sz w:val="28"/>
    </w:rPr>
  </w:style>
  <w:style w:type="paragraph" w:customStyle="1" w:styleId="AvecPuce">
    <w:name w:val="Avec Puce"/>
    <w:basedOn w:val="Normal"/>
    <w:pPr>
      <w:numPr>
        <w:numId w:val="9"/>
      </w:numPr>
      <w:tabs>
        <w:tab w:val="left" w:pos="2880"/>
      </w:tabs>
      <w:spacing w:after="120"/>
    </w:pPr>
  </w:style>
  <w:style w:type="paragraph" w:customStyle="1" w:styleId="Chapitre">
    <w:name w:val="Chapitre"/>
    <w:basedOn w:val="Normal"/>
    <w:pPr>
      <w:numPr>
        <w:numId w:val="10"/>
      </w:numPr>
      <w:tabs>
        <w:tab w:val="left" w:pos="720"/>
      </w:tabs>
      <w:spacing w:before="240" w:after="240"/>
    </w:pPr>
    <w:rPr>
      <w:rFonts w:ascii="Arial Narrow" w:eastAsia="Arial Narrow" w:hAnsi="Arial Narrow" w:cs="Arial Narrow"/>
      <w:color w:val="003366"/>
      <w:sz w:val="36"/>
      <w:szCs w:val="36"/>
    </w:rPr>
  </w:style>
  <w:style w:type="paragraph" w:customStyle="1" w:styleId="Chapitre2">
    <w:name w:val="Chapitre 2"/>
    <w:basedOn w:val="Chapitre"/>
    <w:pPr>
      <w:pBdr>
        <w:top w:val="single" w:sz="12" w:space="1" w:color="003366"/>
        <w:left w:val="single" w:sz="12" w:space="4" w:color="003366"/>
        <w:bottom w:val="single" w:sz="12" w:space="1" w:color="003366"/>
        <w:right w:val="single" w:sz="12" w:space="4" w:color="003366"/>
      </w:pBdr>
      <w:shd w:val="clear" w:color="auto" w:fill="E0E0E0"/>
      <w:tabs>
        <w:tab w:val="clear" w:pos="720"/>
      </w:tabs>
      <w:spacing w:before="360" w:after="0"/>
      <w:ind w:left="567" w:firstLine="0"/>
    </w:pPr>
    <w:rPr>
      <w:rFonts w:ascii="Tahoma" w:eastAsia="Tahoma" w:hAnsi="Tahoma" w:cs="Tahoma"/>
      <w:b/>
      <w:bCs/>
      <w:sz w:val="24"/>
      <w:szCs w:val="24"/>
    </w:rPr>
  </w:style>
  <w:style w:type="paragraph" w:styleId="Commentaire">
    <w:name w:val="annotation text"/>
    <w:basedOn w:val="Normal"/>
  </w:style>
  <w:style w:type="paragraph" w:styleId="Corpsdetexte">
    <w:name w:val="Body Text"/>
    <w:basedOn w:val="Normal"/>
  </w:style>
  <w:style w:type="paragraph" w:styleId="Corpsdetexte2">
    <w:name w:val="Body Text 2"/>
    <w:basedOn w:val="Normal"/>
    <w:pPr>
      <w:jc w:val="center"/>
    </w:pPr>
    <w:rPr>
      <w:sz w:val="16"/>
      <w:szCs w:val="16"/>
    </w:rPr>
  </w:style>
  <w:style w:type="paragraph" w:styleId="Corpsdetexte3">
    <w:name w:val="Body Text 3"/>
    <w:basedOn w:val="Normal"/>
    <w:rPr>
      <w:i/>
      <w:iCs/>
    </w:rPr>
  </w:style>
  <w:style w:type="paragraph" w:customStyle="1" w:styleId="Elmentrecens">
    <w:name w:val="Elément recensé"/>
    <w:basedOn w:val="Normal"/>
    <w:pPr>
      <w:numPr>
        <w:numId w:val="11"/>
      </w:numPr>
      <w:tabs>
        <w:tab w:val="left" w:pos="644"/>
      </w:tabs>
    </w:pPr>
  </w:style>
  <w:style w:type="paragraph" w:styleId="NormalWeb">
    <w:name w:val="Normal (Web)"/>
    <w:basedOn w:val="Normal"/>
    <w:pPr>
      <w:spacing w:before="100" w:after="100"/>
    </w:pPr>
  </w:style>
  <w:style w:type="paragraph" w:styleId="Retraitcorpsdetexte">
    <w:name w:val="Body Text Indent"/>
    <w:basedOn w:val="Normal"/>
    <w:pPr>
      <w:ind w:left="540"/>
    </w:pPr>
  </w:style>
  <w:style w:type="paragraph" w:customStyle="1" w:styleId="StyleAvecPuceGras">
    <w:name w:val="Style Avec Puce + Gras"/>
    <w:basedOn w:val="AvecPuce"/>
    <w:rPr>
      <w:b/>
      <w:bCs/>
    </w:rPr>
  </w:style>
  <w:style w:type="paragraph" w:styleId="Textedebulles">
    <w:name w:val="Balloon Text"/>
    <w:basedOn w:val="Normal"/>
    <w:rPr>
      <w:rFonts w:ascii="Tahoma" w:eastAsia="Tahoma" w:hAnsi="Tahoma" w:cs="Tahoma"/>
      <w:sz w:val="16"/>
      <w:szCs w:val="16"/>
    </w:rPr>
  </w:style>
  <w:style w:type="paragraph" w:styleId="Titre">
    <w:name w:val="Title"/>
    <w:basedOn w:val="Normal"/>
    <w:uiPriority w:val="10"/>
    <w:qFormat/>
    <w:pPr>
      <w:jc w:val="center"/>
    </w:pPr>
    <w:rPr>
      <w:rFonts w:ascii="Tahoma" w:eastAsia="Tahoma" w:hAnsi="Tahoma" w:cs="Tahoma"/>
      <w:b/>
      <w:bCs/>
      <w:sz w:val="28"/>
      <w:szCs w:val="28"/>
    </w:rPr>
  </w:style>
  <w:style w:type="paragraph" w:customStyle="1" w:styleId="xl24">
    <w:name w:val="xl24"/>
    <w:basedOn w:val="Normal"/>
    <w:pPr>
      <w:pBdr>
        <w:top w:val="single" w:sz="4" w:space="0" w:color="000000"/>
        <w:left w:val="single" w:sz="4" w:space="0" w:color="000000"/>
        <w:bottom w:val="single" w:sz="4" w:space="0" w:color="000000"/>
        <w:right w:val="single" w:sz="4" w:space="0" w:color="000000"/>
      </w:pBdr>
      <w:spacing w:before="100" w:after="100"/>
      <w:textAlignment w:val="top"/>
    </w:pPr>
    <w:rPr>
      <w:sz w:val="12"/>
      <w:szCs w:val="12"/>
    </w:rPr>
  </w:style>
  <w:style w:type="paragraph" w:customStyle="1" w:styleId="xl25">
    <w:name w:val="xl25"/>
    <w:basedOn w:val="Normal"/>
    <w:pPr>
      <w:spacing w:before="100" w:after="100"/>
    </w:pPr>
    <w:rPr>
      <w:sz w:val="12"/>
      <w:szCs w:val="12"/>
    </w:rPr>
  </w:style>
  <w:style w:type="paragraph" w:customStyle="1" w:styleId="xl26">
    <w:name w:val="xl26"/>
    <w:basedOn w:val="Normal"/>
    <w:pPr>
      <w:pBdr>
        <w:top w:val="single" w:sz="4" w:space="0" w:color="000000"/>
        <w:left w:val="single" w:sz="4" w:space="0" w:color="000000"/>
        <w:bottom w:val="single" w:sz="4" w:space="0" w:color="000000"/>
        <w:right w:val="single" w:sz="4" w:space="0" w:color="000000"/>
      </w:pBdr>
      <w:spacing w:before="100" w:after="100"/>
    </w:pPr>
    <w:rPr>
      <w:sz w:val="12"/>
      <w:szCs w:val="12"/>
    </w:rPr>
  </w:style>
  <w:style w:type="paragraph" w:customStyle="1" w:styleId="xl27">
    <w:name w:val="xl27"/>
    <w:basedOn w:val="Normal"/>
    <w:pPr>
      <w:pBdr>
        <w:top w:val="single" w:sz="4" w:space="0" w:color="000000"/>
        <w:left w:val="single" w:sz="4" w:space="0" w:color="000000"/>
        <w:bottom w:val="single" w:sz="4" w:space="0" w:color="000000"/>
        <w:right w:val="single" w:sz="4" w:space="0" w:color="000000"/>
      </w:pBdr>
      <w:spacing w:before="100" w:after="100"/>
      <w:textAlignment w:val="top"/>
    </w:pPr>
    <w:rPr>
      <w:b/>
      <w:bCs/>
      <w:sz w:val="12"/>
      <w:szCs w:val="12"/>
    </w:rPr>
  </w:style>
  <w:style w:type="paragraph" w:customStyle="1" w:styleId="xl28">
    <w:name w:val="xl28"/>
    <w:basedOn w:val="Normal"/>
    <w:pPr>
      <w:pBdr>
        <w:top w:val="single" w:sz="4" w:space="0" w:color="000000"/>
        <w:left w:val="single" w:sz="4" w:space="0" w:color="000000"/>
        <w:bottom w:val="single" w:sz="4" w:space="0" w:color="000000"/>
        <w:right w:val="single" w:sz="4" w:space="0" w:color="000000"/>
      </w:pBdr>
      <w:shd w:val="clear" w:color="auto" w:fill="00CCFF"/>
      <w:spacing w:before="100" w:after="100"/>
      <w:jc w:val="center"/>
    </w:pPr>
    <w:rPr>
      <w:sz w:val="12"/>
      <w:szCs w:val="12"/>
    </w:rPr>
  </w:style>
  <w:style w:type="paragraph" w:customStyle="1" w:styleId="xl29">
    <w:name w:val="xl29"/>
    <w:basedOn w:val="Normal"/>
    <w:pPr>
      <w:pBdr>
        <w:top w:val="single" w:sz="4" w:space="0" w:color="000000"/>
        <w:left w:val="single" w:sz="4" w:space="0" w:color="000000"/>
        <w:bottom w:val="single" w:sz="4" w:space="0" w:color="000000"/>
        <w:right w:val="single" w:sz="4" w:space="0" w:color="000000"/>
      </w:pBdr>
      <w:shd w:val="clear" w:color="auto" w:fill="00CCFF"/>
      <w:spacing w:before="100" w:after="100"/>
      <w:jc w:val="center"/>
      <w:textAlignment w:val="center"/>
    </w:pPr>
    <w:rPr>
      <w:sz w:val="12"/>
      <w:szCs w:val="12"/>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CCFFCC"/>
      <w:spacing w:before="100" w:after="100"/>
    </w:pPr>
    <w:rPr>
      <w:sz w:val="12"/>
      <w:szCs w:val="12"/>
    </w:rPr>
  </w:style>
  <w:style w:type="paragraph" w:customStyle="1" w:styleId="xl31">
    <w:name w:val="xl31"/>
    <w:basedOn w:val="Normal"/>
    <w:pPr>
      <w:pBdr>
        <w:top w:val="single" w:sz="4" w:space="0" w:color="000000"/>
        <w:left w:val="single" w:sz="4" w:space="0" w:color="000000"/>
        <w:bottom w:val="single" w:sz="4" w:space="0" w:color="000000"/>
        <w:right w:val="single" w:sz="4" w:space="0" w:color="000000"/>
      </w:pBdr>
      <w:spacing w:before="100" w:after="100"/>
    </w:pPr>
    <w:rPr>
      <w:sz w:val="12"/>
      <w:szCs w:val="12"/>
    </w:rPr>
  </w:style>
  <w:style w:type="paragraph" w:customStyle="1" w:styleId="xl32">
    <w:name w:val="xl32"/>
    <w:basedOn w:val="Normal"/>
    <w:pPr>
      <w:pBdr>
        <w:top w:val="single" w:sz="4" w:space="0" w:color="000000"/>
        <w:left w:val="single" w:sz="4" w:space="0" w:color="000000"/>
        <w:bottom w:val="single" w:sz="4" w:space="0" w:color="000000"/>
        <w:right w:val="single" w:sz="4" w:space="0" w:color="000000"/>
      </w:pBdr>
      <w:shd w:val="clear" w:color="auto" w:fill="CCFFFF"/>
      <w:spacing w:before="100" w:after="100"/>
    </w:pPr>
    <w:rPr>
      <w:sz w:val="12"/>
      <w:szCs w:val="12"/>
    </w:rPr>
  </w:style>
  <w:style w:type="paragraph" w:customStyle="1" w:styleId="xl33">
    <w:name w:val="xl33"/>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pPr>
    <w:rPr>
      <w:b/>
      <w:bCs/>
      <w:sz w:val="12"/>
      <w:szCs w:val="12"/>
    </w:rPr>
  </w:style>
  <w:style w:type="paragraph" w:customStyle="1" w:styleId="xl34">
    <w:name w:val="xl34"/>
    <w:basedOn w:val="Normal"/>
    <w:pPr>
      <w:spacing w:before="100" w:after="100"/>
      <w:textAlignment w:val="top"/>
    </w:pPr>
    <w:rPr>
      <w:sz w:val="12"/>
      <w:szCs w:val="12"/>
    </w:rPr>
  </w:style>
  <w:style w:type="paragraph" w:customStyle="1" w:styleId="xl35">
    <w:name w:val="xl35"/>
    <w:basedOn w:val="Normal"/>
    <w:pPr>
      <w:spacing w:before="100" w:after="100"/>
    </w:pPr>
    <w:rPr>
      <w:sz w:val="12"/>
      <w:szCs w:val="12"/>
    </w:rPr>
  </w:style>
  <w:style w:type="paragraph" w:customStyle="1" w:styleId="xl36">
    <w:name w:val="xl36"/>
    <w:basedOn w:val="Normal"/>
    <w:pPr>
      <w:shd w:val="clear" w:color="auto" w:fill="00CCFF"/>
      <w:spacing w:before="100" w:after="100"/>
      <w:jc w:val="center"/>
    </w:pPr>
    <w:rPr>
      <w:b/>
      <w:bCs/>
      <w:sz w:val="12"/>
      <w:szCs w:val="12"/>
    </w:rPr>
  </w:style>
  <w:style w:type="paragraph" w:customStyle="1" w:styleId="xl37">
    <w:name w:val="xl37"/>
    <w:basedOn w:val="Normal"/>
    <w:pPr>
      <w:shd w:val="clear" w:color="auto" w:fill="00CCFF"/>
      <w:spacing w:before="100" w:after="100"/>
      <w:jc w:val="center"/>
    </w:pPr>
    <w:rPr>
      <w:b/>
      <w:bCs/>
      <w:sz w:val="12"/>
      <w:szCs w:val="12"/>
    </w:rPr>
  </w:style>
  <w:style w:type="paragraph" w:customStyle="1" w:styleId="adresse">
    <w:name w:val="adresse"/>
    <w:basedOn w:val="Normal"/>
    <w:pPr>
      <w:overflowPunct w:val="0"/>
      <w:autoSpaceDE w:val="0"/>
    </w:pPr>
    <w:rPr>
      <w:color w:val="000000"/>
    </w:rPr>
  </w:style>
  <w:style w:type="paragraph" w:styleId="Date">
    <w:name w:val="Date"/>
    <w:basedOn w:val="Normal"/>
    <w:pPr>
      <w:overflowPunct w:val="0"/>
      <w:autoSpaceDE w:val="0"/>
      <w:spacing w:after="3940"/>
      <w:ind w:right="1701"/>
      <w:jc w:val="right"/>
    </w:pPr>
    <w:rPr>
      <w:color w:val="000000"/>
    </w:rPr>
  </w:style>
  <w:style w:type="paragraph" w:customStyle="1" w:styleId="Etat-icone">
    <w:name w:val="Etat - icone"/>
    <w:basedOn w:val="Normal"/>
    <w:rPr>
      <w:rFonts w:cs="Webdings"/>
    </w:rPr>
  </w:style>
  <w:style w:type="paragraph" w:customStyle="1" w:styleId="LIARetrait">
    <w:name w:val="LIA : Retrait"/>
    <w:basedOn w:val="LIANormal"/>
    <w:pPr>
      <w:ind w:firstLine="709"/>
    </w:pPr>
    <w:rPr>
      <w:sz w:val="20"/>
      <w:szCs w:val="20"/>
    </w:rPr>
  </w:style>
  <w:style w:type="paragraph" w:customStyle="1" w:styleId="LIATOTAL">
    <w:name w:val="LIA : TOTAL"/>
    <w:basedOn w:val="Normal"/>
    <w:pPr>
      <w:jc w:val="right"/>
    </w:pPr>
    <w:rPr>
      <w:b/>
      <w:bCs/>
    </w:rPr>
  </w:style>
  <w:style w:type="paragraph" w:customStyle="1" w:styleId="rfrence">
    <w:name w:val="référence"/>
    <w:basedOn w:val="Normal"/>
    <w:pPr>
      <w:overflowPunct w:val="0"/>
      <w:autoSpaceDE w:val="0"/>
    </w:pPr>
    <w:rPr>
      <w:color w:val="000000"/>
      <w:sz w:val="16"/>
      <w:szCs w:val="16"/>
    </w:rPr>
  </w:style>
  <w:style w:type="paragraph" w:customStyle="1" w:styleId="Tableau">
    <w:name w:val="Tableau"/>
    <w:basedOn w:val="Normal"/>
    <w:rPr>
      <w:sz w:val="16"/>
      <w:szCs w:val="16"/>
    </w:rPr>
  </w:style>
  <w:style w:type="paragraph" w:customStyle="1" w:styleId="texte">
    <w:name w:val="texte"/>
    <w:basedOn w:val="Normal"/>
    <w:pPr>
      <w:overflowPunct w:val="0"/>
      <w:autoSpaceDE w:val="0"/>
      <w:spacing w:before="120" w:after="120"/>
      <w:ind w:firstLine="680"/>
      <w:jc w:val="both"/>
    </w:pPr>
    <w:rPr>
      <w:color w:val="000000"/>
    </w:rPr>
  </w:style>
  <w:style w:type="paragraph" w:customStyle="1" w:styleId="Textepardfaut">
    <w:name w:val="Texte par défaut"/>
    <w:basedOn w:val="Normal"/>
    <w:pPr>
      <w:overflowPunct w:val="0"/>
      <w:autoSpaceDE w:val="0"/>
    </w:pPr>
    <w:rPr>
      <w:color w:val="000000"/>
    </w:rPr>
  </w:style>
  <w:style w:type="paragraph" w:customStyle="1" w:styleId="LIANomdecolonne">
    <w:name w:val="LIA : Nom de colonne"/>
    <w:basedOn w:val="LIANormal"/>
    <w:autoRedefine/>
    <w:pPr>
      <w:spacing w:before="120" w:after="120"/>
      <w:jc w:val="center"/>
    </w:pPr>
    <w:rPr>
      <w:rFonts w:cs="Verdana"/>
      <w:b/>
      <w:bCs/>
      <w:sz w:val="18"/>
      <w:szCs w:val="22"/>
    </w:rPr>
  </w:style>
  <w:style w:type="paragraph" w:customStyle="1" w:styleId="titre1c">
    <w:name w:val="titre 1c"/>
    <w:basedOn w:val="Normal"/>
    <w:next w:val="Normal"/>
    <w:pPr>
      <w:keepLines/>
      <w:spacing w:before="1920"/>
      <w:jc w:val="center"/>
    </w:pPr>
    <w:rPr>
      <w:rFonts w:ascii="Verdana" w:eastAsia="Verdana" w:hAnsi="Verdana" w:cs="Verdana"/>
      <w:sz w:val="28"/>
      <w:szCs w:val="28"/>
    </w:rPr>
  </w:style>
  <w:style w:type="paragraph" w:customStyle="1" w:styleId="LIATITREPPAL">
    <w:name w:val="LIA : TITRE PPAL"/>
    <w:basedOn w:val="LIANormal"/>
    <w:autoRedefine/>
    <w:pPr>
      <w:jc w:val="center"/>
    </w:pPr>
    <w:rPr>
      <w:b/>
      <w:bCs/>
      <w:sz w:val="40"/>
      <w:szCs w:val="40"/>
    </w:rPr>
  </w:style>
  <w:style w:type="paragraph" w:customStyle="1" w:styleId="LIATitre0">
    <w:name w:val="LIA : Titre"/>
    <w:basedOn w:val="LIANormal"/>
    <w:next w:val="LIANormal"/>
    <w:autoRedefine/>
    <w:rPr>
      <w:b/>
      <w:sz w:val="24"/>
      <w:szCs w:val="24"/>
    </w:rPr>
  </w:style>
  <w:style w:type="paragraph" w:customStyle="1" w:styleId="LIAParagrapheA">
    <w:name w:val="LIA Paragraphe A"/>
    <w:basedOn w:val="Normal"/>
    <w:autoRedefine/>
    <w:pPr>
      <w:numPr>
        <w:numId w:val="17"/>
      </w:numPr>
      <w:tabs>
        <w:tab w:val="left" w:pos="-153"/>
      </w:tabs>
      <w:spacing w:before="120" w:after="120"/>
      <w:jc w:val="both"/>
    </w:pPr>
    <w:rPr>
      <w:rFonts w:cs="Calibri"/>
      <w:b/>
      <w:bCs/>
      <w:sz w:val="24"/>
      <w:szCs w:val="28"/>
    </w:rPr>
  </w:style>
  <w:style w:type="paragraph" w:customStyle="1" w:styleId="LIALgende">
    <w:name w:val="LIA : Légende"/>
    <w:basedOn w:val="LIANormal"/>
    <w:autoRedefine/>
    <w:rPr>
      <w:rFonts w:cs="Calibri"/>
      <w:i/>
      <w:iCs/>
      <w:sz w:val="16"/>
      <w:szCs w:val="16"/>
    </w:rPr>
  </w:style>
  <w:style w:type="paragraph" w:customStyle="1" w:styleId="LIASSTITRE">
    <w:name w:val="LIA : SS TITRE"/>
    <w:basedOn w:val="LIATITREPPAL"/>
    <w:autoRedefine/>
    <w:pPr>
      <w:jc w:val="right"/>
    </w:pPr>
    <w:rPr>
      <w:sz w:val="28"/>
      <w:szCs w:val="28"/>
      <w:u w:val="single"/>
    </w:rPr>
  </w:style>
  <w:style w:type="paragraph" w:customStyle="1" w:styleId="LIAParagraphe1">
    <w:name w:val="LIA Paragraphe 1"/>
    <w:basedOn w:val="Normal"/>
    <w:autoRedefine/>
    <w:pPr>
      <w:numPr>
        <w:numId w:val="16"/>
      </w:numPr>
      <w:tabs>
        <w:tab w:val="left" w:pos="207"/>
      </w:tabs>
      <w:spacing w:before="120" w:after="120"/>
      <w:jc w:val="both"/>
    </w:pPr>
    <w:rPr>
      <w:rFonts w:cs="Calibri"/>
      <w:b/>
      <w:bCs/>
      <w:sz w:val="24"/>
      <w:szCs w:val="28"/>
    </w:rPr>
  </w:style>
  <w:style w:type="paragraph" w:customStyle="1" w:styleId="redaliatitre20">
    <w:name w:val="redaliatitre2"/>
    <w:basedOn w:val="Normal"/>
    <w:pPr>
      <w:spacing w:before="100" w:after="100"/>
    </w:pPr>
    <w:rPr>
      <w:rFonts w:ascii="Times New Roman" w:eastAsia="Times New Roman" w:hAnsi="Times New Roman" w:cs="Times New Roman"/>
      <w:sz w:val="24"/>
      <w:szCs w:val="24"/>
    </w:rPr>
  </w:style>
  <w:style w:type="paragraph" w:customStyle="1" w:styleId="redalianormal0">
    <w:name w:val="redalianormal"/>
    <w:basedOn w:val="Normal"/>
    <w:pPr>
      <w:spacing w:before="100" w:after="100"/>
    </w:pPr>
    <w:rPr>
      <w:rFonts w:ascii="Times New Roman" w:eastAsia="Times New Roman" w:hAnsi="Times New Roman" w:cs="Times New Roman"/>
      <w:sz w:val="24"/>
      <w:szCs w:val="24"/>
    </w:rPr>
  </w:style>
  <w:style w:type="paragraph" w:customStyle="1" w:styleId="redaliapuces0">
    <w:name w:val="redaliapuces"/>
    <w:basedOn w:val="Normal"/>
    <w:pPr>
      <w:spacing w:before="100" w:after="100"/>
    </w:pPr>
    <w:rPr>
      <w:rFonts w:ascii="Times New Roman" w:eastAsia="Times New Roman" w:hAnsi="Times New Roman" w:cs="Times New Roman"/>
      <w:sz w:val="24"/>
      <w:szCs w:val="24"/>
    </w:rPr>
  </w:style>
  <w:style w:type="paragraph" w:customStyle="1" w:styleId="rdaliaretraitniveau10">
    <w:name w:val="rdaliaretraitniveau1"/>
    <w:basedOn w:val="Normal"/>
    <w:pPr>
      <w:spacing w:before="100" w:after="100"/>
    </w:pPr>
    <w:rPr>
      <w:rFonts w:ascii="Times New Roman" w:eastAsia="Times New Roman" w:hAnsi="Times New Roman" w:cs="Times New Roman"/>
      <w:sz w:val="24"/>
      <w:szCs w:val="24"/>
    </w:rPr>
  </w:style>
  <w:style w:type="paragraph" w:styleId="Sansinterligne">
    <w:name w:val="No Spacing"/>
    <w:pPr>
      <w:suppressAutoHyphens/>
    </w:pPr>
    <w:rPr>
      <w:rFonts w:ascii="Arial" w:eastAsia="Arial" w:hAnsi="Arial" w:cs="Arial"/>
      <w:sz w:val="22"/>
      <w:szCs w:val="22"/>
      <w:lang w:eastAsia="en-US"/>
    </w:rPr>
  </w:style>
  <w:style w:type="paragraph" w:styleId="Paragraphedeliste">
    <w:name w:val="List Paragraph"/>
    <w:basedOn w:val="Normal"/>
    <w:pPr>
      <w:ind w:left="720"/>
    </w:pPr>
  </w:style>
  <w:style w:type="paragraph" w:customStyle="1" w:styleId="Heading">
    <w:name w:val="Heading"/>
    <w:basedOn w:val="Standard"/>
    <w:next w:val="Textbody"/>
    <w:pPr>
      <w:keepNext/>
      <w:spacing w:before="240" w:after="120"/>
    </w:pPr>
    <w:rPr>
      <w:rFonts w:ascii="Liberation Sans" w:eastAsia="MS Gothic" w:hAnsi="Liberation Sans" w:cs="Tahoma"/>
      <w:sz w:val="28"/>
      <w:szCs w:val="28"/>
    </w:rPr>
  </w:style>
  <w:style w:type="paragraph" w:customStyle="1" w:styleId="Textbody">
    <w:name w:val="Text body"/>
    <w:basedOn w:val="Standard"/>
    <w:pPr>
      <w:spacing w:after="140" w:line="276" w:lineRule="auto"/>
    </w:pPr>
  </w:style>
  <w:style w:type="paragraph" w:customStyle="1" w:styleId="TableContents">
    <w:name w:val="Table Contents"/>
    <w:basedOn w:val="Standard"/>
    <w:pPr>
      <w:suppressLineNumbers/>
    </w:pPr>
  </w:style>
  <w:style w:type="paragraph" w:customStyle="1" w:styleId="TableHeading">
    <w:name w:val="Table Heading"/>
    <w:basedOn w:val="Tableau11centre"/>
    <w:rPr>
      <w:b/>
    </w:rPr>
  </w:style>
  <w:style w:type="paragraph" w:styleId="Lgende">
    <w:name w:val="caption"/>
    <w:basedOn w:val="Standard"/>
    <w:pPr>
      <w:suppressLineNumbers/>
      <w:spacing w:before="120" w:after="120"/>
    </w:pPr>
    <w:rPr>
      <w:i/>
      <w:iCs/>
    </w:rPr>
  </w:style>
  <w:style w:type="paragraph" w:customStyle="1" w:styleId="Table">
    <w:name w:val="Table"/>
    <w:basedOn w:val="Normal"/>
    <w:rPr>
      <w:sz w:val="16"/>
      <w:szCs w:val="16"/>
    </w:rPr>
  </w:style>
  <w:style w:type="character" w:customStyle="1" w:styleId="Titre1Car">
    <w:name w:val="Titre 1 Car"/>
    <w:rPr>
      <w:rFonts w:ascii="Arial" w:eastAsia="Arial" w:hAnsi="Arial" w:cs="Arial"/>
      <w:b/>
      <w:kern w:val="3"/>
      <w:sz w:val="32"/>
    </w:rPr>
  </w:style>
  <w:style w:type="character" w:customStyle="1" w:styleId="Titre2Car">
    <w:name w:val="Titre 2 Car"/>
    <w:rPr>
      <w:rFonts w:ascii="Arial" w:eastAsia="Arial" w:hAnsi="Arial" w:cs="Arial"/>
      <w:sz w:val="28"/>
      <w:u w:val="single"/>
    </w:rPr>
  </w:style>
  <w:style w:type="character" w:customStyle="1" w:styleId="Titre3Car">
    <w:name w:val="Titre 3 Car"/>
    <w:rPr>
      <w:rFonts w:ascii="Arial" w:eastAsia="Arial" w:hAnsi="Arial" w:cs="Arial"/>
      <w:sz w:val="24"/>
      <w:u w:val="single"/>
    </w:rPr>
  </w:style>
  <w:style w:type="character" w:customStyle="1" w:styleId="Titre4Car">
    <w:name w:val="Titre 4 Car"/>
    <w:rPr>
      <w:rFonts w:ascii="Arial" w:eastAsia="Arial" w:hAnsi="Arial" w:cs="Arial"/>
      <w:i/>
      <w:sz w:val="24"/>
    </w:rPr>
  </w:style>
  <w:style w:type="character" w:customStyle="1" w:styleId="Titre5Car">
    <w:name w:val="Titre 5 Car"/>
    <w:rPr>
      <w:rFonts w:ascii="Arial" w:eastAsia="Arial" w:hAnsi="Arial" w:cs="Arial"/>
      <w:i/>
      <w:sz w:val="22"/>
    </w:rPr>
  </w:style>
  <w:style w:type="character" w:customStyle="1" w:styleId="Titre6Car">
    <w:name w:val="Titre 6 Car"/>
    <w:rPr>
      <w:rFonts w:ascii="Arial" w:eastAsia="Arial" w:hAnsi="Arial" w:cs="Arial"/>
      <w:b/>
      <w:bCs/>
      <w:sz w:val="22"/>
    </w:rPr>
  </w:style>
  <w:style w:type="character" w:customStyle="1" w:styleId="Titre7Car">
    <w:name w:val="Titre 7 Car"/>
    <w:rPr>
      <w:rFonts w:ascii="Calibri Light" w:eastAsia="Calibri Light" w:hAnsi="Calibri Light" w:cs="Calibri Light"/>
      <w:i/>
      <w:color w:val="404040"/>
      <w:sz w:val="22"/>
      <w:lang w:eastAsia="en-US"/>
    </w:rPr>
  </w:style>
  <w:style w:type="character" w:customStyle="1" w:styleId="Titre8Car">
    <w:name w:val="Titre 8 Car"/>
    <w:rPr>
      <w:rFonts w:ascii="Calibri Light" w:eastAsia="Calibri Light" w:hAnsi="Calibri Light" w:cs="Calibri Light"/>
      <w:color w:val="404040"/>
      <w:lang w:eastAsia="en-US"/>
    </w:rPr>
  </w:style>
  <w:style w:type="character" w:customStyle="1" w:styleId="Titre9Car">
    <w:name w:val="Titre 9 Car"/>
    <w:rPr>
      <w:rFonts w:ascii="Calibri Light" w:eastAsia="Calibri Light" w:hAnsi="Calibri Light" w:cs="Calibri Light"/>
      <w:i/>
      <w:color w:val="404040"/>
      <w:lang w:eastAsia="en-US"/>
    </w:rPr>
  </w:style>
  <w:style w:type="character" w:styleId="Lienhypertexte">
    <w:name w:val="Hyperlink"/>
    <w:rPr>
      <w:color w:val="003366"/>
      <w:u w:val="none"/>
    </w:rPr>
  </w:style>
  <w:style w:type="character" w:customStyle="1" w:styleId="En-tteCar">
    <w:name w:val="En-tête Car"/>
    <w:rPr>
      <w:rFonts w:ascii="Arial" w:eastAsia="Arial" w:hAnsi="Arial" w:cs="Arial"/>
      <w:sz w:val="22"/>
    </w:rPr>
  </w:style>
  <w:style w:type="character" w:customStyle="1" w:styleId="PieddepageCar">
    <w:name w:val="Pied de page Car"/>
    <w:rPr>
      <w:rFonts w:ascii="Arial" w:eastAsia="Arial" w:hAnsi="Arial" w:cs="Arial"/>
      <w:sz w:val="22"/>
    </w:rPr>
  </w:style>
  <w:style w:type="character" w:customStyle="1" w:styleId="AvecPuceCar">
    <w:name w:val="Avec Puce Car"/>
    <w:rPr>
      <w:sz w:val="24"/>
      <w:lang w:val="fr-FR" w:eastAsia="fr-FR"/>
    </w:rPr>
  </w:style>
  <w:style w:type="character" w:customStyle="1" w:styleId="CommentaireCar">
    <w:name w:val="Commentaire Car"/>
    <w:rPr>
      <w:sz w:val="20"/>
    </w:rPr>
  </w:style>
  <w:style w:type="character" w:customStyle="1" w:styleId="CorpsdetexteCar">
    <w:name w:val="Corps de texte Car"/>
    <w:rPr>
      <w:sz w:val="20"/>
    </w:rPr>
  </w:style>
  <w:style w:type="character" w:customStyle="1" w:styleId="Corpsdetexte2Car">
    <w:name w:val="Corps de texte 2 Car"/>
    <w:rPr>
      <w:sz w:val="20"/>
    </w:rPr>
  </w:style>
  <w:style w:type="character" w:customStyle="1" w:styleId="Corpsdetexte3Car">
    <w:name w:val="Corps de texte 3 Car"/>
    <w:rPr>
      <w:sz w:val="16"/>
    </w:rPr>
  </w:style>
  <w:style w:type="character" w:styleId="Lienhypertextesuivivisit">
    <w:name w:val="FollowedHyperlink"/>
    <w:rPr>
      <w:color w:val="800080"/>
      <w:u w:val="single"/>
    </w:rPr>
  </w:style>
  <w:style w:type="character" w:styleId="Marquedecommentaire">
    <w:name w:val="annotation reference"/>
    <w:rPr>
      <w:sz w:val="16"/>
    </w:rPr>
  </w:style>
  <w:style w:type="character" w:styleId="Numrodepage">
    <w:name w:val="page number"/>
    <w:rPr>
      <w:rFonts w:ascii="Times New Roman" w:eastAsia="Times New Roman" w:hAnsi="Times New Roman" w:cs="Times New Roman"/>
    </w:rPr>
  </w:style>
  <w:style w:type="character" w:customStyle="1" w:styleId="RetraitcorpsdetexteCar">
    <w:name w:val="Retrait corps de texte Car"/>
    <w:rPr>
      <w:sz w:val="20"/>
    </w:rPr>
  </w:style>
  <w:style w:type="character" w:customStyle="1" w:styleId="StyleAvecPuceGrasCar">
    <w:name w:val="Style Avec Puce + Gras Car"/>
    <w:rPr>
      <w:b/>
      <w:sz w:val="24"/>
      <w:lang w:val="fr-FR" w:eastAsia="fr-FR"/>
    </w:rPr>
  </w:style>
  <w:style w:type="character" w:customStyle="1" w:styleId="TextedebullesCar">
    <w:name w:val="Texte de bulles Car"/>
    <w:rPr>
      <w:rFonts w:ascii="Tahoma" w:eastAsia="Tahoma" w:hAnsi="Tahoma" w:cs="Tahoma"/>
      <w:sz w:val="16"/>
    </w:rPr>
  </w:style>
  <w:style w:type="character" w:customStyle="1" w:styleId="TitreCar">
    <w:name w:val="Titre Car"/>
    <w:rPr>
      <w:rFonts w:ascii="Cambria" w:eastAsia="Cambria" w:hAnsi="Cambria" w:cs="Cambria"/>
      <w:b/>
      <w:kern w:val="3"/>
      <w:sz w:val="32"/>
    </w:rPr>
  </w:style>
  <w:style w:type="character" w:customStyle="1" w:styleId="DateCar">
    <w:name w:val="Date Car"/>
    <w:rPr>
      <w:rFonts w:ascii="Arial" w:eastAsia="Arial" w:hAnsi="Arial" w:cs="Arial"/>
      <w:sz w:val="22"/>
    </w:rPr>
  </w:style>
  <w:style w:type="character" w:customStyle="1" w:styleId="IconeWeb">
    <w:name w:val="IconeWeb"/>
    <w:rPr>
      <w:rFonts w:ascii="Webdings" w:eastAsia="Webdings" w:hAnsi="Webdings" w:cs="Webdings"/>
    </w:rPr>
  </w:style>
  <w:style w:type="character" w:customStyle="1" w:styleId="EmailStyle175">
    <w:name w:val="EmailStyle175"/>
    <w:rPr>
      <w:rFonts w:ascii="Century Gothic" w:eastAsia="Century Gothic" w:hAnsi="Century Gothic" w:cs="Century Gothic"/>
      <w:color w:val="auto"/>
      <w:sz w:val="20"/>
    </w:rPr>
  </w:style>
  <w:style w:type="character" w:customStyle="1" w:styleId="EmailStyle176">
    <w:name w:val="EmailStyle176"/>
    <w:rPr>
      <w:rFonts w:ascii="Arial" w:eastAsia="Arial" w:hAnsi="Arial" w:cs="Arial"/>
      <w:color w:val="auto"/>
      <w:sz w:val="16"/>
    </w:rPr>
  </w:style>
  <w:style w:type="character" w:customStyle="1" w:styleId="EmailStyle177">
    <w:name w:val="EmailStyle177"/>
    <w:rPr>
      <w:rFonts w:ascii="Century Gothic" w:eastAsia="Century Gothic" w:hAnsi="Century Gothic" w:cs="Century Gothic"/>
      <w:color w:val="auto"/>
      <w:sz w:val="20"/>
    </w:rPr>
  </w:style>
  <w:style w:type="character" w:customStyle="1" w:styleId="EmailStyle178">
    <w:name w:val="EmailStyle178"/>
    <w:rPr>
      <w:rFonts w:ascii="Arial" w:eastAsia="Arial" w:hAnsi="Arial" w:cs="Arial"/>
      <w:color w:val="auto"/>
      <w:sz w:val="16"/>
    </w:rPr>
  </w:style>
  <w:style w:type="character" w:customStyle="1" w:styleId="EmailStyle179">
    <w:name w:val="EmailStyle179"/>
    <w:rPr>
      <w:rFonts w:ascii="Century Gothic" w:eastAsia="Century Gothic" w:hAnsi="Century Gothic" w:cs="Century Gothic"/>
      <w:color w:val="auto"/>
      <w:sz w:val="20"/>
    </w:rPr>
  </w:style>
  <w:style w:type="character" w:customStyle="1" w:styleId="EmailStyle180">
    <w:name w:val="EmailStyle180"/>
    <w:rPr>
      <w:rFonts w:ascii="Arial" w:eastAsia="Arial" w:hAnsi="Arial" w:cs="Arial"/>
      <w:color w:val="auto"/>
      <w:sz w:val="16"/>
    </w:rPr>
  </w:style>
  <w:style w:type="character" w:customStyle="1" w:styleId="EmailStyle181">
    <w:name w:val="EmailStyle181"/>
    <w:rPr>
      <w:rFonts w:ascii="Century Gothic" w:eastAsia="Century Gothic" w:hAnsi="Century Gothic" w:cs="Century Gothic"/>
      <w:color w:val="auto"/>
      <w:sz w:val="20"/>
    </w:rPr>
  </w:style>
  <w:style w:type="character" w:customStyle="1" w:styleId="EmailStyle182">
    <w:name w:val="EmailStyle182"/>
    <w:rPr>
      <w:rFonts w:ascii="Arial" w:eastAsia="Arial" w:hAnsi="Arial" w:cs="Arial"/>
      <w:color w:val="auto"/>
      <w:sz w:val="16"/>
    </w:rPr>
  </w:style>
  <w:style w:type="character" w:customStyle="1" w:styleId="EmailStyle183">
    <w:name w:val="EmailStyle183"/>
    <w:rPr>
      <w:rFonts w:ascii="Century Gothic" w:eastAsia="Century Gothic" w:hAnsi="Century Gothic" w:cs="Century Gothic"/>
      <w:color w:val="auto"/>
      <w:sz w:val="20"/>
    </w:rPr>
  </w:style>
  <w:style w:type="character" w:customStyle="1" w:styleId="EmailStyle184">
    <w:name w:val="EmailStyle184"/>
    <w:rPr>
      <w:rFonts w:ascii="Arial" w:eastAsia="Arial" w:hAnsi="Arial" w:cs="Arial"/>
      <w:color w:val="auto"/>
      <w:sz w:val="16"/>
    </w:rPr>
  </w:style>
  <w:style w:type="character" w:customStyle="1" w:styleId="EmailStyle185">
    <w:name w:val="EmailStyle185"/>
    <w:rPr>
      <w:rFonts w:ascii="Century Gothic" w:eastAsia="Century Gothic" w:hAnsi="Century Gothic" w:cs="Century Gothic"/>
      <w:color w:val="auto"/>
      <w:sz w:val="20"/>
    </w:rPr>
  </w:style>
  <w:style w:type="character" w:customStyle="1" w:styleId="EmailStyle186">
    <w:name w:val="EmailStyle186"/>
    <w:rPr>
      <w:rFonts w:ascii="Arial" w:eastAsia="Arial" w:hAnsi="Arial" w:cs="Arial"/>
      <w:color w:val="auto"/>
      <w:sz w:val="16"/>
    </w:rPr>
  </w:style>
  <w:style w:type="character" w:customStyle="1" w:styleId="EmailStyle187">
    <w:name w:val="EmailStyle187"/>
    <w:rPr>
      <w:rFonts w:ascii="Century Gothic" w:eastAsia="Century Gothic" w:hAnsi="Century Gothic" w:cs="Century Gothic"/>
      <w:color w:val="auto"/>
      <w:sz w:val="20"/>
    </w:rPr>
  </w:style>
  <w:style w:type="character" w:customStyle="1" w:styleId="EmailStyle188">
    <w:name w:val="EmailStyle188"/>
    <w:rPr>
      <w:rFonts w:ascii="Arial" w:eastAsia="Arial" w:hAnsi="Arial" w:cs="Arial"/>
      <w:color w:val="auto"/>
      <w:sz w:val="16"/>
    </w:rPr>
  </w:style>
  <w:style w:type="character" w:customStyle="1" w:styleId="EmailStyle189">
    <w:name w:val="EmailStyle189"/>
    <w:rPr>
      <w:rFonts w:ascii="Century Gothic" w:eastAsia="Century Gothic" w:hAnsi="Century Gothic" w:cs="Century Gothic"/>
      <w:color w:val="auto"/>
      <w:sz w:val="20"/>
    </w:rPr>
  </w:style>
  <w:style w:type="character" w:customStyle="1" w:styleId="EmailStyle190">
    <w:name w:val="EmailStyle190"/>
    <w:rPr>
      <w:rFonts w:ascii="Arial" w:eastAsia="Arial" w:hAnsi="Arial" w:cs="Arial"/>
      <w:color w:val="auto"/>
      <w:sz w:val="16"/>
    </w:rPr>
  </w:style>
  <w:style w:type="character" w:customStyle="1" w:styleId="EmailStyle191">
    <w:name w:val="EmailStyle191"/>
    <w:rPr>
      <w:rFonts w:ascii="Century Gothic" w:eastAsia="Century Gothic" w:hAnsi="Century Gothic" w:cs="Century Gothic"/>
      <w:color w:val="auto"/>
      <w:sz w:val="20"/>
    </w:rPr>
  </w:style>
  <w:style w:type="character" w:customStyle="1" w:styleId="EmailStyle192">
    <w:name w:val="EmailStyle192"/>
    <w:rPr>
      <w:rFonts w:ascii="Arial" w:eastAsia="Arial" w:hAnsi="Arial" w:cs="Arial"/>
      <w:color w:val="auto"/>
      <w:sz w:val="16"/>
    </w:rPr>
  </w:style>
  <w:style w:type="character" w:customStyle="1" w:styleId="EmailStyle193">
    <w:name w:val="EmailStyle193"/>
    <w:rPr>
      <w:rFonts w:ascii="Century Gothic" w:eastAsia="Century Gothic" w:hAnsi="Century Gothic" w:cs="Century Gothic"/>
      <w:color w:val="auto"/>
      <w:sz w:val="20"/>
    </w:rPr>
  </w:style>
  <w:style w:type="character" w:customStyle="1" w:styleId="EmailStyle194">
    <w:name w:val="EmailStyle194"/>
    <w:rPr>
      <w:rFonts w:ascii="Arial" w:eastAsia="Arial" w:hAnsi="Arial" w:cs="Arial"/>
      <w:color w:val="auto"/>
      <w:sz w:val="16"/>
    </w:rPr>
  </w:style>
  <w:style w:type="character" w:customStyle="1" w:styleId="EmailStyle195">
    <w:name w:val="EmailStyle195"/>
    <w:rPr>
      <w:rFonts w:ascii="Century Gothic" w:eastAsia="Century Gothic" w:hAnsi="Century Gothic" w:cs="Century Gothic"/>
      <w:color w:val="auto"/>
      <w:sz w:val="20"/>
    </w:rPr>
  </w:style>
  <w:style w:type="character" w:customStyle="1" w:styleId="EmailStyle196">
    <w:name w:val="EmailStyle196"/>
    <w:rPr>
      <w:rFonts w:ascii="Arial" w:eastAsia="Arial" w:hAnsi="Arial" w:cs="Arial"/>
      <w:color w:val="auto"/>
      <w:sz w:val="16"/>
    </w:rPr>
  </w:style>
  <w:style w:type="character" w:customStyle="1" w:styleId="EmailStyle197">
    <w:name w:val="EmailStyle197"/>
    <w:rPr>
      <w:rFonts w:ascii="Century Gothic" w:eastAsia="Century Gothic" w:hAnsi="Century Gothic" w:cs="Century Gothic"/>
      <w:color w:val="auto"/>
      <w:sz w:val="20"/>
    </w:rPr>
  </w:style>
  <w:style w:type="character" w:customStyle="1" w:styleId="EmailStyle198">
    <w:name w:val="EmailStyle198"/>
    <w:rPr>
      <w:rFonts w:ascii="Arial" w:eastAsia="Arial" w:hAnsi="Arial" w:cs="Arial"/>
      <w:color w:val="auto"/>
      <w:sz w:val="16"/>
    </w:rPr>
  </w:style>
  <w:style w:type="character" w:customStyle="1" w:styleId="EmailStyle199">
    <w:name w:val="EmailStyle199"/>
    <w:rPr>
      <w:rFonts w:ascii="Century Gothic" w:eastAsia="Century Gothic" w:hAnsi="Century Gothic" w:cs="Century Gothic"/>
      <w:color w:val="auto"/>
      <w:sz w:val="20"/>
    </w:rPr>
  </w:style>
  <w:style w:type="character" w:customStyle="1" w:styleId="EmailStyle200">
    <w:name w:val="EmailStyle200"/>
    <w:rPr>
      <w:rFonts w:ascii="Arial" w:eastAsia="Arial" w:hAnsi="Arial" w:cs="Arial"/>
      <w:color w:val="auto"/>
      <w:sz w:val="16"/>
    </w:rPr>
  </w:style>
  <w:style w:type="character" w:customStyle="1" w:styleId="EmailStyle201">
    <w:name w:val="EmailStyle201"/>
    <w:rPr>
      <w:rFonts w:ascii="Century Gothic" w:eastAsia="Century Gothic" w:hAnsi="Century Gothic" w:cs="Century Gothic"/>
      <w:color w:val="auto"/>
      <w:sz w:val="20"/>
    </w:rPr>
  </w:style>
  <w:style w:type="character" w:customStyle="1" w:styleId="EmailStyle202">
    <w:name w:val="EmailStyle202"/>
    <w:rPr>
      <w:rFonts w:ascii="Arial" w:eastAsia="Arial" w:hAnsi="Arial" w:cs="Arial"/>
      <w:color w:val="auto"/>
      <w:sz w:val="16"/>
    </w:rPr>
  </w:style>
  <w:style w:type="character" w:customStyle="1" w:styleId="EmailStyle203">
    <w:name w:val="EmailStyle203"/>
    <w:rPr>
      <w:rFonts w:ascii="Century Gothic" w:eastAsia="Century Gothic" w:hAnsi="Century Gothic" w:cs="Century Gothic"/>
      <w:color w:val="auto"/>
      <w:sz w:val="20"/>
    </w:rPr>
  </w:style>
  <w:style w:type="character" w:customStyle="1" w:styleId="EmailStyle204">
    <w:name w:val="EmailStyle204"/>
    <w:rPr>
      <w:rFonts w:ascii="Arial" w:eastAsia="Arial" w:hAnsi="Arial" w:cs="Arial"/>
      <w:color w:val="auto"/>
      <w:sz w:val="16"/>
    </w:rPr>
  </w:style>
  <w:style w:type="character" w:customStyle="1" w:styleId="EmailStyle205">
    <w:name w:val="EmailStyle205"/>
    <w:rPr>
      <w:rFonts w:ascii="Century Gothic" w:eastAsia="Century Gothic" w:hAnsi="Century Gothic" w:cs="Century Gothic"/>
      <w:color w:val="auto"/>
      <w:sz w:val="20"/>
    </w:rPr>
  </w:style>
  <w:style w:type="character" w:customStyle="1" w:styleId="EmailStyle206">
    <w:name w:val="EmailStyle206"/>
    <w:rPr>
      <w:rFonts w:ascii="Arial" w:eastAsia="Arial" w:hAnsi="Arial" w:cs="Arial"/>
      <w:color w:val="auto"/>
      <w:sz w:val="16"/>
    </w:rPr>
  </w:style>
  <w:style w:type="character" w:customStyle="1" w:styleId="EmailStyle207">
    <w:name w:val="EmailStyle207"/>
    <w:rPr>
      <w:rFonts w:ascii="Century Gothic" w:eastAsia="Century Gothic" w:hAnsi="Century Gothic" w:cs="Century Gothic"/>
      <w:color w:val="auto"/>
      <w:sz w:val="20"/>
    </w:rPr>
  </w:style>
  <w:style w:type="character" w:customStyle="1" w:styleId="EmailStyle208">
    <w:name w:val="EmailStyle208"/>
    <w:rPr>
      <w:rFonts w:ascii="Arial" w:eastAsia="Arial" w:hAnsi="Arial" w:cs="Arial"/>
      <w:color w:val="auto"/>
      <w:sz w:val="16"/>
    </w:rPr>
  </w:style>
  <w:style w:type="character" w:customStyle="1" w:styleId="EmailStyle209">
    <w:name w:val="EmailStyle209"/>
    <w:rPr>
      <w:rFonts w:ascii="Century Gothic" w:eastAsia="Century Gothic" w:hAnsi="Century Gothic" w:cs="Century Gothic"/>
      <w:color w:val="auto"/>
      <w:sz w:val="20"/>
    </w:rPr>
  </w:style>
  <w:style w:type="character" w:customStyle="1" w:styleId="EmailStyle210">
    <w:name w:val="EmailStyle210"/>
    <w:rPr>
      <w:rFonts w:ascii="Arial" w:eastAsia="Arial" w:hAnsi="Arial" w:cs="Arial"/>
      <w:color w:val="auto"/>
      <w:sz w:val="16"/>
    </w:rPr>
  </w:style>
  <w:style w:type="character" w:customStyle="1" w:styleId="EmailStyle211">
    <w:name w:val="EmailStyle211"/>
    <w:rPr>
      <w:rFonts w:ascii="Century Gothic" w:eastAsia="Century Gothic" w:hAnsi="Century Gothic" w:cs="Century Gothic"/>
      <w:color w:val="auto"/>
      <w:sz w:val="20"/>
    </w:rPr>
  </w:style>
  <w:style w:type="character" w:customStyle="1" w:styleId="EmailStyle212">
    <w:name w:val="EmailStyle212"/>
    <w:rPr>
      <w:rFonts w:ascii="Arial" w:eastAsia="Arial" w:hAnsi="Arial" w:cs="Arial"/>
      <w:color w:val="auto"/>
      <w:sz w:val="16"/>
    </w:rPr>
  </w:style>
  <w:style w:type="character" w:customStyle="1" w:styleId="EmailStyle213">
    <w:name w:val="EmailStyle213"/>
    <w:rPr>
      <w:rFonts w:ascii="Century Gothic" w:eastAsia="Century Gothic" w:hAnsi="Century Gothic" w:cs="Century Gothic"/>
      <w:color w:val="auto"/>
      <w:sz w:val="20"/>
    </w:rPr>
  </w:style>
  <w:style w:type="character" w:customStyle="1" w:styleId="EmailStyle214">
    <w:name w:val="EmailStyle214"/>
    <w:rPr>
      <w:rFonts w:ascii="Arial" w:eastAsia="Arial" w:hAnsi="Arial" w:cs="Arial"/>
      <w:color w:val="auto"/>
      <w:sz w:val="16"/>
    </w:rPr>
  </w:style>
  <w:style w:type="character" w:customStyle="1" w:styleId="EmailStyle215">
    <w:name w:val="EmailStyle215"/>
    <w:rPr>
      <w:rFonts w:ascii="Century Gothic" w:eastAsia="Century Gothic" w:hAnsi="Century Gothic" w:cs="Century Gothic"/>
      <w:color w:val="auto"/>
      <w:sz w:val="20"/>
    </w:rPr>
  </w:style>
  <w:style w:type="character" w:customStyle="1" w:styleId="EmailStyle216">
    <w:name w:val="EmailStyle216"/>
    <w:rPr>
      <w:rFonts w:ascii="Arial" w:eastAsia="Arial" w:hAnsi="Arial" w:cs="Arial"/>
      <w:color w:val="auto"/>
      <w:sz w:val="16"/>
    </w:rPr>
  </w:style>
  <w:style w:type="character" w:customStyle="1" w:styleId="EmailStyle217">
    <w:name w:val="EmailStyle217"/>
    <w:rPr>
      <w:rFonts w:ascii="Century Gothic" w:eastAsia="Century Gothic" w:hAnsi="Century Gothic" w:cs="Century Gothic"/>
      <w:color w:val="auto"/>
      <w:sz w:val="20"/>
    </w:rPr>
  </w:style>
  <w:style w:type="character" w:customStyle="1" w:styleId="EmailStyle218">
    <w:name w:val="EmailStyle218"/>
    <w:rPr>
      <w:rFonts w:ascii="Arial" w:eastAsia="Arial" w:hAnsi="Arial" w:cs="Arial"/>
      <w:color w:val="auto"/>
      <w:sz w:val="16"/>
    </w:rPr>
  </w:style>
  <w:style w:type="character" w:customStyle="1" w:styleId="EmailStyle781">
    <w:name w:val="EmailStyle781"/>
    <w:rPr>
      <w:rFonts w:ascii="Century Gothic" w:eastAsia="Century Gothic" w:hAnsi="Century Gothic" w:cs="Century Gothic"/>
      <w:color w:val="auto"/>
      <w:sz w:val="20"/>
    </w:rPr>
  </w:style>
  <w:style w:type="character" w:customStyle="1" w:styleId="EmailStyle791">
    <w:name w:val="EmailStyle791"/>
    <w:rPr>
      <w:rFonts w:ascii="Arial" w:eastAsia="Arial" w:hAnsi="Arial" w:cs="Arial"/>
      <w:color w:val="auto"/>
      <w:sz w:val="16"/>
    </w:rPr>
  </w:style>
  <w:style w:type="character" w:customStyle="1" w:styleId="EmailStyle110">
    <w:name w:val="EmailStyle110"/>
    <w:rPr>
      <w:rFonts w:ascii="Century Gothic" w:eastAsia="Century Gothic" w:hAnsi="Century Gothic" w:cs="Century Gothic"/>
      <w:color w:val="auto"/>
      <w:sz w:val="20"/>
    </w:rPr>
  </w:style>
  <w:style w:type="character" w:customStyle="1" w:styleId="EmailStyle111">
    <w:name w:val="EmailStyle111"/>
    <w:rPr>
      <w:rFonts w:ascii="Arial" w:eastAsia="Arial" w:hAnsi="Arial" w:cs="Arial"/>
      <w:color w:val="auto"/>
      <w:sz w:val="16"/>
    </w:rPr>
  </w:style>
  <w:style w:type="character" w:customStyle="1" w:styleId="EmailStyle1271">
    <w:name w:val="EmailStyle1271"/>
    <w:rPr>
      <w:rFonts w:ascii="Century Gothic" w:eastAsia="Century Gothic" w:hAnsi="Century Gothic" w:cs="Century Gothic"/>
      <w:color w:val="auto"/>
      <w:sz w:val="20"/>
    </w:rPr>
  </w:style>
  <w:style w:type="character" w:customStyle="1" w:styleId="EmailStyle1281">
    <w:name w:val="EmailStyle1281"/>
    <w:rPr>
      <w:rFonts w:ascii="Arial" w:eastAsia="Arial" w:hAnsi="Arial" w:cs="Arial"/>
      <w:color w:val="auto"/>
      <w:sz w:val="16"/>
    </w:rPr>
  </w:style>
  <w:style w:type="character" w:customStyle="1" w:styleId="EmailStyle129">
    <w:name w:val="EmailStyle129"/>
    <w:rPr>
      <w:rFonts w:ascii="Century Gothic" w:eastAsia="Century Gothic" w:hAnsi="Century Gothic" w:cs="Century Gothic"/>
      <w:color w:val="auto"/>
      <w:sz w:val="20"/>
    </w:rPr>
  </w:style>
  <w:style w:type="character" w:customStyle="1" w:styleId="EmailStyle130">
    <w:name w:val="EmailStyle130"/>
    <w:rPr>
      <w:rFonts w:ascii="Arial" w:eastAsia="Arial" w:hAnsi="Arial" w:cs="Arial"/>
      <w:color w:val="auto"/>
      <w:sz w:val="16"/>
    </w:rPr>
  </w:style>
  <w:style w:type="character" w:customStyle="1" w:styleId="EmailStyle1311">
    <w:name w:val="EmailStyle1311"/>
    <w:rPr>
      <w:rFonts w:ascii="Century Gothic" w:eastAsia="Century Gothic" w:hAnsi="Century Gothic" w:cs="Century Gothic"/>
      <w:color w:val="auto"/>
      <w:sz w:val="20"/>
    </w:rPr>
  </w:style>
  <w:style w:type="character" w:customStyle="1" w:styleId="EmailStyle1321">
    <w:name w:val="EmailStyle1321"/>
    <w:rPr>
      <w:rFonts w:ascii="Arial" w:eastAsia="Arial" w:hAnsi="Arial" w:cs="Arial"/>
      <w:color w:val="auto"/>
      <w:sz w:val="16"/>
    </w:rPr>
  </w:style>
  <w:style w:type="character" w:customStyle="1" w:styleId="EmailStyle133">
    <w:name w:val="EmailStyle133"/>
    <w:rPr>
      <w:rFonts w:ascii="Century Gothic" w:eastAsia="Century Gothic" w:hAnsi="Century Gothic" w:cs="Century Gothic"/>
      <w:color w:val="auto"/>
      <w:sz w:val="20"/>
    </w:rPr>
  </w:style>
  <w:style w:type="character" w:customStyle="1" w:styleId="EmailStyle134">
    <w:name w:val="EmailStyle134"/>
    <w:rPr>
      <w:rFonts w:ascii="Arial" w:eastAsia="Arial" w:hAnsi="Arial" w:cs="Arial"/>
      <w:color w:val="auto"/>
      <w:sz w:val="16"/>
    </w:rPr>
  </w:style>
  <w:style w:type="character" w:customStyle="1" w:styleId="EmailStyle1351">
    <w:name w:val="EmailStyle1351"/>
    <w:rPr>
      <w:rFonts w:ascii="Century Gothic" w:eastAsia="Century Gothic" w:hAnsi="Century Gothic" w:cs="Century Gothic"/>
      <w:color w:val="auto"/>
      <w:sz w:val="20"/>
    </w:rPr>
  </w:style>
  <w:style w:type="character" w:customStyle="1" w:styleId="EmailStyle1361">
    <w:name w:val="EmailStyle1361"/>
    <w:rPr>
      <w:rFonts w:ascii="Arial" w:eastAsia="Arial" w:hAnsi="Arial" w:cs="Arial"/>
      <w:color w:val="auto"/>
      <w:sz w:val="16"/>
    </w:rPr>
  </w:style>
  <w:style w:type="character" w:customStyle="1" w:styleId="EmailStyle137">
    <w:name w:val="EmailStyle137"/>
    <w:rPr>
      <w:rFonts w:ascii="Century Gothic" w:eastAsia="Century Gothic" w:hAnsi="Century Gothic" w:cs="Century Gothic"/>
      <w:color w:val="auto"/>
      <w:sz w:val="20"/>
    </w:rPr>
  </w:style>
  <w:style w:type="character" w:customStyle="1" w:styleId="EmailStyle138">
    <w:name w:val="EmailStyle138"/>
    <w:rPr>
      <w:rFonts w:ascii="Arial" w:eastAsia="Arial" w:hAnsi="Arial" w:cs="Arial"/>
      <w:color w:val="auto"/>
      <w:sz w:val="16"/>
    </w:rPr>
  </w:style>
  <w:style w:type="character" w:customStyle="1" w:styleId="EmailStyle1391">
    <w:name w:val="EmailStyle1391"/>
    <w:rPr>
      <w:rFonts w:ascii="Century Gothic" w:eastAsia="Century Gothic" w:hAnsi="Century Gothic" w:cs="Century Gothic"/>
      <w:color w:val="auto"/>
      <w:sz w:val="20"/>
    </w:rPr>
  </w:style>
  <w:style w:type="character" w:customStyle="1" w:styleId="EmailStyle1401">
    <w:name w:val="EmailStyle1401"/>
    <w:rPr>
      <w:rFonts w:ascii="Arial" w:eastAsia="Arial" w:hAnsi="Arial" w:cs="Arial"/>
      <w:color w:val="auto"/>
      <w:sz w:val="16"/>
    </w:rPr>
  </w:style>
  <w:style w:type="character" w:customStyle="1" w:styleId="EmailStyle141">
    <w:name w:val="EmailStyle141"/>
    <w:rPr>
      <w:rFonts w:ascii="Century Gothic" w:eastAsia="Century Gothic" w:hAnsi="Century Gothic" w:cs="Century Gothic"/>
      <w:color w:val="auto"/>
      <w:sz w:val="20"/>
    </w:rPr>
  </w:style>
  <w:style w:type="character" w:customStyle="1" w:styleId="EmailStyle142">
    <w:name w:val="EmailStyle142"/>
    <w:rPr>
      <w:rFonts w:ascii="Arial" w:eastAsia="Arial" w:hAnsi="Arial" w:cs="Arial"/>
      <w:color w:val="auto"/>
      <w:sz w:val="16"/>
    </w:rPr>
  </w:style>
  <w:style w:type="character" w:customStyle="1" w:styleId="EmailStyle1431">
    <w:name w:val="EmailStyle1431"/>
    <w:rPr>
      <w:rFonts w:ascii="Century Gothic" w:eastAsia="Century Gothic" w:hAnsi="Century Gothic" w:cs="Century Gothic"/>
      <w:color w:val="auto"/>
      <w:sz w:val="20"/>
    </w:rPr>
  </w:style>
  <w:style w:type="character" w:customStyle="1" w:styleId="EmailStyle1441">
    <w:name w:val="EmailStyle1441"/>
    <w:rPr>
      <w:rFonts w:ascii="Arial" w:eastAsia="Arial" w:hAnsi="Arial" w:cs="Arial"/>
      <w:color w:val="auto"/>
      <w:sz w:val="16"/>
    </w:rPr>
  </w:style>
  <w:style w:type="character" w:customStyle="1" w:styleId="EmailStyle145">
    <w:name w:val="EmailStyle145"/>
    <w:rPr>
      <w:rFonts w:ascii="Century Gothic" w:eastAsia="Century Gothic" w:hAnsi="Century Gothic" w:cs="Century Gothic"/>
      <w:color w:val="auto"/>
      <w:sz w:val="20"/>
    </w:rPr>
  </w:style>
  <w:style w:type="character" w:customStyle="1" w:styleId="EmailStyle146">
    <w:name w:val="EmailStyle146"/>
    <w:rPr>
      <w:rFonts w:ascii="Arial" w:eastAsia="Arial" w:hAnsi="Arial" w:cs="Arial"/>
      <w:color w:val="auto"/>
      <w:sz w:val="16"/>
    </w:rPr>
  </w:style>
  <w:style w:type="character" w:customStyle="1" w:styleId="EmailStyle1471">
    <w:name w:val="EmailStyle1471"/>
    <w:rPr>
      <w:rFonts w:ascii="Century Gothic" w:eastAsia="Century Gothic" w:hAnsi="Century Gothic" w:cs="Century Gothic"/>
      <w:color w:val="auto"/>
      <w:sz w:val="20"/>
    </w:rPr>
  </w:style>
  <w:style w:type="character" w:customStyle="1" w:styleId="EmailStyle1481">
    <w:name w:val="EmailStyle1481"/>
    <w:rPr>
      <w:rFonts w:ascii="Arial" w:eastAsia="Arial" w:hAnsi="Arial" w:cs="Arial"/>
      <w:color w:val="auto"/>
      <w:sz w:val="16"/>
    </w:rPr>
  </w:style>
  <w:style w:type="character" w:customStyle="1" w:styleId="EmailStyle149">
    <w:name w:val="EmailStyle149"/>
    <w:rPr>
      <w:rFonts w:ascii="Century Gothic" w:eastAsia="Century Gothic" w:hAnsi="Century Gothic" w:cs="Century Gothic"/>
      <w:color w:val="auto"/>
      <w:sz w:val="20"/>
    </w:rPr>
  </w:style>
  <w:style w:type="character" w:customStyle="1" w:styleId="EmailStyle150">
    <w:name w:val="EmailStyle150"/>
    <w:rPr>
      <w:rFonts w:ascii="Arial" w:eastAsia="Arial" w:hAnsi="Arial" w:cs="Arial"/>
      <w:color w:val="auto"/>
      <w:sz w:val="16"/>
    </w:rPr>
  </w:style>
  <w:style w:type="character" w:customStyle="1" w:styleId="EmailStyle1511">
    <w:name w:val="EmailStyle1511"/>
    <w:rPr>
      <w:rFonts w:ascii="Century Gothic" w:eastAsia="Century Gothic" w:hAnsi="Century Gothic" w:cs="Century Gothic"/>
      <w:color w:val="auto"/>
      <w:sz w:val="20"/>
    </w:rPr>
  </w:style>
  <w:style w:type="character" w:customStyle="1" w:styleId="EmailStyle1521">
    <w:name w:val="EmailStyle1521"/>
    <w:rPr>
      <w:rFonts w:ascii="Arial" w:eastAsia="Arial" w:hAnsi="Arial" w:cs="Arial"/>
      <w:color w:val="auto"/>
      <w:sz w:val="16"/>
    </w:rPr>
  </w:style>
  <w:style w:type="character" w:customStyle="1" w:styleId="EmailStyle153">
    <w:name w:val="EmailStyle153"/>
    <w:rPr>
      <w:rFonts w:ascii="Century Gothic" w:eastAsia="Century Gothic" w:hAnsi="Century Gothic" w:cs="Century Gothic"/>
      <w:color w:val="auto"/>
      <w:sz w:val="20"/>
    </w:rPr>
  </w:style>
  <w:style w:type="character" w:customStyle="1" w:styleId="EmailStyle154">
    <w:name w:val="EmailStyle154"/>
    <w:rPr>
      <w:rFonts w:ascii="Arial" w:eastAsia="Arial" w:hAnsi="Arial" w:cs="Arial"/>
      <w:color w:val="auto"/>
      <w:sz w:val="16"/>
    </w:rPr>
  </w:style>
  <w:style w:type="character" w:customStyle="1" w:styleId="EmailStyle1551">
    <w:name w:val="EmailStyle1551"/>
    <w:rPr>
      <w:rFonts w:ascii="Century Gothic" w:eastAsia="Century Gothic" w:hAnsi="Century Gothic" w:cs="Century Gothic"/>
      <w:color w:val="auto"/>
      <w:sz w:val="20"/>
    </w:rPr>
  </w:style>
  <w:style w:type="character" w:customStyle="1" w:styleId="EmailStyle1561">
    <w:name w:val="EmailStyle1561"/>
    <w:rPr>
      <w:rFonts w:ascii="Arial" w:eastAsia="Arial" w:hAnsi="Arial" w:cs="Arial"/>
      <w:color w:val="auto"/>
      <w:sz w:val="16"/>
    </w:rPr>
  </w:style>
  <w:style w:type="character" w:customStyle="1" w:styleId="EmailStyle157">
    <w:name w:val="EmailStyle157"/>
    <w:rPr>
      <w:rFonts w:ascii="Century Gothic" w:eastAsia="Century Gothic" w:hAnsi="Century Gothic" w:cs="Century Gothic"/>
      <w:color w:val="auto"/>
      <w:sz w:val="20"/>
    </w:rPr>
  </w:style>
  <w:style w:type="character" w:customStyle="1" w:styleId="EmailStyle158">
    <w:name w:val="EmailStyle158"/>
    <w:rPr>
      <w:rFonts w:ascii="Arial" w:eastAsia="Arial" w:hAnsi="Arial" w:cs="Arial"/>
      <w:color w:val="auto"/>
      <w:sz w:val="16"/>
    </w:rPr>
  </w:style>
  <w:style w:type="character" w:customStyle="1" w:styleId="EmailStyle1591">
    <w:name w:val="EmailStyle1591"/>
    <w:rPr>
      <w:rFonts w:ascii="Century Gothic" w:eastAsia="Century Gothic" w:hAnsi="Century Gothic" w:cs="Century Gothic"/>
      <w:color w:val="auto"/>
      <w:sz w:val="20"/>
    </w:rPr>
  </w:style>
  <w:style w:type="character" w:customStyle="1" w:styleId="EmailStyle1601">
    <w:name w:val="EmailStyle1601"/>
    <w:rPr>
      <w:rFonts w:ascii="Arial" w:eastAsia="Arial" w:hAnsi="Arial" w:cs="Arial"/>
      <w:color w:val="auto"/>
      <w:sz w:val="16"/>
    </w:rPr>
  </w:style>
  <w:style w:type="character" w:customStyle="1" w:styleId="EmailStyle161">
    <w:name w:val="EmailStyle161"/>
    <w:rPr>
      <w:rFonts w:ascii="Century Gothic" w:eastAsia="Century Gothic" w:hAnsi="Century Gothic" w:cs="Century Gothic"/>
      <w:color w:val="auto"/>
      <w:sz w:val="20"/>
    </w:rPr>
  </w:style>
  <w:style w:type="character" w:customStyle="1" w:styleId="EmailStyle162">
    <w:name w:val="EmailStyle162"/>
    <w:rPr>
      <w:rFonts w:ascii="Arial" w:eastAsia="Arial" w:hAnsi="Arial" w:cs="Arial"/>
      <w:color w:val="auto"/>
      <w:sz w:val="16"/>
    </w:rPr>
  </w:style>
  <w:style w:type="character" w:customStyle="1" w:styleId="EmailStyle1631">
    <w:name w:val="EmailStyle1631"/>
    <w:rPr>
      <w:rFonts w:ascii="Century Gothic" w:eastAsia="Century Gothic" w:hAnsi="Century Gothic" w:cs="Century Gothic"/>
      <w:color w:val="auto"/>
      <w:sz w:val="20"/>
    </w:rPr>
  </w:style>
  <w:style w:type="character" w:customStyle="1" w:styleId="EmailStyle1641">
    <w:name w:val="EmailStyle1641"/>
    <w:rPr>
      <w:rFonts w:ascii="Arial" w:eastAsia="Arial" w:hAnsi="Arial" w:cs="Arial"/>
      <w:color w:val="auto"/>
      <w:sz w:val="16"/>
    </w:rPr>
  </w:style>
  <w:style w:type="character" w:customStyle="1" w:styleId="EmailStyle165">
    <w:name w:val="EmailStyle165"/>
    <w:rPr>
      <w:rFonts w:ascii="Century Gothic" w:eastAsia="Century Gothic" w:hAnsi="Century Gothic" w:cs="Century Gothic"/>
      <w:color w:val="auto"/>
      <w:sz w:val="20"/>
    </w:rPr>
  </w:style>
  <w:style w:type="character" w:customStyle="1" w:styleId="EmailStyle166">
    <w:name w:val="EmailStyle166"/>
    <w:rPr>
      <w:rFonts w:ascii="Arial" w:eastAsia="Arial" w:hAnsi="Arial" w:cs="Arial"/>
      <w:color w:val="auto"/>
      <w:sz w:val="16"/>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character" w:customStyle="1" w:styleId="Internetlink">
    <w:name w:val="Internet link"/>
    <w:rPr>
      <w:color w:val="000080"/>
      <w:u w:val="single"/>
    </w:rPr>
  </w:style>
  <w:style w:type="numbering" w:customStyle="1" w:styleId="List1">
    <w:name w:val="List 1"/>
    <w:basedOn w:val="Aucuneliste"/>
    <w:pPr>
      <w:numPr>
        <w:numId w:val="2"/>
      </w:numPr>
    </w:pPr>
  </w:style>
  <w:style w:type="numbering" w:customStyle="1" w:styleId="LFO1">
    <w:name w:val="LFO1"/>
    <w:basedOn w:val="Aucuneliste"/>
    <w:pPr>
      <w:numPr>
        <w:numId w:val="3"/>
      </w:numPr>
    </w:pPr>
  </w:style>
  <w:style w:type="numbering" w:customStyle="1" w:styleId="LFO4">
    <w:name w:val="LFO4"/>
    <w:basedOn w:val="Aucuneliste"/>
    <w:pPr>
      <w:numPr>
        <w:numId w:val="4"/>
      </w:numPr>
    </w:pPr>
  </w:style>
  <w:style w:type="numbering" w:customStyle="1" w:styleId="LFO5">
    <w:name w:val="LFO5"/>
    <w:basedOn w:val="Aucuneliste"/>
    <w:pPr>
      <w:numPr>
        <w:numId w:val="5"/>
      </w:numPr>
    </w:pPr>
  </w:style>
  <w:style w:type="numbering" w:customStyle="1" w:styleId="LFO18">
    <w:name w:val="LFO18"/>
    <w:basedOn w:val="Aucuneliste"/>
    <w:pPr>
      <w:numPr>
        <w:numId w:val="6"/>
      </w:numPr>
    </w:pPr>
  </w:style>
  <w:style w:type="numbering" w:customStyle="1" w:styleId="LFO20">
    <w:name w:val="LFO20"/>
    <w:basedOn w:val="Aucuneliste"/>
    <w:pPr>
      <w:numPr>
        <w:numId w:val="7"/>
      </w:numPr>
    </w:pPr>
  </w:style>
  <w:style w:type="numbering" w:customStyle="1" w:styleId="LFO21">
    <w:name w:val="LFO21"/>
    <w:basedOn w:val="Aucuneliste"/>
    <w:pPr>
      <w:numPr>
        <w:numId w:val="8"/>
      </w:numPr>
    </w:pPr>
  </w:style>
  <w:style w:type="numbering" w:customStyle="1" w:styleId="LFO22">
    <w:name w:val="LFO22"/>
    <w:basedOn w:val="Aucuneliste"/>
    <w:pPr>
      <w:numPr>
        <w:numId w:val="9"/>
      </w:numPr>
    </w:pPr>
  </w:style>
  <w:style w:type="numbering" w:customStyle="1" w:styleId="LFO23">
    <w:name w:val="LFO23"/>
    <w:basedOn w:val="Aucuneliste"/>
    <w:pPr>
      <w:numPr>
        <w:numId w:val="10"/>
      </w:numPr>
    </w:pPr>
  </w:style>
  <w:style w:type="numbering" w:customStyle="1" w:styleId="LFO24">
    <w:name w:val="LFO24"/>
    <w:basedOn w:val="Aucuneliste"/>
    <w:pPr>
      <w:numPr>
        <w:numId w:val="11"/>
      </w:numPr>
    </w:pPr>
  </w:style>
  <w:style w:type="numbering" w:customStyle="1" w:styleId="LFO28">
    <w:name w:val="LFO28"/>
    <w:basedOn w:val="Aucuneliste"/>
    <w:pPr>
      <w:numPr>
        <w:numId w:val="12"/>
      </w:numPr>
    </w:pPr>
  </w:style>
  <w:style w:type="numbering" w:customStyle="1" w:styleId="LFO29">
    <w:name w:val="LFO29"/>
    <w:basedOn w:val="Aucuneliste"/>
    <w:pPr>
      <w:numPr>
        <w:numId w:val="13"/>
      </w:numPr>
    </w:pPr>
  </w:style>
  <w:style w:type="numbering" w:customStyle="1" w:styleId="LFO25">
    <w:name w:val="LFO25"/>
    <w:basedOn w:val="Aucuneliste"/>
    <w:pPr>
      <w:numPr>
        <w:numId w:val="14"/>
      </w:numPr>
    </w:pPr>
  </w:style>
  <w:style w:type="numbering" w:customStyle="1" w:styleId="LFO26">
    <w:name w:val="LFO26"/>
    <w:basedOn w:val="Aucuneliste"/>
    <w:pPr>
      <w:numPr>
        <w:numId w:val="15"/>
      </w:numPr>
    </w:pPr>
  </w:style>
  <w:style w:type="numbering" w:customStyle="1" w:styleId="LFO33">
    <w:name w:val="LFO33"/>
    <w:basedOn w:val="Aucuneliste"/>
    <w:pPr>
      <w:numPr>
        <w:numId w:val="16"/>
      </w:numPr>
    </w:pPr>
  </w:style>
  <w:style w:type="numbering" w:customStyle="1" w:styleId="LFO35">
    <w:name w:val="LFO35"/>
    <w:basedOn w:val="Aucuneliste"/>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c.europa.eu/tools/esp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etadata-stds.org/Document-library/Draft-standards/6523-Identification-of-Organizations/ICD_list.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ebgate.ec.europa.eu/tl-browser/" TargetMode="External"/><Relationship Id="rId4" Type="http://schemas.openxmlformats.org/officeDocument/2006/relationships/webSettings" Target="webSettings.xml"/><Relationship Id="rId9" Type="http://schemas.openxmlformats.org/officeDocument/2006/relationships/hyperlink" Target="https://dume.chorus-pro.gouv.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3844</Words>
  <Characters>21146</Characters>
  <Application>Microsoft Office Word</Application>
  <DocSecurity>0</DocSecurity>
  <Lines>176</Lines>
  <Paragraphs>49</Paragraphs>
  <ScaleCrop>false</ScaleCrop>
  <Company>Office_2024_X64_FR_EN-2409-17932.20328-v3</Company>
  <LinksUpToDate>false</LinksUpToDate>
  <CharactersWithSpaces>24941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&gt;&gt;&gt; Debut du paragraphe</dc:title>
  <dc:subject/>
  <dc:creator>CEB</dc:creator>
  <dc:description/>
  <cp:lastModifiedBy>PRIMATESTA Gurvann</cp:lastModifiedBy>
  <cp:revision>5</cp:revision>
  <dcterms:created xsi:type="dcterms:W3CDTF">2026-06-29T13:54:00Z</dcterms:created>
  <dcterms:modified xsi:type="dcterms:W3CDTF">2026-07-01T09:28:00Z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AD2E</vt:lpwstr>
  </property>
  <property fmtid="{D5CDD505-2E9C-101B-9397-08002B2CF9AE}" pid="3" name="CheminDoctype">
    <vt:lpwstr>C:\Users\POIRELP\AppData\Local\Temp</vt:lpwstr>
  </property>
  <property fmtid="{D5CDD505-2E9C-101B-9397-08002B2CF9AE}" pid="4" name="DernierElement">
    <vt:lpwstr/>
  </property>
  <property fmtid="{D5CDD505-2E9C-101B-9397-08002B2CF9AE}" pid="5" name="ElementContenant">
    <vt:lpwstr>ProcedureAvecMiseEnConc</vt:lpwstr>
  </property>
  <property fmtid="{D5CDD505-2E9C-101B-9397-08002B2CF9AE}" pid="6" name="ElementPrecedent">
    <vt:lpwstr/>
  </property>
  <property fmtid="{D5CDD505-2E9C-101B-9397-08002B2CF9AE}" pid="7" name="IdentifiantEdition">
    <vt:lpwstr>RC_COM</vt:lpwstr>
  </property>
  <property fmtid="{D5CDD505-2E9C-101B-9397-08002B2CF9AE}" pid="8" name="NomSegment">
    <vt:lpwstr>RC_COM_Voies_Delais_Recours</vt:lpwstr>
  </property>
  <property fmtid="{D5CDD505-2E9C-101B-9397-08002B2CF9AE}" pid="9" name="NouveauElement">
    <vt:lpwstr>PrestationsIdentiques</vt:lpwstr>
  </property>
  <property fmtid="{D5CDD505-2E9C-101B-9397-08002B2CF9AE}" pid="10" name="ResultatCommande">
    <vt:lpwstr>Ok</vt:lpwstr>
  </property>
</Properties>
</file>