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Autospacing="1" w:afterAutospacing="1"/>
        <w:jc w:val="center"/>
        <w:rPr>
          <w:rFonts w:ascii="Times New Roman" w:hAnsi="Times New Roman" w:eastAsia="Times New Roman" w:cs="Times New Roman"/>
          <w:b/>
          <w:b/>
          <w:bCs/>
          <w:lang w:eastAsia="fr-FR"/>
        </w:rPr>
      </w:pPr>
      <w:r>
        <w:rPr>
          <w:rFonts w:eastAsia="Times New Roman" w:cs="Times New Roman" w:ascii="Tahoma,Bold" w:hAnsi="Tahoma,Bold"/>
          <w:b/>
          <w:bCs/>
          <w:sz w:val="32"/>
          <w:szCs w:val="32"/>
          <w:lang w:eastAsia="fr-FR"/>
        </w:rPr>
        <w:t>MARCHÉ PUBLIC DE TRAVAUX</w:t>
      </w:r>
    </w:p>
    <w:p>
      <w:pPr>
        <w:pStyle w:val="Normal"/>
        <w:spacing w:beforeAutospacing="1" w:afterAutospacing="1"/>
        <w:jc w:val="center"/>
        <w:rPr>
          <w:rFonts w:ascii="Tahoma" w:hAnsi="Tahoma" w:eastAsia="Times New Roman" w:cs="Tahoma"/>
          <w:sz w:val="32"/>
          <w:szCs w:val="32"/>
          <w:lang w:eastAsia="fr-FR"/>
        </w:rPr>
      </w:pPr>
      <w:r>
        <w:rPr>
          <w:rFonts w:eastAsia="Times New Roman" w:cs="Tahoma" w:ascii="Tahoma" w:hAnsi="Tahoma"/>
          <w:sz w:val="32"/>
          <w:szCs w:val="32"/>
          <w:lang w:eastAsia="fr-FR"/>
        </w:rPr>
      </w:r>
    </w:p>
    <w:p>
      <w:pPr>
        <w:pStyle w:val="Normal"/>
        <w:jc w:val="center"/>
        <w:rPr>
          <w:rFonts w:ascii="Tahoma" w:hAnsi="Tahoma" w:eastAsia="Times New Roman" w:cs="Tahoma"/>
          <w:sz w:val="28"/>
          <w:szCs w:val="28"/>
          <w:lang w:eastAsia="fr-FR"/>
        </w:rPr>
      </w:pPr>
      <w:r>
        <w:rPr>
          <w:rFonts w:eastAsia="Times New Roman" w:cs="Tahoma" w:ascii="Tahoma" w:hAnsi="Tahoma"/>
          <w:b/>
          <w:bCs/>
          <w:sz w:val="28"/>
          <w:szCs w:val="28"/>
          <w:lang w:eastAsia="fr-FR"/>
        </w:rPr>
        <w:t>Direction Départementale des Finances</w:t>
      </w:r>
    </w:p>
    <w:p>
      <w:pPr>
        <w:pStyle w:val="Normal"/>
        <w:jc w:val="center"/>
        <w:rPr>
          <w:rFonts w:ascii="Tahoma" w:hAnsi="Tahoma" w:eastAsia="Times New Roman" w:cs="Tahoma"/>
          <w:sz w:val="28"/>
          <w:szCs w:val="28"/>
          <w:lang w:eastAsia="fr-FR"/>
        </w:rPr>
      </w:pPr>
      <w:r>
        <w:rPr>
          <w:rFonts w:eastAsia="Times New Roman" w:cs="Tahoma" w:ascii="Tahoma" w:hAnsi="Tahoma"/>
          <w:b/>
          <w:bCs/>
          <w:sz w:val="28"/>
          <w:szCs w:val="28"/>
          <w:lang w:eastAsia="fr-FR"/>
        </w:rPr>
        <w:t>Publiques de l’Allier</w:t>
      </w:r>
    </w:p>
    <w:p>
      <w:pPr>
        <w:pStyle w:val="Normal"/>
        <w:jc w:val="center"/>
        <w:rPr>
          <w:b w:val="false"/>
          <w:b w:val="false"/>
          <w:bCs w:val="false"/>
        </w:rPr>
      </w:pPr>
      <w:r>
        <w:rPr>
          <w:rFonts w:eastAsia="Times New Roman" w:cs="Tahoma" w:ascii="Tahoma" w:hAnsi="Tahoma"/>
          <w:b w:val="false"/>
          <w:bCs w:val="false"/>
          <w:sz w:val="28"/>
          <w:szCs w:val="28"/>
          <w:lang w:eastAsia="fr-FR"/>
        </w:rPr>
        <w:t>Service Budget Immobilier Logistique</w:t>
      </w:r>
    </w:p>
    <w:p>
      <w:pPr>
        <w:pStyle w:val="Normal"/>
        <w:jc w:val="center"/>
        <w:rPr>
          <w:rFonts w:ascii="Tahoma" w:hAnsi="Tahoma" w:eastAsia="Times New Roman" w:cs="Tahoma"/>
          <w:sz w:val="28"/>
          <w:szCs w:val="28"/>
          <w:lang w:eastAsia="fr-FR"/>
        </w:rPr>
      </w:pPr>
      <w:r>
        <w:rPr>
          <w:rFonts w:eastAsia="Times New Roman" w:cs="Tahoma" w:ascii="Tahoma" w:hAnsi="Tahoma"/>
          <w:sz w:val="28"/>
          <w:szCs w:val="28"/>
          <w:lang w:eastAsia="fr-FR"/>
        </w:rPr>
        <w:t xml:space="preserve">9 avenue Victor Hugo </w:t>
      </w:r>
    </w:p>
    <w:p>
      <w:pPr>
        <w:pStyle w:val="Normal"/>
        <w:jc w:val="center"/>
        <w:rPr>
          <w:rFonts w:ascii="Tahoma" w:hAnsi="Tahoma" w:eastAsia="Times New Roman" w:cs="Tahoma"/>
          <w:sz w:val="28"/>
          <w:szCs w:val="28"/>
          <w:lang w:eastAsia="fr-FR"/>
        </w:rPr>
      </w:pPr>
      <w:r>
        <w:rPr>
          <w:rFonts w:eastAsia="Times New Roman" w:cs="Tahoma" w:ascii="Tahoma" w:hAnsi="Tahoma"/>
          <w:sz w:val="28"/>
          <w:szCs w:val="28"/>
          <w:lang w:eastAsia="fr-FR"/>
        </w:rPr>
        <w:t xml:space="preserve">03000 MOULINS </w:t>
      </w:r>
    </w:p>
    <w:p>
      <w:pPr>
        <w:pStyle w:val="Normal"/>
        <w:jc w:val="center"/>
        <w:rPr>
          <w:rFonts w:ascii="Tahoma" w:hAnsi="Tahoma" w:eastAsia="Times New Roman" w:cs="Tahoma"/>
          <w:sz w:val="28"/>
          <w:szCs w:val="28"/>
          <w:lang w:eastAsia="fr-FR"/>
        </w:rPr>
      </w:pPr>
      <w:r>
        <w:rPr>
          <w:rFonts w:eastAsia="Times New Roman" w:cs="Tahoma" w:ascii="Tahoma" w:hAnsi="Tahoma"/>
          <w:sz w:val="28"/>
          <w:szCs w:val="28"/>
          <w:lang w:eastAsia="fr-FR"/>
        </w:rPr>
        <w:t>Tel : 04.70.35.43.52</w:t>
      </w:r>
    </w:p>
    <w:p>
      <w:pPr>
        <w:pStyle w:val="Normal"/>
        <w:jc w:val="center"/>
        <w:rPr>
          <w:rFonts w:ascii="Tahoma" w:hAnsi="Tahoma" w:eastAsia="Times New Roman" w:cs="Tahoma"/>
          <w:sz w:val="28"/>
          <w:szCs w:val="28"/>
          <w:lang w:eastAsia="fr-FR"/>
        </w:rPr>
      </w:pPr>
      <w:r>
        <w:rPr>
          <w:rFonts w:eastAsia="Times New Roman" w:cs="Tahoma" w:ascii="Tahoma" w:hAnsi="Tahoma"/>
          <w:sz w:val="28"/>
          <w:szCs w:val="28"/>
          <w:lang w:eastAsia="fr-FR"/>
        </w:rPr>
        <w:t>Email :</w:t>
      </w:r>
    </w:p>
    <w:p>
      <w:pPr>
        <w:pStyle w:val="Normal"/>
        <w:jc w:val="center"/>
        <w:rPr>
          <w:rFonts w:ascii="Tahoma" w:hAnsi="Tahoma" w:eastAsia="Times New Roman" w:cs="Tahoma"/>
          <w:sz w:val="28"/>
          <w:szCs w:val="28"/>
          <w:lang w:eastAsia="fr-FR"/>
        </w:rPr>
      </w:pPr>
      <w:r>
        <w:rPr>
          <w:rFonts w:eastAsia="Times New Roman" w:cs="Tahoma" w:ascii="Tahoma" w:hAnsi="Tahoma"/>
          <w:sz w:val="28"/>
          <w:szCs w:val="28"/>
          <w:lang w:eastAsia="fr-FR"/>
        </w:rPr>
        <w:t>ddfip03.ppr.logistique@dgfip.finances.gouv.fr</w:t>
      </w:r>
    </w:p>
    <w:p>
      <w:pPr>
        <w:pStyle w:val="Normal"/>
        <w:jc w:val="center"/>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Normal"/>
        <w:spacing w:beforeAutospacing="1" w:afterAutospacing="1"/>
        <w:jc w:val="center"/>
        <w:rPr>
          <w:rFonts w:ascii="Tahoma" w:hAnsi="Tahoma" w:eastAsia="Times New Roman" w:cs="Tahoma"/>
          <w:sz w:val="28"/>
          <w:szCs w:val="28"/>
          <w:lang w:eastAsia="fr-FR"/>
        </w:rPr>
      </w:pPr>
      <w:r>
        <w:rPr>
          <w:rFonts w:eastAsia="Times New Roman" w:cs="Tahoma" w:ascii="Tahoma" w:hAnsi="Tahoma"/>
          <w:sz w:val="28"/>
          <w:szCs w:val="28"/>
          <w:lang w:eastAsia="fr-FR"/>
        </w:rPr>
      </w:r>
    </w:p>
    <w:p>
      <w:pPr>
        <w:pStyle w:val="Normal"/>
        <w:pBdr>
          <w:top w:val="single" w:sz="4" w:space="1" w:color="000000"/>
          <w:left w:val="single" w:sz="4" w:space="4" w:color="000000"/>
          <w:bottom w:val="single" w:sz="4" w:space="1" w:color="000000"/>
          <w:right w:val="single" w:sz="4" w:space="4" w:color="000000"/>
        </w:pBdr>
        <w:spacing w:beforeAutospacing="1" w:afterAutospacing="1"/>
        <w:jc w:val="center"/>
        <w:rPr>
          <w:rFonts w:ascii="Tahoma" w:hAnsi="Tahoma" w:cs="Tahoma"/>
          <w:b/>
          <w:b/>
          <w:bCs/>
          <w:sz w:val="32"/>
          <w:szCs w:val="32"/>
        </w:rPr>
      </w:pPr>
      <w:r>
        <w:rPr>
          <w:rFonts w:cs="Tahoma" w:ascii="Tahoma" w:hAnsi="Tahoma"/>
          <w:b/>
          <w:bCs/>
          <w:sz w:val="32"/>
          <w:szCs w:val="32"/>
        </w:rPr>
        <w:t>RÉAMÉNAGEMENT PARTIEL DE</w:t>
        <w:br/>
        <w:t>L'ACCUEIL DU CENTRE DES</w:t>
        <w:br/>
        <w:t xml:space="preserve">FINANCES PUBLIQUES </w:t>
      </w:r>
    </w:p>
    <w:p>
      <w:pPr>
        <w:pStyle w:val="Normal"/>
        <w:pBdr>
          <w:top w:val="single" w:sz="4" w:space="1" w:color="000000"/>
          <w:left w:val="single" w:sz="4" w:space="4" w:color="000000"/>
          <w:bottom w:val="single" w:sz="4" w:space="1" w:color="000000"/>
          <w:right w:val="single" w:sz="4" w:space="4" w:color="000000"/>
        </w:pBdr>
        <w:spacing w:beforeAutospacing="1" w:afterAutospacing="1"/>
        <w:jc w:val="center"/>
        <w:rPr>
          <w:rFonts w:ascii="Tahoma" w:hAnsi="Tahoma" w:cs="Tahoma"/>
          <w:b/>
          <w:b/>
          <w:bCs/>
          <w:sz w:val="32"/>
          <w:szCs w:val="32"/>
        </w:rPr>
      </w:pPr>
      <w:r>
        <w:rPr>
          <w:rFonts w:cs="Tahoma" w:ascii="Tahoma" w:hAnsi="Tahoma"/>
          <w:b/>
          <w:bCs/>
          <w:sz w:val="32"/>
          <w:szCs w:val="32"/>
        </w:rPr>
        <w:t>À MONTLUÇON (03)</w:t>
      </w:r>
    </w:p>
    <w:p>
      <w:pPr>
        <w:pStyle w:val="Normal"/>
        <w:pBdr>
          <w:top w:val="single" w:sz="4" w:space="1" w:color="000000"/>
          <w:left w:val="single" w:sz="4" w:space="4" w:color="000000"/>
          <w:bottom w:val="single" w:sz="4" w:space="1" w:color="000000"/>
          <w:right w:val="single" w:sz="4" w:space="4" w:color="000000"/>
        </w:pBdr>
        <w:spacing w:beforeAutospacing="1" w:afterAutospacing="1"/>
        <w:jc w:val="center"/>
        <w:rPr>
          <w:rFonts w:ascii="Times New Roman" w:hAnsi="Times New Roman" w:eastAsia="Times New Roman" w:cs="Times New Roman"/>
          <w:lang w:eastAsia="fr-FR"/>
        </w:rPr>
      </w:pPr>
      <w:r>
        <w:rPr>
          <w:rFonts w:eastAsia="Times New Roman" w:cs="Times New Roman" w:ascii="Tahoma,Bold" w:hAnsi="Tahoma,Bold"/>
          <w:sz w:val="32"/>
          <w:szCs w:val="32"/>
          <w:lang w:eastAsia="fr-FR"/>
        </w:rPr>
        <w:t>Procédure adaptée</w:t>
        <w:br/>
      </w:r>
      <w:r>
        <w:rPr>
          <w:rFonts w:eastAsia="Times New Roman" w:cs="Times New Roman" w:ascii="Tahoma,Bold" w:hAnsi="Tahoma,Bold"/>
          <w:lang w:eastAsia="fr-FR"/>
        </w:rPr>
        <w:t>En application de l’article R. 2123-1, 1° du code de la commande publique</w:t>
      </w:r>
    </w:p>
    <w:p>
      <w:pPr>
        <w:pStyle w:val="Normal"/>
        <w:spacing w:beforeAutospacing="1" w:afterAutospacing="1"/>
        <w:jc w:val="center"/>
        <w:rPr>
          <w:rFonts w:ascii="Times New Roman" w:hAnsi="Times New Roman" w:eastAsia="Times New Roman" w:cs="Times New Roman"/>
          <w:b/>
          <w:b/>
          <w:bCs/>
          <w:u w:val="single"/>
          <w:lang w:eastAsia="fr-FR"/>
        </w:rPr>
      </w:pPr>
      <w:r>
        <w:rPr>
          <w:rFonts w:eastAsia="Times New Roman" w:cs="Times New Roman" w:ascii="Tahoma,Bold" w:hAnsi="Tahoma,Bold"/>
          <w:b/>
          <w:bCs/>
          <w:sz w:val="40"/>
          <w:szCs w:val="40"/>
          <w:u w:val="single"/>
          <w:lang w:eastAsia="fr-FR"/>
        </w:rPr>
        <w:t>Règlement de la consultation</w:t>
      </w:r>
    </w:p>
    <w:p>
      <w:pPr>
        <w:pStyle w:val="Normal"/>
        <w:spacing w:beforeAutospacing="1" w:afterAutospacing="1"/>
        <w:jc w:val="center"/>
        <w:rPr>
          <w:rFonts w:ascii="Times New Roman" w:hAnsi="Times New Roman" w:eastAsia="Times New Roman" w:cs="Times New Roman"/>
          <w:lang w:eastAsia="fr-FR"/>
        </w:rPr>
      </w:pPr>
      <w:r>
        <w:rPr>
          <w:rFonts w:eastAsia="Times New Roman" w:cs="Tahoma" w:ascii="Tahoma" w:hAnsi="Tahoma"/>
          <w:sz w:val="28"/>
          <w:szCs w:val="28"/>
          <w:lang w:eastAsia="fr-FR"/>
        </w:rPr>
        <w:t>Date limite de remise des offres</w:t>
      </w:r>
    </w:p>
    <w:p>
      <w:pPr>
        <w:pStyle w:val="Normal"/>
        <w:spacing w:beforeAutospacing="1" w:afterAutospacing="1"/>
        <w:jc w:val="center"/>
        <w:rPr>
          <w:rFonts w:ascii="Times New Roman" w:hAnsi="Times New Roman" w:eastAsia="Times New Roman" w:cs="Times New Roman"/>
          <w:lang w:eastAsia="fr-FR"/>
        </w:rPr>
      </w:pPr>
      <w:r>
        <w:rPr>
          <w:rFonts w:eastAsia="Times New Roman" w:cs="Times New Roman" w:ascii="Tahoma,Bold" w:hAnsi="Tahoma,Bold"/>
          <w:sz w:val="28"/>
          <w:szCs w:val="28"/>
          <w:highlight w:val="yellow"/>
          <w:lang w:eastAsia="fr-FR"/>
        </w:rPr>
        <w:t>2</w:t>
      </w:r>
      <w:r>
        <w:rPr>
          <w:rFonts w:eastAsia="Times New Roman" w:cs="Times New Roman" w:ascii="Tahoma,Bold" w:hAnsi="Tahoma,Bold"/>
          <w:sz w:val="28"/>
          <w:szCs w:val="28"/>
          <w:highlight w:val="yellow"/>
          <w:lang w:eastAsia="fr-FR"/>
        </w:rPr>
        <w:t>6</w:t>
      </w:r>
      <w:r>
        <w:rPr>
          <w:rFonts w:eastAsia="Times New Roman" w:cs="Times New Roman" w:ascii="Tahoma,Bold" w:hAnsi="Tahoma,Bold"/>
          <w:sz w:val="28"/>
          <w:szCs w:val="28"/>
          <w:highlight w:val="yellow"/>
          <w:lang w:eastAsia="fr-FR"/>
        </w:rPr>
        <w:t xml:space="preserve"> juillet 2026 à </w:t>
      </w:r>
      <w:r>
        <w:rPr>
          <w:rFonts w:eastAsia="Times New Roman" w:cs="Times New Roman" w:ascii="Tahoma,Bold" w:hAnsi="Tahoma,Bold"/>
          <w:sz w:val="28"/>
          <w:szCs w:val="28"/>
          <w:highlight w:val="yellow"/>
          <w:lang w:eastAsia="fr-FR"/>
        </w:rPr>
        <w:t>23</w:t>
      </w:r>
      <w:r>
        <w:rPr>
          <w:rFonts w:eastAsia="Times New Roman" w:cs="Times New Roman" w:ascii="Tahoma,Bold" w:hAnsi="Tahoma,Bold"/>
          <w:sz w:val="28"/>
          <w:szCs w:val="28"/>
          <w:highlight w:val="yellow"/>
          <w:lang w:eastAsia="fr-FR"/>
        </w:rPr>
        <w:t>h</w:t>
      </w:r>
      <w:r>
        <w:rPr>
          <w:rFonts w:eastAsia="Times New Roman" w:cs="Times New Roman" w:ascii="Tahoma,Bold" w:hAnsi="Tahoma,Bold"/>
          <w:sz w:val="28"/>
          <w:szCs w:val="28"/>
          <w:highlight w:val="yellow"/>
          <w:lang w:eastAsia="fr-FR"/>
        </w:rPr>
        <w:t>3</w:t>
      </w:r>
      <w:r>
        <w:rPr>
          <w:rFonts w:eastAsia="Times New Roman" w:cs="Times New Roman" w:ascii="Tahoma,Bold" w:hAnsi="Tahoma,Bold"/>
          <w:sz w:val="28"/>
          <w:szCs w:val="28"/>
          <w:highlight w:val="yellow"/>
          <w:lang w:eastAsia="fr-FR"/>
        </w:rPr>
        <w:t>0</w:t>
      </w:r>
    </w:p>
    <w:p>
      <w:pPr>
        <w:pStyle w:val="Normal"/>
        <w:spacing w:beforeAutospacing="1" w:afterAutospacing="1"/>
        <w:jc w:val="center"/>
        <w:rPr>
          <w:rFonts w:ascii="Times New Roman" w:hAnsi="Times New Roman" w:eastAsia="Times New Roman" w:cs="Times New Roman"/>
          <w:lang w:eastAsia="fr-FR"/>
        </w:rPr>
      </w:pPr>
      <w:r>
        <w:rPr>
          <w:rFonts w:eastAsia="Times New Roman" w:cs="Times New Roman" w:ascii="Times New Roman" w:hAnsi="Times New Roman"/>
          <w:lang w:eastAsia="fr-FR"/>
        </w:rPr>
      </w:r>
    </w:p>
    <w:p>
      <w:pPr>
        <w:pStyle w:val="Corpsdetexte"/>
        <w:spacing w:beforeAutospacing="1" w:afterAutospacing="1"/>
        <w:jc w:val="center"/>
        <w:rPr>
          <w:rFonts w:ascii="Times New Roman" w:hAnsi="Times New Roman" w:eastAsia="Times New Roman" w:cs="Times New Roman"/>
          <w:lang w:eastAsia="fr-FR"/>
        </w:rPr>
      </w:pPr>
      <w:r>
        <w:rPr>
          <w:rFonts w:eastAsia="Times New Roman" w:cs="Times New Roman" w:ascii="Times New Roman" w:hAnsi="Times New Roman"/>
          <w:sz w:val="28"/>
          <w:szCs w:val="28"/>
          <w:highlight w:val="yellow"/>
          <w:lang w:val="fr-FR" w:eastAsia="fr-FR"/>
        </w:rPr>
        <w:t>Réponse électronique via PLACE (Plateforme des Achats de l'Etat)</w:t>
      </w:r>
    </w:p>
    <w:p>
      <w:pPr>
        <w:pStyle w:val="Normal"/>
        <w:jc w:val="center"/>
        <w:rPr>
          <w:rFonts w:ascii="Times New Roman" w:hAnsi="Times New Roman" w:eastAsia="Times New Roman" w:cs="Times New Roman"/>
          <w:lang w:eastAsia="fr-FR"/>
        </w:rPr>
      </w:pPr>
      <w:r>
        <w:rPr>
          <w:rFonts w:eastAsia="Times New Roman" w:cs="Times New Roman" w:ascii="Times New Roman" w:hAnsi="Times New Roman"/>
          <w:lang w:eastAsia="fr-FR"/>
        </w:rPr>
      </w:r>
    </w:p>
    <w:p>
      <w:pPr>
        <w:pStyle w:val="Normal"/>
        <w:rPr>
          <w:rFonts w:ascii="Tahoma,Bold" w:hAnsi="Tahoma,Bold" w:eastAsia="Times New Roman" w:cs="Times New Roman"/>
          <w:sz w:val="22"/>
          <w:szCs w:val="22"/>
          <w:lang w:eastAsia="fr-FR"/>
        </w:rPr>
      </w:pPr>
      <w:r>
        <w:rPr>
          <w:rFonts w:eastAsia="Times New Roman" w:cs="Times New Roman" w:ascii="Tahoma,Bold" w:hAnsi="Tahoma,Bold"/>
          <w:sz w:val="22"/>
          <w:szCs w:val="22"/>
          <w:lang w:eastAsia="fr-FR"/>
        </w:rPr>
      </w:r>
    </w:p>
    <w:sdt>
      <w:sdtPr>
        <w:docPartObj>
          <w:docPartGallery w:val="Table of Contents"/>
          <w:docPartUnique w:val="true"/>
        </w:docPartObj>
      </w:sdtPr>
      <w:sdtContent>
        <w:p>
          <w:pPr>
            <w:pStyle w:val="Titredetabledesmatires"/>
            <w:rPr/>
          </w:pPr>
          <w:r>
            <w:br w:type="page"/>
          </w:r>
          <w:r>
            <w:rPr/>
            <w:t>Table des matières</w:t>
          </w:r>
        </w:p>
        <w:p>
          <w:pPr>
            <w:pStyle w:val="Tabledesmatiresniveau1"/>
            <w:tabs>
              <w:tab w:val="clear" w:pos="708"/>
              <w:tab w:val="right" w:pos="9072" w:leader="dot"/>
            </w:tabs>
            <w:rPr/>
          </w:pPr>
          <w:r>
            <w:fldChar w:fldCharType="begin"/>
          </w:r>
          <w:r>
            <w:rPr>
              <w:webHidden/>
              <w:rStyle w:val="Sautdindex"/>
              <w:vanish w:val="false"/>
            </w:rPr>
            <w:instrText> TOC \z \o "1-3" \u \h</w:instrText>
          </w:r>
          <w:r>
            <w:rPr>
              <w:webHidden/>
              <w:rStyle w:val="Sautdindex"/>
              <w:vanish w:val="false"/>
            </w:rPr>
            <w:fldChar w:fldCharType="separate"/>
          </w:r>
          <w:hyperlink w:anchor="__RefHeading___Toc5325_1694868853">
            <w:r>
              <w:rPr>
                <w:webHidden/>
                <w:rStyle w:val="Sautdindex"/>
                <w:vanish w:val="false"/>
              </w:rPr>
              <w:t>Article 1. Objet de la consultation</w:t>
              <w:tab/>
              <w:t>3</w:t>
            </w:r>
          </w:hyperlink>
        </w:p>
        <w:p>
          <w:pPr>
            <w:pStyle w:val="Tabledesmatiresniveau1"/>
            <w:tabs>
              <w:tab w:val="clear" w:pos="708"/>
              <w:tab w:val="right" w:pos="9072" w:leader="dot"/>
            </w:tabs>
            <w:rPr/>
          </w:pPr>
          <w:hyperlink w:anchor="__RefHeading___Toc5327_1694868853">
            <w:r>
              <w:rPr>
                <w:webHidden/>
                <w:rStyle w:val="Sautdindex"/>
                <w:vanish w:val="false"/>
              </w:rPr>
              <w:t>Article 2. Délai d’exécution</w:t>
              <w:tab/>
              <w:t>4</w:t>
            </w:r>
          </w:hyperlink>
        </w:p>
        <w:p>
          <w:pPr>
            <w:pStyle w:val="Tabledesmatiresniveau1"/>
            <w:tabs>
              <w:tab w:val="clear" w:pos="708"/>
              <w:tab w:val="right" w:pos="9072" w:leader="dot"/>
            </w:tabs>
            <w:rPr/>
          </w:pPr>
          <w:hyperlink w:anchor="__RefHeading___Toc5329_1694868853">
            <w:r>
              <w:rPr>
                <w:webHidden/>
                <w:rStyle w:val="Sautdindex"/>
                <w:vanish w:val="false"/>
              </w:rPr>
              <w:t>Article 3. Procédure de passation</w:t>
              <w:tab/>
              <w:t>4</w:t>
            </w:r>
          </w:hyperlink>
        </w:p>
        <w:p>
          <w:pPr>
            <w:pStyle w:val="Tabledesmatiresniveau1"/>
            <w:tabs>
              <w:tab w:val="clear" w:pos="708"/>
              <w:tab w:val="right" w:pos="9072" w:leader="dot"/>
            </w:tabs>
            <w:rPr/>
          </w:pPr>
          <w:hyperlink w:anchor="__RefHeading___Toc5331_1694868853">
            <w:r>
              <w:rPr>
                <w:webHidden/>
                <w:rStyle w:val="Sautdindex"/>
                <w:vanish w:val="false"/>
              </w:rPr>
              <w:t>Article 4. Allotissement</w:t>
              <w:tab/>
              <w:t>5</w:t>
            </w:r>
          </w:hyperlink>
        </w:p>
        <w:p>
          <w:pPr>
            <w:pStyle w:val="Tabledesmatiresniveau1"/>
            <w:tabs>
              <w:tab w:val="clear" w:pos="708"/>
              <w:tab w:val="right" w:pos="9072" w:leader="dot"/>
            </w:tabs>
            <w:rPr/>
          </w:pPr>
          <w:hyperlink w:anchor="__RefHeading___Toc5333_1694868853">
            <w:r>
              <w:rPr>
                <w:webHidden/>
                <w:rStyle w:val="Sautdindex"/>
                <w:vanish w:val="false"/>
              </w:rPr>
              <w:t>Article 5. Dossier de consultation</w:t>
              <w:tab/>
              <w:t>5</w:t>
            </w:r>
          </w:hyperlink>
        </w:p>
        <w:p>
          <w:pPr>
            <w:pStyle w:val="Tabledesmatiresniveau1"/>
            <w:tabs>
              <w:tab w:val="clear" w:pos="708"/>
              <w:tab w:val="right" w:pos="9072" w:leader="dot"/>
            </w:tabs>
            <w:rPr/>
          </w:pPr>
          <w:hyperlink w:anchor="__RefHeading___Toc5335_1694868853">
            <w:r>
              <w:rPr>
                <w:webHidden/>
                <w:rStyle w:val="Sautdindex"/>
                <w:vanish w:val="false"/>
              </w:rPr>
              <w:t>Article 6. Envoi des propositions</w:t>
              <w:tab/>
              <w:t>6</w:t>
            </w:r>
          </w:hyperlink>
        </w:p>
        <w:p>
          <w:pPr>
            <w:pStyle w:val="Tabledesmatiresniveau1"/>
            <w:tabs>
              <w:tab w:val="clear" w:pos="708"/>
              <w:tab w:val="right" w:pos="9072" w:leader="dot"/>
            </w:tabs>
            <w:rPr/>
          </w:pPr>
          <w:hyperlink w:anchor="__RefHeading___Toc5337_1694868853">
            <w:r>
              <w:rPr>
                <w:webHidden/>
                <w:rStyle w:val="Sautdindex"/>
                <w:vanish w:val="false"/>
              </w:rPr>
              <w:t>Article 7. Délai de validité</w:t>
              <w:tab/>
              <w:t>7</w:t>
            </w:r>
          </w:hyperlink>
        </w:p>
        <w:p>
          <w:pPr>
            <w:pStyle w:val="Tabledesmatiresniveau1"/>
            <w:tabs>
              <w:tab w:val="clear" w:pos="708"/>
              <w:tab w:val="right" w:pos="9072" w:leader="dot"/>
            </w:tabs>
            <w:rPr/>
          </w:pPr>
          <w:hyperlink w:anchor="__RefHeading___Toc5339_1694868853">
            <w:r>
              <w:rPr>
                <w:webHidden/>
                <w:rStyle w:val="Sautdindex"/>
                <w:vanish w:val="false"/>
              </w:rPr>
              <w:t>Article 8. Groupements d’opérateurs économiques</w:t>
              <w:tab/>
              <w:t>7</w:t>
            </w:r>
          </w:hyperlink>
        </w:p>
        <w:p>
          <w:pPr>
            <w:pStyle w:val="Tabledesmatiresniveau1"/>
            <w:tabs>
              <w:tab w:val="clear" w:pos="708"/>
              <w:tab w:val="right" w:pos="9072" w:leader="dot"/>
            </w:tabs>
            <w:rPr/>
          </w:pPr>
          <w:hyperlink w:anchor="__RefHeading___Toc5341_1694868853">
            <w:r>
              <w:rPr>
                <w:webHidden/>
                <w:rStyle w:val="Sautdindex"/>
                <w:vanish w:val="false"/>
              </w:rPr>
              <w:t>Article 9. Sous-traitance</w:t>
              <w:tab/>
              <w:t>8</w:t>
            </w:r>
          </w:hyperlink>
        </w:p>
        <w:p>
          <w:pPr>
            <w:pStyle w:val="Tabledesmatiresniveau1"/>
            <w:tabs>
              <w:tab w:val="clear" w:pos="708"/>
              <w:tab w:val="right" w:pos="9072" w:leader="dot"/>
            </w:tabs>
            <w:rPr/>
          </w:pPr>
          <w:hyperlink w:anchor="__RefHeading___Toc5343_1694868853">
            <w:r>
              <w:rPr>
                <w:webHidden/>
                <w:rStyle w:val="Sautdindex"/>
                <w:vanish w:val="false"/>
              </w:rPr>
              <w:t>Article 10. Présentation du dossier de candidature</w:t>
              <w:tab/>
              <w:t>9</w:t>
            </w:r>
          </w:hyperlink>
        </w:p>
        <w:p>
          <w:pPr>
            <w:pStyle w:val="Tabledesmatiresniveau1"/>
            <w:tabs>
              <w:tab w:val="clear" w:pos="708"/>
              <w:tab w:val="right" w:pos="9072" w:leader="dot"/>
            </w:tabs>
            <w:rPr/>
          </w:pPr>
          <w:hyperlink w:anchor="__RefHeading___Toc5347_1694868853">
            <w:r>
              <w:rPr>
                <w:webHidden/>
                <w:rStyle w:val="Sautdindex"/>
                <w:vanish w:val="false"/>
              </w:rPr>
              <w:t>Article 11. Présentation du dossier d’offre</w:t>
              <w:tab/>
              <w:t>11</w:t>
            </w:r>
          </w:hyperlink>
        </w:p>
        <w:p>
          <w:pPr>
            <w:pStyle w:val="Tabledesmatiresniveau1"/>
            <w:tabs>
              <w:tab w:val="clear" w:pos="708"/>
              <w:tab w:val="right" w:pos="9072" w:leader="dot"/>
            </w:tabs>
            <w:rPr/>
          </w:pPr>
          <w:hyperlink w:anchor="__RefHeading___Toc5349_1694868853">
            <w:r>
              <w:rPr>
                <w:webHidden/>
                <w:rStyle w:val="Sautdindex"/>
                <w:vanish w:val="false"/>
              </w:rPr>
              <w:t>Article 12. Attribution du marché</w:t>
              <w:tab/>
              <w:t>11</w:t>
            </w:r>
          </w:hyperlink>
        </w:p>
        <w:p>
          <w:pPr>
            <w:pStyle w:val="Tabledesmatiresniveau1"/>
            <w:tabs>
              <w:tab w:val="clear" w:pos="708"/>
              <w:tab w:val="right" w:pos="9072" w:leader="dot"/>
            </w:tabs>
            <w:rPr/>
          </w:pPr>
          <w:hyperlink w:anchor="__RefHeading___Toc5351_1694868853">
            <w:r>
              <w:rPr>
                <w:webHidden/>
                <w:rStyle w:val="Sautdindex"/>
                <w:vanish w:val="false"/>
              </w:rPr>
              <w:t>Article 13. Critères d’attribution et choix de l’offre</w:t>
              <w:tab/>
              <w:t>12</w:t>
            </w:r>
          </w:hyperlink>
        </w:p>
        <w:p>
          <w:pPr>
            <w:pStyle w:val="Tabledesmatiresniveau1"/>
            <w:tabs>
              <w:tab w:val="clear" w:pos="708"/>
              <w:tab w:val="right" w:pos="9072" w:leader="dot"/>
            </w:tabs>
            <w:rPr/>
          </w:pPr>
          <w:hyperlink w:anchor="__RefHeading___Toc5353_1694868853">
            <w:r>
              <w:rPr>
                <w:webHidden/>
                <w:rStyle w:val="Sautdindex"/>
                <w:vanish w:val="false"/>
              </w:rPr>
              <w:t>Article 14. Variantes</w:t>
              <w:tab/>
              <w:t>13</w:t>
            </w:r>
          </w:hyperlink>
        </w:p>
        <w:p>
          <w:pPr>
            <w:pStyle w:val="Tabledesmatiresniveau1"/>
            <w:tabs>
              <w:tab w:val="clear" w:pos="708"/>
              <w:tab w:val="right" w:pos="9072" w:leader="dot"/>
            </w:tabs>
            <w:rPr/>
          </w:pPr>
          <w:hyperlink w:anchor="__RefHeading___Toc5353_16948688531">
            <w:r>
              <w:rPr>
                <w:webHidden/>
                <w:rStyle w:val="Sautdindex"/>
                <w:vanish w:val="false"/>
              </w:rPr>
              <w:t>Article 15. Personnes à contacter pour obtenir des renseignements complémentaires</w:t>
              <w:tab/>
              <w:t>13</w:t>
            </w:r>
          </w:hyperlink>
        </w:p>
        <w:p>
          <w:pPr>
            <w:pStyle w:val="Tabledesmatiresniveau1"/>
            <w:tabs>
              <w:tab w:val="clear" w:pos="708"/>
              <w:tab w:val="right" w:pos="9072" w:leader="dot"/>
            </w:tabs>
            <w:rPr/>
          </w:pPr>
          <w:hyperlink w:anchor="__RefHeading___Toc5355_1694868853">
            <w:r>
              <w:rPr>
                <w:webHidden/>
                <w:rStyle w:val="Sautdindex"/>
                <w:vanish w:val="false"/>
              </w:rPr>
              <w:t>Article 16. Visite de site</w:t>
              <w:tab/>
              <w:t>13</w:t>
            </w:r>
          </w:hyperlink>
        </w:p>
        <w:p>
          <w:pPr>
            <w:pStyle w:val="Tabledesmatiresniveau1"/>
            <w:tabs>
              <w:tab w:val="clear" w:pos="708"/>
              <w:tab w:val="right" w:pos="9072" w:leader="dot"/>
            </w:tabs>
            <w:rPr/>
          </w:pPr>
          <w:hyperlink w:anchor="__RefHeading___Toc5357_1694868853">
            <w:r>
              <w:rPr>
                <w:webHidden/>
                <w:rStyle w:val="Sautdindex"/>
                <w:vanish w:val="false"/>
              </w:rPr>
              <w:t>Article 17. Litiges et différends</w:t>
              <w:tab/>
              <w:t>14</w:t>
            </w:r>
          </w:hyperlink>
          <w:r>
            <w:rPr>
              <w:rStyle w:val="Sautdindex"/>
              <w:vanish w:val="false"/>
            </w:rPr>
            <w:fldChar w:fldCharType="end"/>
          </w:r>
        </w:p>
      </w:sdtContent>
    </w:sdt>
    <w:p>
      <w:pPr>
        <w:pStyle w:val="Normal"/>
        <w:rPr>
          <w:rFonts w:ascii="Tahoma,Bold" w:hAnsi="Tahoma,Bold" w:eastAsia="Times New Roman" w:cs="Times New Roman"/>
          <w:lang w:eastAsia="fr-FR"/>
        </w:rPr>
      </w:pPr>
      <w:r>
        <w:rPr>
          <w:rFonts w:eastAsia="Times New Roman" w:cs="Times New Roman" w:ascii="Tahoma,Bold" w:hAnsi="Tahoma,Bold"/>
          <w:lang w:eastAsia="fr-FR"/>
        </w:rPr>
      </w:r>
      <w:r>
        <w:br w:type="page"/>
      </w:r>
    </w:p>
    <w:p>
      <w:pPr>
        <w:pStyle w:val="Titre1"/>
        <w:jc w:val="both"/>
        <w:rPr/>
      </w:pPr>
      <w:bookmarkStart w:id="0" w:name="__RefHeading___Toc5325_1694868853"/>
      <w:bookmarkStart w:id="1" w:name="_Toc232694009"/>
      <w:bookmarkEnd w:id="0"/>
      <w:r>
        <w:rPr>
          <w:rFonts w:eastAsia="Times New Roman"/>
          <w:bCs/>
          <w:lang w:eastAsia="fr-FR"/>
        </w:rPr>
        <w:t>Article 1. Objet de la consultation</w:t>
      </w:r>
      <w:bookmarkEnd w:id="1"/>
      <w:r>
        <w:rPr>
          <w:rFonts w:eastAsia="Times New Roman"/>
          <w:bCs/>
          <w:lang w:eastAsia="fr-FR"/>
        </w:rPr>
        <w:t xml:space="preserve"> </w:t>
      </w:r>
    </w:p>
    <w:p>
      <w:pPr>
        <w:pStyle w:val="Normal"/>
        <w:jc w:val="both"/>
        <w:rPr>
          <w:rFonts w:ascii="Tahoma" w:hAnsi="Tahoma" w:cs="Tahoma"/>
          <w:sz w:val="21"/>
          <w:szCs w:val="21"/>
        </w:rPr>
      </w:pPr>
      <w:r>
        <w:rPr>
          <w:rFonts w:cs="Tahoma" w:ascii="Tahoma" w:hAnsi="Tahoma"/>
          <w:sz w:val="21"/>
          <w:szCs w:val="21"/>
        </w:rPr>
      </w:r>
    </w:p>
    <w:p>
      <w:pPr>
        <w:pStyle w:val="Normal"/>
        <w:jc w:val="both"/>
        <w:rPr/>
      </w:pPr>
      <w:r>
        <w:rPr>
          <w:rFonts w:eastAsia="Times New Roman" w:cs="Times New Roman" w:ascii="Tahoma,Bold" w:hAnsi="Tahoma,Bold"/>
          <w:b/>
          <w:bCs/>
          <w:sz w:val="22"/>
          <w:szCs w:val="22"/>
          <w:lang w:eastAsia="fr-FR"/>
        </w:rPr>
        <w:t xml:space="preserve">Objet des travaux : </w:t>
      </w:r>
      <w:r>
        <w:rPr>
          <w:rFonts w:cs="Tahoma" w:ascii="Tahoma" w:hAnsi="Tahoma"/>
          <w:sz w:val="21"/>
          <w:szCs w:val="21"/>
          <w:shd w:fill="FFFF00" w:val="clear"/>
        </w:rPr>
        <w:t>« </w:t>
      </w:r>
      <w:r>
        <w:rPr>
          <w:sz w:val="22"/>
          <w:szCs w:val="22"/>
          <w:shd w:fill="FFFF00" w:val="clear"/>
        </w:rPr>
        <w:t xml:space="preserve"> </w:t>
      </w:r>
      <w:r>
        <w:rPr>
          <w:rFonts w:cs="Tahoma" w:ascii="Tahoma" w:hAnsi="Tahoma"/>
          <w:sz w:val="21"/>
          <w:szCs w:val="21"/>
          <w:shd w:fill="FFFF00" w:val="clear"/>
        </w:rPr>
        <w:t>RÉAMÉNAGEMENT PARTIEL DE L'ACCUEIL DU CENTRE DES FINANCES PUBLIQUES À MONTLUÇON (03) »</w:t>
      </w:r>
    </w:p>
    <w:p>
      <w:pPr>
        <w:pStyle w:val="Corpsdetexte"/>
        <w:jc w:val="both"/>
        <w:rPr>
          <w:shd w:fill="auto" w:val="clear"/>
        </w:rPr>
      </w:pPr>
      <w:r>
        <w:rPr>
          <w:shd w:fill="auto" w:val="clear"/>
        </w:rPr>
      </w:r>
    </w:p>
    <w:p>
      <w:pPr>
        <w:pStyle w:val="Corpsdetexte"/>
        <w:jc w:val="both"/>
        <w:rPr/>
      </w:pPr>
      <w:r>
        <w:rPr>
          <w:rFonts w:eastAsia="Times New Roman" w:cs="Tahoma" w:ascii="Tahoma" w:hAnsi="Tahoma"/>
          <w:color w:val="000000"/>
          <w:sz w:val="22"/>
          <w:szCs w:val="22"/>
          <w:shd w:fill="auto" w:val="clear"/>
          <w:lang w:val="fr-FR" w:eastAsia="fr-FR"/>
        </w:rPr>
        <w:t>La présente consultation a pour objet la réalisation</w:t>
      </w:r>
      <w:r>
        <w:rPr>
          <w:rFonts w:eastAsia="Times New Roman" w:cs="Tahoma" w:ascii="Tahoma" w:hAnsi="Tahoma"/>
          <w:b w:val="false"/>
          <w:bCs/>
          <w:color w:val="000000"/>
          <w:sz w:val="22"/>
          <w:szCs w:val="22"/>
          <w:u w:val="none"/>
          <w:shd w:fill="auto" w:val="clear"/>
          <w:lang w:val="fr-FR" w:eastAsia="fr-FR" w:bidi="zxx"/>
        </w:rPr>
        <w:t xml:space="preserve"> </w:t>
      </w:r>
      <w:r>
        <w:rPr>
          <w:rFonts w:eastAsia="Times New Roman" w:cs="Tahoma" w:ascii="Tahoma" w:hAnsi="Tahoma"/>
          <w:b w:val="false"/>
          <w:bCs/>
          <w:color w:val="000000"/>
          <w:spacing w:val="0"/>
          <w:sz w:val="22"/>
          <w:szCs w:val="22"/>
          <w:u w:val="none"/>
          <w:shd w:fill="auto" w:val="clear"/>
          <w:lang w:val="fr-FR" w:eastAsia="fr-FR" w:bidi="zxx"/>
        </w:rPr>
        <w:t xml:space="preserve">des travaux de </w:t>
      </w:r>
      <w:r>
        <w:rPr>
          <w:rFonts w:eastAsia="Times New Roman" w:cs="Tahoma" w:ascii="Tahoma" w:hAnsi="Tahoma"/>
          <w:b w:val="false"/>
          <w:bCs w:val="false"/>
          <w:i w:val="false"/>
          <w:iCs w:val="false"/>
          <w:color w:val="000000"/>
          <w:spacing w:val="0"/>
          <w:sz w:val="22"/>
          <w:szCs w:val="22"/>
          <w:u w:val="none"/>
          <w:shd w:fill="auto" w:val="clear"/>
          <w:lang w:val="fr-FR" w:eastAsia="fr-FR" w:bidi="hi-IN"/>
        </w:rPr>
        <w:t>réaménagement de l'accueil du Centre des Finances Publiques de Montluçon (03) sis quai Forey.</w:t>
      </w:r>
    </w:p>
    <w:p>
      <w:pPr>
        <w:pStyle w:val="Corpsdetexte"/>
        <w:jc w:val="both"/>
        <w:rPr/>
      </w:pPr>
      <w:r>
        <w:rPr>
          <w:rFonts w:eastAsia="Times New Roman" w:cs="Tahoma" w:ascii="Tahoma" w:hAnsi="Tahoma"/>
          <w:b w:val="false"/>
          <w:bCs w:val="false"/>
          <w:i w:val="false"/>
          <w:iCs w:val="false"/>
          <w:color w:val="000000"/>
          <w:spacing w:val="0"/>
          <w:sz w:val="22"/>
          <w:szCs w:val="22"/>
          <w:u w:val="none"/>
          <w:shd w:fill="auto" w:val="clear"/>
          <w:lang w:val="fr-FR" w:eastAsia="fr-FR" w:bidi="hi-IN"/>
        </w:rPr>
        <w:t>Le marché est un marché de travaux à lots séparés.</w:t>
      </w:r>
    </w:p>
    <w:p>
      <w:pPr>
        <w:pStyle w:val="Corpsdetexte"/>
        <w:tabs>
          <w:tab w:val="clear" w:pos="708"/>
        </w:tabs>
        <w:spacing w:before="57" w:after="0"/>
        <w:ind w:left="0" w:right="0" w:hanging="0"/>
        <w:jc w:val="both"/>
        <w:textAlignment w:val="center"/>
        <w:rPr/>
      </w:pPr>
      <w:r>
        <w:rPr>
          <w:rFonts w:eastAsia="Times New Roman" w:cs="Tahoma" w:ascii="Tahoma" w:hAnsi="Tahoma"/>
          <w:b w:val="false"/>
          <w:bCs w:val="false"/>
          <w:i w:val="false"/>
          <w:iCs w:val="false"/>
          <w:color w:val="000000"/>
          <w:spacing w:val="0"/>
          <w:sz w:val="22"/>
          <w:szCs w:val="22"/>
          <w:u w:val="single"/>
          <w:shd w:fill="auto" w:val="clear"/>
          <w:lang w:val="zxx" w:eastAsia="fr-FR" w:bidi="hi-IN"/>
        </w:rPr>
        <w:t xml:space="preserve">Les travaux auront lieu en site occupé </w:t>
      </w:r>
      <w:r>
        <w:rPr>
          <w:rFonts w:eastAsia="Times New Roman" w:cs="Tahoma" w:ascii="Tahoma" w:hAnsi="Tahoma"/>
          <w:b w:val="false"/>
          <w:bCs w:val="false"/>
          <w:i w:val="false"/>
          <w:iCs w:val="false"/>
          <w:color w:val="000000"/>
          <w:spacing w:val="0"/>
          <w:sz w:val="22"/>
          <w:szCs w:val="22"/>
          <w:u w:val="none"/>
          <w:shd w:fill="auto" w:val="clear"/>
          <w:lang w:val="zxx" w:eastAsia="fr-FR" w:bidi="hi-IN"/>
        </w:rPr>
        <w:t>et comprennent une phase de désamiantage en sous section 3.</w:t>
      </w:r>
    </w:p>
    <w:p>
      <w:pPr>
        <w:pStyle w:val="Corpsdetexte"/>
        <w:tabs>
          <w:tab w:val="clear" w:pos="708"/>
        </w:tabs>
        <w:spacing w:before="57" w:after="0"/>
        <w:ind w:left="0" w:right="0" w:hanging="0"/>
        <w:jc w:val="both"/>
        <w:textAlignment w:val="center"/>
        <w:rPr/>
      </w:pPr>
      <w:r>
        <w:rPr>
          <w:rFonts w:eastAsia="Times New Roman" w:cs="Tahoma" w:ascii="Tahoma" w:hAnsi="Tahoma"/>
          <w:b w:val="false"/>
          <w:bCs w:val="false"/>
          <w:i w:val="false"/>
          <w:iCs w:val="false"/>
          <w:color w:val="000000"/>
          <w:spacing w:val="0"/>
          <w:sz w:val="22"/>
          <w:szCs w:val="22"/>
          <w:u w:val="single"/>
          <w:shd w:fill="auto" w:val="clear"/>
          <w:lang w:val="zxx" w:eastAsia="fr-FR" w:bidi="hi-IN"/>
        </w:rPr>
        <w:t>L'attention des entreprises est particulièrement attirée sur l'ensemble des précautions qui devront être prises pendant les travaux pour réduire les nuisances pour les utilisateurs agents et usagers : bruit, poussière, sécurité de l'accès aux locaux (approvisionnements, évacuations), attitude des intervenants sur le chantier</w:t>
      </w:r>
    </w:p>
    <w:p>
      <w:pPr>
        <w:pStyle w:val="Normal"/>
        <w:spacing w:beforeAutospacing="1" w:afterAutospacing="1"/>
        <w:jc w:val="both"/>
        <w:rPr/>
      </w:pPr>
      <w:r>
        <w:rPr>
          <w:rFonts w:eastAsia="Times New Roman" w:cs="Tahoma" w:ascii="Tahoma" w:hAnsi="Tahoma"/>
          <w:color w:val="auto"/>
          <w:sz w:val="22"/>
          <w:szCs w:val="22"/>
          <w:lang w:eastAsia="fr-FR"/>
        </w:rPr>
        <w:t>La description des ouvrages et leurs spécifications tech</w:t>
      </w:r>
      <w:r>
        <w:rPr>
          <w:rFonts w:eastAsia="Times New Roman" w:cs="Tahoma" w:ascii="Tahoma" w:hAnsi="Tahoma"/>
          <w:sz w:val="22"/>
          <w:szCs w:val="22"/>
          <w:lang w:eastAsia="fr-FR"/>
        </w:rPr>
        <w:t>niques sont indiquées dans les cahiers des clauses techniques particulières (C.C.T.P.) faisant partie des pièces du marché.</w:t>
      </w:r>
    </w:p>
    <w:p>
      <w:pPr>
        <w:pStyle w:val="Normal"/>
        <w:spacing w:beforeAutospacing="1" w:afterAutospacing="1"/>
        <w:jc w:val="both"/>
        <w:rPr/>
      </w:pPr>
      <w:r>
        <w:rPr>
          <w:rFonts w:eastAsia="Times New Roman" w:cs="Times New Roman" w:ascii="Tahoma,Bold" w:hAnsi="Tahoma,Bold"/>
          <w:b/>
          <w:bCs/>
          <w:sz w:val="22"/>
          <w:szCs w:val="22"/>
          <w:lang w:eastAsia="fr-FR"/>
        </w:rPr>
        <w:t>Lieux d'exécution</w:t>
      </w:r>
      <w:r>
        <w:rPr>
          <w:rFonts w:eastAsia="Times New Roman" w:cs="Tahoma" w:ascii="Tahoma" w:hAnsi="Tahoma"/>
          <w:b/>
          <w:bCs/>
          <w:sz w:val="22"/>
          <w:szCs w:val="22"/>
          <w:lang w:eastAsia="fr-FR"/>
        </w:rPr>
        <w:t>:</w:t>
      </w:r>
      <w:r>
        <w:rPr>
          <w:rFonts w:eastAsia="Times New Roman" w:cs="Tahoma" w:ascii="Tahoma" w:hAnsi="Tahoma"/>
          <w:sz w:val="22"/>
          <w:szCs w:val="22"/>
          <w:lang w:eastAsia="fr-FR"/>
        </w:rPr>
        <w:t xml:space="preserve"> </w:t>
      </w:r>
      <w:r>
        <w:rPr>
          <w:rFonts w:eastAsia="Times New Roman" w:cs="Times New Roman" w:ascii="Tahoma,Bold" w:hAnsi="Tahoma,Bold"/>
          <w:sz w:val="22"/>
          <w:szCs w:val="22"/>
          <w:shd w:fill="FFFF00" w:val="clear"/>
          <w:lang w:eastAsia="fr-FR"/>
        </w:rPr>
        <w:t>Centre des Finances Publiques de Montluçon – Quai Forey – 03100 MONTLUCON (03 - ALLIER)</w:t>
      </w:r>
    </w:p>
    <w:p>
      <w:pPr>
        <w:pStyle w:val="Normal"/>
        <w:spacing w:beforeAutospacing="1" w:afterAutospacing="1"/>
        <w:jc w:val="both"/>
        <w:rPr/>
      </w:pPr>
      <w:r>
        <w:rPr>
          <w:rFonts w:eastAsia="Times New Roman" w:cs="Times New Roman" w:ascii="Tahoma,Bold" w:hAnsi="Tahoma,Bold"/>
          <w:b/>
          <w:bCs/>
          <w:sz w:val="22"/>
          <w:szCs w:val="22"/>
          <w:lang w:eastAsia="fr-FR"/>
        </w:rPr>
        <w:t>Les intervenants</w:t>
      </w:r>
    </w:p>
    <w:p>
      <w:pPr>
        <w:pStyle w:val="Normal"/>
        <w:spacing w:beforeAutospacing="1" w:afterAutospacing="1"/>
        <w:jc w:val="both"/>
        <w:rPr/>
      </w:pPr>
      <w:r>
        <w:rPr>
          <w:rFonts w:eastAsia="Times New Roman" w:cs="Tahoma" w:ascii="Tahoma" w:hAnsi="Tahoma"/>
          <w:sz w:val="22"/>
          <w:szCs w:val="22"/>
          <w:u w:val="single"/>
          <w:lang w:eastAsia="fr-FR"/>
        </w:rPr>
        <w:t>Le maître d’ouvrage</w:t>
      </w:r>
      <w:r>
        <w:rPr>
          <w:rFonts w:eastAsia="Times New Roman" w:cs="Tahoma" w:ascii="Tahoma" w:hAnsi="Tahoma"/>
          <w:sz w:val="22"/>
          <w:szCs w:val="22"/>
          <w:lang w:eastAsia="fr-FR"/>
        </w:rPr>
        <w:t xml:space="preserve"> est la </w:t>
      </w:r>
      <w:r>
        <w:rPr>
          <w:rFonts w:eastAsia="Times New Roman" w:cs="Tahoma" w:ascii="Tahoma" w:hAnsi="Tahoma"/>
          <w:sz w:val="22"/>
          <w:szCs w:val="22"/>
          <w:shd w:fill="FFFF00" w:val="clear"/>
          <w:lang w:eastAsia="fr-FR"/>
        </w:rPr>
        <w:t>Direction Départementale des Finances Publiques de l’Allier</w:t>
      </w:r>
      <w:r>
        <w:rPr>
          <w:rFonts w:eastAsia="Times New Roman" w:cs="Tahoma" w:ascii="Tahoma" w:hAnsi="Tahoma"/>
          <w:sz w:val="22"/>
          <w:szCs w:val="22"/>
          <w:lang w:eastAsia="fr-FR"/>
        </w:rPr>
        <w:t xml:space="preserve"> représentée par le </w:t>
      </w:r>
      <w:r>
        <w:rPr>
          <w:rFonts w:eastAsia="Times New Roman" w:cs="Tahoma" w:ascii="Tahoma" w:hAnsi="Tahoma"/>
          <w:sz w:val="22"/>
          <w:szCs w:val="22"/>
          <w:shd w:fill="FFFF00" w:val="clear"/>
          <w:lang w:eastAsia="fr-FR"/>
        </w:rPr>
        <w:t>Directeur du Pôle Ressources Monsieur Alain HINOT.</w:t>
      </w:r>
    </w:p>
    <w:p>
      <w:pPr>
        <w:pStyle w:val="Normal"/>
        <w:spacing w:beforeAutospacing="1" w:afterAutospacing="1"/>
        <w:jc w:val="both"/>
        <w:rPr/>
      </w:pPr>
      <w:r>
        <w:rPr>
          <w:rFonts w:eastAsia="Times New Roman" w:cs="Tahoma" w:ascii="Tahoma" w:hAnsi="Tahoma"/>
          <w:sz w:val="22"/>
          <w:szCs w:val="22"/>
          <w:lang w:eastAsia="fr-FR"/>
        </w:rPr>
        <w:t>Le titulaire a connaissance que d’autres contrats lient le maître d’ouvrage à la personne désignée ci-dessous, qui intervient également dans la réalisation des ouvrages :</w:t>
      </w:r>
    </w:p>
    <w:p>
      <w:pPr>
        <w:pStyle w:val="Normal"/>
        <w:spacing w:beforeAutospacing="1" w:afterAutospacing="1"/>
        <w:jc w:val="both"/>
        <w:rPr/>
      </w:pPr>
      <w:r>
        <w:rPr>
          <w:rFonts w:eastAsia="Times New Roman" w:cs="Tahoma" w:ascii="Tahoma" w:hAnsi="Tahoma"/>
          <w:sz w:val="22"/>
          <w:szCs w:val="22"/>
          <w:u w:val="single"/>
          <w:lang w:eastAsia="fr-FR"/>
        </w:rPr>
        <w:t>L’équipe de maîtrise d’oeuvre</w:t>
      </w:r>
      <w:r>
        <w:rPr>
          <w:rFonts w:eastAsia="Times New Roman" w:cs="Tahoma" w:ascii="Tahoma" w:hAnsi="Tahoma"/>
          <w:sz w:val="22"/>
          <w:szCs w:val="22"/>
          <w:lang w:eastAsia="fr-FR"/>
        </w:rPr>
        <w:t xml:space="preserve"> est la suivante :</w:t>
      </w:r>
    </w:p>
    <w:p>
      <w:pPr>
        <w:pStyle w:val="Normal"/>
        <w:spacing w:beforeAutospacing="1" w:afterAutospacing="1"/>
        <w:jc w:val="both"/>
        <w:rPr/>
      </w:pPr>
      <w:r>
        <w:rPr>
          <w:rFonts w:eastAsia="Times New Roman" w:cs="Tahoma" w:ascii="Tahoma" w:hAnsi="Tahoma"/>
          <w:sz w:val="22"/>
          <w:szCs w:val="22"/>
          <w:u w:val="single"/>
          <w:lang w:eastAsia="fr-FR"/>
        </w:rPr>
        <w:t>ARCHITECTE:</w:t>
      </w:r>
    </w:p>
    <w:p>
      <w:pPr>
        <w:pStyle w:val="Normal"/>
        <w:spacing w:before="0" w:after="0"/>
        <w:jc w:val="both"/>
        <w:rPr/>
      </w:pPr>
      <w:r>
        <w:rPr>
          <w:rFonts w:eastAsia="Times New Roman" w:cs="Tahoma" w:ascii="Tahoma" w:hAnsi="Tahoma"/>
          <w:sz w:val="22"/>
          <w:szCs w:val="22"/>
          <w:lang w:eastAsia="fr-FR"/>
        </w:rPr>
        <w:t>ATELIER BONNICEL</w:t>
      </w:r>
    </w:p>
    <w:p>
      <w:pPr>
        <w:pStyle w:val="Normal"/>
        <w:spacing w:before="0" w:after="0"/>
        <w:jc w:val="both"/>
        <w:rPr/>
      </w:pPr>
      <w:r>
        <w:rPr>
          <w:rFonts w:eastAsia="Times New Roman" w:cs="Tahoma" w:ascii="Tahoma" w:hAnsi="Tahoma"/>
          <w:sz w:val="22"/>
          <w:szCs w:val="22"/>
          <w:lang w:eastAsia="fr-FR"/>
        </w:rPr>
        <w:t>1 Rue des Moulins  - 63400 CHAMALIERES</w:t>
      </w:r>
    </w:p>
    <w:p>
      <w:pPr>
        <w:pStyle w:val="Normal"/>
        <w:spacing w:before="0" w:after="0"/>
        <w:jc w:val="both"/>
        <w:rPr/>
      </w:pPr>
      <w:r>
        <w:rPr>
          <w:rFonts w:eastAsia="Times New Roman" w:cs="Tahoma" w:ascii="Tahoma" w:hAnsi="Tahoma"/>
          <w:sz w:val="22"/>
          <w:szCs w:val="22"/>
          <w:lang w:eastAsia="fr-FR"/>
        </w:rPr>
        <w:t>Tél. 04.73.19.96.64</w:t>
      </w:r>
    </w:p>
    <w:p>
      <w:pPr>
        <w:pStyle w:val="Normal"/>
        <w:spacing w:before="0" w:after="0"/>
        <w:jc w:val="both"/>
        <w:rPr/>
      </w:pPr>
      <w:r>
        <w:rPr>
          <w:rFonts w:eastAsia="Times New Roman" w:cs="Tahoma" w:ascii="Tahoma" w:hAnsi="Tahoma"/>
          <w:sz w:val="22"/>
          <w:szCs w:val="22"/>
          <w:lang w:eastAsia="fr-FR"/>
        </w:rPr>
        <w:t>atelierbonnicel@gmail.com</w:t>
      </w:r>
    </w:p>
    <w:p>
      <w:pPr>
        <w:pStyle w:val="Normal"/>
        <w:spacing w:beforeAutospacing="1" w:afterAutospacing="1"/>
        <w:jc w:val="both"/>
        <w:rPr/>
      </w:pPr>
      <w:r>
        <w:rPr>
          <w:rFonts w:eastAsia="Times New Roman" w:cs="Tahoma" w:ascii="Tahoma" w:hAnsi="Tahoma"/>
          <w:sz w:val="22"/>
          <w:szCs w:val="22"/>
          <w:u w:val="single"/>
          <w:lang w:eastAsia="fr-FR"/>
        </w:rPr>
        <w:t>BUREAU D'ETUDES : mandataire du groupement</w:t>
      </w:r>
    </w:p>
    <w:p>
      <w:pPr>
        <w:pStyle w:val="Normal"/>
        <w:spacing w:before="0" w:after="0"/>
        <w:jc w:val="both"/>
        <w:rPr/>
      </w:pPr>
      <w:r>
        <w:rPr>
          <w:rFonts w:eastAsia="Times New Roman" w:cs="Tahoma" w:ascii="Tahoma" w:hAnsi="Tahoma"/>
          <w:sz w:val="22"/>
          <w:szCs w:val="22"/>
          <w:lang w:eastAsia="fr-FR"/>
        </w:rPr>
        <w:t>EUCLID Ingénierie</w:t>
      </w:r>
    </w:p>
    <w:p>
      <w:pPr>
        <w:pStyle w:val="Normal"/>
        <w:spacing w:before="0" w:after="0"/>
        <w:jc w:val="both"/>
        <w:rPr/>
      </w:pPr>
      <w:r>
        <w:rPr>
          <w:rFonts w:eastAsia="Times New Roman" w:cs="Tahoma" w:ascii="Tahoma" w:hAnsi="Tahoma"/>
          <w:sz w:val="22"/>
          <w:szCs w:val="22"/>
          <w:lang w:eastAsia="fr-FR"/>
        </w:rPr>
        <w:t>10 rue Becquerel - 63110 BEAUMONT</w:t>
      </w:r>
    </w:p>
    <w:p>
      <w:pPr>
        <w:pStyle w:val="Normal"/>
        <w:spacing w:before="0" w:after="0"/>
        <w:jc w:val="both"/>
        <w:rPr/>
      </w:pPr>
      <w:r>
        <w:rPr>
          <w:rFonts w:eastAsia="Times New Roman" w:cs="Tahoma" w:ascii="Tahoma" w:hAnsi="Tahoma"/>
          <w:sz w:val="22"/>
          <w:szCs w:val="22"/>
          <w:lang w:eastAsia="fr-FR"/>
        </w:rPr>
        <w:t>Tél. 04.73.26.79.60</w:t>
      </w:r>
    </w:p>
    <w:p>
      <w:pPr>
        <w:pStyle w:val="Normal"/>
        <w:spacing w:before="0" w:after="0"/>
        <w:jc w:val="both"/>
        <w:rPr/>
      </w:pPr>
      <w:r>
        <w:rPr>
          <w:rFonts w:eastAsia="Times New Roman" w:cs="Tahoma" w:ascii="Tahoma" w:hAnsi="Tahoma"/>
          <w:sz w:val="22"/>
          <w:szCs w:val="22"/>
          <w:lang w:eastAsia="fr-FR"/>
        </w:rPr>
        <w:t>contact@euclid-fr.com</w:t>
      </w:r>
    </w:p>
    <w:p>
      <w:pPr>
        <w:pStyle w:val="Normal"/>
        <w:spacing w:beforeAutospacing="1" w:afterAutospacing="1"/>
        <w:jc w:val="both"/>
        <w:rPr/>
      </w:pPr>
      <w:r>
        <w:rPr>
          <w:rFonts w:eastAsia="Times New Roman" w:cs="Tahoma" w:ascii="Tahoma" w:hAnsi="Tahoma"/>
          <w:b w:val="false"/>
          <w:bCs w:val="false"/>
          <w:sz w:val="22"/>
          <w:szCs w:val="22"/>
          <w:u w:val="single"/>
          <w:lang w:eastAsia="fr-FR"/>
        </w:rPr>
        <w:t>Ordonnancement, Pilotage et Coordination du chantier</w:t>
      </w:r>
    </w:p>
    <w:p>
      <w:pPr>
        <w:pStyle w:val="Normal"/>
        <w:spacing w:beforeAutospacing="1" w:afterAutospacing="1"/>
        <w:jc w:val="both"/>
        <w:rPr/>
      </w:pPr>
      <w:r>
        <w:rPr>
          <w:rFonts w:eastAsia="Times New Roman" w:cs="Tahoma" w:ascii="Tahoma" w:hAnsi="Tahoma"/>
          <w:sz w:val="22"/>
          <w:szCs w:val="22"/>
          <w:shd w:fill="FFFF00" w:val="clear"/>
          <w:lang w:eastAsia="fr-FR"/>
        </w:rPr>
        <w:t>La mission d'ordonnancement, pilotage et coordination du chantier est assurée par le maître d’œuvre.</w:t>
      </w:r>
    </w:p>
    <w:p>
      <w:pPr>
        <w:pStyle w:val="Default"/>
        <w:jc w:val="both"/>
        <w:rPr/>
      </w:pPr>
      <w:r>
        <w:rPr>
          <w:rFonts w:eastAsia="Times New Roman" w:cs="Tahoma" w:ascii="Tahoma" w:hAnsi="Tahoma"/>
          <w:b w:val="false"/>
          <w:bCs w:val="false"/>
          <w:strike w:val="false"/>
          <w:dstrike w:val="false"/>
          <w:sz w:val="22"/>
          <w:szCs w:val="22"/>
          <w:u w:val="single"/>
          <w:lang w:eastAsia="fr-FR"/>
        </w:rPr>
        <w:t xml:space="preserve">Contrôle technique </w:t>
      </w:r>
    </w:p>
    <w:p>
      <w:pPr>
        <w:pStyle w:val="Normal"/>
        <w:spacing w:beforeAutospacing="1" w:afterAutospacing="1"/>
        <w:jc w:val="both"/>
        <w:rPr/>
      </w:pPr>
      <w:r>
        <w:rPr>
          <w:rFonts w:eastAsia="Times New Roman" w:cs="Tahoma" w:ascii="Tahoma" w:hAnsi="Tahoma"/>
          <w:b w:val="false"/>
          <w:strike w:val="false"/>
          <w:dstrike w:val="false"/>
          <w:sz w:val="22"/>
          <w:szCs w:val="22"/>
          <w:u w:val="none"/>
          <w:lang w:eastAsia="fr-FR"/>
        </w:rPr>
        <w:t>Le contrôleur technique sera précisé ultérieurement, au regard de l’accord-cadre PFRA de référence.</w:t>
      </w:r>
    </w:p>
    <w:p>
      <w:pPr>
        <w:pStyle w:val="Default"/>
        <w:spacing w:beforeAutospacing="1" w:afterAutospacing="1"/>
        <w:jc w:val="both"/>
        <w:rPr/>
      </w:pPr>
      <w:r>
        <w:rPr>
          <w:rFonts w:eastAsia="Times New Roman" w:cs="Tahoma" w:ascii="Tahoma" w:hAnsi="Tahoma"/>
          <w:b w:val="false"/>
          <w:strike w:val="false"/>
          <w:dstrike w:val="false"/>
          <w:sz w:val="22"/>
          <w:szCs w:val="22"/>
          <w:u w:val="single"/>
          <w:lang w:eastAsia="fr-FR"/>
        </w:rPr>
        <w:t>S</w:t>
      </w:r>
      <w:r>
        <w:rPr>
          <w:rFonts w:eastAsia="Times New Roman" w:cs="Tahoma" w:ascii="Tahoma" w:hAnsi="Tahoma"/>
          <w:sz w:val="22"/>
          <w:szCs w:val="22"/>
          <w:u w:val="single"/>
          <w:lang w:eastAsia="fr-FR"/>
        </w:rPr>
        <w:t>écurité et protection de la santé des travailleurs</w:t>
      </w:r>
    </w:p>
    <w:p>
      <w:pPr>
        <w:pStyle w:val="Normal"/>
        <w:spacing w:beforeAutospacing="1" w:afterAutospacing="1"/>
        <w:jc w:val="both"/>
        <w:rPr/>
      </w:pPr>
      <w:r>
        <w:rPr>
          <w:rFonts w:eastAsia="Times New Roman" w:cs="Tahoma" w:ascii="Tahoma" w:hAnsi="Tahoma"/>
          <w:strike w:val="false"/>
          <w:dstrike w:val="false"/>
          <w:color w:val="000000"/>
          <w:sz w:val="22"/>
          <w:szCs w:val="22"/>
          <w:u w:val="none"/>
          <w:lang w:eastAsia="fr-FR"/>
        </w:rPr>
        <w:t xml:space="preserve">La coordination sécurité et protection de la santé pour cette opération sera précisée ultérieurement, </w:t>
      </w:r>
      <w:r>
        <w:rPr>
          <w:rFonts w:eastAsia="Times New Roman" w:cs="Tahoma" w:ascii="Tahoma" w:hAnsi="Tahoma"/>
          <w:b w:val="false"/>
          <w:strike w:val="false"/>
          <w:dstrike w:val="false"/>
          <w:color w:val="000000"/>
          <w:sz w:val="22"/>
          <w:szCs w:val="22"/>
          <w:u w:val="none"/>
          <w:lang w:eastAsia="fr-FR"/>
        </w:rPr>
        <w:t>au regard de l’accord-cadre PFRA de référence.</w:t>
      </w:r>
    </w:p>
    <w:p>
      <w:pPr>
        <w:pStyle w:val="Normal"/>
        <w:spacing w:beforeAutospacing="1" w:afterAutospacing="1"/>
        <w:jc w:val="both"/>
        <w:rPr/>
      </w:pPr>
      <w:r>
        <w:rPr>
          <w:rFonts w:eastAsia="Times New Roman" w:cs="Tahoma" w:ascii="Tahoma" w:hAnsi="Tahoma"/>
          <w:strike w:val="false"/>
          <w:dstrike w:val="false"/>
          <w:color w:val="000000"/>
          <w:sz w:val="22"/>
          <w:szCs w:val="22"/>
          <w:u w:val="none"/>
          <w:lang w:eastAsia="fr-FR"/>
        </w:rPr>
        <w:t>Le maître d’œuvre est autorisé à échanger directement avec chacun des intervenants dans les conditions et limites fixées par le présent marché. En cas de difficultés rencontrées lors de la collaboration avec l’un des autres intervenants, le maître d’œuvre informe le maître d’ouvrage sans délais.</w:t>
      </w:r>
    </w:p>
    <w:p>
      <w:pPr>
        <w:pStyle w:val="Titre1"/>
        <w:jc w:val="both"/>
        <w:rPr/>
      </w:pPr>
      <w:bookmarkStart w:id="2" w:name="__RefHeading___Toc5327_1694868853"/>
      <w:bookmarkStart w:id="3" w:name="_Toc232694010"/>
      <w:bookmarkEnd w:id="2"/>
      <w:r>
        <w:rPr>
          <w:rFonts w:eastAsia="Times New Roman"/>
          <w:lang w:eastAsia="fr-FR"/>
        </w:rPr>
        <w:t>Article 2. Délai d’exécution</w:t>
      </w:r>
      <w:bookmarkEnd w:id="3"/>
    </w:p>
    <w:p>
      <w:pPr>
        <w:pStyle w:val="Normal"/>
        <w:spacing w:beforeAutospacing="1" w:afterAutospacing="1"/>
        <w:jc w:val="both"/>
        <w:rPr/>
      </w:pPr>
      <w:r>
        <w:rPr>
          <w:rFonts w:eastAsia="Times New Roman" w:cs="Tahoma" w:ascii="Tahoma" w:hAnsi="Tahoma"/>
          <w:sz w:val="22"/>
          <w:szCs w:val="22"/>
          <w:lang w:eastAsia="fr-FR"/>
        </w:rPr>
        <w:t>Le délai d’exécution correspond au délai sur lequel le titulaire s'est engagé dans son offre, et selon le planning prévisionnel joint aux pièces de la consultation.</w:t>
      </w:r>
    </w:p>
    <w:p>
      <w:pPr>
        <w:pStyle w:val="Normal"/>
        <w:spacing w:beforeAutospacing="1" w:afterAutospacing="1"/>
        <w:jc w:val="both"/>
        <w:rPr/>
      </w:pPr>
      <w:r>
        <w:rPr>
          <w:rFonts w:eastAsia="Times New Roman" w:cs="Tahoma" w:ascii="Tahoma" w:hAnsi="Tahoma"/>
          <w:b w:val="false"/>
          <w:bCs w:val="false"/>
          <w:sz w:val="22"/>
          <w:szCs w:val="22"/>
          <w:shd w:fill="FFFF00" w:val="clear"/>
          <w:lang w:eastAsia="fr-FR"/>
        </w:rPr>
        <w:t>Le délai d'exécution du marché commence à courir à partir de la date de commencement qui sera définie par ordre de service</w:t>
      </w:r>
      <w:r>
        <w:rPr>
          <w:rFonts w:eastAsia="Times New Roman" w:cs="Tahoma" w:ascii="Tahoma" w:hAnsi="Tahoma"/>
          <w:sz w:val="22"/>
          <w:szCs w:val="22"/>
          <w:lang w:eastAsia="fr-FR"/>
        </w:rPr>
        <w:t>.</w:t>
      </w:r>
    </w:p>
    <w:p>
      <w:pPr>
        <w:pStyle w:val="Normal"/>
        <w:spacing w:beforeAutospacing="1" w:afterAutospacing="1"/>
        <w:jc w:val="both"/>
        <w:rPr/>
      </w:pPr>
      <w:r>
        <w:rPr>
          <w:rFonts w:eastAsia="Times New Roman" w:cs="Tahoma" w:ascii="Tahoma" w:hAnsi="Tahoma"/>
          <w:b/>
          <w:bCs/>
          <w:sz w:val="22"/>
          <w:szCs w:val="22"/>
          <w:lang w:eastAsia="fr-FR"/>
        </w:rPr>
        <w:t>Période de préparation :</w:t>
      </w:r>
    </w:p>
    <w:p>
      <w:pPr>
        <w:pStyle w:val="Normal"/>
        <w:spacing w:beforeAutospacing="1" w:afterAutospacing="1"/>
        <w:jc w:val="both"/>
        <w:rPr/>
      </w:pPr>
      <w:r>
        <w:rPr>
          <w:rFonts w:eastAsia="Times New Roman" w:cs="Tahoma" w:ascii="Tahoma" w:hAnsi="Tahoma"/>
          <w:sz w:val="22"/>
          <w:szCs w:val="22"/>
          <w:lang w:eastAsia="fr-FR"/>
        </w:rPr>
        <w:t xml:space="preserve">Par dérogation à l'article 28.1 du CCAG travaux, </w:t>
      </w:r>
      <w:r>
        <w:rPr>
          <w:rFonts w:eastAsia="Times New Roman" w:cs="Tahoma" w:ascii="Tahoma" w:hAnsi="Tahoma"/>
          <w:sz w:val="22"/>
          <w:szCs w:val="22"/>
          <w:shd w:fill="FFFF00" w:val="clear"/>
          <w:lang w:eastAsia="fr-FR"/>
        </w:rPr>
        <w:t>une période de préparation de 21 jours calendaires est prévue.</w:t>
      </w:r>
    </w:p>
    <w:p>
      <w:pPr>
        <w:pStyle w:val="Normal"/>
        <w:spacing w:beforeAutospacing="1" w:afterAutospacing="1"/>
        <w:jc w:val="both"/>
        <w:rPr/>
      </w:pPr>
      <w:r>
        <w:rPr>
          <w:rFonts w:eastAsia="Times New Roman" w:cs="Times New Roman" w:ascii="Tahoma,Bold" w:hAnsi="Tahoma,Bold"/>
          <w:b/>
          <w:bCs/>
          <w:sz w:val="22"/>
          <w:szCs w:val="22"/>
          <w:lang w:eastAsia="fr-FR"/>
        </w:rPr>
        <w:t>Calendrier d'exécution</w:t>
      </w:r>
    </w:p>
    <w:p>
      <w:pPr>
        <w:pStyle w:val="Normal"/>
        <w:spacing w:beforeAutospacing="1" w:afterAutospacing="1"/>
        <w:jc w:val="both"/>
        <w:rPr/>
      </w:pPr>
      <w:r>
        <w:rPr>
          <w:rFonts w:eastAsia="Times New Roman" w:cs="Tahoma" w:ascii="Tahoma" w:hAnsi="Tahoma"/>
          <w:sz w:val="22"/>
          <w:szCs w:val="22"/>
          <w:lang w:eastAsia="fr-FR"/>
        </w:rPr>
        <w:t>Le calendrier détaillé d'exécution est établi par le maître d’oeuvre Atelier BONNICEL.</w:t>
      </w:r>
    </w:p>
    <w:p>
      <w:pPr>
        <w:pStyle w:val="Normal"/>
        <w:spacing w:beforeAutospacing="1" w:afterAutospacing="1"/>
        <w:jc w:val="both"/>
        <w:rPr/>
      </w:pPr>
      <w:r>
        <w:rPr>
          <w:rFonts w:eastAsia="Times New Roman" w:cs="Tahoma" w:ascii="Tahoma" w:hAnsi="Tahoma"/>
          <w:sz w:val="22"/>
          <w:szCs w:val="22"/>
          <w:lang w:eastAsia="fr-FR"/>
        </w:rPr>
        <w:t>Après acceptation par l'entrepreneur, ce calendrier sera soumis par le maître d’œuvre à l'approbation du maître d'ouvrage.</w:t>
      </w:r>
    </w:p>
    <w:p>
      <w:pPr>
        <w:pStyle w:val="Normal"/>
        <w:spacing w:beforeAutospacing="1" w:afterAutospacing="1"/>
        <w:jc w:val="both"/>
        <w:rPr/>
      </w:pPr>
      <w:r>
        <w:rPr>
          <w:rFonts w:eastAsia="Times New Roman" w:cs="Tahoma" w:ascii="Tahoma" w:hAnsi="Tahoma"/>
          <w:sz w:val="22"/>
          <w:szCs w:val="22"/>
          <w:lang w:eastAsia="fr-FR"/>
        </w:rPr>
        <w:t xml:space="preserve">Au cours du chantier et avec l'accord de l'entrepreneur, le Maître d'oeuvre Atelier BONNICEL pourra être amené à modifier le calendrier d'exécution des travaux </w:t>
      </w:r>
      <w:r>
        <w:rPr>
          <w:rFonts w:eastAsia="Times New Roman" w:cs="Tahoma" w:ascii="Tahoma" w:hAnsi="Tahoma"/>
          <w:sz w:val="22"/>
          <w:szCs w:val="22"/>
          <w:u w:val="single"/>
          <w:lang w:eastAsia="fr-FR"/>
        </w:rPr>
        <w:t>sous réserve de l’approbation du maître d’ouvrage</w:t>
      </w:r>
      <w:r>
        <w:rPr>
          <w:rFonts w:eastAsia="Times New Roman" w:cs="Tahoma" w:ascii="Tahoma" w:hAnsi="Tahoma"/>
          <w:sz w:val="22"/>
          <w:szCs w:val="22"/>
          <w:lang w:eastAsia="fr-FR"/>
        </w:rPr>
        <w:t>.</w:t>
      </w:r>
    </w:p>
    <w:p>
      <w:pPr>
        <w:pStyle w:val="Normal"/>
        <w:jc w:val="both"/>
        <w:rPr>
          <w:rFonts w:ascii="Tahoma" w:hAnsi="Tahoma" w:eastAsia="" w:cs="" w:cstheme="majorBidi" w:eastAsiaTheme="majorEastAsia"/>
          <w:b/>
          <w:b/>
          <w:sz w:val="28"/>
          <w:szCs w:val="32"/>
        </w:rPr>
      </w:pPr>
      <w:r>
        <w:rPr>
          <w:rFonts w:eastAsia="" w:cs="" w:cstheme="majorBidi" w:eastAsiaTheme="majorEastAsia" w:ascii="Tahoma" w:hAnsi="Tahoma"/>
          <w:b/>
          <w:sz w:val="28"/>
          <w:szCs w:val="32"/>
        </w:rPr>
      </w:r>
    </w:p>
    <w:p>
      <w:pPr>
        <w:pStyle w:val="Titre1"/>
        <w:jc w:val="both"/>
        <w:rPr/>
      </w:pPr>
      <w:bookmarkStart w:id="4" w:name="__RefHeading___Toc5329_1694868853"/>
      <w:bookmarkStart w:id="5" w:name="_Toc232694011"/>
      <w:bookmarkEnd w:id="4"/>
      <w:r>
        <w:rPr/>
        <w:t>Article 3. Procédure de passation</w:t>
      </w:r>
      <w:bookmarkEnd w:id="5"/>
    </w:p>
    <w:p>
      <w:pPr>
        <w:pStyle w:val="Normal"/>
        <w:spacing w:beforeAutospacing="1" w:afterAutospacing="1"/>
        <w:jc w:val="both"/>
        <w:rPr/>
      </w:pPr>
      <w:r>
        <w:rPr>
          <w:rFonts w:eastAsia="Times New Roman" w:cs="Tahoma" w:ascii="Tahoma" w:hAnsi="Tahoma"/>
          <w:sz w:val="22"/>
          <w:szCs w:val="22"/>
          <w:lang w:eastAsia="fr-FR"/>
        </w:rPr>
        <w:t>Conformément à l’article R. 2123-1, 1° du Code de la commande publique, le marché est passé par procédure adaptée.</w:t>
      </w:r>
    </w:p>
    <w:p>
      <w:pPr>
        <w:pStyle w:val="Normal"/>
        <w:spacing w:beforeAutospacing="1" w:afterAutospacing="1"/>
        <w:jc w:val="both"/>
        <w:rPr/>
      </w:pPr>
      <w:r>
        <w:rPr>
          <w:rFonts w:eastAsia="Times New Roman" w:cs="Tahoma" w:ascii="Tahoma" w:hAnsi="Tahoma"/>
          <w:sz w:val="22"/>
          <w:szCs w:val="22"/>
          <w:lang w:eastAsia="fr-FR"/>
        </w:rPr>
        <w:t>Conformément à l'article R. 2123-5 du code de la commande publique, le pouvoir adjudicateur a prévu la possibilité de négocier mais se réserve le droit d'attribuer le marché sur la base des offres initiales sans mener de négociations.</w:t>
      </w:r>
    </w:p>
    <w:p>
      <w:pPr>
        <w:pStyle w:val="Normal"/>
        <w:spacing w:beforeAutospacing="1" w:afterAutospacing="1"/>
        <w:jc w:val="both"/>
        <w:rPr/>
      </w:pPr>
      <w:r>
        <w:rPr>
          <w:rFonts w:eastAsia="Times New Roman" w:cs="Tahoma" w:ascii="Tahoma" w:hAnsi="Tahoma"/>
          <w:color w:val="000000"/>
          <w:sz w:val="22"/>
          <w:szCs w:val="22"/>
          <w:shd w:fill="auto" w:val="clear"/>
          <w:lang w:val="fr-FR" w:eastAsia="fr-FR"/>
        </w:rPr>
        <w:t xml:space="preserve">Le cas échéant, la négociation sera menée au regard des critères d'attribution des offres. </w:t>
      </w:r>
      <w:r>
        <w:rPr>
          <w:rFonts w:eastAsia="Times New Roman" w:cs="Tahoma" w:ascii="Tahoma" w:hAnsi="Tahoma"/>
          <w:b w:val="false"/>
          <w:bCs w:val="false"/>
          <w:color w:val="000000"/>
          <w:sz w:val="22"/>
          <w:szCs w:val="22"/>
          <w:u w:val="none"/>
          <w:shd w:fill="auto" w:val="clear"/>
          <w:lang w:val="fr-FR" w:eastAsia="fr-FR"/>
        </w:rPr>
        <w:t>Elle sera menée par courriel ou par entretien et fera l'objet d'un procès-verbal. Les soumissionnaires seront informés par courrier électronique des conditions d'organisation de la négociation.</w:t>
      </w:r>
    </w:p>
    <w:p>
      <w:pPr>
        <w:pStyle w:val="Normal"/>
        <w:spacing w:beforeAutospacing="1" w:afterAutospacing="1"/>
        <w:jc w:val="both"/>
        <w:rPr>
          <w:color w:val="auto"/>
        </w:rPr>
      </w:pPr>
      <w:r>
        <w:rPr>
          <w:color w:val="auto"/>
        </w:rPr>
      </w:r>
    </w:p>
    <w:p>
      <w:pPr>
        <w:pStyle w:val="Titre1"/>
        <w:jc w:val="both"/>
        <w:rPr/>
      </w:pPr>
      <w:bookmarkStart w:id="6" w:name="__RefHeading___Toc5331_1694868853"/>
      <w:bookmarkStart w:id="7" w:name="_Toc232694012"/>
      <w:bookmarkEnd w:id="6"/>
      <w:r>
        <w:rPr/>
        <w:t>Article 4. Allotissement</w:t>
      </w:r>
      <w:bookmarkEnd w:id="7"/>
      <w:r>
        <w:rPr/>
        <w:t xml:space="preserve"> </w:t>
      </w:r>
    </w:p>
    <w:p>
      <w:pPr>
        <w:pStyle w:val="Normal"/>
        <w:spacing w:beforeAutospacing="1" w:afterAutospacing="1"/>
        <w:jc w:val="both"/>
        <w:rPr/>
      </w:pPr>
      <w:r>
        <w:rPr>
          <w:rFonts w:eastAsia="Times New Roman" w:cs="Tahoma" w:ascii="Tahoma" w:hAnsi="Tahoma"/>
          <w:sz w:val="21"/>
          <w:szCs w:val="21"/>
          <w:lang w:eastAsia="fr-FR"/>
        </w:rPr>
        <w:t>Le marché comporte 6 lots :</w:t>
      </w:r>
    </w:p>
    <w:p>
      <w:pPr>
        <w:pStyle w:val="Normal"/>
        <w:jc w:val="both"/>
        <w:rPr/>
      </w:pPr>
      <w:r>
        <w:rPr>
          <w:rFonts w:eastAsia="Times New Roman" w:cs="Tahoma" w:ascii="Tahoma" w:hAnsi="Tahoma"/>
          <w:sz w:val="21"/>
          <w:szCs w:val="21"/>
          <w:lang w:eastAsia="fr-FR"/>
        </w:rPr>
        <w:t>Lot N°01 – DESAMIANTAGE (code principal CPV 45262660-5)</w:t>
      </w:r>
    </w:p>
    <w:p>
      <w:pPr>
        <w:pStyle w:val="Normal"/>
        <w:jc w:val="both"/>
        <w:rPr/>
      </w:pPr>
      <w:r>
        <w:rPr>
          <w:rFonts w:eastAsia="Times New Roman" w:cs="Tahoma" w:ascii="Tahoma" w:hAnsi="Tahoma"/>
          <w:sz w:val="21"/>
          <w:szCs w:val="21"/>
          <w:lang w:eastAsia="fr-FR"/>
        </w:rPr>
        <w:t>Lot N°02 - DEMOLITIONS - PLATRERIE - FAUX-PLAFONDS – PEINTURE (code principal CPV 45410000-4)</w:t>
      </w:r>
    </w:p>
    <w:p>
      <w:pPr>
        <w:pStyle w:val="Normal"/>
        <w:jc w:val="both"/>
        <w:rPr/>
      </w:pPr>
      <w:r>
        <w:rPr>
          <w:rFonts w:eastAsia="Times New Roman" w:cs="Tahoma" w:ascii="Tahoma" w:hAnsi="Tahoma"/>
          <w:sz w:val="21"/>
          <w:szCs w:val="21"/>
          <w:lang w:eastAsia="fr-FR"/>
        </w:rPr>
        <w:t>Lot N°03 - MENUISERIES INTERIEURES BOIS – MOBILIERS ( code principal CPV 45421000-4)</w:t>
      </w:r>
    </w:p>
    <w:p>
      <w:pPr>
        <w:pStyle w:val="Normal"/>
        <w:jc w:val="both"/>
        <w:rPr/>
      </w:pPr>
      <w:r>
        <w:rPr>
          <w:rFonts w:eastAsia="Times New Roman" w:cs="Tahoma" w:ascii="Tahoma" w:hAnsi="Tahoma"/>
          <w:sz w:val="21"/>
          <w:szCs w:val="21"/>
          <w:lang w:eastAsia="fr-FR"/>
        </w:rPr>
        <w:t>Lot N°04 - REVETEMENTS DE SOLS SOUPLES (code principal CPV 4532100-5)</w:t>
      </w:r>
    </w:p>
    <w:p>
      <w:pPr>
        <w:pStyle w:val="Normal"/>
        <w:jc w:val="both"/>
        <w:rPr/>
      </w:pPr>
      <w:r>
        <w:rPr>
          <w:rFonts w:eastAsia="Times New Roman" w:cs="Tahoma" w:ascii="Tahoma" w:hAnsi="Tahoma"/>
          <w:sz w:val="21"/>
          <w:szCs w:val="21"/>
          <w:lang w:eastAsia="fr-FR"/>
        </w:rPr>
        <w:t>LOT N°05 – ÉLECTRICITÉ (code principal CPV 45311000-0)</w:t>
      </w:r>
    </w:p>
    <w:p>
      <w:pPr>
        <w:pStyle w:val="Normal"/>
        <w:jc w:val="both"/>
        <w:rPr/>
      </w:pPr>
      <w:r>
        <w:rPr>
          <w:rFonts w:eastAsia="Times New Roman" w:cs="Tahoma" w:ascii="Tahoma" w:hAnsi="Tahoma"/>
          <w:sz w:val="21"/>
          <w:szCs w:val="21"/>
          <w:lang w:eastAsia="fr-FR"/>
        </w:rPr>
        <w:t>LOT N°06 - CHAUFFAGE / VENTILATION (code principal CPV 45332000-3)</w:t>
      </w:r>
    </w:p>
    <w:p>
      <w:pPr>
        <w:pStyle w:val="Normal"/>
        <w:jc w:val="both"/>
        <w:rPr>
          <w:rFonts w:ascii="Tahoma" w:hAnsi="Tahoma" w:eastAsia="Times New Roman" w:cs="Tahoma"/>
          <w:sz w:val="21"/>
          <w:szCs w:val="21"/>
          <w:lang w:eastAsia="fr-FR"/>
        </w:rPr>
      </w:pPr>
      <w:r>
        <w:rPr>
          <w:rFonts w:eastAsia="Times New Roman" w:cs="Tahoma" w:ascii="Tahoma" w:hAnsi="Tahoma"/>
          <w:sz w:val="21"/>
          <w:szCs w:val="21"/>
          <w:lang w:eastAsia="fr-FR"/>
        </w:rPr>
      </w:r>
    </w:p>
    <w:p>
      <w:pPr>
        <w:pStyle w:val="Normal"/>
        <w:jc w:val="both"/>
        <w:rPr/>
      </w:pPr>
      <w:r>
        <w:rPr>
          <w:rFonts w:eastAsia="Times New Roman" w:cs="Tahoma" w:ascii="Tahoma" w:hAnsi="Tahoma"/>
          <w:b w:val="false"/>
          <w:bCs w:val="false"/>
          <w:color w:val="000000"/>
          <w:sz w:val="22"/>
          <w:szCs w:val="22"/>
          <w:u w:val="none"/>
          <w:shd w:fill="auto" w:val="clear"/>
          <w:lang w:val="fr-FR" w:eastAsia="fr-FR"/>
        </w:rPr>
        <w:t>Les soumissionnaires sont libres de présenter une offre pour chacun des lots. Le nombre de lots qui pourra être attribué à un même soumissionnaire n’est pas limité.</w:t>
      </w:r>
    </w:p>
    <w:p>
      <w:pPr>
        <w:pStyle w:val="Titre1"/>
        <w:jc w:val="both"/>
        <w:rPr/>
      </w:pPr>
      <w:bookmarkStart w:id="8" w:name="__RefHeading___Toc5333_1694868853"/>
      <w:bookmarkStart w:id="9" w:name="_Toc232694013"/>
      <w:bookmarkEnd w:id="8"/>
      <w:r>
        <w:rPr/>
        <w:t>Article 5. Dossier de consultation</w:t>
      </w:r>
      <w:bookmarkEnd w:id="9"/>
    </w:p>
    <w:p>
      <w:pPr>
        <w:pStyle w:val="Normal"/>
        <w:shd w:val="clear" w:color="auto" w:fill="FFFF00"/>
        <w:spacing w:beforeAutospacing="1" w:afterAutospacing="1"/>
        <w:jc w:val="both"/>
        <w:rPr/>
      </w:pPr>
      <w:r>
        <w:rPr>
          <w:rFonts w:eastAsia="Times New Roman" w:cs="Tahoma" w:ascii="Tahoma" w:hAnsi="Tahoma"/>
          <w:sz w:val="22"/>
          <w:szCs w:val="22"/>
          <w:shd w:fill="729FCF" w:val="clear"/>
          <w:lang w:eastAsia="fr-FR"/>
        </w:rPr>
        <w:t xml:space="preserve">Vous pouvez consulter les documents en ligne à l’adresse suivante : plateforme des chats de l’État (PLACE) à l’adresse suivante : </w:t>
      </w:r>
      <w:hyperlink r:id="rId2">
        <w:r>
          <w:rPr>
            <w:rStyle w:val="LienInternet"/>
            <w:rFonts w:eastAsia="Times New Roman" w:cs="Tahoma" w:ascii="Tahoma" w:hAnsi="Tahoma"/>
            <w:sz w:val="22"/>
            <w:szCs w:val="22"/>
            <w:shd w:fill="729FCF" w:val="clear"/>
            <w:lang w:eastAsia="fr-FR"/>
          </w:rPr>
          <w:t>www.marches-publics.gouv.fr</w:t>
        </w:r>
      </w:hyperlink>
      <w:r>
        <w:rPr>
          <w:rFonts w:eastAsia="Times New Roman" w:cs="Tahoma" w:ascii="Tahoma" w:hAnsi="Tahoma"/>
          <w:sz w:val="22"/>
          <w:szCs w:val="22"/>
          <w:shd w:fill="729FCF" w:val="clear"/>
          <w:lang w:eastAsia="fr-FR"/>
        </w:rPr>
        <w:t xml:space="preserve"> sous la référence  </w:t>
      </w:r>
      <w:r>
        <w:rPr>
          <w:rFonts w:eastAsia="Times New Roman" w:cs="Arial" w:ascii="Arial" w:hAnsi="Arial"/>
          <w:b/>
          <w:bCs/>
          <w:color w:val="000000"/>
          <w:sz w:val="20"/>
          <w:szCs w:val="20"/>
          <w:u w:val="none"/>
          <w:shd w:fill="auto" w:val="clear"/>
          <w:lang w:val="zxx" w:eastAsia="zxx" w:bidi="zxx"/>
        </w:rPr>
        <w:t>DDFIP03_ACCUEIL_CFP Montlucon</w:t>
      </w:r>
      <w:r>
        <w:rPr>
          <w:rFonts w:eastAsia="Times New Roman" w:cs="Tahoma" w:ascii="Tahoma" w:hAnsi="Tahoma"/>
          <w:sz w:val="22"/>
          <w:szCs w:val="22"/>
          <w:shd w:fill="729FCF" w:val="clear"/>
          <w:lang w:eastAsia="fr-FR"/>
        </w:rPr>
        <w:t xml:space="preserve">------------------------------------/ </w:t>
      </w:r>
      <w:r>
        <w:rPr>
          <w:rFonts w:eastAsia="Times New Roman" w:cs="Tahoma" w:ascii="Tahoma" w:hAnsi="Tahoma"/>
          <w:color w:val="0000FF"/>
          <w:sz w:val="22"/>
          <w:szCs w:val="22"/>
          <w:shd w:fill="729FCF" w:val="clear"/>
          <w:lang w:eastAsia="fr-FR"/>
        </w:rPr>
        <w:t>-------------</w:t>
      </w:r>
    </w:p>
    <w:p>
      <w:pPr>
        <w:pStyle w:val="Normal"/>
        <w:spacing w:beforeAutospacing="1" w:afterAutospacing="1"/>
        <w:jc w:val="both"/>
        <w:rPr/>
      </w:pPr>
      <w:r>
        <w:rPr>
          <w:rFonts w:eastAsia="Times New Roman" w:cs="Tahoma" w:ascii="Tahoma" w:hAnsi="Tahoma"/>
          <w:sz w:val="22"/>
          <w:szCs w:val="22"/>
          <w:shd w:fill="auto" w:val="clear"/>
          <w:lang w:eastAsia="fr-FR"/>
        </w:rPr>
        <w:t>Les renseignements complémentaires sur les documents de la consultation seront envoyés aux opérateurs économiques</w:t>
      </w:r>
      <w:r>
        <w:rPr>
          <w:rFonts w:eastAsia="Times New Roman" w:cs="Tahoma" w:ascii="Tahoma" w:hAnsi="Tahoma"/>
          <w:sz w:val="22"/>
          <w:szCs w:val="22"/>
          <w:u w:val="single"/>
          <w:shd w:fill="auto" w:val="clear"/>
          <w:lang w:eastAsia="fr-FR"/>
        </w:rPr>
        <w:t xml:space="preserve"> </w:t>
      </w:r>
      <w:r>
        <w:rPr>
          <w:rFonts w:eastAsia="Times New Roman" w:cs="Tahoma" w:ascii="Tahoma" w:hAnsi="Tahoma"/>
          <w:sz w:val="22"/>
          <w:szCs w:val="22"/>
          <w:u w:val="none"/>
          <w:shd w:fill="FFFF00" w:val="clear"/>
          <w:lang w:eastAsia="fr-FR"/>
        </w:rPr>
        <w:t>4 jours calendaires au plus tard avant la date limite fixée pour la réception des offres, pour autant qu'ils en aient fait la demande en temps utile.</w:t>
      </w:r>
    </w:p>
    <w:p>
      <w:pPr>
        <w:pStyle w:val="Default"/>
        <w:spacing w:beforeAutospacing="1" w:afterAutospacing="1"/>
        <w:jc w:val="both"/>
        <w:rPr/>
      </w:pPr>
      <w:r>
        <w:rPr>
          <w:rFonts w:eastAsia="Times New Roman" w:cs="Tahoma" w:ascii="Tahoma" w:hAnsi="Tahoma"/>
          <w:color w:val="000000"/>
          <w:sz w:val="22"/>
          <w:szCs w:val="22"/>
          <w:shd w:fill="FFFF00" w:val="clear"/>
          <w:lang w:eastAsia="fr-FR"/>
        </w:rPr>
        <w:t>Le pouvoir adjudicateur se réserve le droit d'apporter des modifications de détail au dossier de consultation au plus tard 8 jours avant la date limite de réception des offres</w:t>
      </w:r>
      <w:r>
        <w:rPr>
          <w:rFonts w:eastAsia="Times New Roman" w:cs="Tahoma" w:ascii="Tahoma" w:hAnsi="Tahoma"/>
          <w:color w:val="000000"/>
          <w:sz w:val="22"/>
          <w:szCs w:val="22"/>
          <w:shd w:fill="auto" w:val="clear"/>
          <w:lang w:eastAsia="fr-FR"/>
        </w:rPr>
        <w:t>. 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pPr>
        <w:pStyle w:val="Normal"/>
        <w:spacing w:beforeAutospacing="1" w:afterAutospacing="1"/>
        <w:jc w:val="both"/>
        <w:rPr/>
      </w:pPr>
      <w:r>
        <w:rPr>
          <w:rFonts w:eastAsia="Times New Roman" w:cs="Tahoma" w:ascii="Tahoma" w:hAnsi="Tahoma"/>
          <w:strike w:val="false"/>
          <w:dstrike w:val="false"/>
          <w:color w:val="000000"/>
          <w:sz w:val="22"/>
          <w:szCs w:val="22"/>
          <w:u w:val="none"/>
          <w:shd w:fill="auto" w:val="clear"/>
          <w:lang w:eastAsia="fr-FR"/>
        </w:rPr>
        <w:t>Si, pendant l'étude du dossier par les candidats, la date limite de réception des offres est reportée, la disposition précédente est applicable en fonction de cette nouvelle date.</w:t>
      </w:r>
    </w:p>
    <w:p>
      <w:pPr>
        <w:pStyle w:val="Normal"/>
        <w:spacing w:beforeAutospacing="1" w:afterAutospacing="1"/>
        <w:jc w:val="both"/>
        <w:rPr/>
      </w:pPr>
      <w:r>
        <w:rPr>
          <w:rFonts w:eastAsia="Times New Roman" w:cs="Tahoma" w:ascii="Tahoma" w:hAnsi="Tahoma"/>
          <w:sz w:val="22"/>
          <w:szCs w:val="22"/>
          <w:lang w:eastAsia="fr-FR"/>
        </w:rPr>
        <w:t>Si un complément d'informations, nécessaire à l'élaboration de l'offre n'est pas fourni dans les délais prévus ci-dessus, ou si des modifications importantes sont apportées aux documents du marché, le délai de réception des offres sera prolongé de manière proportionnée à l'importance des informations demandées ou des modifications apportées.</w:t>
      </w:r>
    </w:p>
    <w:p>
      <w:pPr>
        <w:pStyle w:val="Normal"/>
        <w:spacing w:beforeAutospacing="1" w:afterAutospacing="1"/>
        <w:jc w:val="both"/>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Normal"/>
        <w:spacing w:beforeAutospacing="1" w:afterAutospacing="1"/>
        <w:jc w:val="both"/>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Normal"/>
        <w:spacing w:beforeAutospacing="1" w:afterAutospacing="1"/>
        <w:jc w:val="both"/>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Normal"/>
        <w:spacing w:beforeAutospacing="1" w:afterAutospacing="1"/>
        <w:jc w:val="both"/>
        <w:rPr/>
      </w:pPr>
      <w:r>
        <w:rPr>
          <w:rFonts w:eastAsia="Times New Roman" w:cs="Tahoma" w:ascii="Tahoma" w:hAnsi="Tahoma"/>
          <w:b/>
          <w:bCs/>
          <w:sz w:val="22"/>
          <w:szCs w:val="22"/>
          <w:u w:val="single"/>
          <w:shd w:fill="FFFF00" w:val="clear"/>
          <w:lang w:eastAsia="fr-FR"/>
        </w:rPr>
        <w:t>Le dossier de consultation complet contient les pièces suivantes :</w:t>
      </w:r>
    </w:p>
    <w:p>
      <w:pPr>
        <w:pStyle w:val="Normal"/>
        <w:spacing w:beforeAutospacing="1" w:afterAutospacing="1"/>
        <w:jc w:val="both"/>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ListParagraph"/>
        <w:numPr>
          <w:ilvl w:val="0"/>
          <w:numId w:val="3"/>
        </w:numPr>
        <w:spacing w:lineRule="auto" w:line="240" w:beforeAutospacing="1" w:after="0"/>
        <w:contextualSpacing/>
        <w:jc w:val="both"/>
        <w:rPr/>
      </w:pPr>
      <w:r>
        <w:rPr>
          <w:rFonts w:eastAsia="Times New Roman" w:cs="Tahoma" w:ascii="Tahoma" w:hAnsi="Tahoma"/>
          <w:sz w:val="22"/>
          <w:szCs w:val="22"/>
          <w:lang w:eastAsia="fr-FR"/>
        </w:rPr>
        <w:t>Du présent règlement de consultation</w:t>
      </w:r>
    </w:p>
    <w:p>
      <w:pPr>
        <w:pStyle w:val="Normal"/>
        <w:numPr>
          <w:ilvl w:val="0"/>
          <w:numId w:val="3"/>
        </w:numPr>
        <w:spacing w:lineRule="auto" w:line="240" w:before="0" w:after="0"/>
        <w:jc w:val="both"/>
        <w:rPr/>
      </w:pPr>
      <w:r>
        <w:rPr>
          <w:rFonts w:eastAsia="Times New Roman" w:cs="Tahoma" w:ascii="Tahoma" w:hAnsi="Tahoma"/>
          <w:sz w:val="22"/>
          <w:szCs w:val="22"/>
          <w:shd w:fill="auto" w:val="clear"/>
          <w:lang w:eastAsia="fr-FR"/>
        </w:rPr>
        <w:t>De l’Attestation de visite</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De l’acte d’engagement propre à chaque lot (ATTRI1) et ses annexes éventuelles</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Du DPGF associé à chaque lot</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Du CCAP</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Du CCTP communes lot 0</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Du CCTP de chaque lot (1 à 6)</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Des différents plans techniques</w:t>
      </w:r>
    </w:p>
    <w:p>
      <w:pPr>
        <w:pStyle w:val="ListParagraph"/>
        <w:numPr>
          <w:ilvl w:val="0"/>
          <w:numId w:val="3"/>
        </w:numPr>
        <w:spacing w:lineRule="auto" w:line="240" w:before="0" w:after="0"/>
        <w:contextualSpacing/>
        <w:jc w:val="both"/>
        <w:rPr/>
      </w:pPr>
      <w:r>
        <w:rPr>
          <w:rFonts w:eastAsia="Times New Roman" w:cs="Tahoma" w:ascii="Tahoma" w:hAnsi="Tahoma"/>
          <w:sz w:val="22"/>
          <w:szCs w:val="22"/>
          <w:lang w:eastAsia="fr-FR"/>
        </w:rPr>
        <w:t>Du dossier plan PRO</w:t>
      </w:r>
    </w:p>
    <w:p>
      <w:pPr>
        <w:pStyle w:val="ListParagraph"/>
        <w:numPr>
          <w:ilvl w:val="0"/>
          <w:numId w:val="3"/>
        </w:numPr>
        <w:spacing w:lineRule="auto" w:line="240" w:before="0" w:after="0"/>
        <w:contextualSpacing/>
        <w:jc w:val="both"/>
        <w:rPr>
          <w:highlight w:val="none"/>
          <w:shd w:fill="729FCF" w:val="clear"/>
        </w:rPr>
      </w:pPr>
      <w:r>
        <w:rPr>
          <w:rFonts w:eastAsia="Times New Roman" w:cs="Tahoma" w:ascii="Tahoma" w:hAnsi="Tahoma"/>
          <w:sz w:val="22"/>
          <w:szCs w:val="22"/>
          <w:shd w:fill="729FCF" w:val="clear"/>
          <w:lang w:eastAsia="fr-FR"/>
        </w:rPr>
        <w:t>Du Dossier Technique Amiante du bâtiment et des Repérages Amiante Avant Travaux</w:t>
      </w:r>
    </w:p>
    <w:p>
      <w:pPr>
        <w:pStyle w:val="ListParagraph"/>
        <w:numPr>
          <w:ilvl w:val="0"/>
          <w:numId w:val="3"/>
        </w:numPr>
        <w:spacing w:lineRule="auto" w:line="240" w:before="0" w:afterAutospacing="1"/>
        <w:contextualSpacing/>
        <w:jc w:val="both"/>
        <w:rPr>
          <w:highlight w:val="none"/>
          <w:shd w:fill="729FCF" w:val="clear"/>
        </w:rPr>
      </w:pPr>
      <w:r>
        <w:rPr>
          <w:rFonts w:eastAsia="Times New Roman" w:cs="Tahoma" w:ascii="Tahoma" w:hAnsi="Tahoma"/>
          <w:b w:val="false"/>
          <w:bCs w:val="false"/>
          <w:i w:val="false"/>
          <w:iCs w:val="false"/>
          <w:sz w:val="22"/>
          <w:szCs w:val="22"/>
          <w:u w:val="none"/>
          <w:shd w:fill="729FCF" w:val="clear"/>
          <w:lang w:val="fr-FR" w:eastAsia="fr-FR" w:bidi="zxx"/>
        </w:rPr>
        <w:t>Du guide de prévention du risque amiante du Secrétariat Général des Ministères Financiers</w:t>
      </w:r>
    </w:p>
    <w:p>
      <w:pPr>
        <w:pStyle w:val="Normal"/>
        <w:spacing w:beforeAutospacing="1" w:afterAutospacing="1"/>
        <w:jc w:val="both"/>
        <w:rPr>
          <w:rFonts w:ascii="Tahoma" w:hAnsi="Tahoma" w:eastAsia="Times New Roman" w:cs="Tahoma"/>
          <w:sz w:val="22"/>
          <w:szCs w:val="22"/>
          <w:lang w:eastAsia="fr-FR"/>
        </w:rPr>
      </w:pPr>
      <w:r>
        <w:rPr>
          <w:rFonts w:eastAsia="Times New Roman" w:cs="Tahoma" w:ascii="Tahoma" w:hAnsi="Tahoma"/>
          <w:sz w:val="22"/>
          <w:szCs w:val="22"/>
          <w:lang w:eastAsia="fr-FR"/>
        </w:rPr>
      </w:r>
    </w:p>
    <w:p>
      <w:pPr>
        <w:pStyle w:val="Normal"/>
        <w:spacing w:lineRule="exact" w:line="283" w:beforeAutospacing="1" w:afterAutospacing="1"/>
        <w:jc w:val="both"/>
        <w:rPr/>
      </w:pPr>
      <w:r>
        <w:rPr>
          <w:rFonts w:eastAsia="Times New Roman" w:cs="Tahoma" w:ascii="Tahoma" w:hAnsi="Tahoma"/>
          <w:b/>
          <w:bCs/>
          <w:sz w:val="22"/>
          <w:szCs w:val="22"/>
          <w:u w:val="single"/>
          <w:shd w:fill="FFFF00" w:val="clear"/>
          <w:lang w:eastAsia="fr-FR"/>
        </w:rPr>
        <w:t>Coordonnées des personnes pouvant renseigner les candidats :</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DDFIP de l’Allier</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Service Budget Immobilier Logistique</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ddfip03.ppr.logistique@dgfip.finances.gouv.fr</w:t>
      </w:r>
    </w:p>
    <w:p>
      <w:pPr>
        <w:pStyle w:val="Normal"/>
        <w:spacing w:lineRule="exact" w:line="283" w:before="0" w:after="0"/>
        <w:jc w:val="both"/>
        <w:rPr/>
      </w:pPr>
      <w:r>
        <w:rPr>
          <w:rFonts w:eastAsia="Times New Roman" w:cs="Tahoma" w:ascii="Tahoma" w:hAnsi="Tahoma"/>
          <w:b/>
          <w:bCs/>
          <w:sz w:val="22"/>
          <w:szCs w:val="22"/>
          <w:shd w:fill="auto" w:val="clear"/>
          <w:lang w:eastAsia="fr-FR"/>
        </w:rPr>
        <w:t>M Ludovic Rouilleris, chef de service (jusqu’au 31/08/2026)</w:t>
      </w:r>
    </w:p>
    <w:p>
      <w:pPr>
        <w:pStyle w:val="Normal"/>
        <w:spacing w:lineRule="exact" w:line="283" w:before="0" w:after="0"/>
        <w:jc w:val="both"/>
        <w:rPr/>
      </w:pPr>
      <w:r>
        <w:rPr>
          <w:rFonts w:eastAsia="Times New Roman" w:cs="Tahoma" w:ascii="Tahoma" w:hAnsi="Tahoma"/>
          <w:b/>
          <w:bCs/>
          <w:sz w:val="22"/>
          <w:szCs w:val="22"/>
          <w:shd w:fill="auto" w:val="clear"/>
          <w:lang w:eastAsia="fr-FR"/>
        </w:rPr>
        <w:t>M Olivier LEGRAND, chef de service (à compter du 1/09/2026)</w:t>
      </w:r>
    </w:p>
    <w:p>
      <w:pPr>
        <w:pStyle w:val="Normal"/>
        <w:spacing w:lineRule="exact" w:line="283" w:before="0" w:after="0"/>
        <w:jc w:val="both"/>
        <w:rPr/>
      </w:pPr>
      <w:r>
        <w:rPr>
          <w:rFonts w:eastAsia="Times New Roman" w:cs="Tahoma" w:ascii="Tahoma" w:hAnsi="Tahoma"/>
          <w:b/>
          <w:bCs/>
          <w:sz w:val="22"/>
          <w:szCs w:val="22"/>
          <w:shd w:fill="auto" w:val="clear"/>
          <w:lang w:eastAsia="fr-FR"/>
        </w:rPr>
        <w:t>06 11 22 37 33</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ou</w:t>
      </w:r>
    </w:p>
    <w:p>
      <w:pPr>
        <w:pStyle w:val="Normal"/>
        <w:spacing w:lineRule="exact" w:line="283" w:before="0" w:after="0"/>
        <w:jc w:val="both"/>
        <w:rPr/>
      </w:pPr>
      <w:r>
        <w:rPr>
          <w:rFonts w:eastAsia="Times New Roman" w:cs="Tahoma" w:ascii="Tahoma" w:hAnsi="Tahoma"/>
          <w:b/>
          <w:bCs/>
          <w:sz w:val="22"/>
          <w:szCs w:val="22"/>
          <w:shd w:fill="auto" w:val="clear"/>
          <w:lang w:eastAsia="fr-FR"/>
        </w:rPr>
        <w:t>M Olivier Messori, contrôleur</w:t>
      </w:r>
    </w:p>
    <w:p>
      <w:pPr>
        <w:pStyle w:val="Normal"/>
        <w:spacing w:lineRule="exact" w:line="283" w:before="0" w:after="0"/>
        <w:jc w:val="both"/>
        <w:rPr/>
      </w:pPr>
      <w:r>
        <w:rPr>
          <w:rFonts w:eastAsia="Times New Roman" w:cs="Tahoma" w:ascii="Tahoma" w:hAnsi="Tahoma"/>
          <w:b/>
          <w:bCs/>
          <w:sz w:val="22"/>
          <w:szCs w:val="22"/>
          <w:shd w:fill="auto" w:val="clear"/>
          <w:lang w:eastAsia="fr-FR"/>
        </w:rPr>
        <w:t>06 19 58 76 77</w:t>
      </w:r>
    </w:p>
    <w:p>
      <w:pPr>
        <w:pStyle w:val="Titre1"/>
        <w:jc w:val="both"/>
        <w:rPr/>
      </w:pPr>
      <w:r>
        <w:rPr/>
      </w:r>
    </w:p>
    <w:p>
      <w:pPr>
        <w:pStyle w:val="Titre1"/>
        <w:jc w:val="both"/>
        <w:rPr/>
      </w:pPr>
      <w:bookmarkStart w:id="10" w:name="__RefHeading___Toc5335_1694868853"/>
      <w:bookmarkStart w:id="11" w:name="_Toc232694014"/>
      <w:bookmarkEnd w:id="10"/>
      <w:r>
        <w:rPr/>
        <w:t>Article 6. Envoi des propositions</w:t>
      </w:r>
      <w:bookmarkEnd w:id="11"/>
      <w:r>
        <w:rPr/>
        <w:t xml:space="preserve"> </w:t>
      </w:r>
    </w:p>
    <w:p>
      <w:pPr>
        <w:pStyle w:val="Normal"/>
        <w:spacing w:beforeAutospacing="1" w:afterAutospacing="1"/>
        <w:jc w:val="both"/>
        <w:rPr/>
      </w:pPr>
      <w:r>
        <w:rPr>
          <w:rFonts w:eastAsia="Times New Roman" w:cs="Times New Roman" w:ascii="Tahoma,Bold" w:hAnsi="Tahoma,Bold"/>
          <w:sz w:val="22"/>
          <w:szCs w:val="22"/>
          <w:lang w:eastAsia="fr-FR"/>
        </w:rPr>
        <w:t xml:space="preserve">Les plis doivent être remis au plus tard le </w:t>
      </w:r>
      <w:r>
        <w:rPr>
          <w:rFonts w:eastAsia="Times New Roman" w:cs="Times New Roman" w:ascii="Tahoma,Bold" w:hAnsi="Tahoma,Bold"/>
          <w:b/>
          <w:bCs/>
          <w:i/>
          <w:iCs/>
          <w:color w:val="FF4000"/>
          <w:sz w:val="22"/>
          <w:szCs w:val="22"/>
          <w:u w:val="single"/>
          <w:shd w:fill="FFFF00" w:val="clear"/>
          <w:lang w:eastAsia="fr-FR"/>
        </w:rPr>
        <w:t>2</w:t>
      </w:r>
      <w:r>
        <w:rPr>
          <w:rFonts w:eastAsia="Times New Roman" w:cs="Times New Roman" w:ascii="Tahoma,Bold" w:hAnsi="Tahoma,Bold"/>
          <w:b/>
          <w:bCs/>
          <w:i/>
          <w:iCs/>
          <w:color w:val="FF4000"/>
          <w:sz w:val="22"/>
          <w:szCs w:val="22"/>
          <w:u w:val="single"/>
          <w:shd w:fill="FFFF00" w:val="clear"/>
          <w:lang w:eastAsia="fr-FR"/>
        </w:rPr>
        <w:t>6</w:t>
      </w:r>
      <w:r>
        <w:rPr>
          <w:rFonts w:eastAsia="Times New Roman" w:cs="Times New Roman" w:ascii="Tahoma,Bold" w:hAnsi="Tahoma,Bold"/>
          <w:b/>
          <w:bCs/>
          <w:i/>
          <w:iCs/>
          <w:color w:val="FF4000"/>
          <w:sz w:val="22"/>
          <w:szCs w:val="22"/>
          <w:u w:val="single"/>
          <w:shd w:fill="FFFF00" w:val="clear"/>
          <w:lang w:eastAsia="fr-FR"/>
        </w:rPr>
        <w:t xml:space="preserve"> juillet 2026 à </w:t>
      </w:r>
      <w:r>
        <w:rPr>
          <w:rFonts w:eastAsia="Times New Roman" w:cs="Times New Roman" w:ascii="Tahoma,Bold" w:hAnsi="Tahoma,Bold"/>
          <w:b/>
          <w:bCs/>
          <w:i/>
          <w:iCs/>
          <w:color w:val="FF4000"/>
          <w:sz w:val="22"/>
          <w:szCs w:val="22"/>
          <w:u w:val="single"/>
          <w:shd w:fill="FFFF00" w:val="clear"/>
          <w:lang w:eastAsia="fr-FR"/>
        </w:rPr>
        <w:t>23</w:t>
      </w:r>
      <w:r>
        <w:rPr>
          <w:rFonts w:eastAsia="Times New Roman" w:cs="Times New Roman" w:ascii="Tahoma,Bold" w:hAnsi="Tahoma,Bold"/>
          <w:b/>
          <w:bCs/>
          <w:i/>
          <w:iCs/>
          <w:color w:val="FF4000"/>
          <w:sz w:val="22"/>
          <w:szCs w:val="22"/>
          <w:u w:val="single"/>
          <w:shd w:fill="FFFF00" w:val="clear"/>
          <w:lang w:eastAsia="fr-FR"/>
        </w:rPr>
        <w:t>h</w:t>
      </w:r>
      <w:r>
        <w:rPr>
          <w:rFonts w:eastAsia="Times New Roman" w:cs="Times New Roman" w:ascii="Tahoma,Bold" w:hAnsi="Tahoma,Bold"/>
          <w:b/>
          <w:bCs/>
          <w:i/>
          <w:iCs/>
          <w:color w:val="FF4000"/>
          <w:sz w:val="22"/>
          <w:szCs w:val="22"/>
          <w:u w:val="single"/>
          <w:shd w:fill="FFFF00" w:val="clear"/>
          <w:lang w:eastAsia="fr-FR"/>
        </w:rPr>
        <w:t>3</w:t>
      </w:r>
      <w:r>
        <w:rPr>
          <w:rFonts w:eastAsia="Times New Roman" w:cs="Times New Roman" w:ascii="Tahoma,Bold" w:hAnsi="Tahoma,Bold"/>
          <w:b/>
          <w:bCs/>
          <w:i/>
          <w:iCs/>
          <w:color w:val="FF4000"/>
          <w:sz w:val="22"/>
          <w:szCs w:val="22"/>
          <w:u w:val="single"/>
          <w:shd w:fill="FFFF00" w:val="clear"/>
          <w:lang w:eastAsia="fr-FR"/>
        </w:rPr>
        <w:t>0</w:t>
      </w:r>
      <w:r>
        <w:rPr>
          <w:rFonts w:eastAsia="Times New Roman" w:cs="Times New Roman" w:ascii="Tahoma,Bold" w:hAnsi="Tahoma,Bold"/>
          <w:b/>
          <w:bCs/>
          <w:i/>
          <w:iCs/>
          <w:color w:val="FF4000"/>
          <w:sz w:val="22"/>
          <w:szCs w:val="22"/>
          <w:u w:val="single"/>
          <w:lang w:eastAsia="fr-FR"/>
        </w:rPr>
        <w:t>.</w:t>
      </w:r>
      <w:r>
        <w:rPr>
          <w:rFonts w:eastAsia="Times New Roman" w:cs="Times New Roman" w:ascii="Tahoma,Bold" w:hAnsi="Tahoma,Bold"/>
          <w:sz w:val="22"/>
          <w:szCs w:val="22"/>
          <w:lang w:eastAsia="fr-FR"/>
        </w:rPr>
        <w:t xml:space="preserve"> Les plis déposés postérieurement à la date et heure limites seront considérés comme étant hors délai.</w:t>
      </w:r>
    </w:p>
    <w:p>
      <w:pPr>
        <w:pStyle w:val="Normal"/>
        <w:spacing w:beforeAutospacing="1" w:afterAutospacing="1"/>
        <w:jc w:val="both"/>
        <w:rPr/>
      </w:pPr>
      <w:r>
        <w:rPr>
          <w:rFonts w:eastAsia="Times New Roman" w:cs="Times New Roman" w:ascii="Tahoma,Bold" w:hAnsi="Tahoma,Bold"/>
          <w:sz w:val="22"/>
          <w:szCs w:val="22"/>
          <w:lang w:eastAsia="fr-FR"/>
        </w:rPr>
        <w:t>Dans le cas d’une consultation allotie, les entreprises peuvent répondre de manière séparée pour chaque lot, ou transmettre une réponse pour plusieurs lots par un envoi unique. L’identification du ou des lots auxquels il est répondu doit être sans ambiguïté.</w:t>
      </w:r>
    </w:p>
    <w:p>
      <w:pPr>
        <w:pStyle w:val="Normal"/>
        <w:spacing w:beforeAutospacing="1" w:afterAutospacing="1"/>
        <w:jc w:val="both"/>
        <w:rPr/>
      </w:pPr>
      <w:r>
        <w:rPr>
          <w:rFonts w:eastAsia="Times New Roman" w:cs="Times New Roman" w:ascii="Tahoma,Bold" w:hAnsi="Tahoma,Bold"/>
          <w:b/>
          <w:bCs/>
          <w:sz w:val="22"/>
          <w:szCs w:val="22"/>
          <w:lang w:eastAsia="fr-FR"/>
        </w:rPr>
        <w:t>Transmission par voie électronique</w:t>
      </w:r>
    </w:p>
    <w:p>
      <w:pPr>
        <w:pStyle w:val="Normal"/>
        <w:spacing w:beforeAutospacing="1" w:afterAutospacing="1"/>
        <w:jc w:val="both"/>
        <w:rPr/>
      </w:pPr>
      <w:r>
        <w:rPr>
          <w:rFonts w:eastAsia="Times New Roman" w:cs="Tahoma" w:ascii="Tahoma" w:hAnsi="Tahoma"/>
          <w:sz w:val="22"/>
          <w:szCs w:val="22"/>
          <w:lang w:eastAsia="fr-FR"/>
        </w:rPr>
        <w:t>Les candidats devront tenir compte des indications suivantes, afin de garantir au mieux le bon déroulement de cette procédure dématérialisée.</w:t>
      </w:r>
    </w:p>
    <w:p>
      <w:pPr>
        <w:pStyle w:val="Normal"/>
        <w:shd w:val="clear" w:color="auto" w:fill="FFFF00"/>
        <w:spacing w:beforeAutospacing="1" w:afterAutospacing="1"/>
        <w:jc w:val="both"/>
        <w:rPr/>
      </w:pPr>
      <w:r>
        <w:rPr>
          <w:rFonts w:eastAsia="Times New Roman" w:cs="Tahoma" w:ascii="Tahoma" w:hAnsi="Tahoma"/>
          <w:sz w:val="22"/>
          <w:szCs w:val="22"/>
          <w:shd w:fill="729FCF" w:val="clear"/>
          <w:lang w:eastAsia="fr-FR"/>
        </w:rPr>
        <w:t>La plate-forme de dématérialisation à utiliser pour la remise des offres est la suivante : -PLACE-------</w:t>
      </w:r>
      <w:r>
        <w:rPr>
          <w:rFonts w:eastAsia="Times New Roman" w:cs="Tahoma" w:ascii="Arial" w:hAnsi="Arial"/>
          <w:sz w:val="20"/>
          <w:szCs w:val="20"/>
          <w:u w:val="none"/>
          <w:shd w:fill="729FCF" w:val="clear"/>
          <w:lang w:val="fr-FR" w:eastAsia="zxx" w:bidi="zxx"/>
        </w:rPr>
        <w:t>(www.marches-publics.gouv.fr) sous la</w:t>
      </w:r>
      <w:r>
        <w:rPr>
          <w:rFonts w:eastAsia="Times New Roman" w:cs="Tahoma" w:ascii="Arial" w:hAnsi="Arial"/>
          <w:color w:val="000000"/>
          <w:sz w:val="20"/>
          <w:szCs w:val="20"/>
          <w:u w:val="none"/>
          <w:shd w:fill="729FCF" w:val="clear"/>
          <w:lang w:val="fr-FR" w:eastAsia="zxx" w:bidi="zxx"/>
        </w:rPr>
        <w:t xml:space="preserve"> </w:t>
      </w:r>
      <w:r>
        <w:rPr>
          <w:rFonts w:eastAsia="Times New Roman" w:cs="Tahoma" w:ascii="Arial" w:hAnsi="Arial"/>
          <w:b w:val="false"/>
          <w:bCs w:val="false"/>
          <w:color w:val="000000"/>
          <w:sz w:val="20"/>
          <w:szCs w:val="20"/>
          <w:u w:val="none"/>
          <w:shd w:fill="729FCF" w:val="clear"/>
          <w:lang w:val="fr-FR" w:eastAsia="zxx" w:bidi="zxx"/>
        </w:rPr>
        <w:t xml:space="preserve">référence : </w:t>
      </w:r>
      <w:r>
        <w:rPr>
          <w:rFonts w:eastAsia="Times New Roman" w:cs="Arial" w:ascii="Arial" w:hAnsi="Arial"/>
          <w:b/>
          <w:bCs/>
          <w:color w:val="000000"/>
          <w:sz w:val="20"/>
          <w:szCs w:val="20"/>
          <w:u w:val="none"/>
          <w:shd w:fill="auto" w:val="clear"/>
          <w:lang w:val="zxx" w:eastAsia="zxx" w:bidi="zxx"/>
        </w:rPr>
        <w:t>DDFIP03_ACCUEIL_CFP Montlucon</w:t>
      </w:r>
      <w:r>
        <w:rPr>
          <w:rFonts w:eastAsia="Times New Roman" w:cs="Tahoma" w:ascii="Tahoma" w:hAnsi="Tahoma"/>
          <w:sz w:val="22"/>
          <w:szCs w:val="22"/>
          <w:shd w:fill="729FCF" w:val="clear"/>
          <w:lang w:eastAsia="fr-FR"/>
        </w:rPr>
        <w:t xml:space="preserve">------------------------------------/ </w:t>
      </w:r>
    </w:p>
    <w:p>
      <w:pPr>
        <w:pStyle w:val="Normal"/>
        <w:spacing w:beforeAutospacing="1" w:afterAutospacing="1"/>
        <w:jc w:val="both"/>
        <w:rPr/>
      </w:pPr>
      <w:r>
        <w:rPr>
          <w:rFonts w:eastAsia="Times New Roman" w:cs="Tahoma" w:ascii="Tahoma" w:hAnsi="Tahoma"/>
          <w:sz w:val="22"/>
          <w:szCs w:val="22"/>
          <w:lang w:eastAsia="fr-FR"/>
        </w:rPr>
        <w:t>La liste des formats de fichiers acceptés est la suivante :</w:t>
      </w:r>
    </w:p>
    <w:p>
      <w:pPr>
        <w:pStyle w:val="Normal"/>
        <w:widowControl/>
        <w:suppressAutoHyphens w:val="true"/>
        <w:bidi w:val="0"/>
        <w:spacing w:before="0" w:after="0"/>
        <w:ind w:left="567" w:right="0" w:hanging="0"/>
        <w:jc w:val="both"/>
        <w:rPr/>
      </w:pPr>
      <w:r>
        <w:rPr>
          <w:rFonts w:eastAsia="Times New Roman" w:cs="Tahoma" w:ascii="Tahoma" w:hAnsi="Tahoma"/>
          <w:sz w:val="22"/>
          <w:szCs w:val="22"/>
          <w:lang w:eastAsia="fr-FR"/>
        </w:rPr>
        <w:t>- Portable Document Format (Adobe .pdf),</w:t>
      </w:r>
    </w:p>
    <w:p>
      <w:pPr>
        <w:pStyle w:val="Normal"/>
        <w:widowControl/>
        <w:suppressAutoHyphens w:val="true"/>
        <w:bidi w:val="0"/>
        <w:spacing w:before="0" w:after="0"/>
        <w:ind w:left="567" w:right="0" w:hanging="0"/>
        <w:jc w:val="both"/>
        <w:rPr/>
      </w:pPr>
      <w:r>
        <w:rPr>
          <w:rFonts w:eastAsia="Times New Roman" w:cs="Tahoma" w:ascii="Tahoma" w:hAnsi="Tahoma"/>
          <w:sz w:val="22"/>
          <w:szCs w:val="22"/>
          <w:lang w:eastAsia="fr-FR"/>
        </w:rPr>
        <w:t>- Rich Text Format (.rtf),</w:t>
      </w:r>
    </w:p>
    <w:p>
      <w:pPr>
        <w:pStyle w:val="Normal"/>
        <w:widowControl/>
        <w:suppressAutoHyphens w:val="true"/>
        <w:bidi w:val="0"/>
        <w:spacing w:before="0" w:after="0"/>
        <w:ind w:left="567" w:right="0" w:hanging="0"/>
        <w:jc w:val="both"/>
        <w:rPr/>
      </w:pPr>
      <w:r>
        <w:rPr>
          <w:rFonts w:eastAsia="Times New Roman" w:cs="Tahoma" w:ascii="Tahoma" w:hAnsi="Tahoma"/>
          <w:sz w:val="22"/>
          <w:szCs w:val="22"/>
          <w:lang w:eastAsia="fr-FR"/>
        </w:rPr>
        <w:t xml:space="preserve">- Compressés (exemples d’extensions : .zip, .rar), </w:t>
      </w:r>
    </w:p>
    <w:p>
      <w:pPr>
        <w:pStyle w:val="Normal"/>
        <w:widowControl/>
        <w:suppressAutoHyphens w:val="true"/>
        <w:bidi w:val="0"/>
        <w:spacing w:before="0" w:after="0"/>
        <w:ind w:left="567" w:right="0" w:hanging="0"/>
        <w:jc w:val="both"/>
        <w:rPr/>
      </w:pPr>
      <w:r>
        <w:rPr>
          <w:rFonts w:eastAsia="Times New Roman" w:cs="Tahoma" w:ascii="Tahoma" w:hAnsi="Tahoma"/>
          <w:sz w:val="22"/>
          <w:szCs w:val="22"/>
          <w:lang w:eastAsia="fr-FR"/>
        </w:rPr>
        <w:t xml:space="preserve">- Applications bureautiques (exemples d’extensions : .doc, .xls, .pwt, .pub, .mdb), - Multimédias (exemples d’extensions : gif, .jpg, .png). </w:t>
      </w:r>
    </w:p>
    <w:p>
      <w:pPr>
        <w:pStyle w:val="Normal"/>
        <w:spacing w:beforeAutospacing="1" w:afterAutospacing="1"/>
        <w:jc w:val="both"/>
        <w:rPr/>
      </w:pPr>
      <w:r>
        <w:rPr>
          <w:rFonts w:eastAsia="Times New Roman" w:cs="Tahoma" w:ascii="Tahoma" w:hAnsi="Tahoma"/>
          <w:sz w:val="22"/>
          <w:szCs w:val="22"/>
          <w:lang w:eastAsia="fr-FR"/>
        </w:rPr>
        <w:t>Les documents nécessitant une signature, transmis par voie dématérialisée, sont de préférence signés individuellement par le candidat au moyen d’un certificat de signature électronique conforme au format XAdES, CAdES ou PAdES.</w:t>
      </w:r>
    </w:p>
    <w:p>
      <w:pPr>
        <w:pStyle w:val="Normal"/>
        <w:spacing w:beforeAutospacing="1" w:afterAutospacing="1"/>
        <w:jc w:val="both"/>
        <w:rPr/>
      </w:pPr>
      <w:r>
        <w:rPr>
          <w:rFonts w:eastAsia="Times New Roman" w:cs="Tahoma" w:ascii="Tahoma" w:hAnsi="Tahoma"/>
          <w:sz w:val="22"/>
          <w:szCs w:val="22"/>
          <w:lang w:eastAsia="fr-FR"/>
        </w:rPr>
        <w:t>Le cas échéant, les documents transmis par voie électronique pourront être dématérialisés après l’ouverture des plis pour signature.</w:t>
      </w:r>
    </w:p>
    <w:p>
      <w:pPr>
        <w:pStyle w:val="Normal"/>
        <w:spacing w:beforeAutospacing="1" w:afterAutospacing="1"/>
        <w:jc w:val="both"/>
        <w:rPr/>
      </w:pPr>
      <w:r>
        <w:rPr>
          <w:rFonts w:eastAsia="Times New Roman" w:cs="Tahoma" w:ascii="Tahoma" w:hAnsi="Tahoma"/>
          <w:sz w:val="22"/>
          <w:szCs w:val="22"/>
          <w:lang w:eastAsia="fr-FR"/>
        </w:rPr>
        <w:t>Les candidats sont informés que les pièces non signées électroniquement pourront être rematérialisées et signées manuscritement après l’attribution.</w:t>
      </w:r>
    </w:p>
    <w:p>
      <w:pPr>
        <w:pStyle w:val="Normal"/>
        <w:spacing w:beforeAutospacing="1" w:afterAutospacing="1"/>
        <w:jc w:val="both"/>
        <w:rPr/>
      </w:pPr>
      <w:r>
        <w:rPr>
          <w:rFonts w:eastAsia="Times New Roman" w:cs="Tahoma" w:ascii="Tahoma" w:hAnsi="Tahoma"/>
          <w:sz w:val="22"/>
          <w:szCs w:val="22"/>
          <w:lang w:eastAsia="fr-FR"/>
        </w:rPr>
        <w:t xml:space="preserve">Conformément aux articles R.2132-7 et R.2132-8 du Code de la commande publique, les candidats devront </w:t>
      </w:r>
      <w:r>
        <w:rPr>
          <w:rFonts w:eastAsia="Times New Roman" w:cs="Times New Roman" w:ascii="Tahoma,Bold" w:hAnsi="Tahoma,Bold"/>
          <w:sz w:val="22"/>
          <w:szCs w:val="22"/>
          <w:lang w:eastAsia="fr-FR"/>
        </w:rPr>
        <w:t xml:space="preserve">obligatoirement </w:t>
      </w:r>
      <w:r>
        <w:rPr>
          <w:rFonts w:eastAsia="Times New Roman" w:cs="Tahoma" w:ascii="Tahoma" w:hAnsi="Tahoma"/>
          <w:sz w:val="22"/>
          <w:szCs w:val="22"/>
          <w:lang w:eastAsia="fr-FR"/>
        </w:rPr>
        <w:t xml:space="preserve">transmettre leurs propositions de manière électronique. </w:t>
      </w:r>
    </w:p>
    <w:p>
      <w:pPr>
        <w:pStyle w:val="Normal"/>
        <w:jc w:val="both"/>
        <w:rPr/>
      </w:pPr>
      <w:r>
        <w:rPr>
          <w:rFonts w:eastAsia="Times New Roman" w:cs="Tahoma" w:ascii="Tahoma" w:hAnsi="Tahoma"/>
          <w:sz w:val="22"/>
          <w:szCs w:val="22"/>
          <w:lang w:eastAsia="fr-FR"/>
        </w:rPr>
        <w:t>Dans cette hypothèse, l’attributaire désigné s’engage à signer l’acte d’engagement et toutes autres pièces éventuelles conformément à l’offre remise ou négociée.</w:t>
      </w:r>
    </w:p>
    <w:p>
      <w:pPr>
        <w:pStyle w:val="Normal"/>
        <w:spacing w:beforeAutospacing="1" w:afterAutospacing="1"/>
        <w:jc w:val="both"/>
        <w:rPr/>
      </w:pPr>
      <w:r>
        <w:rPr>
          <w:rFonts w:eastAsia="Times New Roman" w:cs="Tahoma" w:ascii="Tahoma" w:hAnsi="Tahoma"/>
          <w:sz w:val="22"/>
          <w:szCs w:val="22"/>
          <w:lang w:eastAsia="fr-FR"/>
        </w:rPr>
        <w:t>Les frais d’accès au réseau et de recours à la signature électronique sont à la charge de chaque candidat.</w:t>
      </w:r>
    </w:p>
    <w:p>
      <w:pPr>
        <w:pStyle w:val="Titre1"/>
        <w:jc w:val="both"/>
        <w:rPr/>
      </w:pPr>
      <w:bookmarkStart w:id="12" w:name="__RefHeading___Toc5337_1694868853"/>
      <w:bookmarkStart w:id="13" w:name="_Toc232694015"/>
      <w:bookmarkEnd w:id="12"/>
      <w:r>
        <w:rPr/>
        <w:t>Article 7. Délai de validité</w:t>
      </w:r>
      <w:bookmarkEnd w:id="13"/>
    </w:p>
    <w:p>
      <w:pPr>
        <w:pStyle w:val="Normal"/>
        <w:spacing w:beforeAutospacing="1" w:afterAutospacing="1"/>
        <w:jc w:val="both"/>
        <w:rPr/>
      </w:pPr>
      <w:r>
        <w:rPr>
          <w:rFonts w:eastAsia="Times New Roman" w:cs="Tahoma" w:ascii="Tahoma" w:hAnsi="Tahoma"/>
          <w:sz w:val="22"/>
          <w:szCs w:val="22"/>
          <w:shd w:fill="auto" w:val="clear"/>
          <w:lang w:eastAsia="fr-FR"/>
        </w:rPr>
        <w:t>Le candidat reste lié par son offre pendant un délai de 3 mois calendaires, à compter de la date limite de présentation des offres.</w:t>
      </w:r>
    </w:p>
    <w:p>
      <w:pPr>
        <w:pStyle w:val="Titre1"/>
        <w:jc w:val="both"/>
        <w:rPr/>
      </w:pPr>
      <w:bookmarkStart w:id="14" w:name="__RefHeading___Toc5339_1694868853"/>
      <w:bookmarkStart w:id="15" w:name="_Toc232694016"/>
      <w:bookmarkEnd w:id="14"/>
      <w:r>
        <w:rPr/>
        <w:t>Article 8. Groupements d’opérateurs économiques</w:t>
      </w:r>
      <w:bookmarkEnd w:id="15"/>
      <w:r>
        <w:rPr/>
        <w:t xml:space="preserve"> </w:t>
      </w:r>
    </w:p>
    <w:p>
      <w:pPr>
        <w:pStyle w:val="Normal"/>
        <w:spacing w:beforeAutospacing="1" w:afterAutospacing="1"/>
        <w:jc w:val="both"/>
        <w:rPr/>
      </w:pPr>
      <w:r>
        <w:rPr>
          <w:rFonts w:eastAsia="Times New Roman" w:cs="Tahoma" w:ascii="Tahoma" w:hAnsi="Tahoma"/>
          <w:sz w:val="22"/>
          <w:szCs w:val="22"/>
          <w:lang w:eastAsia="fr-FR"/>
        </w:rPr>
        <w:t>Conformément à l’article R. 2142-19 du code de la commande publique, les groupements d’opérateurs économiques peuvent participer à la présente consultation.</w:t>
      </w:r>
    </w:p>
    <w:p>
      <w:pPr>
        <w:pStyle w:val="Normal"/>
        <w:spacing w:beforeAutospacing="1" w:afterAutospacing="1"/>
        <w:jc w:val="both"/>
        <w:rPr/>
      </w:pPr>
      <w:r>
        <w:rPr>
          <w:rFonts w:eastAsia="Times New Roman" w:cs="Tahoma" w:ascii="Tahoma" w:hAnsi="Tahoma"/>
          <w:sz w:val="22"/>
          <w:szCs w:val="22"/>
          <w:lang w:eastAsia="fr-FR"/>
        </w:rPr>
        <w:t>Lors de la remise de la candidature et de l’offre, la forme juridique du groupement est laissée à la libre appréciation des candidats.</w:t>
      </w:r>
    </w:p>
    <w:p>
      <w:pPr>
        <w:pStyle w:val="Normal"/>
        <w:spacing w:beforeAutospacing="1" w:afterAutospacing="1"/>
        <w:jc w:val="both"/>
        <w:rPr/>
      </w:pPr>
      <w:r>
        <w:rPr>
          <w:rFonts w:eastAsia="Times New Roman" w:cs="Tahoma" w:ascii="Tahoma" w:hAnsi="Tahoma"/>
          <w:sz w:val="22"/>
          <w:szCs w:val="22"/>
          <w:lang w:eastAsia="fr-FR"/>
        </w:rPr>
        <w:t>Le groupement pourra prendre la forme soit d’un groupement conjoint, soit d’un groupement solidaire.</w:t>
      </w:r>
    </w:p>
    <w:p>
      <w:pPr>
        <w:pStyle w:val="Normal"/>
        <w:spacing w:beforeAutospacing="1" w:afterAutospacing="1"/>
        <w:jc w:val="both"/>
        <w:rPr/>
      </w:pPr>
      <w:r>
        <w:rPr>
          <w:rFonts w:eastAsia="Times New Roman" w:cs="Tahoma" w:ascii="Tahoma" w:hAnsi="Tahoma"/>
          <w:sz w:val="22"/>
          <w:szCs w:val="22"/>
          <w:lang w:eastAsia="fr-FR"/>
        </w:rPr>
        <w:t>Quelle que soit la forme juridique du groupement retenue par les candidats, la composition du groupement devra être détaillée et l’un des opérateurs économiques membre du groupement sera désigné comme mandataire. Ce mandataire représentera l’ensemble des membres du groupement vis-à-vis de l’acheteur et coordonnera les prestations des membres du groupement.</w:t>
      </w:r>
    </w:p>
    <w:p>
      <w:pPr>
        <w:pStyle w:val="Normal"/>
        <w:spacing w:beforeAutospacing="1" w:afterAutospacing="1"/>
        <w:jc w:val="both"/>
        <w:rPr/>
      </w:pPr>
      <w:r>
        <w:rPr>
          <w:rFonts w:eastAsia="Times New Roman" w:cs="Tahoma" w:ascii="Tahoma" w:hAnsi="Tahoma"/>
          <w:sz w:val="22"/>
          <w:szCs w:val="22"/>
          <w:lang w:eastAsia="fr-FR"/>
        </w:rPr>
        <w:t>Un même opérateur économique ne peut pas être mandataire de plus d’un groupement pour un même marché public.</w:t>
      </w:r>
    </w:p>
    <w:p>
      <w:pPr>
        <w:pStyle w:val="Normal"/>
        <w:spacing w:beforeAutospacing="1" w:afterAutospacing="1"/>
        <w:jc w:val="both"/>
        <w:rPr/>
      </w:pPr>
      <w:r>
        <w:rPr>
          <w:rFonts w:eastAsia="Times New Roman" w:cs="Tahoma" w:ascii="Tahoma" w:hAnsi="Tahoma"/>
          <w:sz w:val="22"/>
          <w:szCs w:val="22"/>
          <w:lang w:eastAsia="fr-FR"/>
        </w:rPr>
        <w:t>Conformément aux dispositions de l’article R. 2142-26 du code de la commande publique, la composition du groupement ne pourra pas être modifiée entre la date de remise des candidatures et la date de signature du marché.</w:t>
      </w:r>
    </w:p>
    <w:p>
      <w:pPr>
        <w:pStyle w:val="Normal"/>
        <w:spacing w:beforeAutospacing="1" w:afterAutospacing="1"/>
        <w:jc w:val="both"/>
        <w:rPr/>
      </w:pPr>
      <w:r>
        <w:rPr>
          <w:rFonts w:eastAsia="Times New Roman" w:cs="Tahoma" w:ascii="Tahoma" w:hAnsi="Tahoma"/>
          <w:sz w:val="22"/>
          <w:szCs w:val="22"/>
          <w:lang w:eastAsia="fr-FR"/>
        </w:rPr>
        <w:t>Il pourra cependant être dérogé à ce principe en cas d’opération de restructuration de société, notamment de rachat, de fusion ou d’acquisition touchant l’un des membres du groupement ou, si le groupement apporte la preuve qu’un de ses membres se trouve dans l’impossibilité d’accomplir sa tâche pour des raisons qui ne sont pas de son fait. Le groupement pourra alors demander à l’acheteur l’autorisation de continuer à participer à la procédure de passation en proposant, le cas échéant, à l’acceptation de l’acheteur, un ou plusieurs nouveaux membres du groupement, sous- traitants ou entreprises liées.</w:t>
      </w:r>
    </w:p>
    <w:p>
      <w:pPr>
        <w:pStyle w:val="Normal"/>
        <w:spacing w:beforeAutospacing="1" w:afterAutospacing="1"/>
        <w:jc w:val="both"/>
        <w:rPr/>
      </w:pPr>
      <w:r>
        <w:rPr>
          <w:rFonts w:eastAsia="Times New Roman" w:cs="Tahoma" w:ascii="Tahoma" w:hAnsi="Tahoma"/>
          <w:sz w:val="22"/>
          <w:szCs w:val="22"/>
          <w:lang w:eastAsia="fr-FR"/>
        </w:rPr>
        <w:t>L’acheteur se prononcera sur la recevabilité de cette demande après examen de la capacité de l’ensemble des membres du groupement ainsi transformé et, le cas échéant, des sous-traitants et entreprises liées présentées à son acceptation, au regard des conditions de participation qu’il a définies.</w:t>
      </w:r>
    </w:p>
    <w:p>
      <w:pPr>
        <w:pStyle w:val="Normal"/>
        <w:spacing w:beforeAutospacing="1" w:afterAutospacing="1"/>
        <w:jc w:val="both"/>
        <w:rPr/>
      </w:pPr>
      <w:r>
        <w:rPr>
          <w:rFonts w:eastAsia="Times New Roman" w:cs="Tahoma" w:ascii="Tahoma" w:hAnsi="Tahoma"/>
          <w:sz w:val="22"/>
          <w:szCs w:val="22"/>
          <w:lang w:eastAsia="fr-FR"/>
        </w:rPr>
        <w:t>Les opérateurs économiques ne sont pas autorisés à candidater en agissant à la fois en qualité de candidat individuel et de membre d'un groupement. Les opérateurs économiques ne sont pas autorisés à candidater en qualité de membres de plusieurs groupements.</w:t>
      </w:r>
    </w:p>
    <w:p>
      <w:pPr>
        <w:pStyle w:val="Titre1"/>
        <w:jc w:val="both"/>
        <w:rPr/>
      </w:pPr>
      <w:bookmarkStart w:id="16" w:name="__RefHeading___Toc5341_1694868853"/>
      <w:bookmarkStart w:id="17" w:name="_Toc232694017"/>
      <w:bookmarkEnd w:id="16"/>
      <w:r>
        <w:rPr/>
        <w:t>Article 9. Sous-traitance</w:t>
      </w:r>
      <w:bookmarkEnd w:id="17"/>
    </w:p>
    <w:p>
      <w:pPr>
        <w:pStyle w:val="Normal"/>
        <w:spacing w:beforeAutospacing="1" w:afterAutospacing="1"/>
        <w:jc w:val="both"/>
        <w:rPr/>
      </w:pPr>
      <w:r>
        <w:rPr>
          <w:rFonts w:eastAsia="Times New Roman" w:cs="Tahoma" w:ascii="Tahoma" w:hAnsi="Tahoma"/>
          <w:sz w:val="22"/>
          <w:szCs w:val="22"/>
          <w:shd w:fill="FFFF00" w:val="clear"/>
          <w:lang w:eastAsia="fr-FR"/>
        </w:rPr>
        <w:t>Le soumissionnaire présente dans son offre les sous-traitants dont l'intervention est envisagée.</w:t>
      </w:r>
    </w:p>
    <w:p>
      <w:pPr>
        <w:pStyle w:val="Normal"/>
        <w:spacing w:beforeAutospacing="1" w:afterAutospacing="1"/>
        <w:jc w:val="both"/>
        <w:rPr/>
      </w:pPr>
      <w:r>
        <w:rPr>
          <w:rFonts w:eastAsia="Times New Roman" w:cs="Tahoma" w:ascii="Tahoma" w:hAnsi="Tahoma"/>
          <w:b/>
          <w:bCs/>
          <w:sz w:val="22"/>
          <w:szCs w:val="22"/>
          <w:u w:val="single"/>
          <w:lang w:eastAsia="fr-FR"/>
        </w:rPr>
        <w:t>Pour chaque sous-traitant présenté dans l'offre, le soumissionnaire joindra obligatoirement :</w:t>
      </w:r>
    </w:p>
    <w:p>
      <w:pPr>
        <w:pStyle w:val="Normal"/>
        <w:spacing w:beforeAutospacing="1" w:afterAutospacing="1"/>
        <w:jc w:val="both"/>
        <w:rPr/>
      </w:pPr>
      <w:r>
        <w:rPr>
          <w:rFonts w:eastAsia="Times New Roman" w:cs="Tahoma" w:ascii="Tahoma" w:hAnsi="Tahoma"/>
          <w:sz w:val="22"/>
          <w:szCs w:val="22"/>
          <w:lang w:eastAsia="fr-FR"/>
        </w:rPr>
        <w:t xml:space="preserve">- les pièces permettant de justifier des capacités techniques, professionnelles et financières du sous-traitant lorsque le candidat ou l'un des membres du groupement candidat s'appuie sur la ou les capacités du sous-traitant proposé. Le candidat joindra à cet égard la preuve qu'il disposera des capacités de l'opérateur économique pour l'exécution du marché; </w:t>
      </w:r>
    </w:p>
    <w:p>
      <w:pPr>
        <w:pStyle w:val="Normal"/>
        <w:spacing w:beforeAutospacing="1" w:afterAutospacing="1"/>
        <w:jc w:val="both"/>
        <w:rPr/>
      </w:pPr>
      <w:r>
        <w:rPr>
          <w:rFonts w:eastAsia="Times New Roman" w:cs="Tahoma" w:ascii="Tahoma" w:hAnsi="Tahoma"/>
          <w:sz w:val="22"/>
          <w:szCs w:val="22"/>
          <w:lang w:eastAsia="fr-FR"/>
        </w:rPr>
        <w:t>- une déclaration indiquant que le sous-traitant ne tombe pas sous le coup d'une interdiction de soumissionner aux marchés publics;</w:t>
      </w:r>
    </w:p>
    <w:p>
      <w:pPr>
        <w:pStyle w:val="Normal"/>
        <w:spacing w:beforeAutospacing="1" w:afterAutospacing="1"/>
        <w:jc w:val="both"/>
        <w:rPr/>
      </w:pPr>
      <w:r>
        <w:rPr>
          <w:rFonts w:eastAsia="Times New Roman" w:cs="Tahoma" w:ascii="Tahoma" w:hAnsi="Tahoma"/>
          <w:sz w:val="22"/>
          <w:szCs w:val="22"/>
          <w:shd w:fill="auto" w:val="clear"/>
          <w:lang w:eastAsia="fr-FR"/>
        </w:rPr>
        <w:t>- le formulaire DC4 (déclaration de sous-traitance) dans sa dernière mise à jour dûment complété et signé.</w:t>
      </w:r>
    </w:p>
    <w:p>
      <w:pPr>
        <w:pStyle w:val="Titre1"/>
        <w:jc w:val="both"/>
        <w:rPr/>
      </w:pPr>
      <w:bookmarkStart w:id="18" w:name="__RefHeading___Toc5343_1694868853"/>
      <w:bookmarkStart w:id="19" w:name="_Toc232694018"/>
      <w:bookmarkEnd w:id="18"/>
      <w:r>
        <w:rPr/>
        <w:t>Article 10. Présentation du dossier de candidature</w:t>
      </w:r>
      <w:bookmarkEnd w:id="19"/>
      <w:r>
        <w:rPr/>
        <w:t xml:space="preserve"> </w:t>
      </w:r>
    </w:p>
    <w:p>
      <w:pPr>
        <w:pStyle w:val="Normal"/>
        <w:spacing w:beforeAutospacing="1" w:afterAutospacing="1"/>
        <w:jc w:val="both"/>
        <w:rPr/>
      </w:pPr>
      <w:r>
        <w:rPr>
          <w:rFonts w:eastAsia="Times New Roman" w:cs="Tahoma" w:ascii="Tahoma" w:hAnsi="Tahoma"/>
          <w:sz w:val="22"/>
          <w:szCs w:val="22"/>
          <w:lang w:eastAsia="fr-FR"/>
        </w:rPr>
        <w:t>Dans le cadre de sa candidature, le candidat devra produire les documents suivants.</w:t>
        <w:br/>
        <w:t>Si ceux-ci ne sont pas remis en français, une traduction des documents devra être jointe au dossier de candidature.</w:t>
      </w:r>
    </w:p>
    <w:p>
      <w:pPr>
        <w:pStyle w:val="Normal"/>
        <w:spacing w:beforeAutospacing="1" w:afterAutospacing="1"/>
        <w:jc w:val="both"/>
        <w:rPr/>
      </w:pPr>
      <w:r>
        <w:rPr>
          <w:rFonts w:eastAsia="Times New Roman" w:cs="Tahoma" w:ascii="Tahoma" w:hAnsi="Tahoma"/>
          <w:sz w:val="22"/>
          <w:szCs w:val="22"/>
          <w:lang w:eastAsia="fr-FR"/>
        </w:rPr>
        <w:t>Le candidat peut présenter sa candidature sous forme d’un document unique de marché européen (DUME), en lieu et place des formulaire</w:t>
      </w:r>
      <w:r>
        <w:rPr>
          <w:rFonts w:eastAsia="Times New Roman" w:cs="Tahoma" w:ascii="Tahoma" w:hAnsi="Tahoma"/>
          <w:sz w:val="22"/>
          <w:szCs w:val="22"/>
          <w:shd w:fill="auto" w:val="clear"/>
          <w:lang w:eastAsia="fr-FR"/>
        </w:rPr>
        <w:t xml:space="preserve">s DC1 et DC2. </w:t>
      </w:r>
    </w:p>
    <w:p>
      <w:pPr>
        <w:pStyle w:val="Normal"/>
        <w:spacing w:beforeAutospacing="1" w:afterAutospacing="1"/>
        <w:jc w:val="both"/>
        <w:rPr/>
      </w:pPr>
      <w:r>
        <w:rPr>
          <w:rFonts w:eastAsia="Times New Roman" w:cs="Tahoma" w:ascii="Tahoma" w:hAnsi="Tahoma"/>
          <w:sz w:val="22"/>
          <w:szCs w:val="22"/>
          <w:lang w:eastAsia="fr-FR"/>
        </w:rPr>
        <w:t>En cas de groupement de commande, chacun des membres du groupement fournira un formulaire DUME ou DC1et DC2 complété.</w:t>
      </w:r>
    </w:p>
    <w:p>
      <w:pPr>
        <w:pStyle w:val="Normal"/>
        <w:spacing w:beforeAutospacing="1" w:afterAutospacing="1"/>
        <w:jc w:val="both"/>
        <w:rPr/>
      </w:pPr>
      <w:r>
        <w:rPr>
          <w:rFonts w:eastAsia="Times New Roman" w:cs="Tahoma" w:ascii="Tahoma" w:hAnsi="Tahoma"/>
          <w:sz w:val="22"/>
          <w:szCs w:val="22"/>
          <w:shd w:fill="auto" w:val="clear"/>
          <w:lang w:eastAsia="fr-FR"/>
        </w:rPr>
        <w:t xml:space="preserve">Les capacités professionnelles, techniques et financières du candidat seront analysées à partir des critères listés ci-dessous. Lorsqu’un niveau minimum est exigé pour un critère, le candidat doit fournir les preuves des minimaux demandés ou toute autre forme de preuve équivalente. </w:t>
      </w:r>
    </w:p>
    <w:tbl>
      <w:tblPr>
        <w:tblW w:w="9056" w:type="dxa"/>
        <w:jc w:val="left"/>
        <w:tblInd w:w="20" w:type="dxa"/>
        <w:tblLayout w:type="fixed"/>
        <w:tblCellMar>
          <w:top w:w="15" w:type="dxa"/>
          <w:left w:w="15" w:type="dxa"/>
          <w:bottom w:w="15" w:type="dxa"/>
          <w:right w:w="15" w:type="dxa"/>
        </w:tblCellMar>
        <w:tblLook w:firstRow="1" w:noVBand="1" w:lastRow="0" w:firstColumn="1" w:lastColumn="0" w:noHBand="0" w:val="04a0"/>
      </w:tblPr>
      <w:tblGrid>
        <w:gridCol w:w="844"/>
        <w:gridCol w:w="8211"/>
      </w:tblGrid>
      <w:tr>
        <w:trPr/>
        <w:tc>
          <w:tcPr>
            <w:tcW w:w="844"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N°</w:t>
            </w:r>
          </w:p>
        </w:tc>
        <w:tc>
          <w:tcPr>
            <w:tcW w:w="8211"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Capacité économique et financière du candidat</w:t>
            </w:r>
          </w:p>
        </w:tc>
      </w:tr>
      <w:tr>
        <w:trPr/>
        <w:tc>
          <w:tcPr>
            <w:tcW w:w="84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1</w:t>
            </w:r>
          </w:p>
        </w:tc>
        <w:tc>
          <w:tcPr>
            <w:tcW w:w="821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Déclaration concernant le chiffre d'affaires global du candidat et, le cas échéant, le chiffre d'affaires du domaine d'activité faisant l'objet du marché public, portant au maximum sur les trois derniers exercices disponibles en fonction de la date de création de l'entreprise ou du début d'activité de l'opérateur économique, dans la mesure où les informations sur ces chiffres d'affaires sont disponibles.</w:t>
            </w:r>
          </w:p>
        </w:tc>
      </w:tr>
      <w:tr>
        <w:trPr/>
        <w:tc>
          <w:tcPr>
            <w:tcW w:w="84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2</w:t>
            </w:r>
          </w:p>
        </w:tc>
        <w:tc>
          <w:tcPr>
            <w:tcW w:w="821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Déclarations appropriées de banques ou, le cas échéant, preuve d'une assurance des risques professionnels pertinents.</w:t>
            </w:r>
          </w:p>
        </w:tc>
      </w:tr>
    </w:tbl>
    <w:p>
      <w:pPr>
        <w:pStyle w:val="Normal"/>
        <w:jc w:val="both"/>
        <w:rPr>
          <w:rFonts w:ascii="Times New Roman" w:hAnsi="Times New Roman" w:eastAsia="Times New Roman" w:cs="Times New Roman"/>
          <w:lang w:eastAsia="fr-FR"/>
        </w:rPr>
      </w:pPr>
      <w:r>
        <w:rPr>
          <w:rFonts w:eastAsia="Times New Roman" w:cs="Times New Roman" w:ascii="Times New Roman" w:hAnsi="Times New Roman"/>
          <w:lang w:eastAsia="fr-FR"/>
        </w:rPr>
      </w:r>
    </w:p>
    <w:tbl>
      <w:tblPr>
        <w:tblW w:w="9060" w:type="dxa"/>
        <w:jc w:val="left"/>
        <w:tblInd w:w="17" w:type="dxa"/>
        <w:tblLayout w:type="fixed"/>
        <w:tblCellMar>
          <w:top w:w="15" w:type="dxa"/>
          <w:left w:w="15" w:type="dxa"/>
          <w:bottom w:w="15" w:type="dxa"/>
          <w:right w:w="15" w:type="dxa"/>
        </w:tblCellMar>
        <w:tblLook w:firstRow="1" w:noVBand="1" w:lastRow="0" w:firstColumn="1" w:lastColumn="0" w:noHBand="0" w:val="04a0"/>
      </w:tblPr>
      <w:tblGrid>
        <w:gridCol w:w="848"/>
        <w:gridCol w:w="8211"/>
      </w:tblGrid>
      <w:tr>
        <w:trPr/>
        <w:tc>
          <w:tcPr>
            <w:tcW w:w="848" w:type="dxa"/>
            <w:tcBorders>
              <w:top w:val="single" w:sz="4" w:space="0" w:color="000000"/>
              <w:left w:val="single" w:sz="2"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N°</w:t>
            </w:r>
          </w:p>
        </w:tc>
        <w:tc>
          <w:tcPr>
            <w:tcW w:w="8211" w:type="dxa"/>
            <w:tcBorders>
              <w:top w:val="single" w:sz="4" w:space="0" w:color="000000"/>
              <w:left w:val="single" w:sz="4" w:space="0" w:color="000000"/>
              <w:bottom w:val="single" w:sz="4" w:space="0" w:color="000000"/>
              <w:right w:val="single" w:sz="2"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Capacité technique et professionnelle du candidat</w:t>
            </w:r>
          </w:p>
        </w:tc>
      </w:tr>
      <w:tr>
        <w:trPr/>
        <w:tc>
          <w:tcPr>
            <w:tcW w:w="84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1</w:t>
            </w:r>
          </w:p>
        </w:tc>
        <w:tc>
          <w:tcPr>
            <w:tcW w:w="821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Une déclaration indiquant les effectifs moyens annuels du candidat et l'importance du personnel d'encadrement pour chacune des trois dernières années.</w:t>
            </w:r>
          </w:p>
        </w:tc>
      </w:tr>
      <w:tr>
        <w:trPr/>
        <w:tc>
          <w:tcPr>
            <w:tcW w:w="84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2</w:t>
            </w:r>
          </w:p>
        </w:tc>
        <w:tc>
          <w:tcPr>
            <w:tcW w:w="821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Une liste des travaux exécutés au cours des cinq dernières années, assortie d'attestations de bonne exécution pour les travaux les plus importants. Ces attestations indiquent le montant, la date et le lieu d'exécution des travaux et précisent s'ils ont été effectués selon les règles de l'art et menés régulièrement à bonne fin.</w:t>
            </w:r>
          </w:p>
        </w:tc>
      </w:tr>
      <w:tr>
        <w:trPr/>
        <w:tc>
          <w:tcPr>
            <w:tcW w:w="84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3</w:t>
            </w:r>
          </w:p>
        </w:tc>
        <w:tc>
          <w:tcPr>
            <w:tcW w:w="821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La description de l'équipement technique ainsi que des mesures employées par le candidat pour s'assurer de la qualité et des moyens d'étude et de recherche de son entreprise.</w:t>
            </w:r>
          </w:p>
        </w:tc>
      </w:tr>
    </w:tbl>
    <w:p>
      <w:pPr>
        <w:pStyle w:val="Normal"/>
        <w:spacing w:beforeAutospacing="1" w:afterAutospacing="1"/>
        <w:jc w:val="both"/>
        <w:rPr/>
      </w:pPr>
      <w:r>
        <w:rPr>
          <w:rFonts w:eastAsia="Times New Roman" w:cs="Tahoma" w:ascii="Tahoma" w:hAnsi="Tahoma"/>
          <w:sz w:val="22"/>
          <w:szCs w:val="22"/>
          <w:lang w:eastAsia="fr-FR"/>
        </w:rPr>
        <w:t>En application de l’article R2143-13, les candidats ne sont pas tenus de fournir les documents listés ci-dessous si le pouvoir adjudicateur peut les obtenir directement par le biais :</w:t>
      </w:r>
    </w:p>
    <w:p>
      <w:pPr>
        <w:pStyle w:val="Normal"/>
        <w:spacing w:beforeAutospacing="1" w:afterAutospacing="1"/>
        <w:jc w:val="both"/>
        <w:rPr/>
      </w:pPr>
      <w:r>
        <w:rPr>
          <w:rFonts w:eastAsia="Times New Roman" w:cs="Tahoma" w:ascii="Tahoma" w:hAnsi="Tahoma"/>
          <w:sz w:val="22"/>
          <w:szCs w:val="22"/>
          <w:lang w:eastAsia="fr-FR"/>
        </w:rPr>
        <w:t>1° D'un système électronique de mise à disposition d'informations administré par un organisme officiel à condition que l'accès à celui-ci soit gratuit et, le cas échéant, que figurent dans le dossier de candidature toutes les informations nécessaires à sa consultation ;</w:t>
      </w:r>
    </w:p>
    <w:p>
      <w:pPr>
        <w:pStyle w:val="Normal"/>
        <w:spacing w:beforeAutospacing="1" w:afterAutospacing="1"/>
        <w:jc w:val="both"/>
        <w:rPr/>
      </w:pPr>
      <w:r>
        <w:rPr>
          <w:rFonts w:eastAsia="Times New Roman" w:cs="Tahoma" w:ascii="Tahoma" w:hAnsi="Tahoma"/>
          <w:sz w:val="22"/>
          <w:szCs w:val="22"/>
          <w:lang w:eastAsia="fr-FR"/>
        </w:rPr>
        <w:t>2° D'un espace de stockage numérique, à condition que figurent dans le dossier de candidature toutes les informations nécessaires à sa consultation et que l'accès à ceux-ci soit gratuit.</w:t>
      </w:r>
    </w:p>
    <w:p>
      <w:pPr>
        <w:pStyle w:val="Normal"/>
        <w:spacing w:beforeAutospacing="1" w:afterAutospacing="1"/>
        <w:jc w:val="both"/>
        <w:rPr/>
      </w:pPr>
      <w:r>
        <w:rPr>
          <w:rFonts w:eastAsia="Times New Roman" w:cs="Times New Roman" w:ascii="Tahoma,Bold" w:hAnsi="Tahoma,Bold"/>
          <w:b/>
          <w:bCs/>
          <w:sz w:val="22"/>
          <w:szCs w:val="22"/>
          <w:u w:val="single"/>
          <w:lang w:eastAsia="fr-FR"/>
        </w:rPr>
        <w:t>Transmission de la candidature avec le document Unique de Marché Européen (DUME) :</w:t>
      </w:r>
    </w:p>
    <w:p>
      <w:pPr>
        <w:pStyle w:val="Normal"/>
        <w:spacing w:beforeAutospacing="1" w:afterAutospacing="1"/>
        <w:jc w:val="both"/>
        <w:rPr/>
      </w:pPr>
      <w:r>
        <w:rPr>
          <w:rFonts w:eastAsia="Times New Roman" w:cs="Tahoma" w:ascii="Tahoma" w:hAnsi="Tahoma"/>
          <w:sz w:val="22"/>
          <w:szCs w:val="22"/>
          <w:lang w:eastAsia="fr-FR"/>
        </w:rPr>
        <w:t xml:space="preserve">Conformément à l’article R2143-4 du code de la commande publique, le pouvoir adjudicateur accepte que le candidat présente sa candidature sous la forme d'un document unique de marché européen établi conformément au modèle fixé par le règlement de la Commission européenne établissant le formulaire type pour le document unique de marché européen susvisé, en lieu et place de la déclaration sur l’honneur et des renseignements mentionnés aux articles R2142-3, R2142-4 et R2143-3 du code de la commande publique. </w:t>
      </w:r>
    </w:p>
    <w:p>
      <w:pPr>
        <w:pStyle w:val="Normal"/>
        <w:spacing w:beforeAutospacing="1" w:afterAutospacing="1"/>
        <w:jc w:val="both"/>
        <w:rPr/>
      </w:pPr>
      <w:r>
        <w:rPr>
          <w:rFonts w:eastAsia="Times New Roman" w:cs="Tahoma" w:ascii="Tahoma" w:hAnsi="Tahoma"/>
          <w:sz w:val="22"/>
          <w:szCs w:val="22"/>
          <w:lang w:eastAsia="fr-FR"/>
        </w:rPr>
        <w:t xml:space="preserve">Le DUME doit être transmis par voie électronique (eDUME). </w:t>
      </w:r>
    </w:p>
    <w:p>
      <w:pPr>
        <w:pStyle w:val="Normal"/>
        <w:spacing w:beforeAutospacing="1" w:afterAutospacing="1"/>
        <w:jc w:val="both"/>
        <w:rPr/>
      </w:pPr>
      <w:r>
        <w:rPr>
          <w:rFonts w:eastAsia="Times New Roman" w:cs="Times New Roman" w:ascii="Tahoma,Bold" w:hAnsi="Tahoma,Bold"/>
          <w:b/>
          <w:bCs/>
          <w:sz w:val="22"/>
          <w:szCs w:val="22"/>
          <w:u w:val="single"/>
          <w:lang w:eastAsia="fr-FR"/>
        </w:rPr>
        <w:t xml:space="preserve">Marche à suivre pour compléter le DUME : </w:t>
      </w:r>
    </w:p>
    <w:p>
      <w:pPr>
        <w:pStyle w:val="Normal"/>
        <w:spacing w:beforeAutospacing="1" w:afterAutospacing="1"/>
        <w:jc w:val="both"/>
        <w:rPr/>
      </w:pPr>
      <w:r>
        <w:rPr>
          <w:rFonts w:eastAsia="Times New Roman" w:cs="Tahoma" w:ascii="Tahoma" w:hAnsi="Tahoma"/>
          <w:sz w:val="22"/>
          <w:szCs w:val="22"/>
          <w:lang w:eastAsia="fr-FR"/>
        </w:rPr>
        <w:t xml:space="preserve">- Rendez-vous sur le site </w:t>
      </w:r>
      <w:r>
        <w:rPr>
          <w:rStyle w:val="LienInternet"/>
          <w:rFonts w:eastAsia="Times New Roman" w:cs="Tahoma" w:ascii="Tahoma" w:hAnsi="Tahoma"/>
          <w:sz w:val="22"/>
          <w:szCs w:val="22"/>
          <w:lang w:eastAsia="fr-FR"/>
        </w:rPr>
        <w:t>https://dume.chorus-pro.gouv.fr/</w:t>
      </w:r>
    </w:p>
    <w:p>
      <w:pPr>
        <w:pStyle w:val="Normal"/>
        <w:spacing w:beforeAutospacing="1" w:afterAutospacing="1"/>
        <w:jc w:val="both"/>
        <w:rPr/>
      </w:pPr>
      <w:r>
        <w:rPr>
          <w:rFonts w:eastAsia="Times New Roman" w:cs="Tahoma" w:ascii="Tahoma" w:hAnsi="Tahoma"/>
          <w:sz w:val="22"/>
          <w:szCs w:val="22"/>
          <w:lang w:eastAsia="fr-FR"/>
        </w:rPr>
        <w:t>- Cliquez sur le bouton « entreprise »</w:t>
      </w:r>
    </w:p>
    <w:p>
      <w:pPr>
        <w:pStyle w:val="Normal"/>
        <w:spacing w:beforeAutospacing="1" w:afterAutospacing="1"/>
        <w:jc w:val="both"/>
        <w:rPr/>
      </w:pPr>
      <w:r>
        <w:rPr>
          <w:rFonts w:eastAsia="Times New Roman" w:cs="Tahoma" w:ascii="Tahoma" w:hAnsi="Tahoma"/>
          <w:sz w:val="22"/>
          <w:szCs w:val="22"/>
          <w:lang w:eastAsia="fr-FR"/>
        </w:rPr>
        <w:t>- Cliquez sur « Créer un DUME »</w:t>
      </w:r>
    </w:p>
    <w:p>
      <w:pPr>
        <w:pStyle w:val="Normal"/>
        <w:spacing w:beforeAutospacing="1" w:afterAutospacing="1"/>
        <w:jc w:val="both"/>
        <w:rPr/>
      </w:pPr>
      <w:r>
        <w:rPr>
          <w:rFonts w:eastAsia="Times New Roman" w:cs="Tahoma" w:ascii="Tahoma" w:hAnsi="Tahoma"/>
          <w:sz w:val="22"/>
          <w:szCs w:val="22"/>
          <w:lang w:eastAsia="fr-FR"/>
        </w:rPr>
        <w:t>- Complétez votre identifiant et votre pays et cliquez sur suivant.</w:t>
      </w:r>
    </w:p>
    <w:p>
      <w:pPr>
        <w:pStyle w:val="Normal"/>
        <w:spacing w:beforeAutospacing="1" w:afterAutospacing="1"/>
        <w:jc w:val="both"/>
        <w:rPr/>
      </w:pPr>
      <w:r>
        <w:rPr>
          <w:rFonts w:eastAsia="Times New Roman" w:cs="Tahoma" w:ascii="Tahoma" w:hAnsi="Tahoma"/>
          <w:sz w:val="22"/>
          <w:szCs w:val="22"/>
          <w:lang w:eastAsia="fr-FR"/>
        </w:rPr>
        <w:t>- Parcourez le formulaire et répondez aux questions des différentes parties.</w:t>
      </w:r>
    </w:p>
    <w:p>
      <w:pPr>
        <w:pStyle w:val="Normal"/>
        <w:spacing w:beforeAutospacing="1" w:afterAutospacing="1"/>
        <w:jc w:val="both"/>
        <w:rPr/>
      </w:pPr>
      <w:r>
        <w:rPr>
          <w:rFonts w:eastAsia="Times New Roman" w:cs="Tahoma" w:ascii="Tahoma" w:hAnsi="Tahoma"/>
          <w:sz w:val="22"/>
          <w:szCs w:val="22"/>
          <w:lang w:eastAsia="fr-FR"/>
        </w:rPr>
        <w:t xml:space="preserve">- Le pouvoir adjudicateur autorise le candidat à déclarer qu'il satisfait aux conditions de participation, sans fournir d'informations particulières sur celles-ci en application de l’article R2143- 4 du code de la commande publique. Dès lors, à la question </w:t>
      </w:r>
      <w:r>
        <w:rPr>
          <w:rFonts w:eastAsia="Times New Roman" w:cs="Times New Roman" w:ascii="Tahoma,Bold" w:hAnsi="Tahoma,Bold"/>
          <w:sz w:val="22"/>
          <w:szCs w:val="22"/>
          <w:lang w:eastAsia="fr-FR"/>
        </w:rPr>
        <w:t xml:space="preserve">« </w:t>
      </w:r>
      <w:r>
        <w:rPr>
          <w:rFonts w:eastAsia="Times New Roman" w:cs="Times New Roman" w:ascii="Tahoma,Bold" w:hAnsi="Tahoma,Bold"/>
          <w:b/>
          <w:bCs/>
          <w:sz w:val="22"/>
          <w:szCs w:val="22"/>
          <w:lang w:eastAsia="fr-FR"/>
        </w:rPr>
        <w:t xml:space="preserve">Je souhaite remplir les critères de sélection tels que mentionnés dans les documents de la consultation </w:t>
      </w:r>
      <w:r>
        <w:rPr>
          <w:rFonts w:eastAsia="Times New Roman" w:cs="Times New Roman" w:ascii="Tahoma,Bold" w:hAnsi="Tahoma,Bold"/>
          <w:sz w:val="22"/>
          <w:szCs w:val="22"/>
          <w:lang w:eastAsia="fr-FR"/>
        </w:rPr>
        <w:t xml:space="preserve">» </w:t>
      </w:r>
      <w:r>
        <w:rPr>
          <w:rFonts w:eastAsia="Times New Roman" w:cs="Tahoma" w:ascii="Tahoma" w:hAnsi="Tahoma"/>
          <w:sz w:val="22"/>
          <w:szCs w:val="22"/>
          <w:lang w:eastAsia="fr-FR"/>
        </w:rPr>
        <w:t>répondez « non ».</w:t>
      </w:r>
    </w:p>
    <w:p>
      <w:pPr>
        <w:pStyle w:val="Normal"/>
        <w:spacing w:beforeAutospacing="1" w:afterAutospacing="1"/>
        <w:jc w:val="both"/>
        <w:rPr/>
      </w:pPr>
      <w:r>
        <w:rPr>
          <w:rFonts w:eastAsia="Times New Roman" w:cs="Tahoma" w:ascii="Tahoma" w:hAnsi="Tahoma"/>
          <w:sz w:val="22"/>
          <w:szCs w:val="22"/>
          <w:lang w:eastAsia="fr-FR"/>
        </w:rPr>
        <w:t xml:space="preserve">- Si vous satisfaites à l’ensemble des critères de sélection, cochez la case correspondante. </w:t>
      </w:r>
    </w:p>
    <w:p>
      <w:pPr>
        <w:pStyle w:val="Normal"/>
        <w:spacing w:beforeAutospacing="1" w:afterAutospacing="1"/>
        <w:jc w:val="both"/>
        <w:rPr/>
      </w:pPr>
      <w:r>
        <w:rPr>
          <w:rFonts w:eastAsia="Times New Roman" w:cs="Tahoma" w:ascii="Tahoma" w:hAnsi="Tahoma"/>
          <w:sz w:val="22"/>
          <w:szCs w:val="22"/>
          <w:lang w:eastAsia="fr-FR"/>
        </w:rPr>
        <w:t>- Après avoir complété l’entièreté du formulaire, cliquez sur « Aperçu » pour visualiser le formulaire. Ensuite, cliquez sur « finaliser ». Vous pourrez exporter le DUME en format PDF ou XML.</w:t>
      </w:r>
    </w:p>
    <w:p>
      <w:pPr>
        <w:pStyle w:val="Normal"/>
        <w:spacing w:beforeAutospacing="1" w:afterAutospacing="1"/>
        <w:jc w:val="both"/>
        <w:rPr/>
      </w:pPr>
      <w:r>
        <w:rPr>
          <w:rFonts w:eastAsia="Times New Roman" w:cs="Tahoma" w:ascii="Tahoma" w:hAnsi="Tahoma"/>
          <w:sz w:val="22"/>
          <w:szCs w:val="22"/>
          <w:lang w:eastAsia="fr-FR"/>
        </w:rPr>
        <w:t xml:space="preserve">Les opérateurs économiques peuvent réutiliser un DUME qui a déjà été utilisé dans une procédure antérieure, à condition qu'ils confirment que les informations qui y figurent sont toujours valables. </w:t>
      </w:r>
    </w:p>
    <w:p>
      <w:pPr>
        <w:pStyle w:val="Normal"/>
        <w:spacing w:beforeAutospacing="1" w:afterAutospacing="1"/>
        <w:jc w:val="both"/>
        <w:rPr/>
      </w:pPr>
      <w:r>
        <w:rPr>
          <w:rFonts w:eastAsia="Times New Roman" w:cs="Tahoma" w:ascii="Tahoma" w:hAnsi="Tahoma"/>
          <w:sz w:val="22"/>
          <w:szCs w:val="22"/>
          <w:lang w:eastAsia="fr-FR"/>
        </w:rPr>
        <w:t xml:space="preserve">Les candidats devront donc fournir à l’appui du Document Unique de Marché Européen, les certificats des capacités économiques, financières et techniques mentionnés ci-dessus. </w:t>
      </w:r>
    </w:p>
    <w:p>
      <w:pPr>
        <w:pStyle w:val="Normal"/>
        <w:spacing w:beforeAutospacing="1" w:afterAutospacing="1"/>
        <w:jc w:val="both"/>
        <w:rPr/>
      </w:pPr>
      <w:r>
        <w:rPr>
          <w:rFonts w:eastAsia="Times New Roman" w:cs="Times New Roman" w:ascii="Tahoma,Bold" w:hAnsi="Tahoma,Bold"/>
          <w:b/>
          <w:bCs/>
          <w:sz w:val="22"/>
          <w:szCs w:val="22"/>
          <w:u w:val="single"/>
          <w:lang w:val="fr-FR" w:eastAsia="fr-FR"/>
        </w:rPr>
        <w:t>En cas de Candidature hors DUME</w:t>
      </w:r>
    </w:p>
    <w:p>
      <w:pPr>
        <w:pStyle w:val="Corpsdetexte"/>
        <w:jc w:val="both"/>
        <w:rPr/>
      </w:pPr>
      <w:r>
        <w:rPr>
          <w:rFonts w:eastAsia="Times New Roman" w:cs="Tahoma" w:ascii="Tahoma" w:hAnsi="Tahoma"/>
          <w:sz w:val="22"/>
          <w:szCs w:val="22"/>
          <w:lang w:val="fr-FR" w:eastAsia="fr-FR"/>
        </w:rPr>
        <w:t>Les candidats doivent transmettre les documents et renseignements suivants :</w:t>
      </w:r>
    </w:p>
    <w:p>
      <w:pPr>
        <w:pStyle w:val="Corpsdetexte"/>
        <w:numPr>
          <w:ilvl w:val="0"/>
          <w:numId w:val="4"/>
        </w:numPr>
        <w:jc w:val="both"/>
        <w:rPr/>
      </w:pPr>
      <w:r>
        <w:rPr>
          <w:rFonts w:eastAsia="Times New Roman" w:cs="Tahoma" w:ascii="Tahoma" w:hAnsi="Tahoma"/>
          <w:sz w:val="22"/>
          <w:szCs w:val="22"/>
          <w:lang w:val="fr-FR" w:eastAsia="fr-FR"/>
        </w:rPr>
        <w:t>Lettre de candidature ou formulaire DC1 (téléchargeable à partir du lien http://www.economie.gouv.fr/daj/formulaires-declaration-du-candidat) ou équivalent, dûment rempli ;</w:t>
      </w:r>
    </w:p>
    <w:p>
      <w:pPr>
        <w:pStyle w:val="Corpsdetexte"/>
        <w:numPr>
          <w:ilvl w:val="0"/>
          <w:numId w:val="4"/>
        </w:numPr>
        <w:spacing w:before="0" w:afterAutospacing="1"/>
        <w:jc w:val="both"/>
        <w:rPr/>
      </w:pPr>
      <w:r>
        <w:rPr>
          <w:rFonts w:eastAsia="Times New Roman" w:cs="Tahoma" w:ascii="Tahoma" w:hAnsi="Tahoma"/>
          <w:sz w:val="22"/>
          <w:szCs w:val="22"/>
          <w:lang w:val="fr-FR" w:eastAsia="fr-FR"/>
        </w:rPr>
        <w:t>Déclaration du candidat ou formulaire DC2 (téléchargeable à partir du lien http://www.economie.gouv.fr/daj/formulaires-declaration-du-candidat), ou équivalent, dûment rempli.</w:t>
      </w:r>
    </w:p>
    <w:p>
      <w:pPr>
        <w:pStyle w:val="Normal"/>
        <w:jc w:val="both"/>
        <w:rPr/>
      </w:pPr>
      <w:r>
        <w:rPr>
          <w:rFonts w:eastAsia="Times New Roman" w:cs="Tahoma" w:ascii="Tahoma" w:hAnsi="Tahoma"/>
          <w:b w:val="false"/>
          <w:i w:val="false"/>
          <w:sz w:val="22"/>
          <w:szCs w:val="22"/>
          <w:u w:val="none"/>
          <w:lang w:val="fr-FR" w:eastAsia="fr-FR"/>
        </w:rPr>
        <w:t>Les candidats renseignent les parties suivantes du DC2 :</w:t>
      </w:r>
    </w:p>
    <w:p>
      <w:pPr>
        <w:pStyle w:val="Normal"/>
        <w:widowControl/>
        <w:suppressAutoHyphens w:val="true"/>
        <w:bidi w:val="0"/>
        <w:spacing w:before="0" w:after="0"/>
        <w:ind w:left="567" w:right="0" w:hanging="0"/>
        <w:jc w:val="both"/>
        <w:rPr/>
      </w:pPr>
      <w:r>
        <w:rPr>
          <w:rFonts w:eastAsia="Times New Roman" w:cs="Tahoma" w:ascii="Tahoma" w:hAnsi="Tahoma"/>
          <w:b w:val="false"/>
          <w:i w:val="false"/>
          <w:sz w:val="22"/>
          <w:szCs w:val="22"/>
          <w:u w:val="single"/>
          <w:lang w:val="fr-FR" w:eastAsia="fr-FR"/>
        </w:rPr>
        <w:t>E</w:t>
      </w:r>
      <w:r>
        <w:rPr>
          <w:rFonts w:eastAsia="Times New Roman" w:cs="Tahoma" w:ascii="Tahoma" w:hAnsi="Tahoma"/>
          <w:b w:val="false"/>
          <w:i w:val="false"/>
          <w:sz w:val="22"/>
          <w:szCs w:val="22"/>
          <w:u w:val="none"/>
          <w:lang w:val="fr-FR" w:eastAsia="fr-FR"/>
        </w:rPr>
        <w:t xml:space="preserve"> - Renseignements relatifs à l'aptitude à exercer l'activité professionnelle concernée par le contrat</w:t>
      </w:r>
    </w:p>
    <w:p>
      <w:pPr>
        <w:pStyle w:val="Normal"/>
        <w:widowControl/>
        <w:suppressAutoHyphens w:val="true"/>
        <w:bidi w:val="0"/>
        <w:spacing w:before="0" w:after="0"/>
        <w:ind w:left="567" w:right="0" w:hanging="0"/>
        <w:jc w:val="both"/>
        <w:rPr/>
      </w:pPr>
      <w:r>
        <w:rPr>
          <w:rFonts w:eastAsia="Times New Roman" w:cs="Tahoma" w:ascii="Tahoma" w:hAnsi="Tahoma"/>
          <w:b w:val="false"/>
          <w:i w:val="false"/>
          <w:sz w:val="22"/>
          <w:szCs w:val="22"/>
          <w:u w:val="single"/>
          <w:lang w:val="fr-FR" w:eastAsia="fr-FR"/>
        </w:rPr>
        <w:t>F</w:t>
      </w:r>
      <w:r>
        <w:rPr>
          <w:rFonts w:eastAsia="Times New Roman" w:cs="Tahoma" w:ascii="Tahoma" w:hAnsi="Tahoma"/>
          <w:b w:val="false"/>
          <w:i w:val="false"/>
          <w:sz w:val="22"/>
          <w:szCs w:val="22"/>
          <w:u w:val="none"/>
          <w:lang w:val="fr-FR" w:eastAsia="fr-FR"/>
        </w:rPr>
        <w:t xml:space="preserve"> - Renseignements relatifs à la capacité économique et financière du candidat individuel ou du membre du groupement</w:t>
      </w:r>
    </w:p>
    <w:p>
      <w:pPr>
        <w:pStyle w:val="Normal"/>
        <w:widowControl/>
        <w:suppressAutoHyphens w:val="true"/>
        <w:bidi w:val="0"/>
        <w:spacing w:before="0" w:after="0"/>
        <w:ind w:left="567" w:right="0" w:hanging="0"/>
        <w:jc w:val="both"/>
        <w:rPr/>
      </w:pPr>
      <w:r>
        <w:rPr>
          <w:rFonts w:eastAsia="Times New Roman" w:cs="Tahoma" w:ascii="Tahoma" w:hAnsi="Tahoma"/>
          <w:b w:val="false"/>
          <w:i w:val="false"/>
          <w:sz w:val="22"/>
          <w:szCs w:val="22"/>
          <w:u w:val="single"/>
          <w:lang w:val="fr-FR" w:eastAsia="fr-FR"/>
        </w:rPr>
        <w:t>G</w:t>
      </w:r>
      <w:r>
        <w:rPr>
          <w:rFonts w:eastAsia="Times New Roman" w:cs="Tahoma" w:ascii="Tahoma" w:hAnsi="Tahoma"/>
          <w:b w:val="false"/>
          <w:i w:val="false"/>
          <w:sz w:val="22"/>
          <w:szCs w:val="22"/>
          <w:u w:val="none"/>
          <w:lang w:val="fr-FR" w:eastAsia="fr-FR"/>
        </w:rPr>
        <w:t xml:space="preserve"> - Renseignements relatifs à la capacité technique et professionnelle du candidat individuel ou du membre du groupement</w:t>
      </w:r>
    </w:p>
    <w:p>
      <w:pPr>
        <w:pStyle w:val="Titre1"/>
        <w:jc w:val="both"/>
        <w:rPr/>
      </w:pPr>
      <w:bookmarkStart w:id="20" w:name="__RefHeading___Toc5347_1694868853"/>
      <w:bookmarkStart w:id="21" w:name="_Toc232694019"/>
      <w:bookmarkEnd w:id="20"/>
      <w:r>
        <w:rPr>
          <w:rFonts w:eastAsia="Times New Roman"/>
          <w:lang w:eastAsia="fr-FR"/>
        </w:rPr>
        <w:t>Article 11. Présentation du dossier d’offre</w:t>
      </w:r>
      <w:bookmarkEnd w:id="21"/>
    </w:p>
    <w:p>
      <w:pPr>
        <w:pStyle w:val="Normal"/>
        <w:spacing w:beforeAutospacing="1" w:afterAutospacing="1"/>
        <w:jc w:val="both"/>
        <w:rPr/>
      </w:pPr>
      <w:r>
        <w:rPr>
          <w:rFonts w:eastAsia="Times New Roman" w:cs="Tahoma" w:ascii="Tahoma" w:hAnsi="Tahoma"/>
          <w:sz w:val="22"/>
          <w:szCs w:val="22"/>
          <w:highlight w:val="yellow"/>
          <w:lang w:eastAsia="fr-FR"/>
        </w:rPr>
        <w:t>Dans le cadre de son offre, le candidat devra produire les documents suivants.</w:t>
        <w:br/>
      </w:r>
      <w:r>
        <w:rPr>
          <w:rFonts w:eastAsia="Times New Roman" w:cs="Tahoma" w:ascii="Tahoma" w:hAnsi="Tahoma"/>
          <w:sz w:val="22"/>
          <w:szCs w:val="22"/>
          <w:shd w:fill="auto" w:val="clear"/>
          <w:lang w:eastAsia="fr-FR"/>
        </w:rPr>
        <w:t xml:space="preserve">Si ceux-ci ne sont pas remis en français, une traduction des documents devra être jointe au dossier de candidature. </w:t>
      </w:r>
    </w:p>
    <w:tbl>
      <w:tblPr>
        <w:tblW w:w="9050" w:type="dxa"/>
        <w:jc w:val="left"/>
        <w:tblInd w:w="20" w:type="dxa"/>
        <w:tblLayout w:type="fixed"/>
        <w:tblCellMar>
          <w:top w:w="15" w:type="dxa"/>
          <w:left w:w="15" w:type="dxa"/>
          <w:bottom w:w="15" w:type="dxa"/>
          <w:right w:w="15" w:type="dxa"/>
        </w:tblCellMar>
        <w:tblLook w:firstRow="1" w:noVBand="1" w:lastRow="0" w:firstColumn="1" w:lastColumn="0" w:noHBand="0" w:val="04a0"/>
      </w:tblPr>
      <w:tblGrid>
        <w:gridCol w:w="845"/>
        <w:gridCol w:w="8204"/>
      </w:tblGrid>
      <w:tr>
        <w:trPr/>
        <w:tc>
          <w:tcPr>
            <w:tcW w:w="845"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N°</w:t>
            </w:r>
          </w:p>
        </w:tc>
        <w:tc>
          <w:tcPr>
            <w:tcW w:w="8204"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Description</w:t>
            </w:r>
          </w:p>
        </w:tc>
      </w:tr>
      <w:tr>
        <w:trPr/>
        <w:tc>
          <w:tcPr>
            <w:tcW w:w="84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1</w:t>
            </w:r>
          </w:p>
        </w:tc>
        <w:tc>
          <w:tcPr>
            <w:tcW w:w="82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ascii="Arial" w:hAnsi="Arial" w:eastAsia="Times New Roman"/>
                <w:sz w:val="20"/>
                <w:szCs w:val="21"/>
                <w:lang w:eastAsia="fr-FR"/>
              </w:rPr>
            </w:pPr>
            <w:r>
              <w:rPr>
                <w:rFonts w:eastAsia="Times New Roman" w:ascii="Arial" w:hAnsi="Arial"/>
                <w:b/>
                <w:bCs/>
                <w:i w:val="false"/>
                <w:sz w:val="20"/>
                <w:szCs w:val="21"/>
                <w:u w:val="none"/>
                <w:shd w:fill="FFFF00" w:val="clear"/>
                <w:lang w:val="fr-FR" w:eastAsia="fr-FR"/>
              </w:rPr>
              <w:t>L'acte d'engagement (ATTRI1) du lot concerné par la candidature, à compléter et à signer</w:t>
            </w:r>
            <w:r>
              <w:rPr>
                <w:rFonts w:eastAsia="Times New Roman" w:ascii="Arial" w:hAnsi="Arial"/>
                <w:b w:val="false"/>
                <w:i w:val="false"/>
                <w:sz w:val="20"/>
                <w:szCs w:val="21"/>
                <w:u w:val="none"/>
                <w:lang w:val="fr-FR" w:eastAsia="fr-FR"/>
              </w:rPr>
              <w:t>, le cas échéant par tous les membres du groupement d'opérateurs économiques;</w:t>
            </w:r>
          </w:p>
          <w:p>
            <w:pPr>
              <w:pStyle w:val="Normal"/>
              <w:widowControl w:val="false"/>
              <w:jc w:val="both"/>
              <w:rPr>
                <w:rFonts w:ascii="Arial" w:hAnsi="Arial" w:eastAsia="Times New Roman"/>
                <w:b w:val="false"/>
                <w:b w:val="false"/>
                <w:i w:val="false"/>
                <w:i w:val="false"/>
                <w:sz w:val="20"/>
                <w:szCs w:val="21"/>
                <w:u w:val="none"/>
                <w:lang w:val="fr-FR" w:eastAsia="fr-FR"/>
              </w:rPr>
            </w:pPr>
            <w:r>
              <w:rPr>
                <w:rFonts w:eastAsia="Times New Roman" w:ascii="Arial" w:hAnsi="Arial"/>
                <w:b w:val="false"/>
                <w:i w:val="false"/>
                <w:sz w:val="20"/>
                <w:szCs w:val="21"/>
                <w:u w:val="none"/>
                <w:lang w:val="fr-FR" w:eastAsia="fr-FR"/>
              </w:rPr>
              <w:t>Le cas échéant, dans le cas où les membres du groupement d'opérateurs économiques ne signent pas tous l'acte d'engagement, le document d'habilitation signé par tous les membres du groupement;</w:t>
            </w:r>
          </w:p>
          <w:p>
            <w:pPr>
              <w:pStyle w:val="Normal"/>
              <w:widowControl w:val="false"/>
              <w:spacing w:beforeAutospacing="1" w:after="0"/>
              <w:jc w:val="both"/>
              <w:rPr>
                <w:rFonts w:ascii="Arial" w:hAnsi="Arial" w:eastAsia="Times New Roman" w:cs="Times New Roman"/>
                <w:sz w:val="20"/>
                <w:szCs w:val="21"/>
                <w:lang w:eastAsia="fr-FR"/>
              </w:rPr>
            </w:pPr>
            <w:r>
              <w:rPr>
                <w:rFonts w:eastAsia="Times New Roman" w:cs="Times New Roman" w:ascii="Arial" w:hAnsi="Arial"/>
                <w:b w:val="false"/>
                <w:i w:val="false"/>
                <w:sz w:val="20"/>
                <w:szCs w:val="21"/>
                <w:u w:val="none"/>
                <w:lang w:val="fr-FR" w:eastAsia="fr-FR"/>
              </w:rPr>
              <w:t>Le pouvoir du ou des signataires d'engager la personne qu'il représente (titulaire individuel ou groupement d'opérateurs économiques</w:t>
            </w:r>
          </w:p>
        </w:tc>
      </w:tr>
      <w:tr>
        <w:trPr/>
        <w:tc>
          <w:tcPr>
            <w:tcW w:w="845"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2</w:t>
            </w:r>
          </w:p>
        </w:tc>
        <w:tc>
          <w:tcPr>
            <w:tcW w:w="8204"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shd w:fill="FFFF00" w:val="clear"/>
                <w:lang w:eastAsia="fr-FR"/>
              </w:rPr>
            </w:pPr>
            <w:r>
              <w:rPr>
                <w:rFonts w:eastAsia="Times New Roman" w:cs="Times New Roman" w:ascii="Tahoma,Bold" w:hAnsi="Tahoma,Bold"/>
                <w:sz w:val="20"/>
                <w:szCs w:val="21"/>
                <w:shd w:fill="FFFF00" w:val="clear"/>
                <w:lang w:eastAsia="fr-FR"/>
              </w:rPr>
              <w:t>L</w:t>
            </w:r>
            <w:r>
              <w:rPr>
                <w:rFonts w:eastAsia="Times New Roman" w:cs="Times New Roman" w:ascii="Tahoma,Bold" w:hAnsi="Tahoma,Bold"/>
                <w:b/>
                <w:bCs/>
                <w:sz w:val="20"/>
                <w:szCs w:val="21"/>
                <w:shd w:fill="FFFF00" w:val="clear"/>
                <w:lang w:eastAsia="fr-FR"/>
              </w:rPr>
              <w:t>a DPGF</w:t>
            </w:r>
            <w:r>
              <w:rPr>
                <w:rFonts w:eastAsia="Times New Roman" w:cs="Times New Roman" w:ascii="Tahoma,Bold" w:hAnsi="Tahoma,Bold"/>
                <w:sz w:val="20"/>
                <w:szCs w:val="21"/>
                <w:shd w:fill="FFFF00" w:val="clear"/>
                <w:lang w:eastAsia="fr-FR"/>
              </w:rPr>
              <w:t xml:space="preserve"> pour le lot concerné complétée. La DPGF est à remettre dans un format XLS ou compatible</w:t>
            </w:r>
          </w:p>
        </w:tc>
      </w:tr>
      <w:tr>
        <w:trPr/>
        <w:tc>
          <w:tcPr>
            <w:tcW w:w="845"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3</w:t>
            </w:r>
          </w:p>
        </w:tc>
        <w:tc>
          <w:tcPr>
            <w:tcW w:w="8204"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b/>
                <w:bCs/>
                <w:sz w:val="20"/>
                <w:szCs w:val="21"/>
                <w:shd w:fill="FFFF00" w:val="clear"/>
                <w:lang w:eastAsia="fr-FR"/>
              </w:rPr>
              <w:t>Le mémoire technique</w:t>
            </w:r>
          </w:p>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Le mémoire technique indiquera entre autres les moyens humains et matériels mis en place pour l'exécution de la prestation, la préparation du chantier, les dispositions pour assurer la sécurité des personnes et limiter les nuisances du chantier en site occupé (ouvriers, agents, usagers), la part envisagée sous-traitée.</w:t>
            </w:r>
          </w:p>
          <w:p>
            <w:pPr>
              <w:pStyle w:val="Normal"/>
              <w:widowControl w:val="false"/>
              <w:spacing w:beforeAutospacing="1" w:after="0"/>
              <w:jc w:val="both"/>
              <w:rPr>
                <w:rFonts w:ascii="Tahoma,Bold" w:hAnsi="Tahoma,Bold" w:eastAsia="Times New Roman" w:cs="Times New Roman"/>
                <w:b/>
                <w:b/>
                <w:bCs/>
                <w:sz w:val="20"/>
                <w:szCs w:val="21"/>
                <w:lang w:eastAsia="fr-FR"/>
              </w:rPr>
            </w:pPr>
            <w:r>
              <w:rPr>
                <w:rFonts w:eastAsia="Times New Roman" w:cs="Times New Roman" w:ascii="Tahoma,Bold" w:hAnsi="Tahoma,Bold"/>
                <w:b/>
                <w:bCs/>
                <w:sz w:val="20"/>
                <w:szCs w:val="21"/>
                <w:lang w:eastAsia="fr-FR"/>
              </w:rPr>
              <w:t>Le candidat fournira également un engagement sur le planning.</w:t>
            </w:r>
          </w:p>
        </w:tc>
      </w:tr>
      <w:tr>
        <w:trPr/>
        <w:tc>
          <w:tcPr>
            <w:tcW w:w="845"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4</w:t>
            </w:r>
          </w:p>
        </w:tc>
        <w:tc>
          <w:tcPr>
            <w:tcW w:w="820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shd w:fill="FFFF00" w:val="clear"/>
                <w:lang w:eastAsia="fr-FR"/>
              </w:rPr>
            </w:pPr>
            <w:r>
              <w:rPr>
                <w:rFonts w:eastAsia="Times New Roman" w:cs="Times New Roman" w:ascii="Tahoma,Bold" w:hAnsi="Tahoma,Bold"/>
                <w:sz w:val="20"/>
                <w:szCs w:val="21"/>
                <w:shd w:fill="FFFF00" w:val="clear"/>
                <w:lang w:eastAsia="fr-FR"/>
              </w:rPr>
              <w:t>L'attestation de visite en annexe correctement complétée</w:t>
            </w:r>
          </w:p>
        </w:tc>
      </w:tr>
      <w:tr>
        <w:trPr/>
        <w:tc>
          <w:tcPr>
            <w:tcW w:w="845"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5</w:t>
            </w:r>
          </w:p>
        </w:tc>
        <w:tc>
          <w:tcPr>
            <w:tcW w:w="8204"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shd w:fill="FFFF00" w:val="clear"/>
                <w:lang w:eastAsia="fr-FR"/>
              </w:rPr>
            </w:pPr>
            <w:r>
              <w:rPr>
                <w:rFonts w:eastAsia="Times New Roman" w:cs="Times New Roman" w:ascii="Tahoma,Bold" w:hAnsi="Tahoma,Bold"/>
                <w:sz w:val="20"/>
                <w:szCs w:val="21"/>
                <w:shd w:fill="FFFF00" w:val="clear"/>
                <w:lang w:eastAsia="fr-FR"/>
              </w:rPr>
              <w:t>Le relevé d’identité bancaire</w:t>
            </w:r>
          </w:p>
        </w:tc>
      </w:tr>
      <w:tr>
        <w:trPr/>
        <w:tc>
          <w:tcPr>
            <w:tcW w:w="845"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6</w:t>
            </w:r>
          </w:p>
        </w:tc>
        <w:tc>
          <w:tcPr>
            <w:tcW w:w="8204"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b w:val="false"/>
                <w:i w:val="false"/>
                <w:sz w:val="20"/>
                <w:szCs w:val="21"/>
                <w:u w:val="none"/>
                <w:lang w:val="fr-FR" w:eastAsia="fr-FR"/>
              </w:rPr>
              <w:t>Le cas échéant, en cas de sous-traitance, la déclaration de sous-traitance (DC4 ou équivalent) signée par le sous-traitant et le soumissionnaire, les renseignements relatifs aux capacités du sous-traitant lorsque le soumissionnaire s'appuie sur celles-ci;</w:t>
            </w:r>
          </w:p>
        </w:tc>
      </w:tr>
    </w:tbl>
    <w:p>
      <w:pPr>
        <w:pStyle w:val="Normal"/>
        <w:jc w:val="both"/>
        <w:rPr>
          <w:sz w:val="23"/>
        </w:rPr>
      </w:pPr>
      <w:r>
        <w:rPr>
          <w:sz w:val="23"/>
        </w:rPr>
      </w:r>
    </w:p>
    <w:p>
      <w:pPr>
        <w:pStyle w:val="Titre1"/>
        <w:jc w:val="both"/>
        <w:rPr/>
      </w:pPr>
      <w:r>
        <w:rPr/>
      </w:r>
    </w:p>
    <w:p>
      <w:pPr>
        <w:pStyle w:val="Titre1"/>
        <w:jc w:val="both"/>
        <w:rPr/>
      </w:pPr>
      <w:bookmarkStart w:id="22" w:name="__RefHeading___Toc5349_1694868853"/>
      <w:bookmarkStart w:id="23" w:name="_Toc232694020"/>
      <w:bookmarkEnd w:id="22"/>
      <w:r>
        <w:rPr/>
        <w:t>Article 12. Attribution du marché</w:t>
      </w:r>
      <w:bookmarkEnd w:id="23"/>
    </w:p>
    <w:p>
      <w:pPr>
        <w:pStyle w:val="Normal"/>
        <w:spacing w:beforeAutospacing="1" w:afterAutospacing="1"/>
        <w:jc w:val="both"/>
        <w:rPr/>
      </w:pPr>
      <w:r>
        <w:rPr>
          <w:rFonts w:eastAsia="Times New Roman" w:cs="Tahoma" w:ascii="Tahoma" w:hAnsi="Tahoma"/>
          <w:sz w:val="22"/>
          <w:szCs w:val="22"/>
          <w:lang w:eastAsia="fr-FR"/>
        </w:rPr>
        <w:t>Au terme de la procédure, le pouvoir adjudicateur demandera à l’opérateur économique ou au mandataire du groupement d’opérateurs auquel il est envisagé d’attribuer le marché de lui retourner :</w:t>
      </w:r>
    </w:p>
    <w:p>
      <w:pPr>
        <w:pStyle w:val="Normal"/>
        <w:spacing w:beforeAutospacing="1" w:afterAutospacing="1"/>
        <w:jc w:val="both"/>
        <w:rPr/>
      </w:pPr>
      <w:r>
        <w:rPr>
          <w:rFonts w:eastAsia="Times New Roman" w:cs="Tahoma" w:ascii="Tahoma" w:hAnsi="Tahoma"/>
          <w:sz w:val="22"/>
          <w:szCs w:val="22"/>
          <w:lang w:eastAsia="fr-FR"/>
        </w:rPr>
        <w:t>- La preuve d'assurance de responsabilité décennale.</w:t>
      </w:r>
    </w:p>
    <w:p>
      <w:pPr>
        <w:pStyle w:val="Normal"/>
        <w:spacing w:beforeAutospacing="1" w:afterAutospacing="1"/>
        <w:jc w:val="both"/>
        <w:rPr/>
      </w:pPr>
      <w:r>
        <w:rPr>
          <w:rFonts w:eastAsia="Times New Roman" w:cs="Tahoma" w:ascii="Tahoma" w:hAnsi="Tahoma"/>
          <w:sz w:val="22"/>
          <w:szCs w:val="22"/>
          <w:lang w:eastAsia="fr-FR"/>
        </w:rPr>
        <w:t>- Les documents justificatifs visés aux articles R. 2143-6 à R. 2143-10 du Code de la commande publique. Le cas échéant, il sera fait application des articles R. 2143-13 et R. 2143-15 du Code de la commande publique.</w:t>
      </w:r>
    </w:p>
    <w:p>
      <w:pPr>
        <w:pStyle w:val="Normal"/>
        <w:spacing w:beforeAutospacing="1" w:afterAutospacing="1"/>
        <w:jc w:val="both"/>
        <w:rPr/>
      </w:pPr>
      <w:r>
        <w:rPr>
          <w:rFonts w:eastAsia="Times New Roman" w:cs="Tahoma" w:ascii="Tahoma" w:hAnsi="Tahoma"/>
          <w:sz w:val="22"/>
          <w:szCs w:val="22"/>
          <w:lang w:eastAsia="fr-FR"/>
        </w:rPr>
        <w:t>Lors de la conclusion du marché et tous les 6 mois jusqu'à la fin de celui-ci, il sera demandé au titulaire du marché de fournir une attestation de vigilance afin de prouver qu'il respecte les règles applicables en matière de lutte contre le travail dissimulé.</w:t>
      </w:r>
    </w:p>
    <w:p>
      <w:pPr>
        <w:pStyle w:val="Titre1"/>
        <w:jc w:val="both"/>
        <w:rPr/>
      </w:pPr>
      <w:bookmarkStart w:id="24" w:name="__RefHeading___Toc5351_1694868853"/>
      <w:bookmarkStart w:id="25" w:name="_Toc232694021"/>
      <w:bookmarkEnd w:id="24"/>
      <w:r>
        <w:rPr/>
        <w:t>Article 13. Critères d’attribution et choix de l’offre</w:t>
      </w:r>
      <w:bookmarkEnd w:id="25"/>
    </w:p>
    <w:p>
      <w:pPr>
        <w:pStyle w:val="Normal"/>
        <w:spacing w:beforeAutospacing="1" w:afterAutospacing="1"/>
        <w:jc w:val="both"/>
        <w:rPr/>
      </w:pPr>
      <w:r>
        <w:rPr>
          <w:rFonts w:eastAsia="Times New Roman" w:cs="Tahoma" w:ascii="Tahoma" w:hAnsi="Tahoma"/>
          <w:sz w:val="22"/>
          <w:szCs w:val="22"/>
          <w:lang w:eastAsia="fr-FR"/>
        </w:rPr>
        <w:t>Le pouvoir adjudicateur attribue le marché au soumissionnaire ayant présenté l'offre économiquement la plus avantageuse en se fondant sur une pluralité de critères.</w:t>
      </w:r>
    </w:p>
    <w:p>
      <w:pPr>
        <w:pStyle w:val="Default"/>
        <w:spacing w:beforeAutospacing="1" w:afterAutospacing="1"/>
        <w:jc w:val="both"/>
        <w:rPr/>
      </w:pPr>
      <w:r>
        <w:rPr>
          <w:rFonts w:eastAsia="Times New Roman" w:cs="Tahoma" w:ascii="Tahoma" w:hAnsi="Tahoma"/>
          <w:sz w:val="22"/>
          <w:szCs w:val="22"/>
          <w:shd w:fill="FFFF00" w:val="clear"/>
          <w:lang w:eastAsia="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maximum de 5 jours.</w:t>
      </w:r>
    </w:p>
    <w:p>
      <w:pPr>
        <w:pStyle w:val="Normal"/>
        <w:spacing w:beforeAutospacing="1" w:afterAutospacing="1"/>
        <w:jc w:val="both"/>
        <w:rPr/>
      </w:pPr>
      <w:r>
        <w:rPr>
          <w:rFonts w:eastAsia="Times New Roman" w:cs="Tahoma" w:ascii="Tahoma" w:hAnsi="Tahoma"/>
          <w:strike w:val="false"/>
          <w:dstrike w:val="false"/>
          <w:sz w:val="22"/>
          <w:szCs w:val="22"/>
          <w:u w:val="none"/>
          <w:lang w:eastAsia="fr-FR"/>
        </w:rPr>
        <w:t>Les candidatures conformes et recevables seront examinées, à partir des seuls renseignements et documents exigés dans le cadre de cette consultation, pour évaluer leur situation juridique ainsi que leurs capacités professionnelles, techniques et financières</w:t>
      </w:r>
      <w:r>
        <w:rPr>
          <w:strike w:val="false"/>
          <w:dstrike w:val="false"/>
          <w:sz w:val="23"/>
          <w:u w:val="none"/>
        </w:rPr>
        <w:t>.</w:t>
      </w:r>
    </w:p>
    <w:p>
      <w:pPr>
        <w:pStyle w:val="Normal"/>
        <w:spacing w:beforeAutospacing="1" w:afterAutospacing="1"/>
        <w:jc w:val="both"/>
        <w:rPr/>
      </w:pPr>
      <w:r>
        <w:rPr>
          <w:rFonts w:eastAsia="Times New Roman" w:cs="Tahoma" w:ascii="Tahoma" w:hAnsi="Tahoma"/>
          <w:b/>
          <w:bCs/>
          <w:sz w:val="22"/>
          <w:szCs w:val="22"/>
          <w:highlight w:val="yellow"/>
          <w:lang w:eastAsia="fr-FR"/>
        </w:rPr>
        <w:t>Les critères listés ci-dessous s'appliquent pour l'attribution du marché.</w:t>
      </w:r>
      <w:r>
        <w:rPr>
          <w:rFonts w:eastAsia="Times New Roman" w:cs="Tahoma" w:ascii="Tahoma" w:hAnsi="Tahoma"/>
          <w:sz w:val="22"/>
          <w:szCs w:val="22"/>
          <w:lang w:eastAsia="fr-FR"/>
        </w:rPr>
        <w:t xml:space="preserve"> </w:t>
      </w:r>
    </w:p>
    <w:tbl>
      <w:tblPr>
        <w:tblW w:w="9056" w:type="dxa"/>
        <w:jc w:val="left"/>
        <w:tblInd w:w="20" w:type="dxa"/>
        <w:tblLayout w:type="fixed"/>
        <w:tblCellMar>
          <w:top w:w="15" w:type="dxa"/>
          <w:left w:w="15" w:type="dxa"/>
          <w:bottom w:w="15" w:type="dxa"/>
          <w:right w:w="15" w:type="dxa"/>
        </w:tblCellMar>
        <w:tblLook w:firstRow="1" w:noVBand="1" w:lastRow="0" w:firstColumn="1" w:lastColumn="0" w:noHBand="0" w:val="04a0"/>
      </w:tblPr>
      <w:tblGrid>
        <w:gridCol w:w="1227"/>
        <w:gridCol w:w="5954"/>
        <w:gridCol w:w="1875"/>
      </w:tblGrid>
      <w:tr>
        <w:trPr/>
        <w:tc>
          <w:tcPr>
            <w:tcW w:w="1227"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N°</w:t>
            </w:r>
          </w:p>
        </w:tc>
        <w:tc>
          <w:tcPr>
            <w:tcW w:w="5954" w:type="dxa"/>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Description</w:t>
            </w:r>
          </w:p>
        </w:tc>
        <w:tc>
          <w:tcPr>
            <w:tcW w:w="1875" w:type="dxa"/>
            <w:tcBorders>
              <w:top w:val="single" w:sz="4" w:space="0" w:color="000000"/>
              <w:left w:val="single" w:sz="4" w:space="0" w:color="000000"/>
              <w:bottom w:val="single" w:sz="4" w:space="0" w:color="000000"/>
              <w:right w:val="single" w:sz="4" w:space="0" w:color="000000"/>
            </w:tcBorders>
            <w:shd w:color="auto" w:fill="B2B2B2"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Pondération</w:t>
            </w:r>
          </w:p>
        </w:tc>
      </w:tr>
      <w:tr>
        <w:trPr/>
        <w:tc>
          <w:tcPr>
            <w:tcW w:w="12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1</w:t>
            </w:r>
          </w:p>
        </w:tc>
        <w:tc>
          <w:tcPr>
            <w:tcW w:w="595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Prix</w:t>
            </w:r>
          </w:p>
        </w:tc>
        <w:tc>
          <w:tcPr>
            <w:tcW w:w="1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40</w:t>
            </w:r>
          </w:p>
        </w:tc>
      </w:tr>
      <w:tr>
        <w:trPr/>
        <w:tc>
          <w:tcPr>
            <w:tcW w:w="12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r>
          </w:p>
        </w:tc>
        <w:tc>
          <w:tcPr>
            <w:tcW w:w="595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i/>
                <w:i/>
                <w:iCs/>
                <w:sz w:val="20"/>
                <w:szCs w:val="21"/>
                <w:lang w:eastAsia="fr-FR"/>
              </w:rPr>
            </w:pPr>
            <w:r>
              <w:rPr>
                <w:rFonts w:eastAsia="Times New Roman" w:cs="Times New Roman" w:ascii="Tahoma,Bold" w:hAnsi="Tahoma,Bold"/>
                <w:i/>
                <w:iCs/>
                <w:sz w:val="20"/>
                <w:szCs w:val="21"/>
                <w:lang w:eastAsia="fr-FR"/>
              </w:rPr>
              <w:t>Règle de trois; Note offre = (prix de l’offre la plus basse / prix de l’offre) * pondération du critère prix</w:t>
            </w:r>
          </w:p>
        </w:tc>
        <w:tc>
          <w:tcPr>
            <w:tcW w:w="1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r>
          </w:p>
        </w:tc>
      </w:tr>
      <w:tr>
        <w:trPr/>
        <w:tc>
          <w:tcPr>
            <w:tcW w:w="12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2</w:t>
            </w:r>
          </w:p>
        </w:tc>
        <w:tc>
          <w:tcPr>
            <w:tcW w:w="595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Capacités techniques et humaines</w:t>
            </w:r>
          </w:p>
        </w:tc>
        <w:tc>
          <w:tcPr>
            <w:tcW w:w="1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20</w:t>
            </w:r>
          </w:p>
        </w:tc>
      </w:tr>
      <w:tr>
        <w:trPr/>
        <w:tc>
          <w:tcPr>
            <w:tcW w:w="12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3</w:t>
            </w:r>
          </w:p>
        </w:tc>
        <w:tc>
          <w:tcPr>
            <w:tcW w:w="595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Délais</w:t>
            </w:r>
          </w:p>
        </w:tc>
        <w:tc>
          <w:tcPr>
            <w:tcW w:w="1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20</w:t>
            </w:r>
          </w:p>
        </w:tc>
      </w:tr>
      <w:tr>
        <w:trPr/>
        <w:tc>
          <w:tcPr>
            <w:tcW w:w="12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 w:hAnsi="Tahoma" w:eastAsia="Times New Roman" w:cs="Tahoma"/>
                <w:sz w:val="20"/>
                <w:szCs w:val="21"/>
                <w:lang w:eastAsia="fr-FR"/>
              </w:rPr>
            </w:pPr>
            <w:r>
              <w:rPr>
                <w:rFonts w:eastAsia="Times New Roman" w:cs="Tahoma" w:ascii="Tahoma" w:hAnsi="Tahoma"/>
                <w:sz w:val="20"/>
                <w:szCs w:val="21"/>
                <w:lang w:eastAsia="fr-FR"/>
              </w:rPr>
              <w:t>4</w:t>
            </w:r>
          </w:p>
        </w:tc>
        <w:tc>
          <w:tcPr>
            <w:tcW w:w="5954"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Mémoire technique</w:t>
            </w:r>
          </w:p>
        </w:tc>
        <w:tc>
          <w:tcPr>
            <w:tcW w:w="1875"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20</w:t>
            </w:r>
          </w:p>
        </w:tc>
      </w:tr>
      <w:tr>
        <w:trPr/>
        <w:tc>
          <w:tcPr>
            <w:tcW w:w="7181" w:type="dxa"/>
            <w:gridSpan w:val="2"/>
            <w:tcBorders>
              <w:top w:val="single" w:sz="4" w:space="0" w:color="000000"/>
              <w:left w:val="single" w:sz="4" w:space="0" w:color="000000"/>
              <w:bottom w:val="single" w:sz="4" w:space="0" w:color="000000"/>
              <w:right w:val="single" w:sz="4" w:space="0" w:color="000000"/>
            </w:tcBorders>
            <w:shd w:color="auto" w:fill="B2B2B2" w:val="clear"/>
            <w:vAlign w:val="cente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Pondération Totale des critères d’attribution :</w:t>
            </w:r>
          </w:p>
        </w:tc>
        <w:tc>
          <w:tcPr>
            <w:tcW w:w="1875" w:type="dxa"/>
            <w:tcBorders>
              <w:top w:val="single" w:sz="4" w:space="0" w:color="000000"/>
              <w:left w:val="single" w:sz="4" w:space="0" w:color="000000"/>
              <w:bottom w:val="single" w:sz="4" w:space="0" w:color="000000"/>
              <w:right w:val="single" w:sz="4" w:space="0" w:color="000000"/>
            </w:tcBorders>
            <w:shd w:color="auto" w:fill="B2B2B2" w:val="clear"/>
          </w:tcPr>
          <w:p>
            <w:pPr>
              <w:pStyle w:val="Normal"/>
              <w:widowControl w:val="false"/>
              <w:spacing w:beforeAutospacing="1" w:after="0"/>
              <w:jc w:val="both"/>
              <w:rPr>
                <w:rFonts w:ascii="Tahoma,Bold" w:hAnsi="Tahoma,Bold" w:eastAsia="Times New Roman" w:cs="Times New Roman"/>
                <w:sz w:val="20"/>
                <w:szCs w:val="21"/>
                <w:lang w:eastAsia="fr-FR"/>
              </w:rPr>
            </w:pPr>
            <w:r>
              <w:rPr>
                <w:rFonts w:eastAsia="Times New Roman" w:cs="Times New Roman" w:ascii="Tahoma,Bold" w:hAnsi="Tahoma,Bold"/>
                <w:sz w:val="20"/>
                <w:szCs w:val="21"/>
                <w:lang w:eastAsia="fr-FR"/>
              </w:rPr>
              <w:t>100</w:t>
            </w:r>
          </w:p>
        </w:tc>
      </w:tr>
    </w:tbl>
    <w:p>
      <w:pPr>
        <w:pStyle w:val="Normal"/>
        <w:spacing w:beforeAutospacing="1" w:afterAutospacing="1"/>
        <w:jc w:val="both"/>
        <w:rPr/>
      </w:pPr>
      <w:r>
        <w:rPr>
          <w:rFonts w:eastAsia="Times New Roman" w:cs="Tahoma" w:ascii="Tahoma" w:hAnsi="Tahoma"/>
          <w:sz w:val="22"/>
          <w:szCs w:val="22"/>
          <w:lang w:eastAsia="fr-FR"/>
        </w:rPr>
        <w:t>Une certaine valeur a été attribuée à chaque critère. Sur la base de l'évaluation de tous ces critères, tenant compte de la valeur attribuée à chacun, le marché sera attribué au candidat présentant l'offre économiquement la plus avantageuse du point de vue du pouvoir adjudicateur.</w:t>
      </w:r>
    </w:p>
    <w:p>
      <w:pPr>
        <w:pStyle w:val="Default"/>
        <w:spacing w:beforeAutospacing="1" w:afterAutospacing="1"/>
        <w:jc w:val="both"/>
        <w:rPr/>
      </w:pPr>
      <w:r>
        <w:rPr>
          <w:rFonts w:eastAsia="Times New Roman" w:cs="Tahoma" w:ascii="Tahoma" w:hAnsi="Tahoma"/>
          <w:strike w:val="false"/>
          <w:dstrike w:val="false"/>
          <w:sz w:val="22"/>
          <w:szCs w:val="22"/>
          <w:u w:val="none"/>
          <w:shd w:fill="FFFF00" w:val="clear"/>
          <w:lang w:eastAsia="fr-FR"/>
        </w:rPr>
        <w:t>Concernant les prix forfaitaires, dans le cas où des erreurs purement matérielles (de multiplication, d'addition ou de report) seraient constatées dans l'offre du candidat, l'entreprise sera invitée à confirmer l'offre rectifiée ; en cas de refus, son offre sera éliminée comme non cohérente.</w:t>
      </w:r>
    </w:p>
    <w:p>
      <w:pPr>
        <w:pStyle w:val="Normal"/>
        <w:spacing w:beforeAutospacing="1" w:afterAutospacing="1"/>
        <w:jc w:val="both"/>
        <w:rPr/>
      </w:pPr>
      <w:r>
        <w:rPr>
          <w:rFonts w:eastAsia="Times New Roman" w:cs="Tahoma" w:ascii="Tahoma" w:hAnsi="Tahoma"/>
          <w:strike w:val="false"/>
          <w:dstrike w:val="false"/>
          <w:sz w:val="22"/>
          <w:szCs w:val="22"/>
          <w:u w:val="none"/>
          <w:shd w:fill="FFFF00" w:val="clear"/>
          <w:lang w:eastAsia="fr-FR"/>
        </w:rPr>
        <w:t>Concernant les prix unitaires, dans le cas où des erreurs purement matérielles (de multiplication, d'addition ou de report) seraient constatées entre les indications portées sur le bordereau des prix unitaires et le détail quantitatif estimatif, le bordereau des prix prévaudra et le montant du détail quantitatif estimatif sera rectifié en conséquence. L'entreprise sera invitée à confirmer l'offre ainsi rectifiée ; en cas de refus, son offre sera éliminée comme non cohérente.</w:t>
      </w:r>
    </w:p>
    <w:p>
      <w:pPr>
        <w:pStyle w:val="Normal"/>
        <w:spacing w:beforeAutospacing="1" w:afterAutospacing="1"/>
        <w:jc w:val="both"/>
        <w:rPr/>
      </w:pPr>
      <w:r>
        <w:rPr>
          <w:rFonts w:eastAsia="Times New Roman" w:cs="Tahoma" w:ascii="Tahoma" w:hAnsi="Tahoma"/>
          <w:sz w:val="22"/>
          <w:szCs w:val="22"/>
          <w:lang w:eastAsia="fr-FR"/>
        </w:rPr>
        <w:t>Si une offre lui paraît anormalement basse, le pouvoir adjudicateur demandera au soumissionnaire d'apporter les précisions et justifications permettant de démontrer que l'offre présentée n'est pas anormalement basse, en application des articles L. 2152-5 à L. 2152-6 et R. 2152-3 à R. 2152-5 du code de la commande publique.</w:t>
      </w:r>
    </w:p>
    <w:p>
      <w:pPr>
        <w:pStyle w:val="Normal"/>
        <w:spacing w:beforeAutospacing="1" w:afterAutospacing="1"/>
        <w:jc w:val="both"/>
        <w:rPr/>
      </w:pPr>
      <w:r>
        <w:rPr>
          <w:rFonts w:eastAsia="Times New Roman" w:cs="Tahoma" w:ascii="Tahoma" w:hAnsi="Tahoma"/>
          <w:sz w:val="22"/>
          <w:szCs w:val="22"/>
          <w:lang w:eastAsia="fr-FR"/>
        </w:rPr>
        <w:t>Si les éléments produits par le soumissionnaire ne permettent pas de justifier de manière satisfaisante le bas niveau des prix proposés ou si le soumissionnaire se trouve dans l'un des cas précisés aux articles R. 2152-4 ou R. 2152-5 du code de la commande publique, son offre est rejetée.</w:t>
      </w:r>
    </w:p>
    <w:p>
      <w:pPr>
        <w:pStyle w:val="Titre1"/>
        <w:jc w:val="both"/>
        <w:rPr/>
      </w:pPr>
      <w:bookmarkStart w:id="26" w:name="__RefHeading___Toc5353_1694868853"/>
      <w:bookmarkStart w:id="27" w:name="_Toc232694022"/>
      <w:bookmarkEnd w:id="26"/>
      <w:r>
        <w:rPr/>
        <w:t>Article 14. Variantes</w:t>
      </w:r>
      <w:bookmarkEnd w:id="27"/>
    </w:p>
    <w:p>
      <w:pPr>
        <w:pStyle w:val="Normal"/>
        <w:spacing w:beforeAutospacing="1" w:afterAutospacing="1"/>
        <w:jc w:val="both"/>
        <w:rPr/>
      </w:pPr>
      <w:r>
        <w:rPr>
          <w:rFonts w:eastAsia="Times New Roman" w:cs="Tahoma" w:ascii="Tahoma" w:hAnsi="Tahoma"/>
          <w:sz w:val="22"/>
          <w:szCs w:val="22"/>
          <w:shd w:fill="FFFF00" w:val="clear"/>
          <w:lang w:eastAsia="fr-FR"/>
        </w:rPr>
        <w:t>La présentation de variantes à l'initiative du soumissionnaire n'est pas autorisée. Aucune variante n'est prévue par le pouvoir adjudicateur.</w:t>
      </w:r>
    </w:p>
    <w:p>
      <w:pPr>
        <w:pStyle w:val="Normal"/>
        <w:spacing w:beforeAutospacing="1" w:afterAutospacing="1"/>
        <w:jc w:val="both"/>
        <w:rPr>
          <w:highlight w:val="none"/>
          <w:shd w:fill="FFFF00" w:val="clear"/>
        </w:rPr>
      </w:pPr>
      <w:r>
        <w:rPr>
          <w:rFonts w:eastAsia="Times New Roman" w:cs="Tahoma" w:ascii="Tahoma" w:hAnsi="Tahoma"/>
          <w:sz w:val="22"/>
          <w:szCs w:val="22"/>
          <w:shd w:fill="FFFF00" w:val="clear"/>
          <w:lang w:eastAsia="fr-FR"/>
        </w:rPr>
        <w:t>Prestations supplémentaires éventuelles :</w:t>
        <w:br/>
      </w:r>
    </w:p>
    <w:p>
      <w:pPr>
        <w:pStyle w:val="Normal"/>
        <w:spacing w:beforeAutospacing="1" w:afterAutospacing="1"/>
        <w:jc w:val="both"/>
        <w:rPr/>
      </w:pPr>
      <w:r>
        <w:rPr>
          <w:rFonts w:eastAsia="Times New Roman" w:cs="Tahoma" w:ascii="Tahoma" w:hAnsi="Tahoma"/>
          <w:sz w:val="22"/>
          <w:szCs w:val="22"/>
          <w:shd w:fill="FFFF00" w:val="clear"/>
          <w:lang w:val="fr-FR" w:eastAsia="fr-FR" w:bidi="ar-SA"/>
        </w:rPr>
        <w:t xml:space="preserve">Le marché comporte des PSE, définies dans les CCTP des lots concernés. Ces prestations s’ajoutent à la prestation de base, et seront </w:t>
      </w:r>
      <w:r>
        <w:rPr>
          <w:rFonts w:eastAsia="Times New Roman" w:cs="Tahoma" w:ascii="Tahoma" w:hAnsi="Tahoma"/>
          <w:sz w:val="22"/>
          <w:szCs w:val="22"/>
          <w:u w:val="single"/>
          <w:shd w:fill="FFFF00" w:val="clear"/>
          <w:lang w:val="fr-FR" w:eastAsia="fr-FR" w:bidi="ar-SA"/>
        </w:rPr>
        <w:t>le cas échéant</w:t>
      </w:r>
      <w:r>
        <w:rPr>
          <w:rFonts w:eastAsia="Times New Roman" w:cs="Tahoma" w:ascii="Tahoma" w:hAnsi="Tahoma"/>
          <w:sz w:val="22"/>
          <w:szCs w:val="22"/>
          <w:shd w:fill="FFFF00" w:val="clear"/>
          <w:lang w:val="fr-FR" w:eastAsia="fr-FR" w:bidi="ar-SA"/>
        </w:rPr>
        <w:t xml:space="preserve"> retenues par le MOA en temps utile.</w:t>
      </w:r>
    </w:p>
    <w:p>
      <w:pPr>
        <w:pStyle w:val="Normal"/>
        <w:spacing w:beforeAutospacing="1" w:afterAutospacing="1"/>
        <w:jc w:val="both"/>
        <w:rPr>
          <w:rFonts w:ascii="Tahoma" w:hAnsi="Tahoma" w:eastAsia="Times New Roman" w:cs="Tahoma"/>
          <w:sz w:val="22"/>
          <w:szCs w:val="22"/>
          <w:shd w:fill="FFFF00" w:val="clear"/>
          <w:lang w:val="fr-FR" w:eastAsia="fr-FR" w:bidi="ar-SA"/>
        </w:rPr>
      </w:pPr>
      <w:r>
        <w:rPr>
          <w:rFonts w:eastAsia="Times New Roman" w:cs="Tahoma" w:ascii="Tahoma" w:hAnsi="Tahoma"/>
          <w:sz w:val="23"/>
          <w:szCs w:val="22"/>
          <w:shd w:fill="FFFF00" w:val="clear"/>
          <w:lang w:val="fr-FR" w:eastAsia="fr-FR" w:bidi="ar-SA"/>
        </w:rPr>
        <w:t xml:space="preserve">Les candidats ont l'obligation de faire une proposition pour chacune des prestations </w:t>
      </w:r>
      <w:r>
        <w:rPr>
          <w:rFonts w:eastAsia="Times New Roman" w:cs="Tahoma" w:ascii="Tahoma" w:hAnsi="Tahoma"/>
          <w:color w:val="000000"/>
          <w:kern w:val="0"/>
          <w:sz w:val="23"/>
          <w:szCs w:val="22"/>
          <w:shd w:fill="FFFF00" w:val="clear"/>
          <w:lang w:val="fr-FR" w:eastAsia="fr-FR" w:bidi="ar-SA"/>
        </w:rPr>
        <w:t xml:space="preserve">supplémentaires éventuelles </w:t>
      </w:r>
    </w:p>
    <w:p>
      <w:pPr>
        <w:pStyle w:val="Titre1"/>
        <w:spacing w:beforeAutospacing="1" w:afterAutospacing="1"/>
        <w:jc w:val="both"/>
        <w:rPr/>
      </w:pPr>
      <w:bookmarkStart w:id="28" w:name="__RefHeading___Toc5353_16948688531"/>
      <w:bookmarkStart w:id="29" w:name="_Toc2326940221"/>
      <w:bookmarkEnd w:id="28"/>
      <w:r>
        <w:rPr>
          <w:rFonts w:eastAsia="Times New Roman" w:cs="Times New Roman" w:ascii="Tahoma,Bold" w:hAnsi="Tahoma,Bold"/>
          <w:b/>
          <w:bCs/>
          <w:lang w:eastAsia="fr-FR"/>
        </w:rPr>
        <w:t>Article 15. Personnes à contacter pour obtenir des renseignements complémentaires</w:t>
      </w:r>
      <w:bookmarkEnd w:id="29"/>
    </w:p>
    <w:p>
      <w:pPr>
        <w:pStyle w:val="Normal"/>
        <w:shd w:val="clear" w:color="auto" w:fill="FFFF00"/>
        <w:spacing w:beforeAutospacing="1" w:afterAutospacing="1"/>
        <w:jc w:val="both"/>
        <w:rPr/>
      </w:pPr>
      <w:r>
        <w:rPr>
          <w:rFonts w:eastAsia="Times New Roman" w:cs="Tahoma" w:ascii="Tahoma" w:hAnsi="Tahoma"/>
          <w:sz w:val="22"/>
          <w:szCs w:val="22"/>
          <w:lang w:eastAsia="fr-FR"/>
        </w:rPr>
        <w:t xml:space="preserve">Pour obtenir tous les renseignements complémentaires qui leur seraient nécessaires au cours de leur étude, les candidats devront faire parvenir leur demande par l’intermédiaire du profil d’acheteur du pouvoir adjudicateur, à l’adresse suivante : </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DDFIP de l’Allier</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Service Budget Immobilier Logistique</w:t>
      </w:r>
    </w:p>
    <w:p>
      <w:pPr>
        <w:pStyle w:val="Normal"/>
        <w:spacing w:lineRule="exact" w:line="283" w:beforeAutospacing="1" w:afterAutospacing="1"/>
        <w:jc w:val="both"/>
        <w:rPr/>
      </w:pPr>
      <w:r>
        <w:rPr>
          <w:rFonts w:eastAsia="Times New Roman" w:cs="Tahoma" w:ascii="Tahoma" w:hAnsi="Tahoma"/>
          <w:sz w:val="22"/>
          <w:szCs w:val="22"/>
          <w:shd w:fill="auto" w:val="clear"/>
          <w:lang w:eastAsia="fr-FR"/>
        </w:rPr>
        <w:t>ddfip03.ppr.logistique@dgfip.finances.gouv.fr</w:t>
      </w:r>
    </w:p>
    <w:p>
      <w:pPr>
        <w:pStyle w:val="Titre1"/>
        <w:jc w:val="both"/>
        <w:rPr>
          <w:rFonts w:eastAsia="Times New Roman"/>
          <w:lang w:eastAsia="fr-FR"/>
        </w:rPr>
      </w:pPr>
      <w:r>
        <w:rPr>
          <w:rFonts w:eastAsia="Times New Roman"/>
          <w:lang w:eastAsia="fr-FR"/>
        </w:rPr>
      </w:r>
    </w:p>
    <w:p>
      <w:pPr>
        <w:pStyle w:val="Titre1"/>
        <w:jc w:val="both"/>
        <w:rPr/>
      </w:pPr>
      <w:bookmarkStart w:id="30" w:name="__RefHeading___Toc5355_1694868853"/>
      <w:bookmarkStart w:id="31" w:name="_Toc232694023"/>
      <w:bookmarkEnd w:id="30"/>
      <w:r>
        <w:rPr>
          <w:rFonts w:eastAsia="Times New Roman"/>
          <w:lang w:eastAsia="fr-FR"/>
        </w:rPr>
        <w:t>Article 16. Visite de site</w:t>
      </w:r>
      <w:bookmarkEnd w:id="31"/>
    </w:p>
    <w:p>
      <w:pPr>
        <w:pStyle w:val="Normal"/>
        <w:jc w:val="both"/>
        <w:rPr>
          <w:rFonts w:ascii="Times New Roman" w:hAnsi="Times New Roman" w:eastAsia="Times New Roman"/>
          <w:lang w:eastAsia="fr-FR"/>
        </w:rPr>
      </w:pPr>
      <w:r>
        <w:rPr>
          <w:rFonts w:eastAsia="Times New Roman" w:ascii="Times New Roman" w:hAnsi="Times New Roman"/>
          <w:lang w:eastAsia="fr-FR"/>
        </w:rPr>
      </w:r>
    </w:p>
    <w:p>
      <w:pPr>
        <w:pStyle w:val="Normal"/>
        <w:spacing w:beforeAutospacing="1" w:afterAutospacing="1"/>
        <w:jc w:val="both"/>
        <w:rPr/>
      </w:pPr>
      <w:r>
        <w:rPr>
          <w:rFonts w:eastAsia="Times New Roman" w:cs="Tahoma" w:ascii="Tahoma" w:hAnsi="Tahoma"/>
          <w:b/>
          <w:bCs/>
          <w:sz w:val="22"/>
          <w:szCs w:val="22"/>
          <w:shd w:fill="FFFF00" w:val="clear"/>
          <w:lang w:eastAsia="fr-FR"/>
        </w:rPr>
        <w:t>Afin de prendre connaissance des contraintes relatives à l’exécution des prestations, les candidats doivent obligatoirement visiter le site. Les visites sont groupées et programmées</w:t>
      </w:r>
    </w:p>
    <w:p>
      <w:pPr>
        <w:pStyle w:val="Normal"/>
        <w:spacing w:beforeAutospacing="1" w:afterAutospacing="1"/>
        <w:jc w:val="both"/>
        <w:rPr/>
      </w:pPr>
      <w:r>
        <w:rPr>
          <w:rFonts w:eastAsia="Times New Roman" w:cs="Tahoma" w:ascii="Tahoma" w:hAnsi="Tahoma"/>
          <w:sz w:val="22"/>
          <w:szCs w:val="22"/>
          <w:lang w:eastAsia="fr-FR"/>
        </w:rPr>
        <w:t>Le soumissionnaire joint à son offre l’attestation en annexe correctement complétée.</w:t>
      </w:r>
    </w:p>
    <w:p>
      <w:pPr>
        <w:pStyle w:val="Normal"/>
        <w:spacing w:beforeAutospacing="1" w:afterAutospacing="1"/>
        <w:jc w:val="both"/>
        <w:rPr/>
      </w:pPr>
      <w:r>
        <w:rPr>
          <w:rFonts w:eastAsia="Times New Roman" w:cs="Tahoma" w:ascii="Tahoma" w:hAnsi="Tahoma"/>
          <w:sz w:val="22"/>
          <w:szCs w:val="22"/>
          <w:highlight w:val="yellow"/>
          <w:lang w:eastAsia="fr-FR"/>
        </w:rPr>
        <w:br/>
        <w:t>Inscription à la visite du chantier sur appel auprès de :</w:t>
      </w:r>
    </w:p>
    <w:p>
      <w:pPr>
        <w:pStyle w:val="Normal"/>
        <w:spacing w:beforeAutospacing="1" w:afterAutospacing="1"/>
        <w:jc w:val="both"/>
        <w:rPr/>
      </w:pPr>
      <w:r>
        <w:rPr>
          <w:rFonts w:eastAsia="Times New Roman" w:cs="Tahoma" w:ascii="Tahoma" w:hAnsi="Tahoma"/>
          <w:sz w:val="22"/>
          <w:szCs w:val="22"/>
          <w:highlight w:val="yellow"/>
          <w:lang w:eastAsia="fr-FR"/>
        </w:rPr>
        <w:t>-</w:t>
      </w:r>
      <w:r>
        <w:rPr>
          <w:rFonts w:eastAsia="Times New Roman" w:cs="Tahoma" w:ascii="Tahoma" w:hAnsi="Tahoma"/>
          <w:b/>
          <w:bCs/>
          <w:sz w:val="22"/>
          <w:szCs w:val="22"/>
          <w:highlight w:val="yellow"/>
          <w:lang w:eastAsia="fr-FR"/>
        </w:rPr>
        <w:t>M Ludovic Rouilleris, chef de service</w:t>
      </w:r>
    </w:p>
    <w:p>
      <w:pPr>
        <w:pStyle w:val="Normal"/>
        <w:spacing w:lineRule="exact" w:line="283" w:beforeAutospacing="1" w:afterAutospacing="1"/>
        <w:jc w:val="both"/>
        <w:rPr/>
      </w:pPr>
      <w:r>
        <w:rPr>
          <w:rFonts w:eastAsia="Times New Roman" w:cs="Tahoma" w:ascii="Tahoma" w:hAnsi="Tahoma"/>
          <w:b/>
          <w:bCs/>
          <w:sz w:val="22"/>
          <w:szCs w:val="22"/>
          <w:lang w:eastAsia="fr-FR"/>
        </w:rPr>
        <w:t>06 11 22 37 33</w:t>
      </w:r>
    </w:p>
    <w:p>
      <w:pPr>
        <w:pStyle w:val="Normal"/>
        <w:spacing w:beforeAutospacing="1" w:afterAutospacing="1"/>
        <w:jc w:val="both"/>
        <w:rPr/>
      </w:pPr>
      <w:r>
        <w:rPr>
          <w:rFonts w:eastAsia="Times New Roman" w:cs="Tahoma" w:ascii="Tahoma" w:hAnsi="Tahoma"/>
          <w:sz w:val="22"/>
          <w:szCs w:val="22"/>
          <w:highlight w:val="yellow"/>
          <w:lang w:eastAsia="fr-FR"/>
        </w:rPr>
        <w:t xml:space="preserve">et par email : </w:t>
      </w:r>
      <w:r>
        <w:rPr>
          <w:rFonts w:eastAsia="Times New Roman" w:cs="Tahoma" w:ascii="Tahoma" w:hAnsi="Tahoma"/>
          <w:sz w:val="22"/>
          <w:szCs w:val="22"/>
          <w:shd w:fill="auto" w:val="clear"/>
          <w:lang w:eastAsia="fr-FR"/>
        </w:rPr>
        <w:t>ddfip03.ppr.logistique@dgfip.finances.gouv.fr</w:t>
      </w:r>
    </w:p>
    <w:p>
      <w:pPr>
        <w:pStyle w:val="Normal"/>
        <w:spacing w:beforeAutospacing="1" w:afterAutospacing="1"/>
        <w:jc w:val="both"/>
        <w:rPr/>
      </w:pPr>
      <w:r>
        <w:rPr>
          <w:rFonts w:eastAsia="Times New Roman" w:cs="Tahoma" w:ascii="Tahoma" w:hAnsi="Tahoma"/>
          <w:b/>
          <w:bCs/>
          <w:sz w:val="22"/>
          <w:szCs w:val="22"/>
          <w:highlight w:val="yellow"/>
          <w:lang w:eastAsia="fr-FR"/>
        </w:rPr>
        <w:t xml:space="preserve">DATE </w:t>
      </w:r>
      <w:r>
        <w:rPr>
          <w:rFonts w:eastAsia="Times New Roman" w:cs="Tahoma" w:ascii="Tahoma" w:hAnsi="Tahoma"/>
          <w:b/>
          <w:bCs/>
          <w:sz w:val="22"/>
          <w:szCs w:val="22"/>
          <w:highlight w:val="yellow"/>
          <w:lang w:eastAsia="fr-FR"/>
        </w:rPr>
        <w:t xml:space="preserve">PREFERENTIELLES </w:t>
      </w:r>
      <w:r>
        <w:rPr>
          <w:rFonts w:eastAsia="Times New Roman" w:cs="Tahoma" w:ascii="Tahoma" w:hAnsi="Tahoma"/>
          <w:b/>
          <w:bCs/>
          <w:sz w:val="22"/>
          <w:szCs w:val="22"/>
          <w:highlight w:val="yellow"/>
          <w:lang w:eastAsia="fr-FR"/>
        </w:rPr>
        <w:t xml:space="preserve">DES VISITES : </w:t>
      </w:r>
    </w:p>
    <w:p>
      <w:pPr>
        <w:pStyle w:val="Normal"/>
        <w:spacing w:beforeAutospacing="1" w:afterAutospacing="1"/>
        <w:jc w:val="both"/>
        <w:rPr/>
      </w:pPr>
      <w:r>
        <w:rPr>
          <w:rFonts w:eastAsia="Times New Roman" w:cs="Tahoma" w:ascii="Tahoma" w:hAnsi="Tahoma"/>
          <w:b/>
          <w:bCs/>
          <w:sz w:val="22"/>
          <w:szCs w:val="22"/>
          <w:highlight w:val="yellow"/>
          <w:lang w:eastAsia="fr-FR"/>
        </w:rPr>
        <w:t xml:space="preserve">- le </w:t>
      </w:r>
      <w:r>
        <w:rPr>
          <w:rFonts w:eastAsia="Times New Roman" w:cs="Tahoma" w:ascii="Tahoma" w:hAnsi="Tahoma"/>
          <w:b/>
          <w:bCs/>
          <w:sz w:val="22"/>
          <w:szCs w:val="22"/>
          <w:highlight w:val="yellow"/>
          <w:lang w:eastAsia="fr-FR"/>
        </w:rPr>
        <w:t>jeudi</w:t>
      </w:r>
      <w:r>
        <w:rPr>
          <w:rFonts w:eastAsia="Times New Roman" w:cs="Tahoma" w:ascii="Tahoma" w:hAnsi="Tahoma"/>
          <w:b/>
          <w:bCs/>
          <w:sz w:val="22"/>
          <w:szCs w:val="22"/>
          <w:highlight w:val="yellow"/>
          <w:lang w:eastAsia="fr-FR"/>
        </w:rPr>
        <w:t xml:space="preserve"> </w:t>
      </w:r>
      <w:r>
        <w:rPr>
          <w:rFonts w:eastAsia="Times New Roman" w:cs="Tahoma" w:ascii="Tahoma" w:hAnsi="Tahoma"/>
          <w:b/>
          <w:bCs/>
          <w:sz w:val="22"/>
          <w:szCs w:val="22"/>
          <w:highlight w:val="yellow"/>
          <w:lang w:eastAsia="fr-FR"/>
        </w:rPr>
        <w:t>16</w:t>
      </w:r>
      <w:r>
        <w:rPr>
          <w:rFonts w:eastAsia="Times New Roman" w:cs="Tahoma" w:ascii="Tahoma" w:hAnsi="Tahoma"/>
          <w:b/>
          <w:bCs/>
          <w:sz w:val="22"/>
          <w:szCs w:val="22"/>
          <w:highlight w:val="yellow"/>
          <w:lang w:eastAsia="fr-FR"/>
        </w:rPr>
        <w:t xml:space="preserve"> juillet 2026 de 08h00 à 1</w:t>
      </w:r>
      <w:r>
        <w:rPr>
          <w:rFonts w:eastAsia="Times New Roman" w:cs="Tahoma" w:ascii="Tahoma" w:hAnsi="Tahoma"/>
          <w:b/>
          <w:bCs/>
          <w:sz w:val="22"/>
          <w:szCs w:val="22"/>
          <w:highlight w:val="yellow"/>
          <w:lang w:eastAsia="fr-FR"/>
        </w:rPr>
        <w:t>6</w:t>
      </w:r>
      <w:r>
        <w:rPr>
          <w:rFonts w:eastAsia="Times New Roman" w:cs="Tahoma" w:ascii="Tahoma" w:hAnsi="Tahoma"/>
          <w:b/>
          <w:bCs/>
          <w:sz w:val="22"/>
          <w:szCs w:val="22"/>
          <w:highlight w:val="yellow"/>
          <w:lang w:eastAsia="fr-FR"/>
        </w:rPr>
        <w:t>h00</w:t>
      </w:r>
    </w:p>
    <w:p>
      <w:pPr>
        <w:pStyle w:val="Normal"/>
        <w:spacing w:beforeAutospacing="1" w:afterAutospacing="1"/>
        <w:jc w:val="both"/>
        <w:rPr/>
      </w:pPr>
      <w:r>
        <w:rPr>
          <w:rFonts w:eastAsia="Times New Roman" w:cs="Tahoma" w:ascii="Tahoma" w:hAnsi="Tahoma"/>
          <w:b/>
          <w:bCs/>
          <w:sz w:val="22"/>
          <w:szCs w:val="22"/>
          <w:highlight w:val="yellow"/>
          <w:lang w:eastAsia="fr-FR"/>
        </w:rPr>
        <w:t xml:space="preserve">- le jeudi </w:t>
      </w:r>
      <w:r>
        <w:rPr>
          <w:rFonts w:eastAsia="Times New Roman" w:cs="Tahoma" w:ascii="Tahoma" w:hAnsi="Tahoma"/>
          <w:b/>
          <w:bCs/>
          <w:sz w:val="22"/>
          <w:szCs w:val="22"/>
          <w:highlight w:val="yellow"/>
          <w:lang w:eastAsia="fr-FR"/>
        </w:rPr>
        <w:t>23</w:t>
      </w:r>
      <w:r>
        <w:rPr>
          <w:rFonts w:eastAsia="Times New Roman" w:cs="Tahoma" w:ascii="Tahoma" w:hAnsi="Tahoma"/>
          <w:b/>
          <w:bCs/>
          <w:sz w:val="22"/>
          <w:szCs w:val="22"/>
          <w:highlight w:val="yellow"/>
          <w:lang w:eastAsia="fr-FR"/>
        </w:rPr>
        <w:t xml:space="preserve"> juillet 2026 de </w:t>
      </w:r>
      <w:r>
        <w:rPr>
          <w:rFonts w:eastAsia="Times New Roman" w:cs="Tahoma" w:ascii="Tahoma" w:hAnsi="Tahoma"/>
          <w:b/>
          <w:bCs/>
          <w:sz w:val="22"/>
          <w:szCs w:val="22"/>
          <w:highlight w:val="yellow"/>
          <w:lang w:eastAsia="fr-FR"/>
        </w:rPr>
        <w:t>09</w:t>
      </w:r>
      <w:r>
        <w:rPr>
          <w:rFonts w:eastAsia="Times New Roman" w:cs="Tahoma" w:ascii="Tahoma" w:hAnsi="Tahoma"/>
          <w:b/>
          <w:bCs/>
          <w:sz w:val="22"/>
          <w:szCs w:val="22"/>
          <w:highlight w:val="yellow"/>
          <w:lang w:eastAsia="fr-FR"/>
        </w:rPr>
        <w:t>h</w:t>
      </w:r>
      <w:r>
        <w:rPr>
          <w:rFonts w:eastAsia="Times New Roman" w:cs="Tahoma" w:ascii="Tahoma" w:hAnsi="Tahoma"/>
          <w:b/>
          <w:bCs/>
          <w:sz w:val="22"/>
          <w:szCs w:val="22"/>
          <w:highlight w:val="yellow"/>
          <w:lang w:eastAsia="fr-FR"/>
        </w:rPr>
        <w:t>3</w:t>
      </w:r>
      <w:r>
        <w:rPr>
          <w:rFonts w:eastAsia="Times New Roman" w:cs="Tahoma" w:ascii="Tahoma" w:hAnsi="Tahoma"/>
          <w:b/>
          <w:bCs/>
          <w:sz w:val="22"/>
          <w:szCs w:val="22"/>
          <w:highlight w:val="yellow"/>
          <w:lang w:eastAsia="fr-FR"/>
        </w:rPr>
        <w:t>0 à 1</w:t>
      </w:r>
      <w:r>
        <w:rPr>
          <w:rFonts w:eastAsia="Times New Roman" w:cs="Tahoma" w:ascii="Tahoma" w:hAnsi="Tahoma"/>
          <w:b/>
          <w:bCs/>
          <w:sz w:val="22"/>
          <w:szCs w:val="22"/>
          <w:highlight w:val="yellow"/>
          <w:lang w:eastAsia="fr-FR"/>
        </w:rPr>
        <w:t>5</w:t>
      </w:r>
      <w:r>
        <w:rPr>
          <w:rFonts w:eastAsia="Times New Roman" w:cs="Tahoma" w:ascii="Tahoma" w:hAnsi="Tahoma"/>
          <w:b/>
          <w:bCs/>
          <w:sz w:val="22"/>
          <w:szCs w:val="22"/>
          <w:highlight w:val="yellow"/>
          <w:lang w:eastAsia="fr-FR"/>
        </w:rPr>
        <w:t>h00</w:t>
      </w:r>
    </w:p>
    <w:p>
      <w:pPr>
        <w:pStyle w:val="Titre1"/>
        <w:jc w:val="both"/>
        <w:rPr/>
      </w:pPr>
      <w:r>
        <w:rPr/>
      </w:r>
    </w:p>
    <w:p>
      <w:pPr>
        <w:pStyle w:val="Titre1"/>
        <w:jc w:val="both"/>
        <w:rPr/>
      </w:pPr>
      <w:bookmarkStart w:id="32" w:name="__RefHeading___Toc5357_1694868853"/>
      <w:bookmarkStart w:id="33" w:name="_Toc232694024"/>
      <w:bookmarkEnd w:id="32"/>
      <w:r>
        <w:rPr/>
        <w:t>Article 17. Litiges et différends</w:t>
      </w:r>
      <w:bookmarkEnd w:id="33"/>
      <w:r>
        <w:rPr/>
        <w:t xml:space="preserve"> </w:t>
      </w:r>
    </w:p>
    <w:p>
      <w:pPr>
        <w:pStyle w:val="Normal"/>
        <w:spacing w:beforeAutospacing="1" w:afterAutospacing="1"/>
        <w:jc w:val="both"/>
        <w:rPr/>
      </w:pPr>
      <w:r>
        <w:rPr>
          <w:rFonts w:eastAsia="Times New Roman" w:cs="Tahoma" w:ascii="Tahoma" w:hAnsi="Tahoma"/>
          <w:sz w:val="22"/>
          <w:szCs w:val="22"/>
          <w:lang w:eastAsia="fr-FR"/>
        </w:rPr>
        <w:t>En cas de litige, les coordonnées du service auprès duquel des renseignements peuvent être obtenus concernant l’introduction des recours et de l’instance chargée des procédures de recours sont les suivantes :</w:t>
      </w:r>
    </w:p>
    <w:p>
      <w:pPr>
        <w:pStyle w:val="Normal"/>
        <w:spacing w:before="0" w:after="0"/>
        <w:jc w:val="both"/>
        <w:rPr/>
      </w:pPr>
      <w:r>
        <w:rPr>
          <w:rFonts w:eastAsia="Times New Roman" w:cs="Tahoma" w:ascii="Tahoma" w:hAnsi="Tahoma"/>
          <w:sz w:val="22"/>
          <w:szCs w:val="22"/>
          <w:shd w:fill="auto" w:val="clear"/>
          <w:lang w:eastAsia="fr-FR"/>
        </w:rPr>
        <w:t>Tribunal administratif de Clermont Ferrand</w:t>
      </w:r>
    </w:p>
    <w:p>
      <w:pPr>
        <w:pStyle w:val="Normal"/>
        <w:spacing w:before="0" w:after="0"/>
        <w:jc w:val="both"/>
        <w:rPr/>
      </w:pPr>
      <w:r>
        <w:rPr>
          <w:rFonts w:eastAsia="Times New Roman" w:cs="Tahoma" w:ascii="Tahoma" w:hAnsi="Tahoma"/>
          <w:sz w:val="22"/>
          <w:szCs w:val="22"/>
          <w:shd w:fill="auto" w:val="clear"/>
          <w:lang w:eastAsia="fr-FR"/>
        </w:rPr>
        <w:t>Tél. : 04 73 14 61 00</w:t>
      </w:r>
    </w:p>
    <w:p>
      <w:pPr>
        <w:pStyle w:val="Normal"/>
        <w:spacing w:before="0" w:after="0"/>
        <w:jc w:val="both"/>
        <w:rPr/>
      </w:pPr>
      <w:r>
        <w:rPr>
          <w:rFonts w:eastAsia="Times New Roman" w:cs="Tahoma" w:ascii="Tahoma" w:hAnsi="Tahoma"/>
          <w:sz w:val="22"/>
          <w:szCs w:val="22"/>
          <w:shd w:fill="auto" w:val="clear"/>
          <w:lang w:eastAsia="fr-FR"/>
        </w:rPr>
        <w:t>Fax : 04 73 14 61 22</w:t>
      </w:r>
    </w:p>
    <w:p>
      <w:pPr>
        <w:pStyle w:val="Normal"/>
        <w:spacing w:before="0" w:after="0"/>
        <w:jc w:val="both"/>
        <w:rPr/>
      </w:pPr>
      <w:r>
        <w:rPr>
          <w:rFonts w:eastAsia="Times New Roman" w:cs="Tahoma" w:ascii="Tahoma" w:hAnsi="Tahoma"/>
          <w:sz w:val="22"/>
          <w:szCs w:val="22"/>
          <w:shd w:fill="auto" w:val="clear"/>
          <w:lang w:eastAsia="fr-FR"/>
        </w:rPr>
        <w:t xml:space="preserve">Email : </w:t>
      </w:r>
      <w:r>
        <w:rPr>
          <w:rStyle w:val="LienInternet"/>
          <w:rFonts w:eastAsia="Times New Roman" w:cs="Tahoma" w:ascii="Tahoma" w:hAnsi="Tahoma"/>
          <w:color w:val="0000FF"/>
          <w:sz w:val="22"/>
          <w:szCs w:val="22"/>
          <w:shd w:fill="auto" w:val="clear"/>
          <w:lang w:eastAsia="fr-FR"/>
        </w:rPr>
        <w:t>greffe.ta-clermont-ferrand@juradm.fr</w:t>
      </w:r>
    </w:p>
    <w:p>
      <w:pPr>
        <w:pStyle w:val="Normal"/>
        <w:spacing w:beforeAutospacing="1" w:afterAutospacing="1"/>
        <w:jc w:val="both"/>
        <w:rPr/>
      </w:pPr>
      <w:r>
        <w:rPr>
          <w:rFonts w:eastAsia="Times New Roman" w:cs="Tahoma" w:ascii="Tahoma" w:hAnsi="Tahoma"/>
          <w:sz w:val="22"/>
          <w:szCs w:val="22"/>
          <w:shd w:fill="auto" w:val="clear"/>
          <w:lang w:eastAsia="fr-FR"/>
        </w:rPr>
        <w:t>Les coordonnées de l’instance chargée des procédures de médiation sont les suivantes :</w:t>
      </w:r>
    </w:p>
    <w:p>
      <w:pPr>
        <w:pStyle w:val="Normal"/>
        <w:spacing w:before="0" w:after="0"/>
        <w:jc w:val="both"/>
        <w:rPr/>
      </w:pPr>
      <w:r>
        <w:rPr>
          <w:rFonts w:eastAsia="Times New Roman" w:cs="Tahoma" w:ascii="Tahoma" w:hAnsi="Tahoma"/>
          <w:sz w:val="22"/>
          <w:szCs w:val="22"/>
          <w:shd w:fill="auto" w:val="clear"/>
          <w:lang w:eastAsia="fr-FR"/>
        </w:rPr>
        <w:t>Tribunal administratif de Clermont Ferrand</w:t>
      </w:r>
    </w:p>
    <w:p>
      <w:pPr>
        <w:pStyle w:val="Normal"/>
        <w:spacing w:before="0" w:after="0"/>
        <w:jc w:val="both"/>
        <w:rPr/>
      </w:pPr>
      <w:r>
        <w:rPr>
          <w:rFonts w:eastAsia="Times New Roman" w:cs="Tahoma" w:ascii="Tahoma" w:hAnsi="Tahoma"/>
          <w:sz w:val="22"/>
          <w:szCs w:val="22"/>
          <w:shd w:fill="auto" w:val="clear"/>
          <w:lang w:eastAsia="fr-FR"/>
        </w:rPr>
        <w:t>Tél. : 04 73 14 61 00</w:t>
      </w:r>
    </w:p>
    <w:p>
      <w:pPr>
        <w:pStyle w:val="Normal"/>
        <w:spacing w:before="0" w:after="0"/>
        <w:jc w:val="both"/>
        <w:rPr/>
      </w:pPr>
      <w:r>
        <w:rPr>
          <w:rFonts w:eastAsia="Times New Roman" w:cs="Tahoma" w:ascii="Tahoma" w:hAnsi="Tahoma"/>
          <w:sz w:val="22"/>
          <w:szCs w:val="22"/>
          <w:shd w:fill="auto" w:val="clear"/>
          <w:lang w:eastAsia="fr-FR"/>
        </w:rPr>
        <w:t>Fax : 04 73 14 61 22</w:t>
      </w:r>
    </w:p>
    <w:p>
      <w:pPr>
        <w:pStyle w:val="Normal"/>
        <w:spacing w:before="0" w:after="0"/>
        <w:jc w:val="both"/>
        <w:rPr/>
      </w:pPr>
      <w:r>
        <w:rPr>
          <w:rFonts w:eastAsia="Times New Roman" w:cs="Tahoma" w:ascii="Tahoma" w:hAnsi="Tahoma"/>
          <w:sz w:val="22"/>
          <w:szCs w:val="22"/>
          <w:shd w:fill="auto" w:val="clear"/>
          <w:lang w:eastAsia="fr-FR"/>
        </w:rPr>
        <w:t xml:space="preserve">Email : </w:t>
      </w:r>
      <w:hyperlink r:id="rId3">
        <w:r>
          <w:rPr>
            <w:rStyle w:val="LienInternet"/>
            <w:rFonts w:eastAsia="Times New Roman" w:cs="Tahoma" w:ascii="Tahoma" w:hAnsi="Tahoma"/>
            <w:color w:val="0000FF"/>
            <w:sz w:val="22"/>
            <w:szCs w:val="22"/>
            <w:shd w:fill="auto" w:val="clear"/>
            <w:lang w:eastAsia="fr-FR"/>
          </w:rPr>
          <w:t>greffe.ta-clermont-ferrand@juradm.fr</w:t>
        </w:r>
      </w:hyperlink>
    </w:p>
    <w:p>
      <w:pPr>
        <w:pStyle w:val="Normal"/>
        <w:numPr>
          <w:ilvl w:val="0"/>
          <w:numId w:val="2"/>
        </w:numPr>
        <w:spacing w:beforeAutospacing="1" w:after="0"/>
        <w:jc w:val="both"/>
        <w:rPr/>
      </w:pPr>
      <w:r>
        <w:rPr>
          <w:rFonts w:eastAsia="Times New Roman" w:cs="Times New Roman" w:ascii="Tahoma,Bold" w:hAnsi="Tahoma,Bold"/>
          <w:b/>
          <w:bCs/>
          <w:sz w:val="22"/>
          <w:szCs w:val="22"/>
          <w:lang w:eastAsia="fr-FR"/>
        </w:rPr>
        <w:t>Référé pré-contractuel</w:t>
      </w:r>
      <w:r>
        <w:rPr>
          <w:rFonts w:eastAsia="Times New Roman" w:cs="Times New Roman" w:ascii="Tahoma,Bold" w:hAnsi="Tahoma,Bold"/>
          <w:sz w:val="22"/>
          <w:szCs w:val="22"/>
          <w:lang w:eastAsia="fr-FR"/>
        </w:rPr>
        <w:t xml:space="preserve"> </w:t>
      </w:r>
      <w:r>
        <w:rPr>
          <w:rFonts w:eastAsia="Times New Roman" w:cs="Tahoma" w:ascii="Tahoma" w:hAnsi="Tahoma"/>
          <w:sz w:val="22"/>
          <w:szCs w:val="22"/>
          <w:lang w:eastAsia="fr-FR"/>
        </w:rPr>
        <w:t xml:space="preserve">prévu aux articles L.551-1 à L.551-12 du Code de Justice Administrative (CJA) et pouvant être exercé avant la signature du contrat. </w:t>
      </w:r>
    </w:p>
    <w:p>
      <w:pPr>
        <w:pStyle w:val="Normal"/>
        <w:numPr>
          <w:ilvl w:val="0"/>
          <w:numId w:val="2"/>
        </w:numPr>
        <w:spacing w:before="0" w:after="0"/>
        <w:jc w:val="both"/>
        <w:rPr/>
      </w:pPr>
      <w:r>
        <w:rPr>
          <w:rFonts w:eastAsia="Times New Roman" w:cs="Times New Roman" w:ascii="Tahoma,Bold" w:hAnsi="Tahoma,Bold"/>
          <w:b/>
          <w:bCs/>
          <w:sz w:val="22"/>
          <w:szCs w:val="22"/>
          <w:lang w:eastAsia="fr-FR"/>
        </w:rPr>
        <w:t xml:space="preserve">Référé contractuel </w:t>
      </w:r>
      <w:r>
        <w:rPr>
          <w:rFonts w:eastAsia="Times New Roman" w:cs="Tahoma" w:ascii="Tahoma" w:hAnsi="Tahoma"/>
          <w:sz w:val="22"/>
          <w:szCs w:val="22"/>
          <w:lang w:eastAsia="fr-FR"/>
        </w:rPr>
        <w:t xml:space="preserve">prévu aux articles L.551-13 à L.551-23 du CJA et pouvant être exercé dans les délais prévus à l’article R. 551-7 du CJA. </w:t>
      </w:r>
    </w:p>
    <w:p>
      <w:pPr>
        <w:pStyle w:val="Normal"/>
        <w:numPr>
          <w:ilvl w:val="0"/>
          <w:numId w:val="2"/>
        </w:numPr>
        <w:spacing w:before="0" w:after="0"/>
        <w:jc w:val="both"/>
        <w:rPr/>
      </w:pPr>
      <w:r>
        <w:rPr>
          <w:rFonts w:eastAsia="Times New Roman" w:cs="Times New Roman" w:ascii="Tahoma,Bold" w:hAnsi="Tahoma,Bold"/>
          <w:b/>
          <w:bCs/>
          <w:sz w:val="22"/>
          <w:szCs w:val="22"/>
          <w:lang w:eastAsia="fr-FR"/>
        </w:rPr>
        <w:t>Recours pour excès de pouvoir</w:t>
      </w:r>
      <w:r>
        <w:rPr>
          <w:rFonts w:eastAsia="Times New Roman" w:cs="Times New Roman" w:ascii="Tahoma,Bold" w:hAnsi="Tahoma,Bold"/>
          <w:sz w:val="22"/>
          <w:szCs w:val="22"/>
          <w:lang w:eastAsia="fr-FR"/>
        </w:rPr>
        <w:t xml:space="preserve"> </w:t>
      </w:r>
      <w:r>
        <w:rPr>
          <w:rFonts w:eastAsia="Times New Roman" w:cs="Tahoma" w:ascii="Tahoma" w:hAnsi="Tahoma"/>
          <w:sz w:val="22"/>
          <w:szCs w:val="22"/>
          <w:lang w:eastAsia="fr-FR"/>
        </w:rPr>
        <w:t xml:space="preserve">contre une décision administrative prévu aux article R. 421-7 à R. 421-7 du CJA et pouvant être exercé dans un délai de 2 mois suivant la notification ou publication de la décision de l’organisme (le recours ne peut plus, toutefois, être exercé après la signature du contrat). </w:t>
      </w:r>
    </w:p>
    <w:p>
      <w:pPr>
        <w:pStyle w:val="Normal"/>
        <w:numPr>
          <w:ilvl w:val="0"/>
          <w:numId w:val="2"/>
        </w:numPr>
        <w:spacing w:before="0" w:afterAutospacing="1"/>
        <w:jc w:val="both"/>
        <w:rPr/>
      </w:pPr>
      <w:r>
        <w:rPr>
          <w:rFonts w:eastAsia="Times New Roman" w:cs="Times New Roman" w:ascii="Tahoma,Bold" w:hAnsi="Tahoma,Bold"/>
          <w:b/>
          <w:bCs/>
          <w:sz w:val="22"/>
          <w:szCs w:val="22"/>
          <w:lang w:eastAsia="fr-FR"/>
        </w:rPr>
        <w:t>Recours de pleine juridiction</w:t>
      </w:r>
      <w:r>
        <w:rPr>
          <w:rFonts w:eastAsia="Times New Roman" w:cs="Times New Roman" w:ascii="Tahoma,Bold" w:hAnsi="Tahoma,Bold"/>
          <w:sz w:val="22"/>
          <w:szCs w:val="22"/>
          <w:lang w:eastAsia="fr-FR"/>
        </w:rPr>
        <w:t xml:space="preserve"> </w:t>
      </w:r>
      <w:r>
        <w:rPr>
          <w:rFonts w:eastAsia="Times New Roman" w:cs="Tahoma" w:ascii="Tahoma" w:hAnsi="Tahoma"/>
          <w:sz w:val="22"/>
          <w:szCs w:val="22"/>
          <w:lang w:eastAsia="fr-FR"/>
        </w:rPr>
        <w:t xml:space="preserve">ouvert aux tiers justifiant d’un intérêt lésé et pouvant être exercé dans les deux mois suivant la date à laquelle la conclusion du contrat est rendue publique. </w:t>
      </w:r>
    </w:p>
    <w:sectPr>
      <w:headerReference w:type="default" r:id="rId4"/>
      <w:footerReference w:type="default" r:id="rId5"/>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Calibri Light">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entury Gothic">
    <w:charset w:val="00"/>
    <w:family w:val="roman"/>
    <w:pitch w:val="variable"/>
  </w:font>
  <w:font w:name="Tahoma">
    <w:altName w:val="Bold"/>
    <w:charset w:val="00"/>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Autospacing="1" w:afterAutospacing="1"/>
      <w:rPr>
        <w:rFonts w:ascii="Times New Roman" w:hAnsi="Times New Roman" w:eastAsia="Times New Roman" w:cs="Times New Roman"/>
        <w:b/>
        <w:b/>
        <w:bCs/>
        <w:lang w:eastAsia="fr-FR"/>
      </w:rPr>
    </w:pPr>
    <w:r>
      <w:rPr>
        <w:rFonts w:eastAsia="Times New Roman" w:cs="Tahoma" w:ascii="Tahoma" w:hAnsi="Tahoma"/>
        <w:b/>
        <w:bCs/>
        <w:sz w:val="18"/>
        <w:szCs w:val="18"/>
        <w:lang w:eastAsia="fr-FR"/>
      </w:rPr>
      <w:t xml:space="preserve">Page </w:t>
    </w:r>
    <w:r>
      <w:rPr>
        <w:rFonts w:eastAsia="Times New Roman" w:cs="Times New Roman" w:ascii="Tahoma,Bold" w:hAnsi="Tahoma,Bold"/>
        <w:b/>
        <w:bCs/>
        <w:sz w:val="18"/>
        <w:szCs w:val="18"/>
        <w:lang w:eastAsia="fr-FR"/>
      </w:rPr>
      <w:fldChar w:fldCharType="begin"/>
    </w:r>
    <w:r>
      <w:rPr>
        <w:sz w:val="18"/>
        <w:b/>
        <w:szCs w:val="18"/>
        <w:bCs/>
        <w:rFonts w:eastAsia="Times New Roman" w:cs="Times New Roman" w:ascii="Tahoma,Bold" w:hAnsi="Tahoma,Bold"/>
        <w:lang w:eastAsia="fr-FR"/>
      </w:rPr>
      <w:instrText> PAGE </w:instrText>
    </w:r>
    <w:r>
      <w:rPr>
        <w:sz w:val="18"/>
        <w:b/>
        <w:szCs w:val="18"/>
        <w:bCs/>
        <w:rFonts w:eastAsia="Times New Roman" w:cs="Times New Roman" w:ascii="Tahoma,Bold" w:hAnsi="Tahoma,Bold"/>
        <w:lang w:eastAsia="fr-FR"/>
      </w:rPr>
      <w:fldChar w:fldCharType="separate"/>
    </w:r>
    <w:r>
      <w:rPr>
        <w:sz w:val="18"/>
        <w:b/>
        <w:szCs w:val="18"/>
        <w:bCs/>
        <w:rFonts w:eastAsia="Times New Roman" w:cs="Times New Roman" w:ascii="Tahoma,Bold" w:hAnsi="Tahoma,Bold"/>
        <w:lang w:eastAsia="fr-FR"/>
      </w:rPr>
      <w:t>14</w:t>
    </w:r>
    <w:r>
      <w:rPr>
        <w:sz w:val="18"/>
        <w:b/>
        <w:szCs w:val="18"/>
        <w:bCs/>
        <w:rFonts w:eastAsia="Times New Roman" w:cs="Times New Roman" w:ascii="Tahoma,Bold" w:hAnsi="Tahoma,Bold"/>
        <w:lang w:eastAsia="fr-FR"/>
      </w:rPr>
      <w:fldChar w:fldCharType="end"/>
    </w:r>
    <w:r>
      <w:rPr>
        <w:rFonts w:eastAsia="Times New Roman" w:cs="Times New Roman" w:ascii="Tahoma,Bold" w:hAnsi="Tahoma,Bold"/>
        <w:b/>
        <w:bCs/>
        <w:sz w:val="18"/>
        <w:szCs w:val="18"/>
        <w:lang w:eastAsia="fr-FR"/>
      </w:rPr>
      <w:t xml:space="preserve"> </w:t>
    </w:r>
    <w:r>
      <w:rPr>
        <w:rFonts w:eastAsia="Times New Roman" w:cs="Tahoma" w:ascii="Tahoma" w:hAnsi="Tahoma"/>
        <w:b/>
        <w:bCs/>
        <w:sz w:val="18"/>
        <w:szCs w:val="18"/>
        <w:lang w:eastAsia="fr-FR"/>
      </w:rPr>
      <w:t xml:space="preserve">sur </w:t>
    </w:r>
    <w:r>
      <w:rPr>
        <w:rFonts w:eastAsia="Times New Roman" w:cs="Times New Roman" w:ascii="Tahoma,Bold" w:hAnsi="Tahoma,Bold"/>
        <w:b/>
        <w:bCs/>
        <w:sz w:val="18"/>
        <w:szCs w:val="18"/>
        <w:lang w:eastAsia="fr-FR"/>
      </w:rPr>
      <w:t>15</w:t>
      <w:tab/>
      <w:tab/>
      <w:tab/>
      <w:tab/>
      <w:tab/>
      <w:tab/>
      <w:tab/>
      <w:tab/>
      <w:tab/>
      <w:tab/>
      <w:tab/>
      <w:t>RC</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Autospacing="1" w:afterAutospacing="1"/>
      <w:rPr>
        <w:rFonts w:ascii="Times New Roman" w:hAnsi="Times New Roman" w:eastAsia="Times New Roman" w:cs="Times New Roman"/>
        <w:lang w:eastAsia="fr-FR"/>
      </w:rPr>
    </w:pPr>
    <w:r>
      <w:rPr>
        <w:rFonts w:eastAsia="Times New Roman" w:cs="Tahoma" w:ascii="Tahoma" w:hAnsi="Tahoma"/>
        <w:sz w:val="20"/>
        <w:szCs w:val="20"/>
        <w:lang w:eastAsia="fr-FR"/>
      </w:rPr>
      <w:t xml:space="preserve">Référence du marché : </w:t>
    </w:r>
    <w:r>
      <w:rPr>
        <w:rFonts w:eastAsia="Times New Roman" w:cs="Tahoma" w:ascii="Tahoma" w:hAnsi="Tahoma"/>
        <w:sz w:val="16"/>
        <w:szCs w:val="16"/>
        <w:lang w:eastAsia="fr-FR"/>
      </w:rPr>
      <w:t>2026 RÉAMÉNAGEMENT PARTIEL DE L'ACCUEIL DU CFP MONTLUCON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0"/>
      <w:numFmt w:val="bullet"/>
      <w:lvlText w:val="o"/>
      <w:lvlJc w:val="left"/>
      <w:pPr>
        <w:tabs>
          <w:tab w:val="num" w:pos="1440"/>
        </w:tabs>
        <w:ind w:left="1440" w:hanging="360"/>
      </w:pPr>
      <w:rPr>
        <w:rFonts w:ascii="Courier New" w:hAnsi="Courier New" w:cs="Courier New" w:hint="default"/>
        <w:sz w:val="20"/>
      </w:rPr>
    </w:lvl>
    <w:lvl w:ilvl="2">
      <w:start w:val="0"/>
      <w:numFmt w:val="bullet"/>
      <w:lvlText w:val=""/>
      <w:lvlJc w:val="left"/>
      <w:pPr>
        <w:tabs>
          <w:tab w:val="num" w:pos="2160"/>
        </w:tabs>
        <w:ind w:left="2160" w:hanging="360"/>
      </w:pPr>
      <w:rPr>
        <w:rFonts w:ascii="Wingdings" w:hAnsi="Wingdings" w:cs="Wingdings" w:hint="default"/>
        <w:sz w:val="20"/>
      </w:rPr>
    </w:lvl>
    <w:lvl w:ilvl="3">
      <w:start w:val="0"/>
      <w:numFmt w:val="bullet"/>
      <w:lvlText w:val=""/>
      <w:lvlJc w:val="left"/>
      <w:pPr>
        <w:tabs>
          <w:tab w:val="num" w:pos="2880"/>
        </w:tabs>
        <w:ind w:left="2880" w:hanging="360"/>
      </w:pPr>
      <w:rPr>
        <w:rFonts w:ascii="Wingdings" w:hAnsi="Wingdings" w:cs="Wingdings" w:hint="default"/>
        <w:sz w:val="20"/>
      </w:rPr>
    </w:lvl>
    <w:lvl w:ilvl="4">
      <w:start w:val="0"/>
      <w:numFmt w:val="bullet"/>
      <w:lvlText w:val=""/>
      <w:lvlJc w:val="left"/>
      <w:pPr>
        <w:tabs>
          <w:tab w:val="num" w:pos="3600"/>
        </w:tabs>
        <w:ind w:left="3600" w:hanging="360"/>
      </w:pPr>
      <w:rPr>
        <w:rFonts w:ascii="Wingdings" w:hAnsi="Wingdings" w:cs="Wingdings" w:hint="default"/>
        <w:sz w:val="20"/>
      </w:rPr>
    </w:lvl>
    <w:lvl w:ilvl="5">
      <w:start w:val="0"/>
      <w:numFmt w:val="bullet"/>
      <w:lvlText w:val=""/>
      <w:lvlJc w:val="left"/>
      <w:pPr>
        <w:tabs>
          <w:tab w:val="num" w:pos="4320"/>
        </w:tabs>
        <w:ind w:left="4320" w:hanging="360"/>
      </w:pPr>
      <w:rPr>
        <w:rFonts w:ascii="Wingdings" w:hAnsi="Wingdings" w:cs="Wingdings" w:hint="default"/>
        <w:sz w:val="20"/>
      </w:rPr>
    </w:lvl>
    <w:lvl w:ilvl="6">
      <w:start w:val="0"/>
      <w:numFmt w:val="bullet"/>
      <w:lvlText w:val=""/>
      <w:lvlJc w:val="left"/>
      <w:pPr>
        <w:tabs>
          <w:tab w:val="num" w:pos="5040"/>
        </w:tabs>
        <w:ind w:left="5040" w:hanging="360"/>
      </w:pPr>
      <w:rPr>
        <w:rFonts w:ascii="Wingdings" w:hAnsi="Wingdings" w:cs="Wingdings" w:hint="default"/>
        <w:sz w:val="20"/>
      </w:rPr>
    </w:lvl>
    <w:lvl w:ilvl="7">
      <w:start w:val="0"/>
      <w:numFmt w:val="bullet"/>
      <w:lvlText w:val=""/>
      <w:lvlJc w:val="left"/>
      <w:pPr>
        <w:tabs>
          <w:tab w:val="num" w:pos="5760"/>
        </w:tabs>
        <w:ind w:left="5760" w:hanging="360"/>
      </w:pPr>
      <w:rPr>
        <w:rFonts w:ascii="Wingdings" w:hAnsi="Wingdings" w:cs="Wingdings" w:hint="default"/>
        <w:sz w:val="20"/>
      </w:rPr>
    </w:lvl>
    <w:lvl w:ilvl="8">
      <w:start w:val="0"/>
      <w:numFmt w:val="bullet"/>
      <w:lvlText w:val=""/>
      <w:lvlJc w:val="left"/>
      <w:pPr>
        <w:tabs>
          <w:tab w:val="num" w:pos="6480"/>
        </w:tabs>
        <w:ind w:left="6480" w:hanging="360"/>
      </w:pPr>
      <w:rPr>
        <w:rFonts w:ascii="Wingdings" w:hAnsi="Wingdings" w:cs="Wingdings" w:hint="default"/>
        <w:sz w:val="20"/>
      </w:rPr>
    </w:lvl>
  </w:abstractNum>
  <w:abstractNum w:abstractNumId="3">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704"/>
        </w:tabs>
        <w:ind w:left="704" w:hanging="360"/>
      </w:pPr>
      <w:rPr>
        <w:rFonts w:ascii="Symbol" w:hAnsi="Symbol" w:cs="Symbol" w:hint="default"/>
      </w:rPr>
    </w:lvl>
    <w:lvl w:ilvl="1">
      <w:start w:val="1"/>
      <w:numFmt w:val="bullet"/>
      <w:lvlText w:val="◦"/>
      <w:lvlJc w:val="left"/>
      <w:pPr>
        <w:tabs>
          <w:tab w:val="num" w:pos="1064"/>
        </w:tabs>
        <w:ind w:left="1064" w:hanging="360"/>
      </w:pPr>
      <w:rPr>
        <w:rFonts w:ascii="OpenSymbol" w:hAnsi="OpenSymbol" w:cs="OpenSymbol" w:hint="default"/>
      </w:rPr>
    </w:lvl>
    <w:lvl w:ilvl="2">
      <w:start w:val="1"/>
      <w:numFmt w:val="bullet"/>
      <w:lvlText w:val="▪"/>
      <w:lvlJc w:val="left"/>
      <w:pPr>
        <w:tabs>
          <w:tab w:val="num" w:pos="1424"/>
        </w:tabs>
        <w:ind w:left="1424" w:hanging="360"/>
      </w:pPr>
      <w:rPr>
        <w:rFonts w:ascii="OpenSymbol" w:hAnsi="OpenSymbol" w:cs="OpenSymbol" w:hint="default"/>
      </w:rPr>
    </w:lvl>
    <w:lvl w:ilvl="3">
      <w:start w:val="1"/>
      <w:numFmt w:val="bullet"/>
      <w:lvlText w:val=""/>
      <w:lvlJc w:val="left"/>
      <w:pPr>
        <w:tabs>
          <w:tab w:val="num" w:pos="1784"/>
        </w:tabs>
        <w:ind w:left="1784" w:hanging="360"/>
      </w:pPr>
      <w:rPr>
        <w:rFonts w:ascii="Symbol" w:hAnsi="Symbol" w:cs="Symbol" w:hint="default"/>
      </w:rPr>
    </w:lvl>
    <w:lvl w:ilvl="4">
      <w:start w:val="1"/>
      <w:numFmt w:val="bullet"/>
      <w:lvlText w:val="◦"/>
      <w:lvlJc w:val="left"/>
      <w:pPr>
        <w:tabs>
          <w:tab w:val="num" w:pos="2144"/>
        </w:tabs>
        <w:ind w:left="2144" w:hanging="360"/>
      </w:pPr>
      <w:rPr>
        <w:rFonts w:ascii="OpenSymbol" w:hAnsi="OpenSymbol" w:cs="OpenSymbol" w:hint="default"/>
      </w:rPr>
    </w:lvl>
    <w:lvl w:ilvl="5">
      <w:start w:val="1"/>
      <w:numFmt w:val="bullet"/>
      <w:lvlText w:val="▪"/>
      <w:lvlJc w:val="left"/>
      <w:pPr>
        <w:tabs>
          <w:tab w:val="num" w:pos="2504"/>
        </w:tabs>
        <w:ind w:left="2504" w:hanging="360"/>
      </w:pPr>
      <w:rPr>
        <w:rFonts w:ascii="OpenSymbol" w:hAnsi="OpenSymbol" w:cs="OpenSymbol" w:hint="default"/>
      </w:rPr>
    </w:lvl>
    <w:lvl w:ilvl="6">
      <w:start w:val="1"/>
      <w:numFmt w:val="bullet"/>
      <w:lvlText w:val=""/>
      <w:lvlJc w:val="left"/>
      <w:pPr>
        <w:tabs>
          <w:tab w:val="num" w:pos="2864"/>
        </w:tabs>
        <w:ind w:left="2864" w:hanging="360"/>
      </w:pPr>
      <w:rPr>
        <w:rFonts w:ascii="Symbol" w:hAnsi="Symbol" w:cs="Symbol" w:hint="default"/>
      </w:rPr>
    </w:lvl>
    <w:lvl w:ilvl="7">
      <w:start w:val="1"/>
      <w:numFmt w:val="bullet"/>
      <w:lvlText w:val="◦"/>
      <w:lvlJc w:val="left"/>
      <w:pPr>
        <w:tabs>
          <w:tab w:val="num" w:pos="3224"/>
        </w:tabs>
        <w:ind w:left="3224" w:hanging="360"/>
      </w:pPr>
      <w:rPr>
        <w:rFonts w:ascii="OpenSymbol" w:hAnsi="OpenSymbol" w:cs="OpenSymbol" w:hint="default"/>
      </w:rPr>
    </w:lvl>
    <w:lvl w:ilvl="8">
      <w:start w:val="1"/>
      <w:numFmt w:val="bullet"/>
      <w:lvlText w:val="▪"/>
      <w:lvlJc w:val="left"/>
      <w:pPr>
        <w:tabs>
          <w:tab w:val="num" w:pos="3584"/>
        </w:tabs>
        <w:ind w:left="3584"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fr-FR" w:eastAsia="en-US" w:bidi="ar-SA"/>
    </w:rPr>
  </w:style>
  <w:style w:type="paragraph" w:styleId="Titre1">
    <w:name w:val="Heading 1"/>
    <w:basedOn w:val="Normal"/>
    <w:next w:val="Normal"/>
    <w:link w:val="Titre1Car"/>
    <w:uiPriority w:val="9"/>
    <w:qFormat/>
    <w:rsid w:val="001772d6"/>
    <w:pPr>
      <w:keepNext w:val="true"/>
      <w:keepLines/>
      <w:spacing w:before="240" w:after="0"/>
      <w:outlineLvl w:val="0"/>
    </w:pPr>
    <w:rPr>
      <w:rFonts w:ascii="Tahoma" w:hAnsi="Tahoma" w:eastAsia="" w:cs="" w:cstheme="majorBidi" w:eastAsiaTheme="majorEastAsia"/>
      <w:b/>
      <w:sz w:val="28"/>
      <w:szCs w:val="32"/>
    </w:rPr>
  </w:style>
  <w:style w:type="paragraph" w:styleId="Titre2">
    <w:name w:val="Heading 2"/>
    <w:basedOn w:val="Normal"/>
    <w:next w:val="Normal"/>
    <w:link w:val="Titre2Car"/>
    <w:uiPriority w:val="9"/>
    <w:unhideWhenUsed/>
    <w:qFormat/>
    <w:rsid w:val="00112f12"/>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paragraph" w:styleId="Titre3">
    <w:name w:val="Heading 3"/>
    <w:basedOn w:val="Normal"/>
    <w:next w:val="Corpsdetexte"/>
    <w:qFormat/>
    <w:pPr>
      <w:keepNext w:val="true"/>
      <w:keepLines/>
      <w:numPr>
        <w:ilvl w:val="2"/>
        <w:numId w:val="1"/>
      </w:numPr>
      <w:spacing w:before="228" w:after="112"/>
      <w:ind w:left="0" w:right="0" w:firstLine="567"/>
      <w:outlineLvl w:val="2"/>
    </w:pPr>
    <w:rPr>
      <w:rFonts w:ascii="Arial" w:hAnsi="Arial" w:eastAsia="MS PMincho" w:cs="Tahoma"/>
      <w:b/>
      <w:bCs/>
      <w:i w:val="false"/>
      <w:sz w:val="20"/>
      <w:szCs w:val="28"/>
      <w:u w:val="none"/>
    </w:rPr>
  </w:style>
  <w:style w:type="character" w:styleId="DefaultParagraphFont" w:default="1">
    <w:name w:val="Default Paragraph Font"/>
    <w:uiPriority w:val="1"/>
    <w:unhideWhenUsed/>
    <w:qFormat/>
    <w:rPr/>
  </w:style>
  <w:style w:type="character" w:styleId="EntteCar" w:customStyle="1">
    <w:name w:val="En-tête Car"/>
    <w:basedOn w:val="DefaultParagraphFont"/>
    <w:link w:val="En-tte"/>
    <w:uiPriority w:val="99"/>
    <w:qFormat/>
    <w:rsid w:val="00e33e68"/>
    <w:rPr/>
  </w:style>
  <w:style w:type="character" w:styleId="PieddepageCar" w:customStyle="1">
    <w:name w:val="Pied de page Car"/>
    <w:basedOn w:val="DefaultParagraphFont"/>
    <w:link w:val="Pieddepage"/>
    <w:uiPriority w:val="99"/>
    <w:qFormat/>
    <w:rsid w:val="00e33e68"/>
    <w:rPr/>
  </w:style>
  <w:style w:type="character" w:styleId="Titre1Car" w:customStyle="1">
    <w:name w:val="Titre 1 Car"/>
    <w:basedOn w:val="DefaultParagraphFont"/>
    <w:link w:val="Titre1"/>
    <w:uiPriority w:val="9"/>
    <w:qFormat/>
    <w:rsid w:val="001772d6"/>
    <w:rPr>
      <w:rFonts w:ascii="Tahoma" w:hAnsi="Tahoma" w:eastAsia="" w:cs="" w:cstheme="majorBidi" w:eastAsiaTheme="majorEastAsia"/>
      <w:b/>
      <w:sz w:val="28"/>
      <w:szCs w:val="32"/>
    </w:rPr>
  </w:style>
  <w:style w:type="character" w:styleId="Titre2Car" w:customStyle="1">
    <w:name w:val="Titre 2 Car"/>
    <w:basedOn w:val="DefaultParagraphFont"/>
    <w:link w:val="Titre2"/>
    <w:uiPriority w:val="9"/>
    <w:qFormat/>
    <w:rsid w:val="00112f12"/>
    <w:rPr>
      <w:rFonts w:ascii="Calibri Light" w:hAnsi="Calibri Light" w:eastAsia="" w:cs="" w:asciiTheme="majorHAnsi" w:cstheme="majorBidi" w:eastAsiaTheme="majorEastAsia" w:hAnsiTheme="majorHAnsi"/>
      <w:color w:val="2F5496" w:themeColor="accent1" w:themeShade="bf"/>
      <w:sz w:val="26"/>
      <w:szCs w:val="26"/>
    </w:rPr>
  </w:style>
  <w:style w:type="character" w:styleId="LienInternet">
    <w:name w:val="Lien Internet"/>
    <w:basedOn w:val="DefaultParagraphFont"/>
    <w:uiPriority w:val="99"/>
    <w:unhideWhenUsed/>
    <w:rsid w:val="0014444b"/>
    <w:rPr>
      <w:color w:val="0563C1" w:themeColor="hyperlink"/>
      <w:u w:val="single"/>
    </w:rPr>
  </w:style>
  <w:style w:type="character" w:styleId="Sautdindex">
    <w:name w:val="Saut d'index"/>
    <w:qFormat/>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Estimation" w:customStyle="1">
    <w:name w:val="estimation"/>
    <w:basedOn w:val="Normal"/>
    <w:qFormat/>
    <w:rsid w:val="00be622e"/>
    <w:pPr>
      <w:shd w:val="clear" w:color="auto" w:fill="FFC000"/>
    </w:pPr>
    <w:rPr>
      <w:rFonts w:ascii="Century Gothic" w:hAnsi="Century Gothic" w:eastAsia="Times New Roman" w:cs="Tunga"/>
      <w:b/>
      <w:bCs/>
      <w:sz w:val="22"/>
      <w:szCs w:val="22"/>
      <w:lang w:eastAsia="fr-FR"/>
    </w:rPr>
  </w:style>
  <w:style w:type="paragraph" w:styleId="NormalWeb">
    <w:name w:val="Normal (Web)"/>
    <w:basedOn w:val="Normal"/>
    <w:uiPriority w:val="99"/>
    <w:unhideWhenUsed/>
    <w:qFormat/>
    <w:rsid w:val="00e33e68"/>
    <w:pPr>
      <w:spacing w:beforeAutospacing="1" w:afterAutospacing="1"/>
    </w:pPr>
    <w:rPr>
      <w:rFonts w:ascii="Times New Roman" w:hAnsi="Times New Roman" w:eastAsia="Times New Roman" w:cs="Times New Roman"/>
      <w:lang w:eastAsia="fr-FR"/>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e33e68"/>
    <w:pPr>
      <w:tabs>
        <w:tab w:val="clear" w:pos="708"/>
        <w:tab w:val="center" w:pos="4536" w:leader="none"/>
        <w:tab w:val="right" w:pos="9072" w:leader="none"/>
      </w:tabs>
    </w:pPr>
    <w:rPr/>
  </w:style>
  <w:style w:type="paragraph" w:styleId="Pieddepage">
    <w:name w:val="Footer"/>
    <w:basedOn w:val="Normal"/>
    <w:link w:val="PieddepageCar"/>
    <w:uiPriority w:val="99"/>
    <w:unhideWhenUsed/>
    <w:rsid w:val="00e33e68"/>
    <w:pPr>
      <w:tabs>
        <w:tab w:val="clear" w:pos="708"/>
        <w:tab w:val="center" w:pos="4536" w:leader="none"/>
        <w:tab w:val="right" w:pos="9072" w:leader="none"/>
      </w:tabs>
    </w:pPr>
    <w:rPr/>
  </w:style>
  <w:style w:type="paragraph" w:styleId="Indexlexicaltitre">
    <w:name w:val="Index Heading"/>
    <w:basedOn w:val="Titre"/>
    <w:pPr/>
    <w:rPr/>
  </w:style>
  <w:style w:type="paragraph" w:styleId="Titredetabledesmatires">
    <w:name w:val="TOC Heading"/>
    <w:basedOn w:val="Titre1"/>
    <w:next w:val="Normal"/>
    <w:uiPriority w:val="39"/>
    <w:unhideWhenUsed/>
    <w:qFormat/>
    <w:rsid w:val="0014444b"/>
    <w:pPr>
      <w:spacing w:lineRule="auto" w:line="276" w:before="480" w:after="0"/>
      <w:outlineLvl w:val="9"/>
    </w:pPr>
    <w:rPr>
      <w:rFonts w:ascii="Calibri Light" w:hAnsi="Calibri Light" w:asciiTheme="majorHAnsi" w:hAnsiTheme="majorHAnsi"/>
      <w:bCs/>
      <w:color w:val="2F5496" w:themeColor="accent1" w:themeShade="bf"/>
      <w:szCs w:val="28"/>
      <w:lang w:eastAsia="fr-FR"/>
    </w:rPr>
  </w:style>
  <w:style w:type="paragraph" w:styleId="Tabledesmatiresniveau1">
    <w:name w:val="TOC 1"/>
    <w:basedOn w:val="Normal"/>
    <w:next w:val="Normal"/>
    <w:autoRedefine/>
    <w:uiPriority w:val="39"/>
    <w:unhideWhenUsed/>
    <w:rsid w:val="0014444b"/>
    <w:pPr>
      <w:spacing w:before="360" w:after="360"/>
    </w:pPr>
    <w:rPr>
      <w:rFonts w:cs="Calibri" w:cstheme="minorHAnsi"/>
      <w:b/>
      <w:bCs/>
      <w:caps/>
      <w:sz w:val="22"/>
      <w:szCs w:val="22"/>
      <w:u w:val="single"/>
    </w:rPr>
  </w:style>
  <w:style w:type="paragraph" w:styleId="Tabledesmatiresniveau2">
    <w:name w:val="TOC 2"/>
    <w:basedOn w:val="Normal"/>
    <w:next w:val="Normal"/>
    <w:autoRedefine/>
    <w:uiPriority w:val="39"/>
    <w:semiHidden/>
    <w:unhideWhenUsed/>
    <w:rsid w:val="0014444b"/>
    <w:pPr/>
    <w:rPr>
      <w:rFonts w:cs="Calibri" w:cstheme="minorHAnsi"/>
      <w:b/>
      <w:bCs/>
      <w:smallCaps/>
      <w:sz w:val="22"/>
      <w:szCs w:val="22"/>
    </w:rPr>
  </w:style>
  <w:style w:type="paragraph" w:styleId="Tabledesmatiresniveau3">
    <w:name w:val="TOC 3"/>
    <w:basedOn w:val="Normal"/>
    <w:next w:val="Normal"/>
    <w:autoRedefine/>
    <w:uiPriority w:val="39"/>
    <w:semiHidden/>
    <w:unhideWhenUsed/>
    <w:rsid w:val="0014444b"/>
    <w:pPr/>
    <w:rPr>
      <w:rFonts w:cs="Calibri" w:cstheme="minorHAnsi"/>
      <w:smallCaps/>
      <w:sz w:val="22"/>
      <w:szCs w:val="22"/>
    </w:rPr>
  </w:style>
  <w:style w:type="paragraph" w:styleId="Tabledesmatiresniveau4">
    <w:name w:val="TOC 4"/>
    <w:basedOn w:val="Normal"/>
    <w:next w:val="Normal"/>
    <w:autoRedefine/>
    <w:uiPriority w:val="39"/>
    <w:semiHidden/>
    <w:unhideWhenUsed/>
    <w:rsid w:val="0014444b"/>
    <w:pPr/>
    <w:rPr>
      <w:rFonts w:cs="Calibri" w:cstheme="minorHAnsi"/>
      <w:sz w:val="22"/>
      <w:szCs w:val="22"/>
    </w:rPr>
  </w:style>
  <w:style w:type="paragraph" w:styleId="Tabledesmatiresniveau5">
    <w:name w:val="TOC 5"/>
    <w:basedOn w:val="Normal"/>
    <w:next w:val="Normal"/>
    <w:autoRedefine/>
    <w:uiPriority w:val="39"/>
    <w:semiHidden/>
    <w:unhideWhenUsed/>
    <w:rsid w:val="0014444b"/>
    <w:pPr/>
    <w:rPr>
      <w:rFonts w:cs="Calibri" w:cstheme="minorHAnsi"/>
      <w:sz w:val="22"/>
      <w:szCs w:val="22"/>
    </w:rPr>
  </w:style>
  <w:style w:type="paragraph" w:styleId="Tabledesmatiresniveau6">
    <w:name w:val="TOC 6"/>
    <w:basedOn w:val="Normal"/>
    <w:next w:val="Normal"/>
    <w:autoRedefine/>
    <w:uiPriority w:val="39"/>
    <w:semiHidden/>
    <w:unhideWhenUsed/>
    <w:rsid w:val="0014444b"/>
    <w:pPr/>
    <w:rPr>
      <w:rFonts w:cs="Calibri" w:cstheme="minorHAnsi"/>
      <w:sz w:val="22"/>
      <w:szCs w:val="22"/>
    </w:rPr>
  </w:style>
  <w:style w:type="paragraph" w:styleId="Tabledesmatiresniveau7">
    <w:name w:val="TOC 7"/>
    <w:basedOn w:val="Normal"/>
    <w:next w:val="Normal"/>
    <w:autoRedefine/>
    <w:uiPriority w:val="39"/>
    <w:semiHidden/>
    <w:unhideWhenUsed/>
    <w:rsid w:val="0014444b"/>
    <w:pPr/>
    <w:rPr>
      <w:rFonts w:cs="Calibri" w:cstheme="minorHAnsi"/>
      <w:sz w:val="22"/>
      <w:szCs w:val="22"/>
    </w:rPr>
  </w:style>
  <w:style w:type="paragraph" w:styleId="Tabledesmatiresniveau8">
    <w:name w:val="TOC 8"/>
    <w:basedOn w:val="Normal"/>
    <w:next w:val="Normal"/>
    <w:autoRedefine/>
    <w:uiPriority w:val="39"/>
    <w:semiHidden/>
    <w:unhideWhenUsed/>
    <w:rsid w:val="0014444b"/>
    <w:pPr/>
    <w:rPr>
      <w:rFonts w:cs="Calibri" w:cstheme="minorHAnsi"/>
      <w:sz w:val="22"/>
      <w:szCs w:val="22"/>
    </w:rPr>
  </w:style>
  <w:style w:type="paragraph" w:styleId="Tabledesmatiresniveau9">
    <w:name w:val="TOC 9"/>
    <w:basedOn w:val="Normal"/>
    <w:next w:val="Normal"/>
    <w:autoRedefine/>
    <w:uiPriority w:val="39"/>
    <w:semiHidden/>
    <w:unhideWhenUsed/>
    <w:rsid w:val="0014444b"/>
    <w:pPr/>
    <w:rPr>
      <w:rFonts w:cs="Calibri" w:cstheme="minorHAnsi"/>
      <w:sz w:val="22"/>
      <w:szCs w:val="22"/>
    </w:rPr>
  </w:style>
  <w:style w:type="paragraph" w:styleId="ListParagraph">
    <w:name w:val="List Paragraph"/>
    <w:basedOn w:val="Normal"/>
    <w:uiPriority w:val="34"/>
    <w:qFormat/>
    <w:rsid w:val="004364c3"/>
    <w:pPr>
      <w:spacing w:before="0" w:after="0"/>
      <w:ind w:left="720" w:hanging="0"/>
      <w:contextualSpacing/>
    </w:pPr>
    <w:rPr/>
  </w:style>
  <w:style w:type="paragraph" w:styleId="Default">
    <w:name w:val="Default"/>
    <w:qFormat/>
    <w:pPr>
      <w:widowControl/>
      <w:suppressAutoHyphens w:val="true"/>
      <w:bidi w:val="0"/>
      <w:spacing w:before="0" w:after="0"/>
      <w:jc w:val="left"/>
    </w:pPr>
    <w:rPr>
      <w:rFonts w:ascii="Times New Roman" w:hAnsi="Times New Roman" w:eastAsia="Calibri" w:cs=""/>
      <w:color w:val="000000"/>
      <w:kern w:val="0"/>
      <w:sz w:val="24"/>
      <w:szCs w:val="24"/>
      <w:lang w:val="fr-FR" w:eastAsia="en-US" w:bidi="ar-SA"/>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arches-publics.gouv.fr/" TargetMode="External"/><Relationship Id="rId3" Type="http://schemas.openxmlformats.org/officeDocument/2006/relationships/hyperlink" Target="mailto:greffe.ta-clermont-ferrand@juradm.fr"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52439-95BF-C94E-923F-FA1A38701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Application>LibreOffice/7.2.7.2.M7$Windows_X86_64 LibreOffice_project/eae1a20eee24d7fbeb19ff1fe91a658206f3f25b</Application>
  <AppVersion>15.0000</AppVersion>
  <Pages>14</Pages>
  <Words>4113</Words>
  <Characters>23407</Characters>
  <CharactersWithSpaces>27271</CharactersWithSpaces>
  <Paragraphs>282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2026-02-09T09:11:00Z</dcterms:created>
  <dc:creator>GRANET Sandrine</dc:creator>
  <dc:description/>
  <dc:language>fr-FR</dc:language>
  <cp:lastModifiedBy/>
  <dcterms:modified xsi:type="dcterms:W3CDTF">2026-06-30T12:23:38Z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