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3.xml" ContentType="application/vnd.openxmlformats-officedocument.wordprocessingml.footer+xml"/>
  <Override PartName="/word/endnotes.xml" ContentType="application/vnd.openxmlformats-officedocument.wordprocessingml.endnotes+xml"/>
  <Override PartName="/word/footer3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34.xml" ContentType="application/vnd.openxmlformats-officedocument.wordprocessingml.footer+xml"/>
  <Override PartName="/word/footer33.xml" ContentType="application/vnd.openxmlformats-officedocument.wordprocessingml.footer+xml"/>
  <Override PartName="/word/footer32.xml" ContentType="application/vnd.openxmlformats-officedocument.wordprocessingml.footer+xml"/>
  <Override PartName="/word/footer31.xml" ContentType="application/vnd.openxmlformats-officedocument.wordprocessingml.footer+xml"/>
  <Override PartName="/word/footer30.xml" ContentType="application/vnd.openxmlformats-officedocument.wordprocessingml.footer+xml"/>
  <Override PartName="/word/footer29.xml" ContentType="application/vnd.openxmlformats-officedocument.wordprocessingml.footer+xml"/>
  <Override PartName="/word/footer28.xml" ContentType="application/vnd.openxmlformats-officedocument.wordprocessingml.footer+xml"/>
  <Override PartName="/word/footer27.xml" ContentType="application/vnd.openxmlformats-officedocument.wordprocessingml.footer+xml"/>
  <Override PartName="/word/footer26.xml" ContentType="application/vnd.openxmlformats-officedocument.wordprocessingml.footer+xml"/>
  <Override PartName="/word/footer25.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4.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notes.xml" ContentType="application/vnd.openxmlformats-officedocument.wordprocessingml.footnotes+xml"/>
  <Override PartName="/word/footer15.xml" ContentType="application/vnd.openxmlformats-officedocument.wordprocessingml.footer+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61CD69F" w14:textId="77777777" w:rsidR="00D03000" w:rsidRPr="005D5B0F" w:rsidRDefault="00DB7CA6">
      <w:pPr>
        <w:ind w:left="260" w:right="220"/>
        <w:rPr>
          <w:rFonts w:ascii="Barlow" w:hAnsi="Barlow"/>
          <w:sz w:val="2"/>
          <w:szCs w:val="22"/>
        </w:rPr>
      </w:pPr>
      <w:r w:rsidRPr="00DB7CA6">
        <w:rPr>
          <w:rFonts w:ascii="Barlow" w:hAnsi="Barlow"/>
          <w:noProof/>
          <w:sz w:val="22"/>
          <w:szCs w:val="22"/>
        </w:rPr>
        <w:pict w14:anchorId="536E1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58.5pt;height:150.8pt;mso-width-percent:0;mso-height-percent:0;mso-width-percent:0;mso-height-percent:0">
            <v:imagedata r:id="rId6" o:title=""/>
          </v:shape>
        </w:pict>
      </w:r>
    </w:p>
    <w:p w14:paraId="6B625558" w14:textId="77777777" w:rsidR="00D03000" w:rsidRPr="005D5B0F" w:rsidRDefault="00D03000">
      <w:pPr>
        <w:spacing w:line="240" w:lineRule="exact"/>
        <w:rPr>
          <w:rFonts w:ascii="Barlow" w:hAnsi="Barlow"/>
          <w:sz w:val="22"/>
          <w:szCs w:val="22"/>
        </w:rPr>
      </w:pPr>
    </w:p>
    <w:p w14:paraId="36710B07" w14:textId="77777777" w:rsidR="00D03000" w:rsidRPr="005D5B0F" w:rsidRDefault="00D03000">
      <w:pPr>
        <w:spacing w:line="240" w:lineRule="exact"/>
        <w:rPr>
          <w:rFonts w:ascii="Barlow" w:hAnsi="Barlow"/>
          <w:sz w:val="22"/>
          <w:szCs w:val="22"/>
        </w:rPr>
      </w:pPr>
    </w:p>
    <w:p w14:paraId="29C0E156" w14:textId="77777777" w:rsidR="00D03000" w:rsidRPr="005D5B0F" w:rsidRDefault="00D03000">
      <w:pPr>
        <w:spacing w:after="140" w:line="240" w:lineRule="exact"/>
        <w:rPr>
          <w:rFonts w:ascii="Barlow" w:hAnsi="Barlow"/>
          <w:sz w:val="22"/>
          <w:szCs w:val="22"/>
        </w:rPr>
      </w:pPr>
    </w:p>
    <w:tbl>
      <w:tblPr>
        <w:tblW w:w="0" w:type="auto"/>
        <w:tblLayout w:type="fixed"/>
        <w:tblLook w:val="04A0" w:firstRow="1" w:lastRow="0" w:firstColumn="1" w:lastColumn="0" w:noHBand="0" w:noVBand="1"/>
      </w:tblPr>
      <w:tblGrid>
        <w:gridCol w:w="9620"/>
      </w:tblGrid>
      <w:tr w:rsidR="00D03000" w:rsidRPr="005D5B0F" w14:paraId="52E5AAB9" w14:textId="77777777">
        <w:tc>
          <w:tcPr>
            <w:tcW w:w="9620" w:type="dxa"/>
            <w:shd w:val="clear" w:color="666553" w:fill="666553"/>
            <w:tcMar>
              <w:top w:w="30" w:type="dxa"/>
              <w:left w:w="0" w:type="dxa"/>
              <w:bottom w:w="0" w:type="dxa"/>
              <w:right w:w="0" w:type="dxa"/>
            </w:tcMar>
            <w:vAlign w:val="center"/>
          </w:tcPr>
          <w:p w14:paraId="67917941" w14:textId="77777777" w:rsidR="00D03000" w:rsidRPr="005D5B0F" w:rsidRDefault="00000000">
            <w:pPr>
              <w:jc w:val="center"/>
              <w:rPr>
                <w:rFonts w:ascii="Barlow" w:eastAsia="Trebuchet MS" w:hAnsi="Barlow" w:cs="Trebuchet MS"/>
                <w:b/>
                <w:color w:val="FFFFFF"/>
                <w:szCs w:val="22"/>
                <w:lang w:val="fr-FR"/>
              </w:rPr>
            </w:pPr>
            <w:r w:rsidRPr="005D5B0F">
              <w:rPr>
                <w:rFonts w:ascii="Barlow" w:eastAsia="Trebuchet MS" w:hAnsi="Barlow" w:cs="Trebuchet MS"/>
                <w:b/>
                <w:color w:val="FFFFFF"/>
                <w:szCs w:val="22"/>
                <w:lang w:val="fr-FR"/>
              </w:rPr>
              <w:t>CAHIER DES CLAUSES ADMINISTRATIVES PARTICULIÈRES</w:t>
            </w:r>
          </w:p>
        </w:tc>
      </w:tr>
    </w:tbl>
    <w:p w14:paraId="4FD35B90" w14:textId="77777777" w:rsidR="00D03000" w:rsidRPr="005D5B0F" w:rsidRDefault="00000000">
      <w:pPr>
        <w:spacing w:line="120" w:lineRule="exact"/>
        <w:rPr>
          <w:rFonts w:ascii="Barlow" w:hAnsi="Barlow"/>
          <w:sz w:val="11"/>
          <w:szCs w:val="22"/>
        </w:rPr>
      </w:pPr>
      <w:r w:rsidRPr="005D5B0F">
        <w:rPr>
          <w:rFonts w:ascii="Barlow" w:hAnsi="Barlow"/>
          <w:sz w:val="22"/>
          <w:szCs w:val="22"/>
        </w:rPr>
        <w:t xml:space="preserve"> </w:t>
      </w:r>
    </w:p>
    <w:p w14:paraId="7A6C93C7" w14:textId="77777777" w:rsidR="00D03000" w:rsidRPr="005D5B0F" w:rsidRDefault="00000000">
      <w:pPr>
        <w:spacing w:before="20"/>
        <w:jc w:val="center"/>
        <w:rPr>
          <w:rFonts w:ascii="Barlow" w:eastAsia="Trebuchet MS" w:hAnsi="Barlow" w:cs="Trebuchet MS"/>
          <w:b/>
          <w:color w:val="000000"/>
          <w:szCs w:val="22"/>
          <w:lang w:val="fr-FR"/>
        </w:rPr>
      </w:pPr>
      <w:r w:rsidRPr="005D5B0F">
        <w:rPr>
          <w:rFonts w:ascii="Barlow" w:eastAsia="Trebuchet MS" w:hAnsi="Barlow" w:cs="Trebuchet MS"/>
          <w:b/>
          <w:color w:val="000000"/>
          <w:szCs w:val="22"/>
          <w:lang w:val="fr-FR"/>
        </w:rPr>
        <w:t>MARCHÉ PUBLIC DE TRAVAUX</w:t>
      </w:r>
    </w:p>
    <w:p w14:paraId="326E2BC9" w14:textId="77777777" w:rsidR="00D03000" w:rsidRPr="005D5B0F" w:rsidRDefault="00D03000">
      <w:pPr>
        <w:spacing w:line="240" w:lineRule="exact"/>
        <w:rPr>
          <w:rFonts w:ascii="Barlow" w:hAnsi="Barlow"/>
          <w:sz w:val="22"/>
          <w:szCs w:val="22"/>
        </w:rPr>
      </w:pPr>
    </w:p>
    <w:p w14:paraId="4792867A" w14:textId="77777777" w:rsidR="00D03000" w:rsidRPr="005D5B0F" w:rsidRDefault="00D03000">
      <w:pPr>
        <w:spacing w:line="240" w:lineRule="exact"/>
        <w:rPr>
          <w:rFonts w:ascii="Barlow" w:hAnsi="Barlow"/>
          <w:sz w:val="22"/>
          <w:szCs w:val="22"/>
        </w:rPr>
      </w:pPr>
    </w:p>
    <w:p w14:paraId="5B3DC299" w14:textId="77777777" w:rsidR="00D03000" w:rsidRPr="005D5B0F" w:rsidRDefault="00D03000">
      <w:pPr>
        <w:spacing w:line="240" w:lineRule="exact"/>
        <w:rPr>
          <w:rFonts w:ascii="Barlow" w:hAnsi="Barlow"/>
          <w:sz w:val="22"/>
          <w:szCs w:val="22"/>
        </w:rPr>
      </w:pPr>
    </w:p>
    <w:p w14:paraId="6B5F3DF9" w14:textId="77777777" w:rsidR="00D03000" w:rsidRPr="005D5B0F" w:rsidRDefault="00D03000">
      <w:pPr>
        <w:spacing w:line="240" w:lineRule="exact"/>
        <w:rPr>
          <w:rFonts w:ascii="Barlow" w:hAnsi="Barlow"/>
          <w:sz w:val="22"/>
          <w:szCs w:val="22"/>
        </w:rPr>
      </w:pPr>
    </w:p>
    <w:p w14:paraId="3FD963DB" w14:textId="77777777" w:rsidR="00D03000" w:rsidRPr="005D5B0F" w:rsidRDefault="00D03000">
      <w:pPr>
        <w:spacing w:line="240" w:lineRule="exact"/>
        <w:rPr>
          <w:rFonts w:ascii="Barlow" w:hAnsi="Barlow"/>
          <w:sz w:val="22"/>
          <w:szCs w:val="22"/>
        </w:rPr>
      </w:pPr>
    </w:p>
    <w:p w14:paraId="11D89FB4" w14:textId="77777777" w:rsidR="00D03000" w:rsidRPr="005D5B0F" w:rsidRDefault="00D03000">
      <w:pPr>
        <w:spacing w:line="240" w:lineRule="exact"/>
        <w:rPr>
          <w:rFonts w:ascii="Barlow" w:hAnsi="Barlow"/>
          <w:sz w:val="22"/>
          <w:szCs w:val="22"/>
        </w:rPr>
      </w:pPr>
    </w:p>
    <w:p w14:paraId="3E737962" w14:textId="77777777" w:rsidR="00D03000" w:rsidRPr="005D5B0F" w:rsidRDefault="00D03000">
      <w:pPr>
        <w:spacing w:after="80" w:line="240" w:lineRule="exact"/>
        <w:rPr>
          <w:rFonts w:ascii="Barlow" w:hAnsi="Barlow"/>
          <w:sz w:val="22"/>
          <w:szCs w:val="22"/>
        </w:rPr>
      </w:pPr>
    </w:p>
    <w:tbl>
      <w:tblPr>
        <w:tblW w:w="0" w:type="auto"/>
        <w:tblInd w:w="1260" w:type="dxa"/>
        <w:tblLayout w:type="fixed"/>
        <w:tblLook w:val="04A0" w:firstRow="1" w:lastRow="0" w:firstColumn="1" w:lastColumn="0" w:noHBand="0" w:noVBand="1"/>
      </w:tblPr>
      <w:tblGrid>
        <w:gridCol w:w="7100"/>
      </w:tblGrid>
      <w:tr w:rsidR="00D03000" w:rsidRPr="005D5B0F" w14:paraId="199ED04C"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2E044709" w14:textId="77777777" w:rsidR="00D03000" w:rsidRPr="005D5B0F" w:rsidRDefault="00000000">
            <w:pPr>
              <w:spacing w:line="325" w:lineRule="exact"/>
              <w:jc w:val="center"/>
              <w:rPr>
                <w:rFonts w:ascii="Barlow" w:eastAsia="Trebuchet MS" w:hAnsi="Barlow" w:cs="Trebuchet MS"/>
                <w:b/>
                <w:color w:val="000000"/>
                <w:szCs w:val="22"/>
                <w:lang w:val="fr-FR"/>
              </w:rPr>
            </w:pPr>
            <w:r w:rsidRPr="005D5B0F">
              <w:rPr>
                <w:rFonts w:ascii="Barlow" w:eastAsia="Trebuchet MS" w:hAnsi="Barlow" w:cs="Trebuchet MS"/>
                <w:b/>
                <w:color w:val="000000"/>
                <w:szCs w:val="22"/>
                <w:lang w:val="fr-FR"/>
              </w:rPr>
              <w:t>Travaux de  création de douches en cellules et mise en œuvre des opérations de GER prioritaires pour le bâtiment petit quartier, bâtiment femmes et l'USN.</w:t>
            </w:r>
          </w:p>
          <w:p w14:paraId="496AB9B2" w14:textId="77777777" w:rsidR="00701F8C" w:rsidRPr="005D5B0F" w:rsidRDefault="00701F8C">
            <w:pPr>
              <w:spacing w:line="325" w:lineRule="exact"/>
              <w:jc w:val="center"/>
              <w:rPr>
                <w:rFonts w:ascii="Barlow" w:eastAsia="Trebuchet MS" w:hAnsi="Barlow" w:cs="Trebuchet MS"/>
                <w:b/>
                <w:color w:val="000000"/>
                <w:szCs w:val="22"/>
                <w:lang w:val="fr-FR"/>
              </w:rPr>
            </w:pPr>
          </w:p>
          <w:p w14:paraId="6F0478E5" w14:textId="1E62B151" w:rsidR="00701F8C" w:rsidRPr="005D5B0F" w:rsidRDefault="00701F8C">
            <w:pPr>
              <w:spacing w:line="325" w:lineRule="exact"/>
              <w:jc w:val="center"/>
              <w:rPr>
                <w:rFonts w:ascii="Barlow" w:eastAsia="Trebuchet MS" w:hAnsi="Barlow" w:cs="Trebuchet MS"/>
                <w:b/>
                <w:color w:val="000000"/>
                <w:szCs w:val="22"/>
                <w:lang w:val="fr-FR"/>
              </w:rPr>
            </w:pPr>
            <w:r w:rsidRPr="005D5B0F">
              <w:rPr>
                <w:rFonts w:ascii="Barlow" w:eastAsia="Trebuchet MS" w:hAnsi="Barlow" w:cs="Trebuchet MS"/>
                <w:b/>
                <w:color w:val="00B0F0"/>
                <w:szCs w:val="22"/>
                <w:lang w:val="fr-FR"/>
              </w:rPr>
              <w:t>Lot Peinture 05</w:t>
            </w:r>
          </w:p>
        </w:tc>
      </w:tr>
    </w:tbl>
    <w:p w14:paraId="7CA9A4AF" w14:textId="77777777" w:rsidR="00D03000" w:rsidRPr="005D5B0F" w:rsidRDefault="00000000">
      <w:pPr>
        <w:spacing w:line="240" w:lineRule="exact"/>
        <w:rPr>
          <w:rFonts w:ascii="Barlow" w:hAnsi="Barlow"/>
          <w:sz w:val="22"/>
          <w:szCs w:val="22"/>
        </w:rPr>
      </w:pPr>
      <w:r w:rsidRPr="005D5B0F">
        <w:rPr>
          <w:rFonts w:ascii="Barlow" w:hAnsi="Barlow"/>
          <w:sz w:val="22"/>
          <w:szCs w:val="22"/>
        </w:rPr>
        <w:t xml:space="preserve"> </w:t>
      </w:r>
    </w:p>
    <w:p w14:paraId="131FCCCE" w14:textId="77777777" w:rsidR="00D03000" w:rsidRPr="005D5B0F" w:rsidRDefault="00D03000">
      <w:pPr>
        <w:spacing w:line="240" w:lineRule="exact"/>
        <w:rPr>
          <w:rFonts w:ascii="Barlow" w:hAnsi="Barlow"/>
          <w:sz w:val="22"/>
          <w:szCs w:val="22"/>
        </w:rPr>
      </w:pPr>
    </w:p>
    <w:p w14:paraId="4600BEA5" w14:textId="77777777" w:rsidR="00D03000" w:rsidRPr="005D5B0F" w:rsidRDefault="00D03000">
      <w:pPr>
        <w:spacing w:line="240" w:lineRule="exact"/>
        <w:rPr>
          <w:rFonts w:ascii="Barlow" w:hAnsi="Barlow"/>
          <w:sz w:val="22"/>
          <w:szCs w:val="22"/>
        </w:rPr>
      </w:pPr>
    </w:p>
    <w:p w14:paraId="259EA88B" w14:textId="77777777" w:rsidR="00D03000" w:rsidRPr="005D5B0F" w:rsidRDefault="00D03000">
      <w:pPr>
        <w:spacing w:line="240" w:lineRule="exact"/>
        <w:rPr>
          <w:rFonts w:ascii="Barlow" w:hAnsi="Barlow"/>
          <w:sz w:val="22"/>
          <w:szCs w:val="22"/>
        </w:rPr>
      </w:pPr>
    </w:p>
    <w:p w14:paraId="52B4A5DA" w14:textId="77777777" w:rsidR="00D03000" w:rsidRPr="005D5B0F" w:rsidRDefault="00D03000">
      <w:pPr>
        <w:spacing w:line="240" w:lineRule="exact"/>
        <w:rPr>
          <w:rFonts w:ascii="Barlow" w:hAnsi="Barlow"/>
          <w:sz w:val="22"/>
          <w:szCs w:val="22"/>
        </w:rPr>
      </w:pPr>
    </w:p>
    <w:p w14:paraId="774B6F5D" w14:textId="77777777" w:rsidR="00D03000" w:rsidRPr="005D5B0F" w:rsidRDefault="00D03000">
      <w:pPr>
        <w:spacing w:line="240" w:lineRule="exact"/>
        <w:rPr>
          <w:rFonts w:ascii="Barlow" w:hAnsi="Barlow"/>
          <w:sz w:val="22"/>
          <w:szCs w:val="22"/>
        </w:rPr>
      </w:pPr>
    </w:p>
    <w:p w14:paraId="23FC3474" w14:textId="77777777" w:rsidR="00D03000" w:rsidRPr="005D5B0F" w:rsidRDefault="00D03000">
      <w:pPr>
        <w:spacing w:line="240" w:lineRule="exact"/>
        <w:rPr>
          <w:rFonts w:ascii="Barlow" w:hAnsi="Barlow"/>
          <w:sz w:val="22"/>
          <w:szCs w:val="22"/>
        </w:rPr>
      </w:pPr>
    </w:p>
    <w:p w14:paraId="1D750EC0" w14:textId="77777777" w:rsidR="00D03000" w:rsidRPr="005D5B0F" w:rsidRDefault="00D03000">
      <w:pPr>
        <w:spacing w:line="240" w:lineRule="exact"/>
        <w:rPr>
          <w:rFonts w:ascii="Barlow" w:hAnsi="Barlow"/>
          <w:sz w:val="22"/>
          <w:szCs w:val="22"/>
        </w:rPr>
      </w:pPr>
    </w:p>
    <w:p w14:paraId="2EC38F9A" w14:textId="77777777" w:rsidR="00D03000" w:rsidRPr="005D5B0F" w:rsidRDefault="00D03000">
      <w:pPr>
        <w:spacing w:line="240" w:lineRule="exact"/>
        <w:rPr>
          <w:rFonts w:ascii="Barlow" w:hAnsi="Barlow"/>
          <w:sz w:val="22"/>
          <w:szCs w:val="22"/>
        </w:rPr>
      </w:pPr>
    </w:p>
    <w:p w14:paraId="1F68D519" w14:textId="77777777" w:rsidR="00D03000" w:rsidRPr="005D5B0F" w:rsidRDefault="00D03000">
      <w:pPr>
        <w:spacing w:line="240" w:lineRule="exact"/>
        <w:rPr>
          <w:rFonts w:ascii="Barlow" w:hAnsi="Barlow"/>
          <w:sz w:val="22"/>
          <w:szCs w:val="22"/>
        </w:rPr>
      </w:pPr>
    </w:p>
    <w:p w14:paraId="13C3E4DF" w14:textId="77777777" w:rsidR="00D03000" w:rsidRPr="005D5B0F" w:rsidRDefault="00D03000">
      <w:pPr>
        <w:spacing w:line="240" w:lineRule="exact"/>
        <w:rPr>
          <w:rFonts w:ascii="Barlow" w:hAnsi="Barlow"/>
          <w:sz w:val="22"/>
          <w:szCs w:val="22"/>
        </w:rPr>
      </w:pPr>
    </w:p>
    <w:p w14:paraId="5D2FE8BF" w14:textId="77777777" w:rsidR="00D03000" w:rsidRPr="005D5B0F" w:rsidRDefault="00D03000">
      <w:pPr>
        <w:spacing w:line="240" w:lineRule="exact"/>
        <w:rPr>
          <w:rFonts w:ascii="Barlow" w:hAnsi="Barlow"/>
          <w:sz w:val="22"/>
          <w:szCs w:val="22"/>
        </w:rPr>
      </w:pPr>
    </w:p>
    <w:p w14:paraId="1200C7E6" w14:textId="77777777" w:rsidR="00D03000" w:rsidRPr="005D5B0F" w:rsidRDefault="00D03000">
      <w:pPr>
        <w:spacing w:after="20" w:line="240" w:lineRule="exact"/>
        <w:rPr>
          <w:rFonts w:ascii="Barlow" w:hAnsi="Barlow"/>
          <w:sz w:val="22"/>
          <w:szCs w:val="22"/>
        </w:rPr>
      </w:pPr>
    </w:p>
    <w:p w14:paraId="4301743B" w14:textId="77777777" w:rsidR="00D03000" w:rsidRPr="005D5B0F" w:rsidRDefault="00000000">
      <w:pPr>
        <w:spacing w:line="279" w:lineRule="exact"/>
        <w:jc w:val="center"/>
        <w:rPr>
          <w:rFonts w:ascii="Barlow" w:eastAsia="Trebuchet MS" w:hAnsi="Barlow" w:cs="Trebuchet MS"/>
          <w:b/>
          <w:color w:val="000000"/>
          <w:sz w:val="22"/>
          <w:szCs w:val="22"/>
          <w:lang w:val="fr-FR"/>
        </w:rPr>
      </w:pPr>
      <w:r w:rsidRPr="005D5B0F">
        <w:rPr>
          <w:rFonts w:ascii="Barlow" w:eastAsia="Trebuchet MS" w:hAnsi="Barlow" w:cs="Trebuchet MS"/>
          <w:b/>
          <w:color w:val="000000"/>
          <w:sz w:val="22"/>
          <w:szCs w:val="22"/>
          <w:lang w:val="fr-FR"/>
        </w:rPr>
        <w:t>DIRECTION INTERREGIONALE DES SERVICES PENITENTIAIRES AUVERGNE RHONE ALPES</w:t>
      </w:r>
    </w:p>
    <w:p w14:paraId="29D4E5AF" w14:textId="77777777" w:rsidR="00D03000" w:rsidRPr="005D5B0F" w:rsidRDefault="00000000">
      <w:pPr>
        <w:spacing w:line="279" w:lineRule="exact"/>
        <w:jc w:val="center"/>
        <w:rPr>
          <w:rFonts w:ascii="Barlow" w:eastAsia="Trebuchet MS" w:hAnsi="Barlow" w:cs="Trebuchet MS"/>
          <w:color w:val="000000"/>
          <w:sz w:val="22"/>
          <w:szCs w:val="22"/>
          <w:lang w:val="fr-FR"/>
        </w:rPr>
      </w:pPr>
      <w:r w:rsidRPr="005D5B0F">
        <w:rPr>
          <w:rFonts w:ascii="Barlow" w:eastAsia="Trebuchet MS" w:hAnsi="Barlow" w:cs="Trebuchet MS"/>
          <w:b/>
          <w:color w:val="000000"/>
          <w:sz w:val="22"/>
          <w:szCs w:val="22"/>
          <w:lang w:val="fr-FR"/>
        </w:rPr>
        <w:t xml:space="preserve">Département des Affaires immobilières de Lyon </w:t>
      </w:r>
    </w:p>
    <w:p w14:paraId="677C33C7" w14:textId="77777777" w:rsidR="00D03000" w:rsidRPr="005D5B0F" w:rsidRDefault="00000000">
      <w:pPr>
        <w:spacing w:line="279" w:lineRule="exact"/>
        <w:jc w:val="center"/>
        <w:rPr>
          <w:rFonts w:ascii="Barlow" w:eastAsia="Trebuchet MS" w:hAnsi="Barlow" w:cs="Trebuchet MS"/>
          <w:color w:val="000000"/>
          <w:sz w:val="22"/>
          <w:szCs w:val="22"/>
          <w:lang w:val="fr-FR"/>
        </w:rPr>
      </w:pPr>
      <w:r w:rsidRPr="005D5B0F">
        <w:rPr>
          <w:rFonts w:ascii="Barlow" w:eastAsia="Trebuchet MS" w:hAnsi="Barlow" w:cs="Trebuchet MS"/>
          <w:color w:val="000000"/>
          <w:sz w:val="22"/>
          <w:szCs w:val="22"/>
          <w:lang w:val="fr-FR"/>
        </w:rPr>
        <w:t>19 Rue Crépet</w:t>
      </w:r>
    </w:p>
    <w:p w14:paraId="22DB44E4" w14:textId="77777777" w:rsidR="00D03000" w:rsidRPr="005D5B0F" w:rsidRDefault="00000000">
      <w:pPr>
        <w:spacing w:line="279" w:lineRule="exact"/>
        <w:jc w:val="center"/>
        <w:rPr>
          <w:rFonts w:ascii="Barlow" w:eastAsia="Trebuchet MS" w:hAnsi="Barlow" w:cs="Trebuchet MS"/>
          <w:color w:val="000000"/>
          <w:sz w:val="22"/>
          <w:szCs w:val="22"/>
          <w:lang w:val="fr-FR"/>
        </w:rPr>
      </w:pPr>
      <w:r w:rsidRPr="005D5B0F">
        <w:rPr>
          <w:rFonts w:ascii="Barlow" w:eastAsia="Trebuchet MS" w:hAnsi="Barlow" w:cs="Trebuchet MS"/>
          <w:color w:val="000000"/>
          <w:sz w:val="22"/>
          <w:szCs w:val="22"/>
          <w:lang w:val="fr-FR"/>
        </w:rPr>
        <w:t>CS 70607</w:t>
      </w:r>
    </w:p>
    <w:p w14:paraId="50EEB25F" w14:textId="77777777" w:rsidR="00D03000" w:rsidRPr="005D5B0F" w:rsidRDefault="00000000">
      <w:pPr>
        <w:spacing w:line="279" w:lineRule="exact"/>
        <w:jc w:val="center"/>
        <w:rPr>
          <w:rFonts w:ascii="Barlow" w:eastAsia="Trebuchet MS" w:hAnsi="Barlow" w:cs="Trebuchet MS"/>
          <w:color w:val="000000"/>
          <w:sz w:val="22"/>
          <w:szCs w:val="22"/>
          <w:lang w:val="fr-FR"/>
        </w:rPr>
      </w:pPr>
      <w:r w:rsidRPr="005D5B0F">
        <w:rPr>
          <w:rFonts w:ascii="Barlow" w:eastAsia="Trebuchet MS" w:hAnsi="Barlow" w:cs="Trebuchet MS"/>
          <w:color w:val="000000"/>
          <w:sz w:val="22"/>
          <w:szCs w:val="22"/>
          <w:lang w:val="fr-FR"/>
        </w:rPr>
        <w:t>69366 LYON</w:t>
      </w:r>
    </w:p>
    <w:p w14:paraId="703DD4A7" w14:textId="77777777" w:rsidR="00D03000" w:rsidRPr="005D5B0F" w:rsidRDefault="00D03000">
      <w:pPr>
        <w:spacing w:line="279" w:lineRule="exact"/>
        <w:jc w:val="center"/>
        <w:rPr>
          <w:rFonts w:ascii="Barlow" w:eastAsia="Trebuchet MS" w:hAnsi="Barlow" w:cs="Trebuchet MS"/>
          <w:color w:val="000000"/>
          <w:sz w:val="22"/>
          <w:szCs w:val="22"/>
          <w:lang w:val="fr-FR"/>
        </w:rPr>
        <w:sectPr w:rsidR="00D03000" w:rsidRPr="005D5B0F">
          <w:headerReference w:type="even" r:id="rId7"/>
          <w:headerReference w:type="default" r:id="rId8"/>
          <w:footerReference w:type="even" r:id="rId9"/>
          <w:footerReference w:type="default" r:id="rId10"/>
          <w:headerReference w:type="first" r:id="rId11"/>
          <w:footerReference w:type="first" r:id="rId12"/>
          <w:pgSz w:w="11900" w:h="16840"/>
          <w:pgMar w:top="620" w:right="1140" w:bottom="1440" w:left="1140" w:header="620" w:footer="1440" w:gutter="0"/>
          <w:cols w:space="708"/>
        </w:sectPr>
      </w:pPr>
    </w:p>
    <w:p w14:paraId="0F140B53" w14:textId="77777777" w:rsidR="00D03000" w:rsidRPr="005D5B0F" w:rsidRDefault="00D03000">
      <w:pPr>
        <w:spacing w:line="200" w:lineRule="exact"/>
        <w:rPr>
          <w:rFonts w:ascii="Barlow" w:hAnsi="Barlow"/>
          <w:sz w:val="18"/>
          <w:szCs w:val="22"/>
        </w:rPr>
      </w:pPr>
    </w:p>
    <w:tbl>
      <w:tblPr>
        <w:tblW w:w="0" w:type="auto"/>
        <w:tblLayout w:type="fixed"/>
        <w:tblLook w:val="04A0" w:firstRow="1" w:lastRow="0" w:firstColumn="1" w:lastColumn="0" w:noHBand="0" w:noVBand="1"/>
      </w:tblPr>
      <w:tblGrid>
        <w:gridCol w:w="1200"/>
        <w:gridCol w:w="2400"/>
        <w:gridCol w:w="6000"/>
      </w:tblGrid>
      <w:tr w:rsidR="00D03000" w:rsidRPr="005D5B0F" w14:paraId="05A2142F"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0F031DFC" w14:textId="77777777" w:rsidR="00D03000" w:rsidRPr="005D5B0F" w:rsidRDefault="00000000">
            <w:pPr>
              <w:pStyle w:val="Titletable"/>
              <w:jc w:val="center"/>
              <w:rPr>
                <w:rFonts w:ascii="Barlow" w:hAnsi="Barlow"/>
                <w:sz w:val="24"/>
                <w:szCs w:val="22"/>
                <w:lang w:val="fr-FR"/>
              </w:rPr>
            </w:pPr>
            <w:r w:rsidRPr="005D5B0F">
              <w:rPr>
                <w:rFonts w:ascii="Barlow" w:hAnsi="Barlow"/>
                <w:sz w:val="24"/>
                <w:szCs w:val="22"/>
                <w:lang w:val="fr-FR"/>
              </w:rPr>
              <w:t>L'ESSENTIEL DU CONTRAT</w:t>
            </w:r>
          </w:p>
        </w:tc>
      </w:tr>
      <w:tr w:rsidR="00D03000" w:rsidRPr="005D5B0F" w14:paraId="29E2B065" w14:textId="77777777">
        <w:trPr>
          <w:trHeight w:val="74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ECF510" w14:textId="77777777" w:rsidR="00D03000" w:rsidRPr="005D5B0F" w:rsidRDefault="00D03000">
            <w:pPr>
              <w:spacing w:line="240" w:lineRule="exact"/>
              <w:rPr>
                <w:rFonts w:ascii="Barlow" w:hAnsi="Barlow"/>
                <w:sz w:val="22"/>
                <w:szCs w:val="22"/>
              </w:rPr>
            </w:pPr>
          </w:p>
          <w:p w14:paraId="5E82442C" w14:textId="77777777" w:rsidR="00D03000" w:rsidRPr="005D5B0F" w:rsidRDefault="00DB7CA6">
            <w:pPr>
              <w:ind w:left="420"/>
              <w:rPr>
                <w:rFonts w:ascii="Barlow" w:hAnsi="Barlow"/>
                <w:sz w:val="2"/>
                <w:szCs w:val="22"/>
              </w:rPr>
            </w:pPr>
            <w:r w:rsidRPr="00DB7CA6">
              <w:rPr>
                <w:rFonts w:ascii="Barlow" w:hAnsi="Barlow"/>
                <w:noProof/>
                <w:sz w:val="22"/>
                <w:szCs w:val="22"/>
              </w:rPr>
              <w:pict w14:anchorId="29F8041F">
                <v:shape id="_x0000_i1034" type="#_x0000_t75" alt="" style="width:19.7pt;height:19.7pt;mso-width-percent:0;mso-height-percent:0;mso-width-percent:0;mso-height-percent:0">
                  <v:imagedata r:id="rId13"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7E3243" w14:textId="77777777" w:rsidR="00D03000" w:rsidRPr="005D5B0F" w:rsidRDefault="00000000">
            <w:pPr>
              <w:spacing w:before="280" w:after="160"/>
              <w:ind w:left="160" w:right="160"/>
              <w:rPr>
                <w:rFonts w:ascii="Barlow" w:eastAsia="Trebuchet MS" w:hAnsi="Barlow" w:cs="Trebuchet MS"/>
                <w:b/>
                <w:color w:val="000000"/>
                <w:sz w:val="18"/>
                <w:szCs w:val="22"/>
                <w:lang w:val="fr-FR"/>
              </w:rPr>
            </w:pPr>
            <w:r w:rsidRPr="005D5B0F">
              <w:rPr>
                <w:rFonts w:ascii="Barlow" w:eastAsia="Trebuchet MS" w:hAnsi="Barlow" w:cs="Trebuchet MS"/>
                <w:b/>
                <w:color w:val="000000"/>
                <w:sz w:val="18"/>
                <w:szCs w:val="22"/>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5B0BDA" w14:textId="77777777" w:rsidR="00D03000" w:rsidRPr="005D5B0F" w:rsidRDefault="00000000">
            <w:pPr>
              <w:spacing w:before="60" w:after="60" w:line="232" w:lineRule="exact"/>
              <w:ind w:left="160" w:right="160"/>
              <w:rPr>
                <w:rFonts w:ascii="Barlow" w:eastAsia="Trebuchet MS" w:hAnsi="Barlow" w:cs="Trebuchet MS"/>
                <w:color w:val="000000"/>
                <w:sz w:val="18"/>
                <w:szCs w:val="22"/>
                <w:lang w:val="fr-FR"/>
              </w:rPr>
            </w:pPr>
            <w:r w:rsidRPr="005D5B0F">
              <w:rPr>
                <w:rFonts w:ascii="Barlow" w:eastAsia="Trebuchet MS" w:hAnsi="Barlow" w:cs="Trebuchet MS"/>
                <w:color w:val="000000"/>
                <w:sz w:val="18"/>
                <w:szCs w:val="22"/>
                <w:lang w:val="fr-FR"/>
              </w:rPr>
              <w:t>Travaux de  création de douches en cellules et mise en œuvre des opérations de GER prioritaires pour le bâtiment petit quartier, bâtiment femmes et l'USN.</w:t>
            </w:r>
          </w:p>
        </w:tc>
      </w:tr>
      <w:tr w:rsidR="00D03000" w:rsidRPr="005D5B0F" w14:paraId="77405D5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95D274" w14:textId="77777777" w:rsidR="00D03000" w:rsidRPr="005D5B0F" w:rsidRDefault="00D03000">
            <w:pPr>
              <w:spacing w:line="140" w:lineRule="exact"/>
              <w:rPr>
                <w:rFonts w:ascii="Barlow" w:hAnsi="Barlow"/>
                <w:sz w:val="13"/>
                <w:szCs w:val="22"/>
              </w:rPr>
            </w:pPr>
          </w:p>
          <w:p w14:paraId="26B79C16" w14:textId="77777777" w:rsidR="00D03000" w:rsidRPr="005D5B0F" w:rsidRDefault="00DB7CA6">
            <w:pPr>
              <w:ind w:left="420"/>
              <w:rPr>
                <w:rFonts w:ascii="Barlow" w:hAnsi="Barlow"/>
                <w:sz w:val="2"/>
                <w:szCs w:val="22"/>
              </w:rPr>
            </w:pPr>
            <w:r w:rsidRPr="00DB7CA6">
              <w:rPr>
                <w:rFonts w:ascii="Barlow" w:hAnsi="Barlow"/>
                <w:noProof/>
                <w:sz w:val="22"/>
                <w:szCs w:val="22"/>
              </w:rPr>
              <w:pict w14:anchorId="11E3F0C6">
                <v:shape id="_x0000_i1033" type="#_x0000_t75" alt="" style="width:19.7pt;height:19.7pt;mso-width-percent:0;mso-height-percent:0;mso-width-percent:0;mso-height-percent:0">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EBB9B4" w14:textId="77777777" w:rsidR="00D03000" w:rsidRPr="005D5B0F" w:rsidRDefault="00000000">
            <w:pPr>
              <w:spacing w:before="180" w:after="120"/>
              <w:ind w:left="160" w:right="160"/>
              <w:rPr>
                <w:rFonts w:ascii="Barlow" w:eastAsia="Trebuchet MS" w:hAnsi="Barlow" w:cs="Trebuchet MS"/>
                <w:b/>
                <w:color w:val="000000"/>
                <w:sz w:val="18"/>
                <w:szCs w:val="22"/>
                <w:lang w:val="fr-FR"/>
              </w:rPr>
            </w:pPr>
            <w:r w:rsidRPr="005D5B0F">
              <w:rPr>
                <w:rFonts w:ascii="Barlow" w:eastAsia="Trebuchet MS" w:hAnsi="Barlow" w:cs="Trebuchet MS"/>
                <w:b/>
                <w:color w:val="000000"/>
                <w:sz w:val="18"/>
                <w:szCs w:val="22"/>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4013B2" w14:textId="77777777" w:rsidR="00D03000" w:rsidRPr="005D5B0F" w:rsidRDefault="00000000">
            <w:pPr>
              <w:spacing w:before="180" w:after="120"/>
              <w:ind w:left="160" w:right="160"/>
              <w:rPr>
                <w:rFonts w:ascii="Barlow" w:eastAsia="Trebuchet MS" w:hAnsi="Barlow" w:cs="Trebuchet MS"/>
                <w:color w:val="000000"/>
                <w:sz w:val="18"/>
                <w:szCs w:val="22"/>
                <w:lang w:val="fr-FR"/>
              </w:rPr>
            </w:pPr>
            <w:r w:rsidRPr="005D5B0F">
              <w:rPr>
                <w:rFonts w:ascii="Barlow" w:eastAsia="Trebuchet MS" w:hAnsi="Barlow" w:cs="Trebuchet MS"/>
                <w:color w:val="000000"/>
                <w:sz w:val="18"/>
                <w:szCs w:val="22"/>
                <w:lang w:val="fr-FR"/>
              </w:rPr>
              <w:t>Marché public</w:t>
            </w:r>
          </w:p>
        </w:tc>
      </w:tr>
      <w:tr w:rsidR="00D03000" w:rsidRPr="005D5B0F" w14:paraId="1B18078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48DB77" w14:textId="77777777" w:rsidR="00D03000" w:rsidRPr="005D5B0F" w:rsidRDefault="00D03000">
            <w:pPr>
              <w:spacing w:line="100" w:lineRule="exact"/>
              <w:rPr>
                <w:rFonts w:ascii="Barlow" w:hAnsi="Barlow"/>
                <w:sz w:val="8"/>
                <w:szCs w:val="22"/>
              </w:rPr>
            </w:pPr>
          </w:p>
          <w:p w14:paraId="35186BC7" w14:textId="77777777" w:rsidR="00D03000" w:rsidRPr="005D5B0F" w:rsidRDefault="00DB7CA6">
            <w:pPr>
              <w:ind w:left="420"/>
              <w:rPr>
                <w:rFonts w:ascii="Barlow" w:hAnsi="Barlow"/>
                <w:sz w:val="2"/>
                <w:szCs w:val="22"/>
              </w:rPr>
            </w:pPr>
            <w:r w:rsidRPr="00DB7CA6">
              <w:rPr>
                <w:rFonts w:ascii="Barlow" w:hAnsi="Barlow"/>
                <w:noProof/>
                <w:sz w:val="22"/>
                <w:szCs w:val="22"/>
              </w:rPr>
              <w:pict w14:anchorId="48484C55">
                <v:shape id="_x0000_i1032" type="#_x0000_t75" alt="" style="width:19.7pt;height:19.7pt;mso-width-percent:0;mso-height-percent:0;mso-width-percent:0;mso-height-percent:0">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EB7B67" w14:textId="77777777" w:rsidR="00D03000" w:rsidRPr="005D5B0F" w:rsidRDefault="00000000">
            <w:pPr>
              <w:spacing w:before="180" w:after="120"/>
              <w:ind w:left="160" w:right="160"/>
              <w:rPr>
                <w:rFonts w:ascii="Barlow" w:eastAsia="Trebuchet MS" w:hAnsi="Barlow" w:cs="Trebuchet MS"/>
                <w:b/>
                <w:color w:val="000000"/>
                <w:sz w:val="18"/>
                <w:szCs w:val="22"/>
                <w:lang w:val="fr-FR"/>
              </w:rPr>
            </w:pPr>
            <w:r w:rsidRPr="005D5B0F">
              <w:rPr>
                <w:rFonts w:ascii="Barlow" w:eastAsia="Trebuchet MS" w:hAnsi="Barlow" w:cs="Trebuchet MS"/>
                <w:b/>
                <w:color w:val="000000"/>
                <w:sz w:val="18"/>
                <w:szCs w:val="22"/>
                <w:lang w:val="fr-FR"/>
              </w:rPr>
              <w:t>Tranches optionnelles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E9C42E" w14:textId="77777777" w:rsidR="00D03000" w:rsidRPr="005D5B0F" w:rsidRDefault="00000000">
            <w:pPr>
              <w:spacing w:before="180" w:after="120"/>
              <w:ind w:left="160" w:right="160"/>
              <w:rPr>
                <w:rFonts w:ascii="Barlow" w:eastAsia="Trebuchet MS" w:hAnsi="Barlow" w:cs="Trebuchet MS"/>
                <w:color w:val="000000"/>
                <w:sz w:val="18"/>
                <w:szCs w:val="22"/>
                <w:lang w:val="fr-FR"/>
              </w:rPr>
            </w:pPr>
            <w:r w:rsidRPr="005D5B0F">
              <w:rPr>
                <w:rFonts w:ascii="Barlow" w:eastAsia="Trebuchet MS" w:hAnsi="Barlow" w:cs="Trebuchet MS"/>
                <w:color w:val="000000"/>
                <w:sz w:val="18"/>
                <w:szCs w:val="22"/>
                <w:lang w:val="fr-FR"/>
              </w:rPr>
              <w:t>Sans tranches optionnelles</w:t>
            </w:r>
          </w:p>
        </w:tc>
      </w:tr>
      <w:tr w:rsidR="00D03000" w:rsidRPr="005D5B0F" w14:paraId="61563B5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E5B8B0" w14:textId="77777777" w:rsidR="00D03000" w:rsidRPr="005D5B0F" w:rsidRDefault="00D03000">
            <w:pPr>
              <w:spacing w:line="140" w:lineRule="exact"/>
              <w:rPr>
                <w:rFonts w:ascii="Barlow" w:hAnsi="Barlow"/>
                <w:sz w:val="13"/>
                <w:szCs w:val="22"/>
              </w:rPr>
            </w:pPr>
          </w:p>
          <w:p w14:paraId="1EEAE7F8" w14:textId="77777777" w:rsidR="00D03000" w:rsidRPr="005D5B0F" w:rsidRDefault="00DB7CA6">
            <w:pPr>
              <w:ind w:left="420"/>
              <w:rPr>
                <w:rFonts w:ascii="Barlow" w:hAnsi="Barlow"/>
                <w:sz w:val="2"/>
                <w:szCs w:val="22"/>
              </w:rPr>
            </w:pPr>
            <w:r w:rsidRPr="00DB7CA6">
              <w:rPr>
                <w:rFonts w:ascii="Barlow" w:hAnsi="Barlow"/>
                <w:noProof/>
                <w:sz w:val="22"/>
                <w:szCs w:val="22"/>
              </w:rPr>
              <w:pict w14:anchorId="72A25D1C">
                <v:shape id="_x0000_i1031" type="#_x0000_t75" alt="" style="width:19.7pt;height:19.7pt;mso-width-percent:0;mso-height-percent:0;mso-width-percent:0;mso-height-percent:0">
                  <v:imagedata r:id="rId16"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D1D921" w14:textId="77777777" w:rsidR="00D03000" w:rsidRPr="005D5B0F" w:rsidRDefault="00000000">
            <w:pPr>
              <w:spacing w:before="180" w:after="120"/>
              <w:ind w:left="160" w:right="160"/>
              <w:rPr>
                <w:rFonts w:ascii="Barlow" w:eastAsia="Trebuchet MS" w:hAnsi="Barlow" w:cs="Trebuchet MS"/>
                <w:b/>
                <w:color w:val="000000"/>
                <w:sz w:val="18"/>
                <w:szCs w:val="22"/>
                <w:lang w:val="fr-FR"/>
              </w:rPr>
            </w:pPr>
            <w:r w:rsidRPr="005D5B0F">
              <w:rPr>
                <w:rFonts w:ascii="Barlow" w:eastAsia="Trebuchet MS" w:hAnsi="Barlow" w:cs="Trebuchet MS"/>
                <w:b/>
                <w:color w:val="000000"/>
                <w:sz w:val="18"/>
                <w:szCs w:val="22"/>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839E21" w14:textId="77777777" w:rsidR="00D03000" w:rsidRPr="005D5B0F" w:rsidRDefault="00000000">
            <w:pPr>
              <w:spacing w:before="180" w:after="120"/>
              <w:ind w:left="160" w:right="160"/>
              <w:rPr>
                <w:rFonts w:ascii="Barlow" w:eastAsia="Trebuchet MS" w:hAnsi="Barlow" w:cs="Trebuchet MS"/>
                <w:color w:val="000000"/>
                <w:sz w:val="18"/>
                <w:szCs w:val="22"/>
                <w:lang w:val="fr-FR"/>
              </w:rPr>
            </w:pPr>
            <w:r w:rsidRPr="005D5B0F">
              <w:rPr>
                <w:rFonts w:ascii="Barlow" w:eastAsia="Trebuchet MS" w:hAnsi="Barlow" w:cs="Trebuchet MS"/>
                <w:color w:val="000000"/>
                <w:sz w:val="18"/>
                <w:szCs w:val="22"/>
                <w:lang w:val="fr-FR"/>
              </w:rPr>
              <w:t>Sans</w:t>
            </w:r>
          </w:p>
        </w:tc>
      </w:tr>
      <w:tr w:rsidR="00D03000" w:rsidRPr="005D5B0F" w14:paraId="6395D74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2F7343" w14:textId="77777777" w:rsidR="00D03000" w:rsidRPr="005D5B0F" w:rsidRDefault="00D03000">
            <w:pPr>
              <w:spacing w:line="140" w:lineRule="exact"/>
              <w:rPr>
                <w:rFonts w:ascii="Barlow" w:hAnsi="Barlow"/>
                <w:sz w:val="13"/>
                <w:szCs w:val="22"/>
              </w:rPr>
            </w:pPr>
          </w:p>
          <w:p w14:paraId="6B65B870" w14:textId="77777777" w:rsidR="00D03000" w:rsidRPr="005D5B0F" w:rsidRDefault="00DB7CA6">
            <w:pPr>
              <w:ind w:left="420"/>
              <w:rPr>
                <w:rFonts w:ascii="Barlow" w:hAnsi="Barlow"/>
                <w:sz w:val="2"/>
                <w:szCs w:val="22"/>
              </w:rPr>
            </w:pPr>
            <w:r w:rsidRPr="00DB7CA6">
              <w:rPr>
                <w:rFonts w:ascii="Barlow" w:hAnsi="Barlow"/>
                <w:noProof/>
                <w:sz w:val="22"/>
                <w:szCs w:val="22"/>
              </w:rPr>
              <w:pict w14:anchorId="3CAEE168">
                <v:shape id="_x0000_i1030" type="#_x0000_t75" alt="" style="width:19.7pt;height:19.7pt;mso-width-percent:0;mso-height-percent:0;mso-width-percent:0;mso-height-percent:0">
                  <v:imagedata r:id="rId17"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619E7E" w14:textId="77777777" w:rsidR="00D03000" w:rsidRPr="005D5B0F" w:rsidRDefault="00000000">
            <w:pPr>
              <w:spacing w:before="60" w:after="60" w:line="232" w:lineRule="exact"/>
              <w:ind w:left="160" w:right="160"/>
              <w:rPr>
                <w:rFonts w:ascii="Barlow" w:eastAsia="Trebuchet MS" w:hAnsi="Barlow" w:cs="Trebuchet MS"/>
                <w:b/>
                <w:color w:val="000000"/>
                <w:sz w:val="18"/>
                <w:szCs w:val="22"/>
                <w:lang w:val="fr-FR"/>
              </w:rPr>
            </w:pPr>
            <w:r w:rsidRPr="005D5B0F">
              <w:rPr>
                <w:rFonts w:ascii="Barlow" w:eastAsia="Trebuchet MS" w:hAnsi="Barlow" w:cs="Trebuchet MS"/>
                <w:b/>
                <w:color w:val="000000"/>
                <w:sz w:val="18"/>
                <w:szCs w:val="22"/>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0A20B7" w14:textId="77777777" w:rsidR="00D03000" w:rsidRPr="005D5B0F" w:rsidRDefault="00000000">
            <w:pPr>
              <w:spacing w:before="180" w:after="120"/>
              <w:ind w:left="160" w:right="160"/>
              <w:rPr>
                <w:rFonts w:ascii="Barlow" w:eastAsia="Trebuchet MS" w:hAnsi="Barlow" w:cs="Trebuchet MS"/>
                <w:color w:val="000000"/>
                <w:sz w:val="18"/>
                <w:szCs w:val="22"/>
                <w:lang w:val="fr-FR"/>
              </w:rPr>
            </w:pPr>
            <w:r w:rsidRPr="005D5B0F">
              <w:rPr>
                <w:rFonts w:ascii="Barlow" w:eastAsia="Trebuchet MS" w:hAnsi="Barlow" w:cs="Trebuchet MS"/>
                <w:color w:val="000000"/>
                <w:sz w:val="18"/>
                <w:szCs w:val="22"/>
                <w:lang w:val="fr-FR"/>
              </w:rPr>
              <w:t>Sans</w:t>
            </w:r>
          </w:p>
        </w:tc>
      </w:tr>
      <w:tr w:rsidR="00D03000" w:rsidRPr="005D5B0F" w14:paraId="29B7DEB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6FE376" w14:textId="77777777" w:rsidR="00D03000" w:rsidRPr="005D5B0F" w:rsidRDefault="00D03000">
            <w:pPr>
              <w:spacing w:line="140" w:lineRule="exact"/>
              <w:rPr>
                <w:rFonts w:ascii="Barlow" w:hAnsi="Barlow"/>
                <w:sz w:val="13"/>
                <w:szCs w:val="22"/>
              </w:rPr>
            </w:pPr>
          </w:p>
          <w:p w14:paraId="0D75C93D" w14:textId="77777777" w:rsidR="00D03000" w:rsidRPr="005D5B0F" w:rsidRDefault="00DB7CA6">
            <w:pPr>
              <w:ind w:left="420"/>
              <w:rPr>
                <w:rFonts w:ascii="Barlow" w:hAnsi="Barlow"/>
                <w:sz w:val="2"/>
                <w:szCs w:val="22"/>
              </w:rPr>
            </w:pPr>
            <w:r w:rsidRPr="00DB7CA6">
              <w:rPr>
                <w:rFonts w:ascii="Barlow" w:hAnsi="Barlow"/>
                <w:noProof/>
                <w:sz w:val="22"/>
                <w:szCs w:val="22"/>
              </w:rPr>
              <w:pict w14:anchorId="4D2FA784">
                <v:shape id="_x0000_i1029" type="#_x0000_t75" alt="" style="width:19.7pt;height:19.7pt;mso-width-percent:0;mso-height-percent:0;mso-width-percent:0;mso-height-percent:0">
                  <v:imagedata r:id="rId1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B5D271" w14:textId="77777777" w:rsidR="00D03000" w:rsidRPr="005D5B0F" w:rsidRDefault="00000000">
            <w:pPr>
              <w:spacing w:before="180" w:after="120"/>
              <w:ind w:left="160" w:right="160"/>
              <w:rPr>
                <w:rFonts w:ascii="Barlow" w:eastAsia="Trebuchet MS" w:hAnsi="Barlow" w:cs="Trebuchet MS"/>
                <w:b/>
                <w:color w:val="000000"/>
                <w:sz w:val="18"/>
                <w:szCs w:val="22"/>
                <w:lang w:val="fr-FR"/>
              </w:rPr>
            </w:pPr>
            <w:r w:rsidRPr="005D5B0F">
              <w:rPr>
                <w:rFonts w:ascii="Barlow" w:eastAsia="Trebuchet MS" w:hAnsi="Barlow" w:cs="Trebuchet MS"/>
                <w:b/>
                <w:color w:val="000000"/>
                <w:sz w:val="18"/>
                <w:szCs w:val="22"/>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573C7A" w14:textId="77777777" w:rsidR="00D03000" w:rsidRPr="005D5B0F" w:rsidRDefault="00000000">
            <w:pPr>
              <w:spacing w:before="180" w:after="120"/>
              <w:ind w:left="160" w:right="160"/>
              <w:rPr>
                <w:rFonts w:ascii="Barlow" w:eastAsia="Trebuchet MS" w:hAnsi="Barlow" w:cs="Trebuchet MS"/>
                <w:color w:val="000000"/>
                <w:sz w:val="18"/>
                <w:szCs w:val="22"/>
                <w:lang w:val="fr-FR"/>
              </w:rPr>
            </w:pPr>
            <w:r w:rsidRPr="005D5B0F">
              <w:rPr>
                <w:rFonts w:ascii="Barlow" w:eastAsia="Trebuchet MS" w:hAnsi="Barlow" w:cs="Trebuchet MS"/>
                <w:color w:val="000000"/>
                <w:sz w:val="18"/>
                <w:szCs w:val="22"/>
                <w:lang w:val="fr-FR"/>
              </w:rPr>
              <w:t>39 mois</w:t>
            </w:r>
          </w:p>
        </w:tc>
      </w:tr>
      <w:tr w:rsidR="00D03000" w:rsidRPr="005D5B0F" w14:paraId="161DB63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E84736" w14:textId="77777777" w:rsidR="00D03000" w:rsidRPr="005D5B0F" w:rsidRDefault="00D03000">
            <w:pPr>
              <w:spacing w:line="80" w:lineRule="exact"/>
              <w:rPr>
                <w:rFonts w:ascii="Barlow" w:hAnsi="Barlow"/>
                <w:sz w:val="6"/>
                <w:szCs w:val="22"/>
              </w:rPr>
            </w:pPr>
          </w:p>
          <w:p w14:paraId="23009A97" w14:textId="77777777" w:rsidR="00D03000" w:rsidRPr="005D5B0F" w:rsidRDefault="00DB7CA6">
            <w:pPr>
              <w:ind w:left="420"/>
              <w:rPr>
                <w:rFonts w:ascii="Barlow" w:hAnsi="Barlow"/>
                <w:sz w:val="2"/>
                <w:szCs w:val="22"/>
              </w:rPr>
            </w:pPr>
            <w:r w:rsidRPr="00DB7CA6">
              <w:rPr>
                <w:rFonts w:ascii="Barlow" w:hAnsi="Barlow"/>
                <w:noProof/>
                <w:sz w:val="22"/>
                <w:szCs w:val="22"/>
              </w:rPr>
              <w:pict w14:anchorId="4542E2F2">
                <v:shape id="_x0000_i1028" type="#_x0000_t75" alt="" style="width:19.7pt;height:26.5pt;mso-width-percent:0;mso-height-percent:0;mso-width-percent:0;mso-height-percent:0">
                  <v:imagedata r:id="rId1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3760A1" w14:textId="77777777" w:rsidR="00D03000" w:rsidRPr="005D5B0F" w:rsidRDefault="00000000">
            <w:pPr>
              <w:spacing w:before="180" w:after="120"/>
              <w:ind w:left="160" w:right="160"/>
              <w:rPr>
                <w:rFonts w:ascii="Barlow" w:eastAsia="Trebuchet MS" w:hAnsi="Barlow" w:cs="Trebuchet MS"/>
                <w:b/>
                <w:color w:val="000000"/>
                <w:sz w:val="18"/>
                <w:szCs w:val="22"/>
                <w:lang w:val="fr-FR"/>
              </w:rPr>
            </w:pPr>
            <w:r w:rsidRPr="005D5B0F">
              <w:rPr>
                <w:rFonts w:ascii="Barlow" w:eastAsia="Trebuchet MS" w:hAnsi="Barlow" w:cs="Trebuchet MS"/>
                <w:b/>
                <w:color w:val="000000"/>
                <w:sz w:val="18"/>
                <w:szCs w:val="22"/>
                <w:lang w:val="fr-FR"/>
              </w:rPr>
              <w:t>Reconduction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82EF29" w14:textId="77777777" w:rsidR="00D03000" w:rsidRPr="005D5B0F" w:rsidRDefault="00000000">
            <w:pPr>
              <w:spacing w:before="180" w:after="120"/>
              <w:ind w:left="160" w:right="160"/>
              <w:rPr>
                <w:rFonts w:ascii="Barlow" w:eastAsia="Trebuchet MS" w:hAnsi="Barlow" w:cs="Trebuchet MS"/>
                <w:color w:val="000000"/>
                <w:sz w:val="18"/>
                <w:szCs w:val="22"/>
                <w:lang w:val="fr-FR"/>
              </w:rPr>
            </w:pPr>
            <w:r w:rsidRPr="005D5B0F">
              <w:rPr>
                <w:rFonts w:ascii="Barlow" w:eastAsia="Trebuchet MS" w:hAnsi="Barlow" w:cs="Trebuchet MS"/>
                <w:color w:val="000000"/>
                <w:sz w:val="18"/>
                <w:szCs w:val="22"/>
                <w:lang w:val="fr-FR"/>
              </w:rPr>
              <w:t>Sans</w:t>
            </w:r>
          </w:p>
        </w:tc>
      </w:tr>
      <w:tr w:rsidR="00D03000" w:rsidRPr="005D5B0F" w14:paraId="3C2B456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E4FA6F" w14:textId="77777777" w:rsidR="00D03000" w:rsidRPr="005D5B0F" w:rsidRDefault="00D03000">
            <w:pPr>
              <w:spacing w:line="140" w:lineRule="exact"/>
              <w:rPr>
                <w:rFonts w:ascii="Barlow" w:hAnsi="Barlow"/>
                <w:sz w:val="13"/>
                <w:szCs w:val="22"/>
              </w:rPr>
            </w:pPr>
          </w:p>
          <w:p w14:paraId="4768379C" w14:textId="77777777" w:rsidR="00D03000" w:rsidRPr="005D5B0F" w:rsidRDefault="00DB7CA6">
            <w:pPr>
              <w:ind w:left="420"/>
              <w:rPr>
                <w:rFonts w:ascii="Barlow" w:hAnsi="Barlow"/>
                <w:sz w:val="2"/>
                <w:szCs w:val="22"/>
              </w:rPr>
            </w:pPr>
            <w:r w:rsidRPr="00DB7CA6">
              <w:rPr>
                <w:rFonts w:ascii="Barlow" w:hAnsi="Barlow"/>
                <w:noProof/>
                <w:sz w:val="22"/>
                <w:szCs w:val="22"/>
              </w:rPr>
              <w:pict w14:anchorId="31AAE51C">
                <v:shape id="_x0000_i1027" type="#_x0000_t75" alt="" style="width:19.7pt;height:19.7pt;mso-width-percent:0;mso-height-percent:0;mso-width-percent:0;mso-height-percent:0">
                  <v:imagedata r:id="rId2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2A39DC" w14:textId="77777777" w:rsidR="00D03000" w:rsidRPr="005D5B0F" w:rsidRDefault="00000000">
            <w:pPr>
              <w:spacing w:before="180" w:after="120"/>
              <w:ind w:left="160" w:right="160"/>
              <w:rPr>
                <w:rFonts w:ascii="Barlow" w:eastAsia="Trebuchet MS" w:hAnsi="Barlow" w:cs="Trebuchet MS"/>
                <w:b/>
                <w:color w:val="000000"/>
                <w:sz w:val="18"/>
                <w:szCs w:val="22"/>
                <w:lang w:val="fr-FR"/>
              </w:rPr>
            </w:pPr>
            <w:r w:rsidRPr="005D5B0F">
              <w:rPr>
                <w:rFonts w:ascii="Barlow" w:eastAsia="Trebuchet MS" w:hAnsi="Barlow" w:cs="Trebuchet MS"/>
                <w:b/>
                <w:color w:val="000000"/>
                <w:sz w:val="18"/>
                <w:szCs w:val="22"/>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FA6CC2" w14:textId="77777777" w:rsidR="00D03000" w:rsidRPr="005D5B0F" w:rsidRDefault="00000000">
            <w:pPr>
              <w:spacing w:before="180" w:after="120"/>
              <w:ind w:left="160" w:right="160"/>
              <w:rPr>
                <w:rFonts w:ascii="Barlow" w:eastAsia="Trebuchet MS" w:hAnsi="Barlow" w:cs="Trebuchet MS"/>
                <w:color w:val="000000"/>
                <w:sz w:val="18"/>
                <w:szCs w:val="22"/>
                <w:lang w:val="fr-FR"/>
              </w:rPr>
            </w:pPr>
            <w:r w:rsidRPr="005D5B0F">
              <w:rPr>
                <w:rFonts w:ascii="Barlow" w:eastAsia="Trebuchet MS" w:hAnsi="Barlow" w:cs="Trebuchet MS"/>
                <w:color w:val="000000"/>
                <w:sz w:val="18"/>
                <w:szCs w:val="22"/>
                <w:lang w:val="fr-FR"/>
              </w:rPr>
              <w:t>Prix global forfaitaire</w:t>
            </w:r>
          </w:p>
        </w:tc>
      </w:tr>
      <w:tr w:rsidR="00D03000" w:rsidRPr="005D5B0F" w14:paraId="75F72BB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11CAEB" w14:textId="77777777" w:rsidR="00D03000" w:rsidRPr="005D5B0F" w:rsidRDefault="00D03000">
            <w:pPr>
              <w:spacing w:line="80" w:lineRule="exact"/>
              <w:rPr>
                <w:rFonts w:ascii="Barlow" w:hAnsi="Barlow"/>
                <w:sz w:val="6"/>
                <w:szCs w:val="22"/>
              </w:rPr>
            </w:pPr>
          </w:p>
          <w:p w14:paraId="3CA27F0D" w14:textId="77777777" w:rsidR="00D03000" w:rsidRPr="005D5B0F" w:rsidRDefault="00DB7CA6">
            <w:pPr>
              <w:ind w:left="420"/>
              <w:rPr>
                <w:rFonts w:ascii="Barlow" w:hAnsi="Barlow"/>
                <w:sz w:val="2"/>
                <w:szCs w:val="22"/>
              </w:rPr>
            </w:pPr>
            <w:r w:rsidRPr="00DB7CA6">
              <w:rPr>
                <w:rFonts w:ascii="Barlow" w:hAnsi="Barlow"/>
                <w:noProof/>
                <w:sz w:val="22"/>
                <w:szCs w:val="22"/>
              </w:rPr>
              <w:pict w14:anchorId="17DDB138">
                <v:shape id="_x0000_i1026" type="#_x0000_t75" alt="" style="width:19.7pt;height:26.5pt;mso-width-percent:0;mso-height-percent:0;mso-width-percent:0;mso-height-percent:0">
                  <v:imagedata r:id="rId2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F0DBDB" w14:textId="77777777" w:rsidR="00D03000" w:rsidRPr="005D5B0F" w:rsidRDefault="00000000">
            <w:pPr>
              <w:spacing w:before="180" w:after="120"/>
              <w:ind w:left="160" w:right="160"/>
              <w:rPr>
                <w:rFonts w:ascii="Barlow" w:eastAsia="Trebuchet MS" w:hAnsi="Barlow" w:cs="Trebuchet MS"/>
                <w:b/>
                <w:color w:val="000000"/>
                <w:sz w:val="18"/>
                <w:szCs w:val="22"/>
                <w:lang w:val="fr-FR"/>
              </w:rPr>
            </w:pPr>
            <w:r w:rsidRPr="005D5B0F">
              <w:rPr>
                <w:rFonts w:ascii="Barlow" w:eastAsia="Trebuchet MS" w:hAnsi="Barlow" w:cs="Trebuchet MS"/>
                <w:b/>
                <w:color w:val="000000"/>
                <w:sz w:val="18"/>
                <w:szCs w:val="22"/>
                <w:lang w:val="fr-FR"/>
              </w:rPr>
              <w:t>Variation des 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2F3AFF" w14:textId="77777777" w:rsidR="00D03000" w:rsidRPr="005D5B0F" w:rsidRDefault="00000000">
            <w:pPr>
              <w:spacing w:before="180" w:after="120"/>
              <w:ind w:left="160" w:right="160"/>
              <w:rPr>
                <w:rFonts w:ascii="Barlow" w:eastAsia="Trebuchet MS" w:hAnsi="Barlow" w:cs="Trebuchet MS"/>
                <w:color w:val="000000"/>
                <w:sz w:val="18"/>
                <w:szCs w:val="22"/>
                <w:lang w:val="fr-FR"/>
              </w:rPr>
            </w:pPr>
            <w:r w:rsidRPr="005D5B0F">
              <w:rPr>
                <w:rFonts w:ascii="Barlow" w:eastAsia="Trebuchet MS" w:hAnsi="Barlow" w:cs="Trebuchet MS"/>
                <w:color w:val="000000"/>
                <w:sz w:val="18"/>
                <w:szCs w:val="22"/>
                <w:lang w:val="fr-FR"/>
              </w:rPr>
              <w:t>Avec</w:t>
            </w:r>
          </w:p>
        </w:tc>
      </w:tr>
      <w:tr w:rsidR="00D03000" w:rsidRPr="005D5B0F" w14:paraId="45D2FBF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540416" w14:textId="77777777" w:rsidR="00D03000" w:rsidRPr="005D5B0F" w:rsidRDefault="00D03000">
            <w:pPr>
              <w:spacing w:line="180" w:lineRule="exact"/>
              <w:rPr>
                <w:rFonts w:ascii="Barlow" w:hAnsi="Barlow"/>
                <w:sz w:val="16"/>
                <w:szCs w:val="22"/>
              </w:rPr>
            </w:pPr>
          </w:p>
          <w:p w14:paraId="002D914B" w14:textId="77777777" w:rsidR="00D03000" w:rsidRPr="005D5B0F" w:rsidRDefault="00DB7CA6">
            <w:pPr>
              <w:ind w:left="420"/>
              <w:rPr>
                <w:rFonts w:ascii="Barlow" w:hAnsi="Barlow"/>
                <w:sz w:val="2"/>
                <w:szCs w:val="22"/>
              </w:rPr>
            </w:pPr>
            <w:r w:rsidRPr="00DB7CA6">
              <w:rPr>
                <w:rFonts w:ascii="Barlow" w:hAnsi="Barlow"/>
                <w:noProof/>
                <w:sz w:val="22"/>
                <w:szCs w:val="22"/>
              </w:rPr>
              <w:pict w14:anchorId="2997F76B">
                <v:shape id="_x0000_i1025" type="#_x0000_t75" alt="" style="width:19.7pt;height:12.9pt;mso-width-percent:0;mso-height-percent:0;mso-width-percent:0;mso-height-percent:0">
                  <v:imagedata r:id="rId22"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2BA0CB" w14:textId="77777777" w:rsidR="00D03000" w:rsidRPr="005D5B0F" w:rsidRDefault="00000000">
            <w:pPr>
              <w:spacing w:before="180" w:after="120"/>
              <w:ind w:left="160" w:right="160"/>
              <w:rPr>
                <w:rFonts w:ascii="Barlow" w:eastAsia="Trebuchet MS" w:hAnsi="Barlow" w:cs="Trebuchet MS"/>
                <w:b/>
                <w:color w:val="000000"/>
                <w:sz w:val="18"/>
                <w:szCs w:val="22"/>
                <w:lang w:val="fr-FR"/>
              </w:rPr>
            </w:pPr>
            <w:r w:rsidRPr="005D5B0F">
              <w:rPr>
                <w:rFonts w:ascii="Barlow" w:eastAsia="Trebuchet MS" w:hAnsi="Barlow" w:cs="Trebuchet MS"/>
                <w:b/>
                <w:color w:val="000000"/>
                <w:sz w:val="18"/>
                <w:szCs w:val="22"/>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C46E93" w14:textId="77777777" w:rsidR="00D03000" w:rsidRPr="005D5B0F" w:rsidRDefault="00000000">
            <w:pPr>
              <w:spacing w:before="180" w:after="120"/>
              <w:ind w:left="160" w:right="160"/>
              <w:rPr>
                <w:rFonts w:ascii="Barlow" w:eastAsia="Trebuchet MS" w:hAnsi="Barlow" w:cs="Trebuchet MS"/>
                <w:color w:val="000000"/>
                <w:sz w:val="18"/>
                <w:szCs w:val="22"/>
                <w:lang w:val="fr-FR"/>
              </w:rPr>
            </w:pPr>
            <w:r w:rsidRPr="005D5B0F">
              <w:rPr>
                <w:rFonts w:ascii="Barlow" w:eastAsia="Trebuchet MS" w:hAnsi="Barlow" w:cs="Trebuchet MS"/>
                <w:color w:val="000000"/>
                <w:sz w:val="18"/>
                <w:szCs w:val="22"/>
                <w:lang w:val="fr-FR"/>
              </w:rPr>
              <w:t>Avec</w:t>
            </w:r>
          </w:p>
        </w:tc>
      </w:tr>
    </w:tbl>
    <w:p w14:paraId="4A18B7E6" w14:textId="77777777" w:rsidR="00D03000" w:rsidRPr="005D5B0F" w:rsidRDefault="00D03000">
      <w:pPr>
        <w:rPr>
          <w:rFonts w:ascii="Barlow" w:hAnsi="Barlow"/>
          <w:sz w:val="22"/>
          <w:szCs w:val="22"/>
        </w:rPr>
        <w:sectPr w:rsidR="00D03000" w:rsidRPr="005D5B0F">
          <w:pgSz w:w="11900" w:h="16840"/>
          <w:pgMar w:top="1440" w:right="1160" w:bottom="1440" w:left="1140" w:header="1440" w:footer="1440" w:gutter="0"/>
          <w:cols w:space="708"/>
        </w:sectPr>
      </w:pPr>
    </w:p>
    <w:p w14:paraId="3153E0DA" w14:textId="77777777" w:rsidR="00D03000" w:rsidRPr="005D5B0F" w:rsidRDefault="00000000">
      <w:pPr>
        <w:spacing w:after="80"/>
        <w:jc w:val="center"/>
        <w:rPr>
          <w:rFonts w:ascii="Barlow" w:eastAsia="Trebuchet MS" w:hAnsi="Barlow" w:cs="Trebuchet MS"/>
          <w:b/>
          <w:color w:val="000000"/>
          <w:sz w:val="22"/>
          <w:szCs w:val="22"/>
          <w:lang w:val="fr-FR"/>
        </w:rPr>
      </w:pPr>
      <w:r w:rsidRPr="005D5B0F">
        <w:rPr>
          <w:rFonts w:ascii="Barlow" w:eastAsia="Trebuchet MS" w:hAnsi="Barlow" w:cs="Trebuchet MS"/>
          <w:b/>
          <w:color w:val="000000"/>
          <w:sz w:val="22"/>
          <w:szCs w:val="22"/>
          <w:lang w:val="fr-FR"/>
        </w:rPr>
        <w:lastRenderedPageBreak/>
        <w:t>SOMMAIRE</w:t>
      </w:r>
    </w:p>
    <w:p w14:paraId="79E5CD0E" w14:textId="77777777" w:rsidR="00D03000" w:rsidRPr="005D5B0F" w:rsidRDefault="00D03000">
      <w:pPr>
        <w:spacing w:after="80" w:line="240" w:lineRule="exact"/>
        <w:rPr>
          <w:rFonts w:ascii="Barlow" w:hAnsi="Barlow"/>
          <w:sz w:val="22"/>
          <w:szCs w:val="22"/>
        </w:rPr>
      </w:pPr>
    </w:p>
    <w:p w14:paraId="7FF88552" w14:textId="32207F33" w:rsidR="00D03000" w:rsidRPr="005D5B0F" w:rsidRDefault="00000000">
      <w:pPr>
        <w:pStyle w:val="TM1"/>
        <w:tabs>
          <w:tab w:val="right" w:leader="dot" w:pos="9610"/>
        </w:tabs>
        <w:rPr>
          <w:rFonts w:ascii="Barlow" w:hAnsi="Barlow"/>
          <w:noProof/>
          <w:sz w:val="21"/>
          <w:szCs w:val="22"/>
        </w:rPr>
      </w:pPr>
      <w:r w:rsidRPr="005D5B0F">
        <w:rPr>
          <w:rFonts w:ascii="Barlow" w:eastAsia="Trebuchet MS" w:hAnsi="Barlow" w:cs="Trebuchet MS"/>
          <w:color w:val="000000"/>
          <w:sz w:val="21"/>
          <w:szCs w:val="22"/>
          <w:lang w:val="fr-FR"/>
        </w:rPr>
        <w:fldChar w:fldCharType="begin"/>
      </w:r>
      <w:r w:rsidRPr="005D5B0F">
        <w:rPr>
          <w:rFonts w:ascii="Barlow" w:eastAsia="Trebuchet MS" w:hAnsi="Barlow" w:cs="Trebuchet MS"/>
          <w:color w:val="000000"/>
          <w:sz w:val="21"/>
          <w:szCs w:val="22"/>
          <w:lang w:val="fr-FR"/>
        </w:rPr>
        <w:instrText xml:space="preserve"> TOC \h </w:instrText>
      </w:r>
      <w:r w:rsidRPr="005D5B0F">
        <w:rPr>
          <w:rFonts w:ascii="Barlow" w:eastAsia="Trebuchet MS" w:hAnsi="Barlow" w:cs="Trebuchet MS"/>
          <w:color w:val="000000"/>
          <w:sz w:val="21"/>
          <w:szCs w:val="22"/>
          <w:lang w:val="fr-FR"/>
        </w:rPr>
        <w:fldChar w:fldCharType="separate"/>
      </w:r>
      <w:hyperlink w:anchor="_Toc256000000" w:history="1">
        <w:r w:rsidRPr="005D5B0F">
          <w:rPr>
            <w:rStyle w:val="Lienhypertexte"/>
            <w:rFonts w:ascii="Barlow" w:eastAsia="Trebuchet MS" w:hAnsi="Barlow" w:cs="Trebuchet MS"/>
            <w:sz w:val="22"/>
            <w:szCs w:val="22"/>
            <w:lang w:val="fr-FR"/>
          </w:rPr>
          <w:t>1 - Dispositions générales du contrat</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_Toc256000000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5</w:t>
        </w:r>
        <w:r w:rsidRPr="005D5B0F">
          <w:rPr>
            <w:rFonts w:ascii="Barlow" w:eastAsia="Trebuchet MS" w:hAnsi="Barlow" w:cs="Trebuchet MS"/>
            <w:sz w:val="22"/>
            <w:szCs w:val="22"/>
          </w:rPr>
          <w:fldChar w:fldCharType="end"/>
        </w:r>
      </w:hyperlink>
    </w:p>
    <w:p w14:paraId="7C1FA8ED" w14:textId="6AE4EC3F" w:rsidR="00D03000" w:rsidRPr="005D5B0F" w:rsidRDefault="00000000">
      <w:pPr>
        <w:pStyle w:val="TM2"/>
        <w:tabs>
          <w:tab w:val="right" w:leader="dot" w:pos="9610"/>
        </w:tabs>
        <w:rPr>
          <w:rFonts w:ascii="Barlow" w:hAnsi="Barlow"/>
          <w:noProof/>
          <w:sz w:val="21"/>
          <w:szCs w:val="22"/>
        </w:rPr>
      </w:pPr>
      <w:hyperlink w:anchor="_Toc256000001" w:history="1">
        <w:r w:rsidRPr="005D5B0F">
          <w:rPr>
            <w:rStyle w:val="Lienhypertexte"/>
            <w:rFonts w:ascii="Barlow" w:eastAsia="Trebuchet MS" w:hAnsi="Barlow" w:cs="Trebuchet MS"/>
            <w:sz w:val="22"/>
            <w:szCs w:val="22"/>
            <w:lang w:val="fr-FR"/>
          </w:rPr>
          <w:t>1.1 - Objet du contrat</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_Toc256000001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5</w:t>
        </w:r>
        <w:r w:rsidRPr="005D5B0F">
          <w:rPr>
            <w:rFonts w:ascii="Barlow" w:eastAsia="Trebuchet MS" w:hAnsi="Barlow" w:cs="Trebuchet MS"/>
            <w:sz w:val="22"/>
            <w:szCs w:val="22"/>
          </w:rPr>
          <w:fldChar w:fldCharType="end"/>
        </w:r>
      </w:hyperlink>
    </w:p>
    <w:p w14:paraId="65A07BF7" w14:textId="4A7B0297" w:rsidR="00D03000" w:rsidRPr="005D5B0F" w:rsidRDefault="00000000">
      <w:pPr>
        <w:pStyle w:val="TM2"/>
        <w:tabs>
          <w:tab w:val="right" w:leader="dot" w:pos="9610"/>
        </w:tabs>
        <w:rPr>
          <w:rFonts w:ascii="Barlow" w:hAnsi="Barlow"/>
          <w:noProof/>
          <w:sz w:val="21"/>
          <w:szCs w:val="22"/>
        </w:rPr>
      </w:pPr>
      <w:hyperlink w:anchor="_Toc256000002" w:history="1">
        <w:r w:rsidRPr="005D5B0F">
          <w:rPr>
            <w:rStyle w:val="Lienhypertexte"/>
            <w:rFonts w:ascii="Barlow" w:eastAsia="Trebuchet MS" w:hAnsi="Barlow" w:cs="Trebuchet MS"/>
            <w:sz w:val="22"/>
            <w:szCs w:val="22"/>
            <w:lang w:val="fr-FR"/>
          </w:rPr>
          <w:t>1.2 - Décomposition du contrat</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_Toc256000002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5</w:t>
        </w:r>
        <w:r w:rsidRPr="005D5B0F">
          <w:rPr>
            <w:rFonts w:ascii="Barlow" w:eastAsia="Trebuchet MS" w:hAnsi="Barlow" w:cs="Trebuchet MS"/>
            <w:sz w:val="22"/>
            <w:szCs w:val="22"/>
          </w:rPr>
          <w:fldChar w:fldCharType="end"/>
        </w:r>
      </w:hyperlink>
    </w:p>
    <w:p w14:paraId="58C093E9" w14:textId="01F67C35" w:rsidR="00D03000" w:rsidRPr="005D5B0F" w:rsidRDefault="00000000">
      <w:pPr>
        <w:pStyle w:val="TM2"/>
        <w:tabs>
          <w:tab w:val="right" w:leader="dot" w:pos="9610"/>
        </w:tabs>
        <w:rPr>
          <w:rFonts w:ascii="Barlow" w:hAnsi="Barlow"/>
          <w:noProof/>
          <w:sz w:val="21"/>
          <w:szCs w:val="22"/>
        </w:rPr>
      </w:pPr>
      <w:hyperlink w:anchor="_Toc256000003" w:history="1">
        <w:r w:rsidRPr="005D5B0F">
          <w:rPr>
            <w:rStyle w:val="Lienhypertexte"/>
            <w:rFonts w:ascii="Barlow" w:eastAsia="Trebuchet MS" w:hAnsi="Barlow" w:cs="Trebuchet MS"/>
            <w:sz w:val="22"/>
            <w:szCs w:val="22"/>
            <w:lang w:val="fr-FR"/>
          </w:rPr>
          <w:t>1.3 - Réalisation de prestations similaires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_Toc256000003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5</w:t>
        </w:r>
        <w:r w:rsidRPr="005D5B0F">
          <w:rPr>
            <w:rFonts w:ascii="Barlow" w:eastAsia="Trebuchet MS" w:hAnsi="Barlow" w:cs="Trebuchet MS"/>
            <w:sz w:val="22"/>
            <w:szCs w:val="22"/>
          </w:rPr>
          <w:fldChar w:fldCharType="end"/>
        </w:r>
      </w:hyperlink>
    </w:p>
    <w:p w14:paraId="6EF74209" w14:textId="070BAA88" w:rsidR="00D03000" w:rsidRPr="005D5B0F" w:rsidRDefault="00000000">
      <w:pPr>
        <w:pStyle w:val="TM1"/>
        <w:tabs>
          <w:tab w:val="right" w:leader="dot" w:pos="9610"/>
        </w:tabs>
        <w:rPr>
          <w:rFonts w:ascii="Barlow" w:hAnsi="Barlow"/>
          <w:noProof/>
          <w:sz w:val="21"/>
          <w:szCs w:val="22"/>
        </w:rPr>
      </w:pPr>
      <w:hyperlink w:anchor="_Toc256000004" w:history="1">
        <w:r w:rsidRPr="005D5B0F">
          <w:rPr>
            <w:rStyle w:val="Lienhypertexte"/>
            <w:rFonts w:ascii="Barlow" w:eastAsia="Trebuchet MS" w:hAnsi="Barlow" w:cs="Trebuchet MS"/>
            <w:sz w:val="22"/>
            <w:szCs w:val="22"/>
            <w:lang w:val="fr-FR"/>
          </w:rPr>
          <w:t>2 - Pièces contractuelles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_Toc256000004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5</w:t>
        </w:r>
        <w:r w:rsidRPr="005D5B0F">
          <w:rPr>
            <w:rFonts w:ascii="Barlow" w:eastAsia="Trebuchet MS" w:hAnsi="Barlow" w:cs="Trebuchet MS"/>
            <w:sz w:val="22"/>
            <w:szCs w:val="22"/>
          </w:rPr>
          <w:fldChar w:fldCharType="end"/>
        </w:r>
      </w:hyperlink>
    </w:p>
    <w:p w14:paraId="1EAD3ECB" w14:textId="577CA8CD" w:rsidR="00D03000" w:rsidRPr="005D5B0F" w:rsidRDefault="00000000">
      <w:pPr>
        <w:pStyle w:val="TM1"/>
        <w:tabs>
          <w:tab w:val="right" w:leader="dot" w:pos="9610"/>
        </w:tabs>
        <w:rPr>
          <w:rFonts w:ascii="Barlow" w:hAnsi="Barlow"/>
          <w:noProof/>
          <w:sz w:val="21"/>
          <w:szCs w:val="22"/>
        </w:rPr>
      </w:pPr>
      <w:hyperlink w:anchor="_Toc256000005" w:history="1">
        <w:r w:rsidRPr="005D5B0F">
          <w:rPr>
            <w:rStyle w:val="Lienhypertexte"/>
            <w:rFonts w:ascii="Barlow" w:eastAsia="Trebuchet MS" w:hAnsi="Barlow" w:cs="Trebuchet MS"/>
            <w:sz w:val="22"/>
            <w:szCs w:val="22"/>
            <w:lang w:val="fr-FR"/>
          </w:rPr>
          <w:t>3 - Intervenants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_Toc256000005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5</w:t>
        </w:r>
        <w:r w:rsidRPr="005D5B0F">
          <w:rPr>
            <w:rFonts w:ascii="Barlow" w:eastAsia="Trebuchet MS" w:hAnsi="Barlow" w:cs="Trebuchet MS"/>
            <w:sz w:val="22"/>
            <w:szCs w:val="22"/>
          </w:rPr>
          <w:fldChar w:fldCharType="end"/>
        </w:r>
      </w:hyperlink>
    </w:p>
    <w:p w14:paraId="774EBE65" w14:textId="050783A4" w:rsidR="00D03000" w:rsidRPr="005D5B0F" w:rsidRDefault="00000000">
      <w:pPr>
        <w:pStyle w:val="TM2"/>
        <w:tabs>
          <w:tab w:val="right" w:leader="dot" w:pos="9610"/>
        </w:tabs>
        <w:rPr>
          <w:rFonts w:ascii="Barlow" w:hAnsi="Barlow"/>
          <w:noProof/>
          <w:sz w:val="21"/>
          <w:szCs w:val="22"/>
        </w:rPr>
      </w:pPr>
      <w:hyperlink w:anchor="_Toc256000006" w:history="1">
        <w:r w:rsidRPr="005D5B0F">
          <w:rPr>
            <w:rStyle w:val="Lienhypertexte"/>
            <w:rFonts w:ascii="Barlow" w:eastAsia="Trebuchet MS" w:hAnsi="Barlow" w:cs="Trebuchet MS"/>
            <w:sz w:val="22"/>
            <w:szCs w:val="22"/>
            <w:lang w:val="fr-FR"/>
          </w:rPr>
          <w:t>3.1 - Maîtrise d'œuvre</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_Toc256000006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5</w:t>
        </w:r>
        <w:r w:rsidRPr="005D5B0F">
          <w:rPr>
            <w:rFonts w:ascii="Barlow" w:eastAsia="Trebuchet MS" w:hAnsi="Barlow" w:cs="Trebuchet MS"/>
            <w:sz w:val="22"/>
            <w:szCs w:val="22"/>
          </w:rPr>
          <w:fldChar w:fldCharType="end"/>
        </w:r>
      </w:hyperlink>
    </w:p>
    <w:p w14:paraId="22EB21ED" w14:textId="3AB53CC9" w:rsidR="00D03000" w:rsidRPr="005D5B0F" w:rsidRDefault="00000000">
      <w:pPr>
        <w:pStyle w:val="TM2"/>
        <w:tabs>
          <w:tab w:val="right" w:leader="dot" w:pos="9610"/>
        </w:tabs>
        <w:rPr>
          <w:rFonts w:ascii="Barlow" w:hAnsi="Barlow"/>
          <w:noProof/>
          <w:sz w:val="21"/>
          <w:szCs w:val="22"/>
        </w:rPr>
      </w:pPr>
      <w:hyperlink w:anchor="_Toc256000007" w:history="1">
        <w:r w:rsidRPr="005D5B0F">
          <w:rPr>
            <w:rStyle w:val="Lienhypertexte"/>
            <w:rFonts w:ascii="Barlow" w:eastAsia="Trebuchet MS" w:hAnsi="Barlow" w:cs="Trebuchet MS"/>
            <w:sz w:val="22"/>
            <w:szCs w:val="22"/>
            <w:lang w:val="fr-FR"/>
          </w:rPr>
          <w:t>3.2 - Ordonnancement, Pilotage et Coordination du chantier</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_Toc256000007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5</w:t>
        </w:r>
        <w:r w:rsidRPr="005D5B0F">
          <w:rPr>
            <w:rFonts w:ascii="Barlow" w:eastAsia="Trebuchet MS" w:hAnsi="Barlow" w:cs="Trebuchet MS"/>
            <w:sz w:val="22"/>
            <w:szCs w:val="22"/>
          </w:rPr>
          <w:fldChar w:fldCharType="end"/>
        </w:r>
      </w:hyperlink>
    </w:p>
    <w:p w14:paraId="318156E4" w14:textId="04125F05" w:rsidR="00D03000" w:rsidRPr="005D5B0F" w:rsidRDefault="00000000">
      <w:pPr>
        <w:pStyle w:val="TM2"/>
        <w:tabs>
          <w:tab w:val="right" w:leader="dot" w:pos="9610"/>
        </w:tabs>
        <w:rPr>
          <w:rFonts w:ascii="Barlow" w:hAnsi="Barlow"/>
          <w:noProof/>
          <w:sz w:val="21"/>
          <w:szCs w:val="22"/>
        </w:rPr>
      </w:pPr>
      <w:hyperlink w:anchor="_Toc256000008" w:history="1">
        <w:r w:rsidRPr="005D5B0F">
          <w:rPr>
            <w:rStyle w:val="Lienhypertexte"/>
            <w:rFonts w:ascii="Barlow" w:eastAsia="Trebuchet MS" w:hAnsi="Barlow" w:cs="Trebuchet MS"/>
            <w:sz w:val="22"/>
            <w:szCs w:val="22"/>
            <w:lang w:val="fr-FR"/>
          </w:rPr>
          <w:t>3.3 - Contrôle technique</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_Toc256000008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6</w:t>
        </w:r>
        <w:r w:rsidRPr="005D5B0F">
          <w:rPr>
            <w:rFonts w:ascii="Barlow" w:eastAsia="Trebuchet MS" w:hAnsi="Barlow" w:cs="Trebuchet MS"/>
            <w:sz w:val="22"/>
            <w:szCs w:val="22"/>
          </w:rPr>
          <w:fldChar w:fldCharType="end"/>
        </w:r>
      </w:hyperlink>
    </w:p>
    <w:p w14:paraId="49EF41D8" w14:textId="129681AB" w:rsidR="00D03000" w:rsidRPr="005D5B0F" w:rsidRDefault="00000000">
      <w:pPr>
        <w:pStyle w:val="TM2"/>
        <w:tabs>
          <w:tab w:val="right" w:leader="dot" w:pos="9610"/>
        </w:tabs>
        <w:rPr>
          <w:rFonts w:ascii="Barlow" w:hAnsi="Barlow"/>
          <w:noProof/>
          <w:sz w:val="21"/>
          <w:szCs w:val="22"/>
        </w:rPr>
      </w:pPr>
      <w:hyperlink w:anchor="_Toc256000009" w:history="1">
        <w:r w:rsidRPr="005D5B0F">
          <w:rPr>
            <w:rStyle w:val="Lienhypertexte"/>
            <w:rFonts w:ascii="Barlow" w:eastAsia="Trebuchet MS" w:hAnsi="Barlow" w:cs="Trebuchet MS"/>
            <w:sz w:val="22"/>
            <w:szCs w:val="22"/>
            <w:lang w:val="fr-FR"/>
          </w:rPr>
          <w:t>3.4 - Sécurité et protection de la santé des travailleurs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_Toc256000009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6</w:t>
        </w:r>
        <w:r w:rsidRPr="005D5B0F">
          <w:rPr>
            <w:rFonts w:ascii="Barlow" w:eastAsia="Trebuchet MS" w:hAnsi="Barlow" w:cs="Trebuchet MS"/>
            <w:sz w:val="22"/>
            <w:szCs w:val="22"/>
          </w:rPr>
          <w:fldChar w:fldCharType="end"/>
        </w:r>
      </w:hyperlink>
    </w:p>
    <w:p w14:paraId="7ABDCD36" w14:textId="207BE4B5" w:rsidR="00D03000" w:rsidRPr="005D5B0F" w:rsidRDefault="00000000">
      <w:pPr>
        <w:pStyle w:val="TM1"/>
        <w:tabs>
          <w:tab w:val="right" w:leader="dot" w:pos="9610"/>
        </w:tabs>
        <w:rPr>
          <w:rFonts w:ascii="Barlow" w:hAnsi="Barlow"/>
          <w:noProof/>
          <w:sz w:val="21"/>
          <w:szCs w:val="22"/>
        </w:rPr>
      </w:pPr>
      <w:hyperlink w:anchor="_Toc256000010" w:history="1">
        <w:r w:rsidRPr="005D5B0F">
          <w:rPr>
            <w:rStyle w:val="Lienhypertexte"/>
            <w:rFonts w:ascii="Barlow" w:eastAsia="Trebuchet MS" w:hAnsi="Barlow" w:cs="Trebuchet MS"/>
            <w:sz w:val="22"/>
            <w:szCs w:val="22"/>
            <w:lang w:val="fr-FR"/>
          </w:rPr>
          <w:t>4 - Confidentialité et mesures de sécurité</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_Toc256000010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7</w:t>
        </w:r>
        <w:r w:rsidRPr="005D5B0F">
          <w:rPr>
            <w:rFonts w:ascii="Barlow" w:eastAsia="Trebuchet MS" w:hAnsi="Barlow" w:cs="Trebuchet MS"/>
            <w:sz w:val="22"/>
            <w:szCs w:val="22"/>
          </w:rPr>
          <w:fldChar w:fldCharType="end"/>
        </w:r>
      </w:hyperlink>
    </w:p>
    <w:p w14:paraId="5E769756" w14:textId="7A30C94C" w:rsidR="00D03000" w:rsidRPr="005D5B0F" w:rsidRDefault="00000000">
      <w:pPr>
        <w:pStyle w:val="TM1"/>
        <w:tabs>
          <w:tab w:val="right" w:leader="dot" w:pos="9610"/>
        </w:tabs>
        <w:rPr>
          <w:rFonts w:ascii="Barlow" w:hAnsi="Barlow"/>
          <w:noProof/>
          <w:sz w:val="21"/>
          <w:szCs w:val="22"/>
        </w:rPr>
      </w:pPr>
      <w:hyperlink w:anchor="_Toc256000011" w:history="1">
        <w:r w:rsidRPr="005D5B0F">
          <w:rPr>
            <w:rStyle w:val="Lienhypertexte"/>
            <w:rFonts w:ascii="Barlow" w:eastAsia="Trebuchet MS" w:hAnsi="Barlow" w:cs="Trebuchet MS"/>
            <w:sz w:val="22"/>
            <w:szCs w:val="22"/>
            <w:lang w:val="fr-FR"/>
          </w:rPr>
          <w:t>5 - Durée et délais d'exécution</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_Toc256000011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7</w:t>
        </w:r>
        <w:r w:rsidRPr="005D5B0F">
          <w:rPr>
            <w:rFonts w:ascii="Barlow" w:eastAsia="Trebuchet MS" w:hAnsi="Barlow" w:cs="Trebuchet MS"/>
            <w:sz w:val="22"/>
            <w:szCs w:val="22"/>
          </w:rPr>
          <w:fldChar w:fldCharType="end"/>
        </w:r>
      </w:hyperlink>
    </w:p>
    <w:p w14:paraId="0698AEB7" w14:textId="7A284ADD" w:rsidR="00D03000" w:rsidRPr="005D5B0F" w:rsidRDefault="00000000">
      <w:pPr>
        <w:pStyle w:val="TM2"/>
        <w:tabs>
          <w:tab w:val="right" w:leader="dot" w:pos="9610"/>
        </w:tabs>
        <w:rPr>
          <w:rFonts w:ascii="Barlow" w:hAnsi="Barlow"/>
          <w:noProof/>
          <w:sz w:val="21"/>
          <w:szCs w:val="22"/>
        </w:rPr>
      </w:pPr>
      <w:hyperlink w:anchor="_Toc256000012" w:history="1">
        <w:r w:rsidRPr="005D5B0F">
          <w:rPr>
            <w:rStyle w:val="Lienhypertexte"/>
            <w:rFonts w:ascii="Barlow" w:eastAsia="Trebuchet MS" w:hAnsi="Barlow" w:cs="Trebuchet MS"/>
            <w:sz w:val="22"/>
            <w:szCs w:val="22"/>
            <w:lang w:val="fr-FR"/>
          </w:rPr>
          <w:t>5.1 - Délai global d'exécution des prestations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_Toc256000012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7</w:t>
        </w:r>
        <w:r w:rsidRPr="005D5B0F">
          <w:rPr>
            <w:rFonts w:ascii="Barlow" w:eastAsia="Trebuchet MS" w:hAnsi="Barlow" w:cs="Trebuchet MS"/>
            <w:sz w:val="22"/>
            <w:szCs w:val="22"/>
          </w:rPr>
          <w:fldChar w:fldCharType="end"/>
        </w:r>
      </w:hyperlink>
    </w:p>
    <w:p w14:paraId="2A73483F" w14:textId="33059CA9" w:rsidR="00D03000" w:rsidRPr="005D5B0F" w:rsidRDefault="00000000">
      <w:pPr>
        <w:pStyle w:val="TM2"/>
        <w:tabs>
          <w:tab w:val="right" w:leader="dot" w:pos="9610"/>
        </w:tabs>
        <w:rPr>
          <w:rFonts w:ascii="Barlow" w:hAnsi="Barlow"/>
          <w:noProof/>
          <w:sz w:val="21"/>
          <w:szCs w:val="22"/>
        </w:rPr>
      </w:pPr>
      <w:hyperlink w:anchor="_Toc256000013" w:history="1">
        <w:r w:rsidRPr="005D5B0F">
          <w:rPr>
            <w:rStyle w:val="Lienhypertexte"/>
            <w:rFonts w:ascii="Barlow" w:eastAsia="Trebuchet MS" w:hAnsi="Barlow" w:cs="Trebuchet MS"/>
            <w:sz w:val="22"/>
            <w:szCs w:val="22"/>
            <w:lang w:val="fr-FR"/>
          </w:rPr>
          <w:t>5.2 - Délai d'exécution</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_Toc256000013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7</w:t>
        </w:r>
        <w:r w:rsidRPr="005D5B0F">
          <w:rPr>
            <w:rFonts w:ascii="Barlow" w:eastAsia="Trebuchet MS" w:hAnsi="Barlow" w:cs="Trebuchet MS"/>
            <w:sz w:val="22"/>
            <w:szCs w:val="22"/>
          </w:rPr>
          <w:fldChar w:fldCharType="end"/>
        </w:r>
      </w:hyperlink>
    </w:p>
    <w:p w14:paraId="23A76158" w14:textId="36758FAA" w:rsidR="00D03000" w:rsidRPr="005D5B0F" w:rsidRDefault="00000000">
      <w:pPr>
        <w:pStyle w:val="TM2"/>
        <w:tabs>
          <w:tab w:val="right" w:leader="dot" w:pos="9610"/>
        </w:tabs>
        <w:rPr>
          <w:rFonts w:ascii="Barlow" w:hAnsi="Barlow"/>
          <w:noProof/>
          <w:sz w:val="21"/>
          <w:szCs w:val="22"/>
        </w:rPr>
      </w:pPr>
      <w:hyperlink w:anchor="_Toc256000014" w:history="1">
        <w:r w:rsidRPr="005D5B0F">
          <w:rPr>
            <w:rStyle w:val="Lienhypertexte"/>
            <w:rFonts w:ascii="Barlow" w:eastAsia="Trebuchet MS" w:hAnsi="Barlow" w:cs="Trebuchet MS"/>
            <w:sz w:val="22"/>
            <w:szCs w:val="22"/>
            <w:lang w:val="fr-FR"/>
          </w:rPr>
          <w:t>5.3 - Calendrier prévisionnel et détaillé d'exécution</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_Toc256000014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8</w:t>
        </w:r>
        <w:r w:rsidRPr="005D5B0F">
          <w:rPr>
            <w:rFonts w:ascii="Barlow" w:eastAsia="Trebuchet MS" w:hAnsi="Barlow" w:cs="Trebuchet MS"/>
            <w:sz w:val="22"/>
            <w:szCs w:val="22"/>
          </w:rPr>
          <w:fldChar w:fldCharType="end"/>
        </w:r>
      </w:hyperlink>
    </w:p>
    <w:p w14:paraId="674E393E" w14:textId="657EB60C" w:rsidR="00D03000" w:rsidRPr="005D5B0F" w:rsidRDefault="00000000">
      <w:pPr>
        <w:pStyle w:val="TM1"/>
        <w:tabs>
          <w:tab w:val="right" w:leader="dot" w:pos="9610"/>
        </w:tabs>
        <w:rPr>
          <w:rFonts w:ascii="Barlow" w:hAnsi="Barlow"/>
          <w:noProof/>
          <w:sz w:val="21"/>
          <w:szCs w:val="22"/>
        </w:rPr>
      </w:pPr>
      <w:hyperlink w:anchor="_Toc256000015" w:history="1">
        <w:r w:rsidRPr="005D5B0F">
          <w:rPr>
            <w:rStyle w:val="Lienhypertexte"/>
            <w:rFonts w:ascii="Barlow" w:eastAsia="Trebuchet MS" w:hAnsi="Barlow" w:cs="Trebuchet MS"/>
            <w:sz w:val="22"/>
            <w:szCs w:val="22"/>
            <w:lang w:val="fr-FR"/>
          </w:rPr>
          <w:t>6 - Prix</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_Toc256000015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8</w:t>
        </w:r>
        <w:r w:rsidRPr="005D5B0F">
          <w:rPr>
            <w:rFonts w:ascii="Barlow" w:eastAsia="Trebuchet MS" w:hAnsi="Barlow" w:cs="Trebuchet MS"/>
            <w:sz w:val="22"/>
            <w:szCs w:val="22"/>
          </w:rPr>
          <w:fldChar w:fldCharType="end"/>
        </w:r>
      </w:hyperlink>
    </w:p>
    <w:p w14:paraId="3EF6FC48" w14:textId="2494D6CD" w:rsidR="00D03000" w:rsidRPr="005D5B0F" w:rsidRDefault="00000000">
      <w:pPr>
        <w:pStyle w:val="TM2"/>
        <w:tabs>
          <w:tab w:val="right" w:leader="dot" w:pos="9610"/>
        </w:tabs>
        <w:rPr>
          <w:rFonts w:ascii="Barlow" w:hAnsi="Barlow"/>
          <w:noProof/>
          <w:sz w:val="21"/>
          <w:szCs w:val="22"/>
        </w:rPr>
      </w:pPr>
      <w:hyperlink w:anchor="_Toc256000016" w:history="1">
        <w:r w:rsidRPr="005D5B0F">
          <w:rPr>
            <w:rStyle w:val="Lienhypertexte"/>
            <w:rFonts w:ascii="Barlow" w:eastAsia="Trebuchet MS" w:hAnsi="Barlow" w:cs="Trebuchet MS"/>
            <w:sz w:val="22"/>
            <w:szCs w:val="22"/>
            <w:lang w:val="fr-FR"/>
          </w:rPr>
          <w:t>6.1 - Caractéristiques des prix pratiqués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_Toc256000016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8</w:t>
        </w:r>
        <w:r w:rsidRPr="005D5B0F">
          <w:rPr>
            <w:rFonts w:ascii="Barlow" w:eastAsia="Trebuchet MS" w:hAnsi="Barlow" w:cs="Trebuchet MS"/>
            <w:sz w:val="22"/>
            <w:szCs w:val="22"/>
          </w:rPr>
          <w:fldChar w:fldCharType="end"/>
        </w:r>
      </w:hyperlink>
    </w:p>
    <w:p w14:paraId="24391A31" w14:textId="35BAE703" w:rsidR="00D03000" w:rsidRPr="005D5B0F" w:rsidRDefault="00000000">
      <w:pPr>
        <w:pStyle w:val="TM2"/>
        <w:tabs>
          <w:tab w:val="right" w:leader="dot" w:pos="9610"/>
        </w:tabs>
        <w:rPr>
          <w:rFonts w:ascii="Barlow" w:hAnsi="Barlow"/>
          <w:noProof/>
          <w:sz w:val="21"/>
          <w:szCs w:val="22"/>
        </w:rPr>
      </w:pPr>
      <w:hyperlink w:anchor="_Toc256000017" w:history="1">
        <w:r w:rsidRPr="005D5B0F">
          <w:rPr>
            <w:rStyle w:val="Lienhypertexte"/>
            <w:rFonts w:ascii="Barlow" w:eastAsia="Trebuchet MS" w:hAnsi="Barlow" w:cs="Trebuchet MS"/>
            <w:sz w:val="22"/>
            <w:szCs w:val="22"/>
            <w:lang w:val="fr-FR"/>
          </w:rPr>
          <w:t>6.2 - Modalités de variation des prix</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_Toc256000017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8</w:t>
        </w:r>
        <w:r w:rsidRPr="005D5B0F">
          <w:rPr>
            <w:rFonts w:ascii="Barlow" w:eastAsia="Trebuchet MS" w:hAnsi="Barlow" w:cs="Trebuchet MS"/>
            <w:sz w:val="22"/>
            <w:szCs w:val="22"/>
          </w:rPr>
          <w:fldChar w:fldCharType="end"/>
        </w:r>
      </w:hyperlink>
    </w:p>
    <w:p w14:paraId="3DAEA0F1" w14:textId="6CCE402F" w:rsidR="00D03000" w:rsidRPr="005D5B0F" w:rsidRDefault="00000000">
      <w:pPr>
        <w:pStyle w:val="TM1"/>
        <w:tabs>
          <w:tab w:val="right" w:leader="dot" w:pos="9610"/>
        </w:tabs>
        <w:rPr>
          <w:rFonts w:ascii="Barlow" w:hAnsi="Barlow"/>
          <w:noProof/>
          <w:sz w:val="21"/>
          <w:szCs w:val="22"/>
        </w:rPr>
      </w:pPr>
      <w:hyperlink w:anchor="_Toc256000018" w:history="1">
        <w:r w:rsidRPr="005D5B0F">
          <w:rPr>
            <w:rStyle w:val="Lienhypertexte"/>
            <w:rFonts w:ascii="Barlow" w:eastAsia="Trebuchet MS" w:hAnsi="Barlow" w:cs="Trebuchet MS"/>
            <w:sz w:val="22"/>
            <w:szCs w:val="22"/>
            <w:lang w:val="fr-FR"/>
          </w:rPr>
          <w:t>7 - Garanties Financières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_Toc256000018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8</w:t>
        </w:r>
        <w:r w:rsidRPr="005D5B0F">
          <w:rPr>
            <w:rFonts w:ascii="Barlow" w:eastAsia="Trebuchet MS" w:hAnsi="Barlow" w:cs="Trebuchet MS"/>
            <w:sz w:val="22"/>
            <w:szCs w:val="22"/>
          </w:rPr>
          <w:fldChar w:fldCharType="end"/>
        </w:r>
      </w:hyperlink>
    </w:p>
    <w:p w14:paraId="6F6120E7" w14:textId="5B5D5521" w:rsidR="00D03000" w:rsidRPr="005D5B0F" w:rsidRDefault="00000000">
      <w:pPr>
        <w:pStyle w:val="TM1"/>
        <w:tabs>
          <w:tab w:val="right" w:leader="dot" w:pos="9610"/>
        </w:tabs>
        <w:rPr>
          <w:rFonts w:ascii="Barlow" w:hAnsi="Barlow"/>
          <w:noProof/>
          <w:sz w:val="21"/>
          <w:szCs w:val="22"/>
        </w:rPr>
      </w:pPr>
      <w:hyperlink w:anchor="_Toc256000019" w:history="1">
        <w:r w:rsidRPr="005D5B0F">
          <w:rPr>
            <w:rStyle w:val="Lienhypertexte"/>
            <w:rFonts w:ascii="Barlow" w:eastAsia="Trebuchet MS" w:hAnsi="Barlow" w:cs="Trebuchet MS"/>
            <w:sz w:val="22"/>
            <w:szCs w:val="22"/>
            <w:lang w:val="fr-FR"/>
          </w:rPr>
          <w:t>8 - Avance</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_Toc256000019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9</w:t>
        </w:r>
        <w:r w:rsidRPr="005D5B0F">
          <w:rPr>
            <w:rFonts w:ascii="Barlow" w:eastAsia="Trebuchet MS" w:hAnsi="Barlow" w:cs="Trebuchet MS"/>
            <w:sz w:val="22"/>
            <w:szCs w:val="22"/>
          </w:rPr>
          <w:fldChar w:fldCharType="end"/>
        </w:r>
      </w:hyperlink>
    </w:p>
    <w:p w14:paraId="7C383892" w14:textId="252FA2C8" w:rsidR="00D03000" w:rsidRPr="005D5B0F" w:rsidRDefault="00000000">
      <w:pPr>
        <w:pStyle w:val="TM2"/>
        <w:tabs>
          <w:tab w:val="right" w:leader="dot" w:pos="9610"/>
        </w:tabs>
        <w:rPr>
          <w:rFonts w:ascii="Barlow" w:hAnsi="Barlow"/>
          <w:noProof/>
          <w:sz w:val="21"/>
          <w:szCs w:val="22"/>
        </w:rPr>
      </w:pPr>
      <w:hyperlink w:anchor="_Toc256000020" w:history="1">
        <w:r w:rsidRPr="005D5B0F">
          <w:rPr>
            <w:rStyle w:val="Lienhypertexte"/>
            <w:rFonts w:ascii="Barlow" w:eastAsia="Trebuchet MS" w:hAnsi="Barlow" w:cs="Trebuchet MS"/>
            <w:sz w:val="22"/>
            <w:szCs w:val="22"/>
            <w:lang w:val="fr-FR"/>
          </w:rPr>
          <w:t>8.1 - Conditions de versement et de remboursement</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_Toc256000020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9</w:t>
        </w:r>
        <w:r w:rsidRPr="005D5B0F">
          <w:rPr>
            <w:rFonts w:ascii="Barlow" w:eastAsia="Trebuchet MS" w:hAnsi="Barlow" w:cs="Trebuchet MS"/>
            <w:sz w:val="22"/>
            <w:szCs w:val="22"/>
          </w:rPr>
          <w:fldChar w:fldCharType="end"/>
        </w:r>
      </w:hyperlink>
    </w:p>
    <w:p w14:paraId="13DF4695" w14:textId="0E8FC4AF" w:rsidR="00D03000" w:rsidRPr="005D5B0F" w:rsidRDefault="00000000">
      <w:pPr>
        <w:pStyle w:val="TM2"/>
        <w:tabs>
          <w:tab w:val="right" w:leader="dot" w:pos="9610"/>
        </w:tabs>
        <w:rPr>
          <w:rFonts w:ascii="Barlow" w:hAnsi="Barlow"/>
          <w:noProof/>
          <w:sz w:val="21"/>
          <w:szCs w:val="22"/>
        </w:rPr>
      </w:pPr>
      <w:hyperlink w:anchor="_Toc256000021" w:history="1">
        <w:r w:rsidRPr="005D5B0F">
          <w:rPr>
            <w:rStyle w:val="Lienhypertexte"/>
            <w:rFonts w:ascii="Barlow" w:eastAsia="Trebuchet MS" w:hAnsi="Barlow" w:cs="Trebuchet MS"/>
            <w:sz w:val="22"/>
            <w:szCs w:val="22"/>
            <w:lang w:val="fr-FR"/>
          </w:rPr>
          <w:t>8.2 - Garanties financières de l'avance</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_Toc256000021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10</w:t>
        </w:r>
        <w:r w:rsidRPr="005D5B0F">
          <w:rPr>
            <w:rFonts w:ascii="Barlow" w:eastAsia="Trebuchet MS" w:hAnsi="Barlow" w:cs="Trebuchet MS"/>
            <w:sz w:val="22"/>
            <w:szCs w:val="22"/>
          </w:rPr>
          <w:fldChar w:fldCharType="end"/>
        </w:r>
      </w:hyperlink>
    </w:p>
    <w:p w14:paraId="77A37A3F" w14:textId="0FECCAC4" w:rsidR="00D03000" w:rsidRPr="005D5B0F" w:rsidRDefault="00000000">
      <w:pPr>
        <w:pStyle w:val="TM1"/>
        <w:tabs>
          <w:tab w:val="right" w:leader="dot" w:pos="9610"/>
        </w:tabs>
        <w:rPr>
          <w:rFonts w:ascii="Barlow" w:hAnsi="Barlow"/>
          <w:noProof/>
          <w:sz w:val="21"/>
          <w:szCs w:val="22"/>
        </w:rPr>
      </w:pPr>
      <w:hyperlink w:anchor="_Toc256000022" w:history="1">
        <w:r w:rsidRPr="005D5B0F">
          <w:rPr>
            <w:rStyle w:val="Lienhypertexte"/>
            <w:rFonts w:ascii="Barlow" w:eastAsia="Trebuchet MS" w:hAnsi="Barlow" w:cs="Trebuchet MS"/>
            <w:sz w:val="22"/>
            <w:szCs w:val="22"/>
            <w:lang w:val="fr-FR"/>
          </w:rPr>
          <w:t>9 - Modalités de règlement des comptes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_Toc256000022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10</w:t>
        </w:r>
        <w:r w:rsidRPr="005D5B0F">
          <w:rPr>
            <w:rFonts w:ascii="Barlow" w:eastAsia="Trebuchet MS" w:hAnsi="Barlow" w:cs="Trebuchet MS"/>
            <w:sz w:val="22"/>
            <w:szCs w:val="22"/>
          </w:rPr>
          <w:fldChar w:fldCharType="end"/>
        </w:r>
      </w:hyperlink>
    </w:p>
    <w:p w14:paraId="5595C4F6" w14:textId="413EDC57" w:rsidR="00D03000" w:rsidRPr="005D5B0F" w:rsidRDefault="00000000">
      <w:pPr>
        <w:pStyle w:val="TM2"/>
        <w:tabs>
          <w:tab w:val="right" w:leader="dot" w:pos="9610"/>
        </w:tabs>
        <w:rPr>
          <w:rFonts w:ascii="Barlow" w:hAnsi="Barlow"/>
          <w:noProof/>
          <w:sz w:val="21"/>
          <w:szCs w:val="22"/>
        </w:rPr>
      </w:pPr>
      <w:hyperlink w:anchor="_Toc256000023" w:history="1">
        <w:r w:rsidRPr="005D5B0F">
          <w:rPr>
            <w:rStyle w:val="Lienhypertexte"/>
            <w:rFonts w:ascii="Barlow" w:eastAsia="Trebuchet MS" w:hAnsi="Barlow" w:cs="Trebuchet MS"/>
            <w:sz w:val="22"/>
            <w:szCs w:val="22"/>
            <w:lang w:val="fr-FR"/>
          </w:rPr>
          <w:t>9.1 - Décomptes et acomptes mensuels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_Toc256000023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10</w:t>
        </w:r>
        <w:r w:rsidRPr="005D5B0F">
          <w:rPr>
            <w:rFonts w:ascii="Barlow" w:eastAsia="Trebuchet MS" w:hAnsi="Barlow" w:cs="Trebuchet MS"/>
            <w:sz w:val="22"/>
            <w:szCs w:val="22"/>
          </w:rPr>
          <w:fldChar w:fldCharType="end"/>
        </w:r>
      </w:hyperlink>
    </w:p>
    <w:p w14:paraId="6DB1F7CB" w14:textId="0F82D6AC" w:rsidR="00D03000" w:rsidRPr="005D5B0F" w:rsidRDefault="00000000">
      <w:pPr>
        <w:pStyle w:val="TM2"/>
        <w:tabs>
          <w:tab w:val="right" w:leader="dot" w:pos="9610"/>
        </w:tabs>
        <w:rPr>
          <w:rFonts w:ascii="Barlow" w:hAnsi="Barlow"/>
          <w:noProof/>
          <w:sz w:val="21"/>
          <w:szCs w:val="22"/>
        </w:rPr>
      </w:pPr>
      <w:hyperlink w:anchor="_Toc256000024" w:history="1">
        <w:r w:rsidRPr="005D5B0F">
          <w:rPr>
            <w:rStyle w:val="Lienhypertexte"/>
            <w:rFonts w:ascii="Barlow" w:eastAsia="Trebuchet MS" w:hAnsi="Barlow" w:cs="Trebuchet MS"/>
            <w:sz w:val="22"/>
            <w:szCs w:val="22"/>
            <w:lang w:val="fr-FR"/>
          </w:rPr>
          <w:t>9.2 - Présentation des demandes de paiement</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_Toc256000024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10</w:t>
        </w:r>
        <w:r w:rsidRPr="005D5B0F">
          <w:rPr>
            <w:rFonts w:ascii="Barlow" w:eastAsia="Trebuchet MS" w:hAnsi="Barlow" w:cs="Trebuchet MS"/>
            <w:sz w:val="22"/>
            <w:szCs w:val="22"/>
          </w:rPr>
          <w:fldChar w:fldCharType="end"/>
        </w:r>
      </w:hyperlink>
    </w:p>
    <w:p w14:paraId="5F7C0C33" w14:textId="1C4A1C05" w:rsidR="00D03000" w:rsidRPr="005D5B0F" w:rsidRDefault="00000000">
      <w:pPr>
        <w:pStyle w:val="TM2"/>
        <w:tabs>
          <w:tab w:val="right" w:leader="dot" w:pos="9610"/>
        </w:tabs>
        <w:rPr>
          <w:rFonts w:ascii="Barlow" w:hAnsi="Barlow"/>
          <w:noProof/>
          <w:sz w:val="21"/>
          <w:szCs w:val="22"/>
        </w:rPr>
      </w:pPr>
      <w:hyperlink w:anchor="_Toc256000025" w:history="1">
        <w:r w:rsidRPr="005D5B0F">
          <w:rPr>
            <w:rStyle w:val="Lienhypertexte"/>
            <w:rFonts w:ascii="Barlow" w:eastAsia="Trebuchet MS" w:hAnsi="Barlow" w:cs="Trebuchet MS"/>
            <w:sz w:val="22"/>
            <w:szCs w:val="22"/>
            <w:lang w:val="fr-FR"/>
          </w:rPr>
          <w:t>9.3 - Délai global de paiement</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_Toc256000025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11</w:t>
        </w:r>
        <w:r w:rsidRPr="005D5B0F">
          <w:rPr>
            <w:rFonts w:ascii="Barlow" w:eastAsia="Trebuchet MS" w:hAnsi="Barlow" w:cs="Trebuchet MS"/>
            <w:sz w:val="22"/>
            <w:szCs w:val="22"/>
          </w:rPr>
          <w:fldChar w:fldCharType="end"/>
        </w:r>
      </w:hyperlink>
    </w:p>
    <w:p w14:paraId="34ECD81F" w14:textId="3E72F739" w:rsidR="00D03000" w:rsidRPr="005D5B0F" w:rsidRDefault="00000000">
      <w:pPr>
        <w:pStyle w:val="TM2"/>
        <w:tabs>
          <w:tab w:val="right" w:leader="dot" w:pos="9610"/>
        </w:tabs>
        <w:rPr>
          <w:rFonts w:ascii="Barlow" w:hAnsi="Barlow"/>
          <w:noProof/>
          <w:sz w:val="21"/>
          <w:szCs w:val="22"/>
        </w:rPr>
      </w:pPr>
      <w:hyperlink w:anchor="_Toc256000026" w:history="1">
        <w:r w:rsidRPr="005D5B0F">
          <w:rPr>
            <w:rStyle w:val="Lienhypertexte"/>
            <w:rFonts w:ascii="Barlow" w:eastAsia="Trebuchet MS" w:hAnsi="Barlow" w:cs="Trebuchet MS"/>
            <w:sz w:val="22"/>
            <w:szCs w:val="22"/>
            <w:lang w:val="fr-FR"/>
          </w:rPr>
          <w:t>9.4 - Paiement des cotraitants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_Toc256000026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11</w:t>
        </w:r>
        <w:r w:rsidRPr="005D5B0F">
          <w:rPr>
            <w:rFonts w:ascii="Barlow" w:eastAsia="Trebuchet MS" w:hAnsi="Barlow" w:cs="Trebuchet MS"/>
            <w:sz w:val="22"/>
            <w:szCs w:val="22"/>
          </w:rPr>
          <w:fldChar w:fldCharType="end"/>
        </w:r>
      </w:hyperlink>
    </w:p>
    <w:p w14:paraId="7D2BDDB2" w14:textId="4CE017C0" w:rsidR="00D03000" w:rsidRPr="005D5B0F" w:rsidRDefault="00000000">
      <w:pPr>
        <w:pStyle w:val="TM2"/>
        <w:tabs>
          <w:tab w:val="right" w:leader="dot" w:pos="9610"/>
        </w:tabs>
        <w:rPr>
          <w:rFonts w:ascii="Barlow" w:hAnsi="Barlow"/>
          <w:noProof/>
          <w:sz w:val="21"/>
          <w:szCs w:val="22"/>
        </w:rPr>
      </w:pPr>
      <w:hyperlink w:anchor="_Toc256000027" w:history="1">
        <w:r w:rsidRPr="005D5B0F">
          <w:rPr>
            <w:rStyle w:val="Lienhypertexte"/>
            <w:rFonts w:ascii="Barlow" w:eastAsia="Trebuchet MS" w:hAnsi="Barlow" w:cs="Trebuchet MS"/>
            <w:sz w:val="22"/>
            <w:szCs w:val="22"/>
            <w:lang w:val="fr-FR"/>
          </w:rPr>
          <w:t>9.5 - Paiement des sous-traitants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_Toc256000027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11</w:t>
        </w:r>
        <w:r w:rsidRPr="005D5B0F">
          <w:rPr>
            <w:rFonts w:ascii="Barlow" w:eastAsia="Trebuchet MS" w:hAnsi="Barlow" w:cs="Trebuchet MS"/>
            <w:sz w:val="22"/>
            <w:szCs w:val="22"/>
          </w:rPr>
          <w:fldChar w:fldCharType="end"/>
        </w:r>
      </w:hyperlink>
    </w:p>
    <w:p w14:paraId="16E4FDF6" w14:textId="1F10CA47" w:rsidR="00D03000" w:rsidRPr="005D5B0F" w:rsidRDefault="00000000">
      <w:pPr>
        <w:pStyle w:val="TM1"/>
        <w:tabs>
          <w:tab w:val="right" w:leader="dot" w:pos="9610"/>
        </w:tabs>
        <w:rPr>
          <w:rFonts w:ascii="Barlow" w:hAnsi="Barlow"/>
          <w:noProof/>
          <w:sz w:val="21"/>
          <w:szCs w:val="22"/>
        </w:rPr>
      </w:pPr>
      <w:hyperlink w:anchor="_Toc256000028" w:history="1">
        <w:r w:rsidRPr="005D5B0F">
          <w:rPr>
            <w:rStyle w:val="Lienhypertexte"/>
            <w:rFonts w:ascii="Barlow" w:eastAsia="Trebuchet MS" w:hAnsi="Barlow" w:cs="Trebuchet MS"/>
            <w:sz w:val="22"/>
            <w:szCs w:val="22"/>
            <w:lang w:val="fr-FR"/>
          </w:rPr>
          <w:t>10 - Conditions d'exécution des prestations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_Toc256000028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11</w:t>
        </w:r>
        <w:r w:rsidRPr="005D5B0F">
          <w:rPr>
            <w:rFonts w:ascii="Barlow" w:eastAsia="Trebuchet MS" w:hAnsi="Barlow" w:cs="Trebuchet MS"/>
            <w:sz w:val="22"/>
            <w:szCs w:val="22"/>
          </w:rPr>
          <w:fldChar w:fldCharType="end"/>
        </w:r>
      </w:hyperlink>
    </w:p>
    <w:p w14:paraId="69EF896D" w14:textId="69D7B1B5" w:rsidR="00D03000" w:rsidRPr="005D5B0F" w:rsidRDefault="00000000">
      <w:pPr>
        <w:pStyle w:val="TM2"/>
        <w:tabs>
          <w:tab w:val="right" w:leader="dot" w:pos="9610"/>
        </w:tabs>
        <w:rPr>
          <w:rFonts w:ascii="Barlow" w:hAnsi="Barlow"/>
          <w:noProof/>
          <w:sz w:val="21"/>
          <w:szCs w:val="22"/>
        </w:rPr>
      </w:pPr>
      <w:hyperlink w:anchor="_Toc256000029" w:history="1">
        <w:r w:rsidRPr="005D5B0F">
          <w:rPr>
            <w:rStyle w:val="Lienhypertexte"/>
            <w:rFonts w:ascii="Barlow" w:eastAsia="Trebuchet MS" w:hAnsi="Barlow" w:cs="Trebuchet MS"/>
            <w:sz w:val="22"/>
            <w:szCs w:val="22"/>
            <w:lang w:val="fr-FR"/>
          </w:rPr>
          <w:t>10.1 - Caractéristiques des matériaux et produits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_Toc256000029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11</w:t>
        </w:r>
        <w:r w:rsidRPr="005D5B0F">
          <w:rPr>
            <w:rFonts w:ascii="Barlow" w:eastAsia="Trebuchet MS" w:hAnsi="Barlow" w:cs="Trebuchet MS"/>
            <w:sz w:val="22"/>
            <w:szCs w:val="22"/>
          </w:rPr>
          <w:fldChar w:fldCharType="end"/>
        </w:r>
      </w:hyperlink>
    </w:p>
    <w:p w14:paraId="25780A3E" w14:textId="5462E4CE" w:rsidR="00D03000" w:rsidRPr="005D5B0F" w:rsidRDefault="00000000">
      <w:pPr>
        <w:pStyle w:val="TM2"/>
        <w:tabs>
          <w:tab w:val="right" w:leader="dot" w:pos="9610"/>
        </w:tabs>
        <w:rPr>
          <w:rFonts w:ascii="Barlow" w:hAnsi="Barlow"/>
          <w:noProof/>
          <w:sz w:val="21"/>
          <w:szCs w:val="22"/>
        </w:rPr>
      </w:pPr>
      <w:hyperlink w:anchor="_Toc256000030" w:history="1">
        <w:r w:rsidRPr="005D5B0F">
          <w:rPr>
            <w:rStyle w:val="Lienhypertexte"/>
            <w:rFonts w:ascii="Barlow" w:eastAsia="Trebuchet MS" w:hAnsi="Barlow" w:cs="Trebuchet MS"/>
            <w:sz w:val="22"/>
            <w:szCs w:val="22"/>
            <w:lang w:val="fr-FR"/>
          </w:rPr>
          <w:t>10.2 - Implantation des ouvrages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_Toc256000030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11</w:t>
        </w:r>
        <w:r w:rsidRPr="005D5B0F">
          <w:rPr>
            <w:rFonts w:ascii="Barlow" w:eastAsia="Trebuchet MS" w:hAnsi="Barlow" w:cs="Trebuchet MS"/>
            <w:sz w:val="22"/>
            <w:szCs w:val="22"/>
          </w:rPr>
          <w:fldChar w:fldCharType="end"/>
        </w:r>
      </w:hyperlink>
    </w:p>
    <w:p w14:paraId="092DB8BB" w14:textId="57DE742E" w:rsidR="00D03000" w:rsidRPr="005D5B0F" w:rsidRDefault="00000000">
      <w:pPr>
        <w:pStyle w:val="TM2"/>
        <w:tabs>
          <w:tab w:val="right" w:leader="dot" w:pos="9610"/>
        </w:tabs>
        <w:rPr>
          <w:rFonts w:ascii="Barlow" w:hAnsi="Barlow"/>
          <w:noProof/>
          <w:sz w:val="21"/>
          <w:szCs w:val="22"/>
        </w:rPr>
      </w:pPr>
      <w:hyperlink w:anchor="_Toc256000031" w:history="1">
        <w:r w:rsidRPr="005D5B0F">
          <w:rPr>
            <w:rStyle w:val="Lienhypertexte"/>
            <w:rFonts w:ascii="Barlow" w:eastAsia="Trebuchet MS" w:hAnsi="Barlow" w:cs="Trebuchet MS"/>
            <w:sz w:val="22"/>
            <w:szCs w:val="22"/>
            <w:lang w:val="fr-FR"/>
          </w:rPr>
          <w:t>10.3 - Préparation et coordination des travaux</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_Toc256000031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11</w:t>
        </w:r>
        <w:r w:rsidRPr="005D5B0F">
          <w:rPr>
            <w:rFonts w:ascii="Barlow" w:eastAsia="Trebuchet MS" w:hAnsi="Barlow" w:cs="Trebuchet MS"/>
            <w:sz w:val="22"/>
            <w:szCs w:val="22"/>
          </w:rPr>
          <w:fldChar w:fldCharType="end"/>
        </w:r>
      </w:hyperlink>
    </w:p>
    <w:p w14:paraId="3A1486FF" w14:textId="28FC5CC9" w:rsidR="00D03000" w:rsidRPr="005D5B0F" w:rsidRDefault="00000000">
      <w:pPr>
        <w:pStyle w:val="TM3"/>
        <w:tabs>
          <w:tab w:val="right" w:leader="dot" w:pos="9610"/>
        </w:tabs>
        <w:rPr>
          <w:rFonts w:ascii="Barlow" w:hAnsi="Barlow"/>
          <w:noProof/>
          <w:sz w:val="21"/>
          <w:szCs w:val="22"/>
        </w:rPr>
      </w:pPr>
      <w:hyperlink w:anchor="_Toc256000032" w:history="1">
        <w:r w:rsidRPr="005D5B0F">
          <w:rPr>
            <w:rStyle w:val="Lienhypertexte"/>
            <w:rFonts w:ascii="Barlow" w:eastAsia="Trebuchet MS" w:hAnsi="Barlow" w:cs="Trebuchet MS"/>
            <w:sz w:val="22"/>
            <w:szCs w:val="22"/>
            <w:lang w:val="fr-FR"/>
          </w:rPr>
          <w:t>10.3.1 - Période de préparation - Programme d'exécution des travaux</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_Toc256000032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11</w:t>
        </w:r>
        <w:r w:rsidRPr="005D5B0F">
          <w:rPr>
            <w:rFonts w:ascii="Barlow" w:eastAsia="Trebuchet MS" w:hAnsi="Barlow" w:cs="Trebuchet MS"/>
            <w:sz w:val="22"/>
            <w:szCs w:val="22"/>
          </w:rPr>
          <w:fldChar w:fldCharType="end"/>
        </w:r>
      </w:hyperlink>
    </w:p>
    <w:p w14:paraId="408BACCB" w14:textId="7CD25BC8" w:rsidR="00D03000" w:rsidRPr="005D5B0F" w:rsidRDefault="00000000">
      <w:pPr>
        <w:pStyle w:val="TM3"/>
        <w:tabs>
          <w:tab w:val="right" w:leader="dot" w:pos="9610"/>
        </w:tabs>
        <w:rPr>
          <w:rFonts w:ascii="Barlow" w:hAnsi="Barlow"/>
          <w:noProof/>
          <w:sz w:val="21"/>
          <w:szCs w:val="22"/>
        </w:rPr>
      </w:pPr>
      <w:hyperlink w:anchor="_Toc256000033" w:history="1">
        <w:r w:rsidRPr="005D5B0F">
          <w:rPr>
            <w:rStyle w:val="Lienhypertexte"/>
            <w:rFonts w:ascii="Barlow" w:eastAsia="Trebuchet MS" w:hAnsi="Barlow" w:cs="Trebuchet MS"/>
            <w:sz w:val="22"/>
            <w:szCs w:val="22"/>
            <w:lang w:val="fr-FR"/>
          </w:rPr>
          <w:t>10.3.2 - Sécurité et protection de la santé des travailleurs sur le chantier</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_Toc256000033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12</w:t>
        </w:r>
        <w:r w:rsidRPr="005D5B0F">
          <w:rPr>
            <w:rFonts w:ascii="Barlow" w:eastAsia="Trebuchet MS" w:hAnsi="Barlow" w:cs="Trebuchet MS"/>
            <w:sz w:val="22"/>
            <w:szCs w:val="22"/>
          </w:rPr>
          <w:fldChar w:fldCharType="end"/>
        </w:r>
      </w:hyperlink>
    </w:p>
    <w:p w14:paraId="4970BE83" w14:textId="0AFB76D0" w:rsidR="00D03000" w:rsidRPr="005D5B0F" w:rsidRDefault="00000000">
      <w:pPr>
        <w:pStyle w:val="TM3"/>
        <w:tabs>
          <w:tab w:val="right" w:leader="dot" w:pos="9610"/>
        </w:tabs>
        <w:rPr>
          <w:rFonts w:ascii="Barlow" w:hAnsi="Barlow"/>
          <w:noProof/>
          <w:sz w:val="21"/>
          <w:szCs w:val="22"/>
        </w:rPr>
      </w:pPr>
      <w:hyperlink w:anchor="_Toc256000034" w:history="1">
        <w:r w:rsidRPr="005D5B0F">
          <w:rPr>
            <w:rStyle w:val="Lienhypertexte"/>
            <w:rFonts w:ascii="Barlow" w:eastAsia="Trebuchet MS" w:hAnsi="Barlow" w:cs="Trebuchet MS"/>
            <w:sz w:val="22"/>
            <w:szCs w:val="22"/>
            <w:lang w:val="fr-FR"/>
          </w:rPr>
          <w:t>10.3.3 - Registre de chantier</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_Toc256000034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12</w:t>
        </w:r>
        <w:r w:rsidRPr="005D5B0F">
          <w:rPr>
            <w:rFonts w:ascii="Barlow" w:eastAsia="Trebuchet MS" w:hAnsi="Barlow" w:cs="Trebuchet MS"/>
            <w:sz w:val="22"/>
            <w:szCs w:val="22"/>
          </w:rPr>
          <w:fldChar w:fldCharType="end"/>
        </w:r>
      </w:hyperlink>
    </w:p>
    <w:p w14:paraId="05498E78" w14:textId="4FB0F742" w:rsidR="00D03000" w:rsidRPr="005D5B0F" w:rsidRDefault="00000000">
      <w:pPr>
        <w:pStyle w:val="TM2"/>
        <w:tabs>
          <w:tab w:val="right" w:leader="dot" w:pos="9610"/>
        </w:tabs>
        <w:rPr>
          <w:rFonts w:ascii="Barlow" w:hAnsi="Barlow"/>
          <w:noProof/>
          <w:sz w:val="21"/>
          <w:szCs w:val="22"/>
        </w:rPr>
      </w:pPr>
      <w:hyperlink w:anchor="_Toc256000035" w:history="1">
        <w:r w:rsidRPr="005D5B0F">
          <w:rPr>
            <w:rStyle w:val="Lienhypertexte"/>
            <w:rFonts w:ascii="Barlow" w:eastAsia="Trebuchet MS" w:hAnsi="Barlow" w:cs="Trebuchet MS"/>
            <w:sz w:val="22"/>
            <w:szCs w:val="22"/>
            <w:lang w:val="fr-FR"/>
          </w:rPr>
          <w:t>10.4 - Etudes d'exécution</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_Toc256000035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12</w:t>
        </w:r>
        <w:r w:rsidRPr="005D5B0F">
          <w:rPr>
            <w:rFonts w:ascii="Barlow" w:eastAsia="Trebuchet MS" w:hAnsi="Barlow" w:cs="Trebuchet MS"/>
            <w:sz w:val="22"/>
            <w:szCs w:val="22"/>
          </w:rPr>
          <w:fldChar w:fldCharType="end"/>
        </w:r>
      </w:hyperlink>
    </w:p>
    <w:p w14:paraId="71EB5421" w14:textId="5317839D" w:rsidR="00D03000" w:rsidRPr="005D5B0F" w:rsidRDefault="00000000">
      <w:pPr>
        <w:pStyle w:val="TM2"/>
        <w:tabs>
          <w:tab w:val="right" w:leader="dot" w:pos="9610"/>
        </w:tabs>
        <w:rPr>
          <w:rFonts w:ascii="Barlow" w:hAnsi="Barlow"/>
          <w:noProof/>
          <w:sz w:val="21"/>
          <w:szCs w:val="22"/>
        </w:rPr>
      </w:pPr>
      <w:hyperlink w:anchor="_Toc256000036" w:history="1">
        <w:r w:rsidRPr="005D5B0F">
          <w:rPr>
            <w:rStyle w:val="Lienhypertexte"/>
            <w:rFonts w:ascii="Barlow" w:eastAsia="Trebuchet MS" w:hAnsi="Barlow" w:cs="Trebuchet MS"/>
            <w:sz w:val="22"/>
            <w:szCs w:val="22"/>
            <w:lang w:val="fr-FR"/>
          </w:rPr>
          <w:t>10.5 - Installation et organisation du chantier</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_Toc256000036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13</w:t>
        </w:r>
        <w:r w:rsidRPr="005D5B0F">
          <w:rPr>
            <w:rFonts w:ascii="Barlow" w:eastAsia="Trebuchet MS" w:hAnsi="Barlow" w:cs="Trebuchet MS"/>
            <w:sz w:val="22"/>
            <w:szCs w:val="22"/>
          </w:rPr>
          <w:fldChar w:fldCharType="end"/>
        </w:r>
      </w:hyperlink>
    </w:p>
    <w:p w14:paraId="6C075B37" w14:textId="378C731D" w:rsidR="00D03000" w:rsidRPr="005D5B0F" w:rsidRDefault="00000000">
      <w:pPr>
        <w:pStyle w:val="TM3"/>
        <w:tabs>
          <w:tab w:val="right" w:leader="dot" w:pos="9610"/>
        </w:tabs>
        <w:rPr>
          <w:rFonts w:ascii="Barlow" w:hAnsi="Barlow"/>
          <w:noProof/>
          <w:sz w:val="21"/>
          <w:szCs w:val="22"/>
        </w:rPr>
      </w:pPr>
      <w:hyperlink w:anchor="_Toc256000037" w:history="1">
        <w:r w:rsidRPr="005D5B0F">
          <w:rPr>
            <w:rStyle w:val="Lienhypertexte"/>
            <w:rFonts w:ascii="Barlow" w:eastAsia="Trebuchet MS" w:hAnsi="Barlow" w:cs="Trebuchet MS"/>
            <w:sz w:val="22"/>
            <w:szCs w:val="22"/>
            <w:lang w:val="fr-FR"/>
          </w:rPr>
          <w:t>10.5.1 - Installation de chantier</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_Toc256000037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13</w:t>
        </w:r>
        <w:r w:rsidRPr="005D5B0F">
          <w:rPr>
            <w:rFonts w:ascii="Barlow" w:eastAsia="Trebuchet MS" w:hAnsi="Barlow" w:cs="Trebuchet MS"/>
            <w:sz w:val="22"/>
            <w:szCs w:val="22"/>
          </w:rPr>
          <w:fldChar w:fldCharType="end"/>
        </w:r>
      </w:hyperlink>
    </w:p>
    <w:p w14:paraId="7143361A" w14:textId="1511164C" w:rsidR="00D03000" w:rsidRPr="005D5B0F" w:rsidRDefault="00000000">
      <w:pPr>
        <w:pStyle w:val="TM2"/>
        <w:tabs>
          <w:tab w:val="right" w:leader="dot" w:pos="9610"/>
        </w:tabs>
        <w:rPr>
          <w:rFonts w:ascii="Barlow" w:hAnsi="Barlow"/>
          <w:noProof/>
          <w:sz w:val="21"/>
          <w:szCs w:val="22"/>
        </w:rPr>
      </w:pPr>
      <w:hyperlink w:anchor="_Toc256000038" w:history="1">
        <w:r w:rsidRPr="005D5B0F">
          <w:rPr>
            <w:rStyle w:val="Lienhypertexte"/>
            <w:rFonts w:ascii="Barlow" w:eastAsia="Trebuchet MS" w:hAnsi="Barlow" w:cs="Trebuchet MS"/>
            <w:sz w:val="22"/>
            <w:szCs w:val="22"/>
            <w:lang w:val="fr-FR"/>
          </w:rPr>
          <w:t>10.6 - Dispositions particulières à l'achèvement du chantier</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_Toc256000038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13</w:t>
        </w:r>
        <w:r w:rsidRPr="005D5B0F">
          <w:rPr>
            <w:rFonts w:ascii="Barlow" w:eastAsia="Trebuchet MS" w:hAnsi="Barlow" w:cs="Trebuchet MS"/>
            <w:sz w:val="22"/>
            <w:szCs w:val="22"/>
          </w:rPr>
          <w:fldChar w:fldCharType="end"/>
        </w:r>
      </w:hyperlink>
    </w:p>
    <w:p w14:paraId="3A7F7DA7" w14:textId="18C8B452" w:rsidR="00D03000" w:rsidRPr="005D5B0F" w:rsidRDefault="00000000">
      <w:pPr>
        <w:pStyle w:val="TM3"/>
        <w:tabs>
          <w:tab w:val="right" w:leader="dot" w:pos="9610"/>
        </w:tabs>
        <w:rPr>
          <w:rFonts w:ascii="Barlow" w:hAnsi="Barlow"/>
          <w:noProof/>
          <w:sz w:val="21"/>
          <w:szCs w:val="22"/>
        </w:rPr>
      </w:pPr>
      <w:hyperlink w:anchor="_Toc256000039" w:history="1">
        <w:r w:rsidRPr="005D5B0F">
          <w:rPr>
            <w:rStyle w:val="Lienhypertexte"/>
            <w:rFonts w:ascii="Barlow" w:eastAsia="Trebuchet MS" w:hAnsi="Barlow" w:cs="Trebuchet MS"/>
            <w:sz w:val="22"/>
            <w:szCs w:val="22"/>
            <w:lang w:val="fr-FR"/>
          </w:rPr>
          <w:t>10.6.1 - Gestion des déchets de chantier</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_Toc256000039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13</w:t>
        </w:r>
        <w:r w:rsidRPr="005D5B0F">
          <w:rPr>
            <w:rFonts w:ascii="Barlow" w:eastAsia="Trebuchet MS" w:hAnsi="Barlow" w:cs="Trebuchet MS"/>
            <w:sz w:val="22"/>
            <w:szCs w:val="22"/>
          </w:rPr>
          <w:fldChar w:fldCharType="end"/>
        </w:r>
      </w:hyperlink>
    </w:p>
    <w:p w14:paraId="48045366" w14:textId="1976E541" w:rsidR="00D03000" w:rsidRPr="005D5B0F" w:rsidRDefault="00000000">
      <w:pPr>
        <w:pStyle w:val="TM3"/>
        <w:tabs>
          <w:tab w:val="right" w:leader="dot" w:pos="9610"/>
        </w:tabs>
        <w:rPr>
          <w:rFonts w:ascii="Barlow" w:hAnsi="Barlow"/>
          <w:noProof/>
          <w:sz w:val="21"/>
          <w:szCs w:val="22"/>
        </w:rPr>
      </w:pPr>
      <w:hyperlink w:anchor="_Toc256000040" w:history="1">
        <w:r w:rsidRPr="005D5B0F">
          <w:rPr>
            <w:rStyle w:val="Lienhypertexte"/>
            <w:rFonts w:ascii="Barlow" w:eastAsia="Trebuchet MS" w:hAnsi="Barlow" w:cs="Trebuchet MS"/>
            <w:sz w:val="22"/>
            <w:szCs w:val="22"/>
            <w:lang w:val="fr-FR"/>
          </w:rPr>
          <w:t>10.6.2 - Repliement des installations de chantier et remise en état des lieux</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_Toc256000040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13</w:t>
        </w:r>
        <w:r w:rsidRPr="005D5B0F">
          <w:rPr>
            <w:rFonts w:ascii="Barlow" w:eastAsia="Trebuchet MS" w:hAnsi="Barlow" w:cs="Trebuchet MS"/>
            <w:sz w:val="22"/>
            <w:szCs w:val="22"/>
          </w:rPr>
          <w:fldChar w:fldCharType="end"/>
        </w:r>
      </w:hyperlink>
    </w:p>
    <w:p w14:paraId="690040D3" w14:textId="69118AE3" w:rsidR="00D03000" w:rsidRPr="005D5B0F" w:rsidRDefault="00000000">
      <w:pPr>
        <w:pStyle w:val="TM3"/>
        <w:tabs>
          <w:tab w:val="right" w:leader="dot" w:pos="9610"/>
        </w:tabs>
        <w:rPr>
          <w:rFonts w:ascii="Barlow" w:hAnsi="Barlow"/>
          <w:noProof/>
          <w:sz w:val="21"/>
          <w:szCs w:val="22"/>
        </w:rPr>
      </w:pPr>
      <w:hyperlink w:anchor="_Toc256000041" w:history="1">
        <w:r w:rsidRPr="005D5B0F">
          <w:rPr>
            <w:rStyle w:val="Lienhypertexte"/>
            <w:rFonts w:ascii="Barlow" w:eastAsia="Trebuchet MS" w:hAnsi="Barlow" w:cs="Trebuchet MS"/>
            <w:sz w:val="22"/>
            <w:szCs w:val="22"/>
            <w:lang w:val="fr-FR"/>
          </w:rPr>
          <w:t>10.6.3 - Documents à fournir après exécution</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_Toc256000041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13</w:t>
        </w:r>
        <w:r w:rsidRPr="005D5B0F">
          <w:rPr>
            <w:rFonts w:ascii="Barlow" w:eastAsia="Trebuchet MS" w:hAnsi="Barlow" w:cs="Trebuchet MS"/>
            <w:sz w:val="22"/>
            <w:szCs w:val="22"/>
          </w:rPr>
          <w:fldChar w:fldCharType="end"/>
        </w:r>
      </w:hyperlink>
    </w:p>
    <w:p w14:paraId="49C3D783" w14:textId="583EC786" w:rsidR="00D03000" w:rsidRPr="005D5B0F" w:rsidRDefault="00000000">
      <w:pPr>
        <w:pStyle w:val="TM1"/>
        <w:tabs>
          <w:tab w:val="right" w:leader="dot" w:pos="9610"/>
        </w:tabs>
        <w:rPr>
          <w:rFonts w:ascii="Barlow" w:hAnsi="Barlow"/>
          <w:noProof/>
          <w:sz w:val="21"/>
          <w:szCs w:val="22"/>
        </w:rPr>
      </w:pPr>
      <w:hyperlink w:anchor="_Toc256000042" w:history="1">
        <w:r w:rsidRPr="005D5B0F">
          <w:rPr>
            <w:rStyle w:val="Lienhypertexte"/>
            <w:rFonts w:ascii="Barlow" w:eastAsia="Trebuchet MS" w:hAnsi="Barlow" w:cs="Trebuchet MS"/>
            <w:sz w:val="22"/>
            <w:szCs w:val="22"/>
            <w:lang w:val="fr-FR"/>
          </w:rPr>
          <w:t>11 - Développement durable</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_Toc256000042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13</w:t>
        </w:r>
        <w:r w:rsidRPr="005D5B0F">
          <w:rPr>
            <w:rFonts w:ascii="Barlow" w:eastAsia="Trebuchet MS" w:hAnsi="Barlow" w:cs="Trebuchet MS"/>
            <w:sz w:val="22"/>
            <w:szCs w:val="22"/>
          </w:rPr>
          <w:fldChar w:fldCharType="end"/>
        </w:r>
      </w:hyperlink>
    </w:p>
    <w:p w14:paraId="792F95E7" w14:textId="73B1DFB8" w:rsidR="00D03000" w:rsidRPr="005D5B0F" w:rsidRDefault="00000000">
      <w:pPr>
        <w:pStyle w:val="TM1"/>
        <w:tabs>
          <w:tab w:val="right" w:leader="dot" w:pos="9610"/>
        </w:tabs>
        <w:rPr>
          <w:rFonts w:ascii="Barlow" w:hAnsi="Barlow"/>
          <w:noProof/>
          <w:sz w:val="21"/>
          <w:szCs w:val="22"/>
        </w:rPr>
      </w:pPr>
      <w:hyperlink w:anchor="_Toc256000043" w:history="1">
        <w:r w:rsidRPr="005D5B0F">
          <w:rPr>
            <w:rStyle w:val="Lienhypertexte"/>
            <w:rFonts w:ascii="Barlow" w:eastAsia="Trebuchet MS" w:hAnsi="Barlow" w:cs="Trebuchet MS"/>
            <w:sz w:val="22"/>
            <w:szCs w:val="22"/>
            <w:lang w:val="fr-FR"/>
          </w:rPr>
          <w:t>12 - Réception</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_Toc256000043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14</w:t>
        </w:r>
        <w:r w:rsidRPr="005D5B0F">
          <w:rPr>
            <w:rFonts w:ascii="Barlow" w:eastAsia="Trebuchet MS" w:hAnsi="Barlow" w:cs="Trebuchet MS"/>
            <w:sz w:val="22"/>
            <w:szCs w:val="22"/>
          </w:rPr>
          <w:fldChar w:fldCharType="end"/>
        </w:r>
      </w:hyperlink>
    </w:p>
    <w:p w14:paraId="3196AC8A" w14:textId="075F2251" w:rsidR="00D03000" w:rsidRPr="005D5B0F" w:rsidRDefault="00000000">
      <w:pPr>
        <w:pStyle w:val="TM2"/>
        <w:tabs>
          <w:tab w:val="right" w:leader="dot" w:pos="9610"/>
        </w:tabs>
        <w:rPr>
          <w:rFonts w:ascii="Barlow" w:hAnsi="Barlow"/>
          <w:noProof/>
          <w:sz w:val="21"/>
          <w:szCs w:val="22"/>
        </w:rPr>
      </w:pPr>
      <w:hyperlink w:anchor="_Toc256000044" w:history="1">
        <w:r w:rsidRPr="005D5B0F">
          <w:rPr>
            <w:rStyle w:val="Lienhypertexte"/>
            <w:rFonts w:ascii="Barlow" w:eastAsia="Trebuchet MS" w:hAnsi="Barlow" w:cs="Trebuchet MS"/>
            <w:sz w:val="22"/>
            <w:szCs w:val="22"/>
            <w:lang w:val="fr-FR"/>
          </w:rPr>
          <w:t>12.1 - Réception des travaux</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_Toc256000044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14</w:t>
        </w:r>
        <w:r w:rsidRPr="005D5B0F">
          <w:rPr>
            <w:rFonts w:ascii="Barlow" w:eastAsia="Trebuchet MS" w:hAnsi="Barlow" w:cs="Trebuchet MS"/>
            <w:sz w:val="22"/>
            <w:szCs w:val="22"/>
          </w:rPr>
          <w:fldChar w:fldCharType="end"/>
        </w:r>
      </w:hyperlink>
    </w:p>
    <w:p w14:paraId="7C65FA14" w14:textId="08A4E9FF" w:rsidR="00D03000" w:rsidRPr="005D5B0F" w:rsidRDefault="00000000">
      <w:pPr>
        <w:pStyle w:val="TM3"/>
        <w:tabs>
          <w:tab w:val="right" w:leader="dot" w:pos="9610"/>
        </w:tabs>
        <w:rPr>
          <w:rFonts w:ascii="Barlow" w:hAnsi="Barlow"/>
          <w:noProof/>
          <w:sz w:val="21"/>
          <w:szCs w:val="22"/>
        </w:rPr>
      </w:pPr>
      <w:hyperlink w:anchor="_Toc256000045" w:history="1">
        <w:r w:rsidRPr="005D5B0F">
          <w:rPr>
            <w:rStyle w:val="Lienhypertexte"/>
            <w:rFonts w:ascii="Barlow" w:eastAsia="Trebuchet MS" w:hAnsi="Barlow" w:cs="Trebuchet MS"/>
            <w:sz w:val="22"/>
            <w:szCs w:val="22"/>
            <w:lang w:val="fr-FR"/>
          </w:rPr>
          <w:t>12.1.1 - Dispositions applicables à la réception</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_Toc256000045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14</w:t>
        </w:r>
        <w:r w:rsidRPr="005D5B0F">
          <w:rPr>
            <w:rFonts w:ascii="Barlow" w:eastAsia="Trebuchet MS" w:hAnsi="Barlow" w:cs="Trebuchet MS"/>
            <w:sz w:val="22"/>
            <w:szCs w:val="22"/>
          </w:rPr>
          <w:fldChar w:fldCharType="end"/>
        </w:r>
      </w:hyperlink>
    </w:p>
    <w:p w14:paraId="6F37CA33" w14:textId="6C13F9F9" w:rsidR="00D03000" w:rsidRPr="005D5B0F" w:rsidRDefault="00000000">
      <w:pPr>
        <w:pStyle w:val="TM3"/>
        <w:tabs>
          <w:tab w:val="right" w:leader="dot" w:pos="9610"/>
        </w:tabs>
        <w:rPr>
          <w:rFonts w:ascii="Barlow" w:hAnsi="Barlow"/>
          <w:noProof/>
          <w:sz w:val="21"/>
          <w:szCs w:val="22"/>
        </w:rPr>
      </w:pPr>
      <w:hyperlink w:anchor="_Toc256000046" w:history="1">
        <w:r w:rsidRPr="005D5B0F">
          <w:rPr>
            <w:rStyle w:val="Lienhypertexte"/>
            <w:rFonts w:ascii="Barlow" w:eastAsia="Trebuchet MS" w:hAnsi="Barlow" w:cs="Trebuchet MS"/>
            <w:sz w:val="22"/>
            <w:szCs w:val="22"/>
            <w:lang w:val="fr-FR"/>
          </w:rPr>
          <w:t>12.1.2 - Réception partielle</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_Toc256000046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14</w:t>
        </w:r>
        <w:r w:rsidRPr="005D5B0F">
          <w:rPr>
            <w:rFonts w:ascii="Barlow" w:eastAsia="Trebuchet MS" w:hAnsi="Barlow" w:cs="Trebuchet MS"/>
            <w:sz w:val="22"/>
            <w:szCs w:val="22"/>
          </w:rPr>
          <w:fldChar w:fldCharType="end"/>
        </w:r>
      </w:hyperlink>
    </w:p>
    <w:p w14:paraId="4A54E6CF" w14:textId="51CE843C" w:rsidR="00D03000" w:rsidRPr="005D5B0F" w:rsidRDefault="00000000">
      <w:pPr>
        <w:pStyle w:val="TM1"/>
        <w:tabs>
          <w:tab w:val="right" w:leader="dot" w:pos="9610"/>
        </w:tabs>
        <w:rPr>
          <w:rFonts w:ascii="Barlow" w:hAnsi="Barlow"/>
          <w:noProof/>
          <w:sz w:val="21"/>
          <w:szCs w:val="22"/>
        </w:rPr>
      </w:pPr>
      <w:hyperlink w:anchor="_Toc256000047" w:history="1">
        <w:r w:rsidRPr="005D5B0F">
          <w:rPr>
            <w:rStyle w:val="Lienhypertexte"/>
            <w:rFonts w:ascii="Barlow" w:eastAsia="Trebuchet MS" w:hAnsi="Barlow" w:cs="Trebuchet MS"/>
            <w:sz w:val="22"/>
            <w:szCs w:val="22"/>
            <w:lang w:val="fr-FR"/>
          </w:rPr>
          <w:t>13 - Garantie des prestations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_Toc256000047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14</w:t>
        </w:r>
        <w:r w:rsidRPr="005D5B0F">
          <w:rPr>
            <w:rFonts w:ascii="Barlow" w:eastAsia="Trebuchet MS" w:hAnsi="Barlow" w:cs="Trebuchet MS"/>
            <w:sz w:val="22"/>
            <w:szCs w:val="22"/>
          </w:rPr>
          <w:fldChar w:fldCharType="end"/>
        </w:r>
      </w:hyperlink>
    </w:p>
    <w:p w14:paraId="36277CC6" w14:textId="60894783" w:rsidR="00D03000" w:rsidRPr="005D5B0F" w:rsidRDefault="00000000">
      <w:pPr>
        <w:pStyle w:val="TM1"/>
        <w:tabs>
          <w:tab w:val="right" w:leader="dot" w:pos="9610"/>
        </w:tabs>
        <w:rPr>
          <w:rFonts w:ascii="Barlow" w:hAnsi="Barlow"/>
          <w:noProof/>
          <w:sz w:val="21"/>
          <w:szCs w:val="22"/>
        </w:rPr>
      </w:pPr>
      <w:hyperlink w:anchor="_Toc256000048" w:history="1">
        <w:r w:rsidRPr="005D5B0F">
          <w:rPr>
            <w:rStyle w:val="Lienhypertexte"/>
            <w:rFonts w:ascii="Barlow" w:eastAsia="Trebuchet MS" w:hAnsi="Barlow" w:cs="Trebuchet MS"/>
            <w:sz w:val="22"/>
            <w:szCs w:val="22"/>
            <w:lang w:val="fr-FR"/>
          </w:rPr>
          <w:t>14 - Pénalités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_Toc256000048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14</w:t>
        </w:r>
        <w:r w:rsidRPr="005D5B0F">
          <w:rPr>
            <w:rFonts w:ascii="Barlow" w:eastAsia="Trebuchet MS" w:hAnsi="Barlow" w:cs="Trebuchet MS"/>
            <w:sz w:val="22"/>
            <w:szCs w:val="22"/>
          </w:rPr>
          <w:fldChar w:fldCharType="end"/>
        </w:r>
      </w:hyperlink>
    </w:p>
    <w:p w14:paraId="23EA8F26" w14:textId="68B5A0BB" w:rsidR="00D03000" w:rsidRPr="005D5B0F" w:rsidRDefault="00000000">
      <w:pPr>
        <w:pStyle w:val="TM2"/>
        <w:tabs>
          <w:tab w:val="right" w:leader="dot" w:pos="9610"/>
        </w:tabs>
        <w:rPr>
          <w:rFonts w:ascii="Barlow" w:hAnsi="Barlow"/>
          <w:noProof/>
          <w:sz w:val="21"/>
          <w:szCs w:val="22"/>
        </w:rPr>
      </w:pPr>
      <w:hyperlink w:anchor="_Toc256000049" w:history="1">
        <w:r w:rsidRPr="005D5B0F">
          <w:rPr>
            <w:rStyle w:val="Lienhypertexte"/>
            <w:rFonts w:ascii="Barlow" w:eastAsia="Trebuchet MS" w:hAnsi="Barlow" w:cs="Trebuchet MS"/>
            <w:sz w:val="22"/>
            <w:szCs w:val="22"/>
            <w:lang w:val="fr-FR"/>
          </w:rPr>
          <w:t>14.1 - Pénalités de retard</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_Toc256000049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14</w:t>
        </w:r>
        <w:r w:rsidRPr="005D5B0F">
          <w:rPr>
            <w:rFonts w:ascii="Barlow" w:eastAsia="Trebuchet MS" w:hAnsi="Barlow" w:cs="Trebuchet MS"/>
            <w:sz w:val="22"/>
            <w:szCs w:val="22"/>
          </w:rPr>
          <w:fldChar w:fldCharType="end"/>
        </w:r>
      </w:hyperlink>
    </w:p>
    <w:p w14:paraId="788268C3" w14:textId="3B8CB5ED" w:rsidR="00D03000" w:rsidRPr="005D5B0F" w:rsidRDefault="00000000">
      <w:pPr>
        <w:pStyle w:val="TM2"/>
        <w:tabs>
          <w:tab w:val="right" w:leader="dot" w:pos="9610"/>
        </w:tabs>
        <w:rPr>
          <w:rFonts w:ascii="Barlow" w:hAnsi="Barlow"/>
          <w:noProof/>
          <w:sz w:val="21"/>
          <w:szCs w:val="22"/>
        </w:rPr>
      </w:pPr>
      <w:hyperlink w:anchor="_Toc256000050" w:history="1">
        <w:r w:rsidRPr="005D5B0F">
          <w:rPr>
            <w:rStyle w:val="Lienhypertexte"/>
            <w:rFonts w:ascii="Barlow" w:eastAsia="Trebuchet MS" w:hAnsi="Barlow" w:cs="Trebuchet MS"/>
            <w:sz w:val="22"/>
            <w:szCs w:val="22"/>
            <w:lang w:val="fr-FR"/>
          </w:rPr>
          <w:t>14.2 - Autres pénalités spécifiques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_Toc256000050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14</w:t>
        </w:r>
        <w:r w:rsidRPr="005D5B0F">
          <w:rPr>
            <w:rFonts w:ascii="Barlow" w:eastAsia="Trebuchet MS" w:hAnsi="Barlow" w:cs="Trebuchet MS"/>
            <w:sz w:val="22"/>
            <w:szCs w:val="22"/>
          </w:rPr>
          <w:fldChar w:fldCharType="end"/>
        </w:r>
      </w:hyperlink>
    </w:p>
    <w:p w14:paraId="3DF9F760" w14:textId="55054D61" w:rsidR="00D03000" w:rsidRPr="005D5B0F" w:rsidRDefault="00000000">
      <w:pPr>
        <w:pStyle w:val="TM1"/>
        <w:tabs>
          <w:tab w:val="right" w:leader="dot" w:pos="9610"/>
        </w:tabs>
        <w:rPr>
          <w:rFonts w:ascii="Barlow" w:hAnsi="Barlow"/>
          <w:noProof/>
          <w:sz w:val="21"/>
          <w:szCs w:val="22"/>
        </w:rPr>
      </w:pPr>
      <w:hyperlink w:anchor="_Toc256000051" w:history="1">
        <w:r w:rsidRPr="005D5B0F">
          <w:rPr>
            <w:rStyle w:val="Lienhypertexte"/>
            <w:rFonts w:ascii="Barlow" w:eastAsia="Trebuchet MS" w:hAnsi="Barlow" w:cs="Trebuchet MS"/>
            <w:sz w:val="22"/>
            <w:szCs w:val="22"/>
            <w:lang w:val="fr-FR"/>
          </w:rPr>
          <w:t>15 - Assurances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_Toc256000051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15</w:t>
        </w:r>
        <w:r w:rsidRPr="005D5B0F">
          <w:rPr>
            <w:rFonts w:ascii="Barlow" w:eastAsia="Trebuchet MS" w:hAnsi="Barlow" w:cs="Trebuchet MS"/>
            <w:sz w:val="22"/>
            <w:szCs w:val="22"/>
          </w:rPr>
          <w:fldChar w:fldCharType="end"/>
        </w:r>
      </w:hyperlink>
    </w:p>
    <w:p w14:paraId="3994055A" w14:textId="24AB6670" w:rsidR="00D03000" w:rsidRPr="005D5B0F" w:rsidRDefault="00000000">
      <w:pPr>
        <w:pStyle w:val="TM1"/>
        <w:tabs>
          <w:tab w:val="right" w:leader="dot" w:pos="9610"/>
        </w:tabs>
        <w:rPr>
          <w:rFonts w:ascii="Barlow" w:hAnsi="Barlow"/>
          <w:noProof/>
          <w:sz w:val="21"/>
          <w:szCs w:val="22"/>
        </w:rPr>
      </w:pPr>
      <w:hyperlink w:anchor="_Toc256000052" w:history="1">
        <w:r w:rsidRPr="005D5B0F">
          <w:rPr>
            <w:rStyle w:val="Lienhypertexte"/>
            <w:rFonts w:ascii="Barlow" w:eastAsia="Trebuchet MS" w:hAnsi="Barlow" w:cs="Trebuchet MS"/>
            <w:sz w:val="22"/>
            <w:szCs w:val="22"/>
            <w:lang w:val="fr-FR"/>
          </w:rPr>
          <w:t>16 - Clause de réexamen</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_Toc256000052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15</w:t>
        </w:r>
        <w:r w:rsidRPr="005D5B0F">
          <w:rPr>
            <w:rFonts w:ascii="Barlow" w:eastAsia="Trebuchet MS" w:hAnsi="Barlow" w:cs="Trebuchet MS"/>
            <w:sz w:val="22"/>
            <w:szCs w:val="22"/>
          </w:rPr>
          <w:fldChar w:fldCharType="end"/>
        </w:r>
      </w:hyperlink>
    </w:p>
    <w:p w14:paraId="7E9E219D" w14:textId="45C72B46" w:rsidR="00D03000" w:rsidRPr="005D5B0F" w:rsidRDefault="00000000">
      <w:pPr>
        <w:pStyle w:val="TM1"/>
        <w:tabs>
          <w:tab w:val="right" w:leader="dot" w:pos="9610"/>
        </w:tabs>
        <w:rPr>
          <w:rFonts w:ascii="Barlow" w:hAnsi="Barlow"/>
          <w:noProof/>
          <w:sz w:val="21"/>
          <w:szCs w:val="22"/>
        </w:rPr>
      </w:pPr>
      <w:hyperlink w:anchor="_Toc256000053" w:history="1">
        <w:r w:rsidRPr="005D5B0F">
          <w:rPr>
            <w:rStyle w:val="Lienhypertexte"/>
            <w:rFonts w:ascii="Barlow" w:eastAsia="Trebuchet MS" w:hAnsi="Barlow" w:cs="Trebuchet MS"/>
            <w:sz w:val="22"/>
            <w:szCs w:val="22"/>
            <w:lang w:val="fr-FR"/>
          </w:rPr>
          <w:t>17 - Résiliation du contrat</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_Toc256000053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16</w:t>
        </w:r>
        <w:r w:rsidRPr="005D5B0F">
          <w:rPr>
            <w:rFonts w:ascii="Barlow" w:eastAsia="Trebuchet MS" w:hAnsi="Barlow" w:cs="Trebuchet MS"/>
            <w:sz w:val="22"/>
            <w:szCs w:val="22"/>
          </w:rPr>
          <w:fldChar w:fldCharType="end"/>
        </w:r>
      </w:hyperlink>
    </w:p>
    <w:p w14:paraId="137C6EA9" w14:textId="50A75D3E" w:rsidR="00D03000" w:rsidRPr="005D5B0F" w:rsidRDefault="00000000">
      <w:pPr>
        <w:pStyle w:val="TM2"/>
        <w:tabs>
          <w:tab w:val="right" w:leader="dot" w:pos="9610"/>
        </w:tabs>
        <w:rPr>
          <w:rFonts w:ascii="Barlow" w:hAnsi="Barlow"/>
          <w:noProof/>
          <w:sz w:val="21"/>
          <w:szCs w:val="22"/>
        </w:rPr>
      </w:pPr>
      <w:hyperlink w:anchor="_Toc256000054" w:history="1">
        <w:r w:rsidRPr="005D5B0F">
          <w:rPr>
            <w:rStyle w:val="Lienhypertexte"/>
            <w:rFonts w:ascii="Barlow" w:eastAsia="Trebuchet MS" w:hAnsi="Barlow" w:cs="Trebuchet MS"/>
            <w:sz w:val="22"/>
            <w:szCs w:val="22"/>
            <w:lang w:val="fr-FR"/>
          </w:rPr>
          <w:t>17.1 - Conditions de résiliation</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_Toc256000054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16</w:t>
        </w:r>
        <w:r w:rsidRPr="005D5B0F">
          <w:rPr>
            <w:rFonts w:ascii="Barlow" w:eastAsia="Trebuchet MS" w:hAnsi="Barlow" w:cs="Trebuchet MS"/>
            <w:sz w:val="22"/>
            <w:szCs w:val="22"/>
          </w:rPr>
          <w:fldChar w:fldCharType="end"/>
        </w:r>
      </w:hyperlink>
    </w:p>
    <w:p w14:paraId="27AE0F28" w14:textId="7FB76FAA" w:rsidR="00D03000" w:rsidRPr="005D5B0F" w:rsidRDefault="00000000">
      <w:pPr>
        <w:pStyle w:val="TM2"/>
        <w:tabs>
          <w:tab w:val="right" w:leader="dot" w:pos="9610"/>
        </w:tabs>
        <w:rPr>
          <w:rFonts w:ascii="Barlow" w:hAnsi="Barlow"/>
          <w:noProof/>
          <w:sz w:val="21"/>
          <w:szCs w:val="22"/>
        </w:rPr>
      </w:pPr>
      <w:hyperlink w:anchor="_Toc256000055" w:history="1">
        <w:r w:rsidRPr="005D5B0F">
          <w:rPr>
            <w:rStyle w:val="Lienhypertexte"/>
            <w:rFonts w:ascii="Barlow" w:eastAsia="Trebuchet MS" w:hAnsi="Barlow" w:cs="Trebuchet MS"/>
            <w:sz w:val="22"/>
            <w:szCs w:val="22"/>
            <w:lang w:val="fr-FR"/>
          </w:rPr>
          <w:t>17.2 - Redressement ou liquidation judiciaire</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_Toc256000055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16</w:t>
        </w:r>
        <w:r w:rsidRPr="005D5B0F">
          <w:rPr>
            <w:rFonts w:ascii="Barlow" w:eastAsia="Trebuchet MS" w:hAnsi="Barlow" w:cs="Trebuchet MS"/>
            <w:sz w:val="22"/>
            <w:szCs w:val="22"/>
          </w:rPr>
          <w:fldChar w:fldCharType="end"/>
        </w:r>
      </w:hyperlink>
    </w:p>
    <w:p w14:paraId="5B882920" w14:textId="30D6253D" w:rsidR="00D03000" w:rsidRPr="005D5B0F" w:rsidRDefault="00000000">
      <w:pPr>
        <w:pStyle w:val="TM1"/>
        <w:tabs>
          <w:tab w:val="right" w:leader="dot" w:pos="9610"/>
        </w:tabs>
        <w:rPr>
          <w:rFonts w:ascii="Barlow" w:hAnsi="Barlow"/>
          <w:noProof/>
          <w:sz w:val="21"/>
          <w:szCs w:val="22"/>
        </w:rPr>
      </w:pPr>
      <w:hyperlink w:anchor="_Toc256000056" w:history="1">
        <w:r w:rsidRPr="005D5B0F">
          <w:rPr>
            <w:rStyle w:val="Lienhypertexte"/>
            <w:rFonts w:ascii="Barlow" w:eastAsia="Trebuchet MS" w:hAnsi="Barlow" w:cs="Trebuchet MS"/>
            <w:sz w:val="22"/>
            <w:szCs w:val="22"/>
            <w:lang w:val="fr-FR"/>
          </w:rPr>
          <w:t>18 - Règlement des litiges et langues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_Toc256000056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17</w:t>
        </w:r>
        <w:r w:rsidRPr="005D5B0F">
          <w:rPr>
            <w:rFonts w:ascii="Barlow" w:eastAsia="Trebuchet MS" w:hAnsi="Barlow" w:cs="Trebuchet MS"/>
            <w:sz w:val="22"/>
            <w:szCs w:val="22"/>
          </w:rPr>
          <w:fldChar w:fldCharType="end"/>
        </w:r>
      </w:hyperlink>
    </w:p>
    <w:p w14:paraId="119EA84A" w14:textId="41718D56" w:rsidR="00D03000" w:rsidRPr="005D5B0F" w:rsidRDefault="00000000">
      <w:pPr>
        <w:pStyle w:val="TM2"/>
        <w:tabs>
          <w:tab w:val="right" w:leader="dot" w:pos="9610"/>
        </w:tabs>
        <w:rPr>
          <w:rFonts w:ascii="Barlow" w:hAnsi="Barlow"/>
          <w:noProof/>
          <w:sz w:val="21"/>
          <w:szCs w:val="22"/>
        </w:rPr>
      </w:pPr>
      <w:hyperlink w:anchor="_Toc256000057" w:history="1">
        <w:r w:rsidRPr="005D5B0F">
          <w:rPr>
            <w:rStyle w:val="Lienhypertexte"/>
            <w:rFonts w:ascii="Barlow" w:eastAsia="Trebuchet MS" w:hAnsi="Barlow" w:cs="Trebuchet MS"/>
            <w:sz w:val="22"/>
            <w:szCs w:val="22"/>
            <w:lang w:val="fr-FR"/>
          </w:rPr>
          <w:t>18.1 - « Promotion de la Charte « Relations fournisseurs et achats responsables »</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_Toc256000057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17</w:t>
        </w:r>
        <w:r w:rsidRPr="005D5B0F">
          <w:rPr>
            <w:rFonts w:ascii="Barlow" w:eastAsia="Trebuchet MS" w:hAnsi="Barlow" w:cs="Trebuchet MS"/>
            <w:sz w:val="22"/>
            <w:szCs w:val="22"/>
          </w:rPr>
          <w:fldChar w:fldCharType="end"/>
        </w:r>
      </w:hyperlink>
    </w:p>
    <w:p w14:paraId="0EAAD56F" w14:textId="30C96904" w:rsidR="00D03000" w:rsidRPr="005D5B0F" w:rsidRDefault="00000000">
      <w:pPr>
        <w:pStyle w:val="TM3"/>
        <w:tabs>
          <w:tab w:val="right" w:leader="dot" w:pos="9610"/>
        </w:tabs>
        <w:rPr>
          <w:rFonts w:ascii="Barlow" w:hAnsi="Barlow"/>
          <w:noProof/>
          <w:sz w:val="21"/>
          <w:szCs w:val="22"/>
        </w:rPr>
      </w:pPr>
      <w:hyperlink w:anchor="_Toc256000058" w:history="1">
        <w:r w:rsidRPr="005D5B0F">
          <w:rPr>
            <w:rStyle w:val="Lienhypertexte"/>
            <w:rFonts w:ascii="Barlow" w:eastAsia="Trebuchet MS" w:hAnsi="Barlow" w:cs="Trebuchet MS"/>
            <w:sz w:val="22"/>
            <w:szCs w:val="22"/>
            <w:lang w:val="fr-FR"/>
          </w:rPr>
          <w:t>18.1.1 - Différends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_Toc256000058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17</w:t>
        </w:r>
        <w:r w:rsidRPr="005D5B0F">
          <w:rPr>
            <w:rFonts w:ascii="Barlow" w:eastAsia="Trebuchet MS" w:hAnsi="Barlow" w:cs="Trebuchet MS"/>
            <w:sz w:val="22"/>
            <w:szCs w:val="22"/>
          </w:rPr>
          <w:fldChar w:fldCharType="end"/>
        </w:r>
      </w:hyperlink>
    </w:p>
    <w:p w14:paraId="4ACABFCB" w14:textId="44763546" w:rsidR="00D03000" w:rsidRPr="005D5B0F" w:rsidRDefault="00000000">
      <w:pPr>
        <w:pStyle w:val="TM2"/>
        <w:tabs>
          <w:tab w:val="right" w:leader="dot" w:pos="9610"/>
        </w:tabs>
        <w:rPr>
          <w:rFonts w:ascii="Barlow" w:hAnsi="Barlow"/>
          <w:noProof/>
          <w:sz w:val="21"/>
          <w:szCs w:val="22"/>
        </w:rPr>
      </w:pPr>
      <w:hyperlink w:anchor="_Toc256000059" w:history="1">
        <w:r w:rsidRPr="005D5B0F">
          <w:rPr>
            <w:rStyle w:val="Lienhypertexte"/>
            <w:rFonts w:ascii="Barlow" w:eastAsia="Trebuchet MS" w:hAnsi="Barlow" w:cs="Trebuchet MS"/>
            <w:sz w:val="22"/>
            <w:szCs w:val="22"/>
            <w:lang w:val="fr-FR"/>
          </w:rPr>
          <w:t>18.2 - Règlement des litiges devant les tribunaux</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_Toc256000059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19</w:t>
        </w:r>
        <w:r w:rsidRPr="005D5B0F">
          <w:rPr>
            <w:rFonts w:ascii="Barlow" w:eastAsia="Trebuchet MS" w:hAnsi="Barlow" w:cs="Trebuchet MS"/>
            <w:sz w:val="22"/>
            <w:szCs w:val="22"/>
          </w:rPr>
          <w:fldChar w:fldCharType="end"/>
        </w:r>
      </w:hyperlink>
    </w:p>
    <w:p w14:paraId="5F2C98A0" w14:textId="79EB068E" w:rsidR="00D03000" w:rsidRPr="005D5B0F" w:rsidRDefault="00000000">
      <w:pPr>
        <w:pStyle w:val="TM1"/>
        <w:tabs>
          <w:tab w:val="right" w:leader="dot" w:pos="9610"/>
        </w:tabs>
        <w:rPr>
          <w:rFonts w:ascii="Barlow" w:hAnsi="Barlow"/>
          <w:noProof/>
          <w:sz w:val="21"/>
          <w:szCs w:val="22"/>
        </w:rPr>
      </w:pPr>
      <w:hyperlink w:anchor="_Toc256000060" w:history="1">
        <w:r w:rsidRPr="005D5B0F">
          <w:rPr>
            <w:rStyle w:val="Lienhypertexte"/>
            <w:rFonts w:ascii="Barlow" w:eastAsia="Trebuchet MS" w:hAnsi="Barlow" w:cs="Trebuchet MS"/>
            <w:sz w:val="22"/>
            <w:szCs w:val="22"/>
            <w:lang w:val="fr-FR"/>
          </w:rPr>
          <w:t>19 - Dérogations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_Toc256000060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20</w:t>
        </w:r>
        <w:r w:rsidRPr="005D5B0F">
          <w:rPr>
            <w:rFonts w:ascii="Barlow" w:eastAsia="Trebuchet MS" w:hAnsi="Barlow" w:cs="Trebuchet MS"/>
            <w:sz w:val="22"/>
            <w:szCs w:val="22"/>
          </w:rPr>
          <w:fldChar w:fldCharType="end"/>
        </w:r>
      </w:hyperlink>
    </w:p>
    <w:p w14:paraId="4CE80FB6" w14:textId="431903D3" w:rsidR="00D03000" w:rsidRPr="005D5B0F" w:rsidRDefault="00000000">
      <w:pPr>
        <w:pStyle w:val="TM1"/>
        <w:tabs>
          <w:tab w:val="right" w:leader="dot" w:pos="9610"/>
        </w:tabs>
        <w:rPr>
          <w:rFonts w:ascii="Barlow" w:hAnsi="Barlow"/>
          <w:noProof/>
          <w:sz w:val="21"/>
          <w:szCs w:val="22"/>
        </w:rPr>
      </w:pPr>
      <w:hyperlink w:anchor="_Toc256000061" w:history="1">
        <w:r w:rsidRPr="005D5B0F">
          <w:rPr>
            <w:rStyle w:val="Lienhypertexte"/>
            <w:rFonts w:ascii="Barlow" w:eastAsia="Trebuchet MS" w:hAnsi="Barlow" w:cs="Trebuchet MS"/>
            <w:sz w:val="22"/>
            <w:szCs w:val="22"/>
            <w:lang w:val="fr-FR"/>
          </w:rPr>
          <w:t>20 - ANNEXE A (OPR - DOE - DUEM)</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_Toc256000061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21</w:t>
        </w:r>
        <w:r w:rsidRPr="005D5B0F">
          <w:rPr>
            <w:rFonts w:ascii="Barlow" w:eastAsia="Trebuchet MS" w:hAnsi="Barlow" w:cs="Trebuchet MS"/>
            <w:sz w:val="22"/>
            <w:szCs w:val="22"/>
          </w:rPr>
          <w:fldChar w:fldCharType="end"/>
        </w:r>
      </w:hyperlink>
    </w:p>
    <w:p w14:paraId="7DAF8DEF" w14:textId="7595D617" w:rsidR="00D03000" w:rsidRPr="005D5B0F" w:rsidRDefault="00000000">
      <w:pPr>
        <w:pStyle w:val="TM1"/>
        <w:tabs>
          <w:tab w:val="right" w:leader="dot" w:pos="9610"/>
        </w:tabs>
        <w:rPr>
          <w:rFonts w:ascii="Barlow" w:hAnsi="Barlow"/>
          <w:noProof/>
          <w:sz w:val="21"/>
          <w:szCs w:val="22"/>
        </w:rPr>
      </w:pPr>
      <w:hyperlink w:anchor="_Toc256000062" w:history="1">
        <w:r w:rsidRPr="005D5B0F">
          <w:rPr>
            <w:rStyle w:val="Lienhypertexte"/>
            <w:rFonts w:ascii="Barlow" w:eastAsia="Trebuchet MS" w:hAnsi="Barlow" w:cs="Trebuchet MS"/>
            <w:sz w:val="22"/>
            <w:szCs w:val="22"/>
            <w:lang w:val="fr-FR"/>
          </w:rPr>
          <w:t>21 - ANNEXE B (Charte graphique DAO 2025)</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_Toc256000062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35</w:t>
        </w:r>
        <w:r w:rsidRPr="005D5B0F">
          <w:rPr>
            <w:rFonts w:ascii="Barlow" w:eastAsia="Trebuchet MS" w:hAnsi="Barlow" w:cs="Trebuchet MS"/>
            <w:sz w:val="22"/>
            <w:szCs w:val="22"/>
          </w:rPr>
          <w:fldChar w:fldCharType="end"/>
        </w:r>
      </w:hyperlink>
    </w:p>
    <w:p w14:paraId="52E4FB57" w14:textId="7C969086" w:rsidR="00D03000" w:rsidRPr="005D5B0F" w:rsidRDefault="00000000">
      <w:pPr>
        <w:pStyle w:val="TM1"/>
        <w:tabs>
          <w:tab w:val="right" w:leader="dot" w:pos="9610"/>
        </w:tabs>
        <w:rPr>
          <w:rFonts w:ascii="Barlow" w:hAnsi="Barlow"/>
          <w:noProof/>
          <w:sz w:val="21"/>
          <w:szCs w:val="22"/>
        </w:rPr>
      </w:pPr>
      <w:hyperlink w:anchor="_Toc256000063" w:history="1">
        <w:r w:rsidRPr="005D5B0F">
          <w:rPr>
            <w:rStyle w:val="Lienhypertexte"/>
            <w:rFonts w:ascii="Barlow" w:eastAsia="Trebuchet MS" w:hAnsi="Barlow" w:cs="Trebuchet MS"/>
            <w:sz w:val="22"/>
            <w:szCs w:val="22"/>
            <w:lang w:val="fr-FR"/>
          </w:rPr>
          <w:t>22 - Clause incitative label RFAR</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_Toc256000063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37</w:t>
        </w:r>
        <w:r w:rsidRPr="005D5B0F">
          <w:rPr>
            <w:rFonts w:ascii="Barlow" w:eastAsia="Trebuchet MS" w:hAnsi="Barlow" w:cs="Trebuchet MS"/>
            <w:sz w:val="22"/>
            <w:szCs w:val="22"/>
          </w:rPr>
          <w:fldChar w:fldCharType="end"/>
        </w:r>
      </w:hyperlink>
    </w:p>
    <w:p w14:paraId="358B19A3" w14:textId="4833B4F9" w:rsidR="00D03000" w:rsidRPr="005D5B0F" w:rsidRDefault="00000000">
      <w:pPr>
        <w:pStyle w:val="TM1"/>
        <w:tabs>
          <w:tab w:val="right" w:leader="dot" w:pos="9610"/>
        </w:tabs>
        <w:rPr>
          <w:rFonts w:ascii="Barlow" w:hAnsi="Barlow"/>
          <w:noProof/>
          <w:sz w:val="21"/>
          <w:szCs w:val="22"/>
        </w:rPr>
      </w:pPr>
      <w:hyperlink w:anchor="_Toc256000064" w:history="1">
        <w:r w:rsidRPr="005D5B0F">
          <w:rPr>
            <w:rStyle w:val="Lienhypertexte"/>
            <w:rFonts w:ascii="Barlow" w:eastAsia="Trebuchet MS" w:hAnsi="Barlow" w:cs="Trebuchet MS"/>
            <w:sz w:val="22"/>
            <w:szCs w:val="22"/>
            <w:lang w:val="fr-FR"/>
          </w:rPr>
          <w:t>23 - Clause relative au recours au médiateur interne relations fournisseurs</w:t>
        </w:r>
        <w:r w:rsidRPr="005D5B0F">
          <w:rPr>
            <w:rFonts w:ascii="Barlow" w:eastAsia="Trebuchet MS" w:hAnsi="Barlow" w:cs="Trebuchet MS"/>
            <w:sz w:val="22"/>
            <w:szCs w:val="22"/>
          </w:rPr>
          <w:tab/>
        </w:r>
        <w:r w:rsidRPr="005D5B0F">
          <w:rPr>
            <w:rFonts w:ascii="Barlow" w:eastAsia="Trebuchet MS" w:hAnsi="Barlow" w:cs="Trebuchet MS"/>
            <w:sz w:val="22"/>
            <w:szCs w:val="22"/>
          </w:rPr>
          <w:fldChar w:fldCharType="begin"/>
        </w:r>
        <w:r w:rsidRPr="005D5B0F">
          <w:rPr>
            <w:rFonts w:ascii="Barlow" w:eastAsia="Trebuchet MS" w:hAnsi="Barlow" w:cs="Trebuchet MS"/>
            <w:sz w:val="22"/>
            <w:szCs w:val="22"/>
          </w:rPr>
          <w:instrText xml:space="preserve"> PAGEREF _Toc256000064 \h </w:instrText>
        </w:r>
        <w:r w:rsidRPr="005D5B0F">
          <w:rPr>
            <w:rFonts w:ascii="Barlow" w:eastAsia="Trebuchet MS" w:hAnsi="Barlow" w:cs="Trebuchet MS"/>
            <w:sz w:val="22"/>
            <w:szCs w:val="22"/>
          </w:rPr>
        </w:r>
        <w:r w:rsidRPr="005D5B0F">
          <w:rPr>
            <w:rFonts w:ascii="Barlow" w:eastAsia="Trebuchet MS" w:hAnsi="Barlow" w:cs="Trebuchet MS"/>
            <w:sz w:val="22"/>
            <w:szCs w:val="22"/>
          </w:rPr>
          <w:fldChar w:fldCharType="separate"/>
        </w:r>
        <w:r w:rsidR="003D2BDC" w:rsidRPr="005D5B0F">
          <w:rPr>
            <w:rFonts w:ascii="Barlow" w:eastAsia="Trebuchet MS" w:hAnsi="Barlow" w:cs="Trebuchet MS"/>
            <w:noProof/>
            <w:sz w:val="22"/>
            <w:szCs w:val="22"/>
          </w:rPr>
          <w:t>38</w:t>
        </w:r>
        <w:r w:rsidRPr="005D5B0F">
          <w:rPr>
            <w:rFonts w:ascii="Barlow" w:eastAsia="Trebuchet MS" w:hAnsi="Barlow" w:cs="Trebuchet MS"/>
            <w:sz w:val="22"/>
            <w:szCs w:val="22"/>
          </w:rPr>
          <w:fldChar w:fldCharType="end"/>
        </w:r>
      </w:hyperlink>
    </w:p>
    <w:p w14:paraId="346364AC" w14:textId="77777777" w:rsidR="00D03000" w:rsidRPr="005D5B0F" w:rsidRDefault="00000000">
      <w:pPr>
        <w:spacing w:after="100"/>
        <w:rPr>
          <w:rFonts w:ascii="Barlow" w:eastAsia="Trebuchet MS" w:hAnsi="Barlow" w:cs="Trebuchet MS"/>
          <w:color w:val="000000"/>
          <w:sz w:val="21"/>
          <w:szCs w:val="22"/>
          <w:lang w:val="fr-FR"/>
        </w:rPr>
        <w:sectPr w:rsidR="00D03000" w:rsidRPr="005D5B0F">
          <w:pgSz w:w="11900" w:h="16840"/>
          <w:pgMar w:top="1140" w:right="1140" w:bottom="1440" w:left="1140" w:header="1140" w:footer="1440" w:gutter="0"/>
          <w:cols w:space="708"/>
        </w:sectPr>
      </w:pPr>
      <w:r w:rsidRPr="005D5B0F">
        <w:rPr>
          <w:rFonts w:ascii="Barlow" w:eastAsia="Trebuchet MS" w:hAnsi="Barlow" w:cs="Trebuchet MS"/>
          <w:color w:val="000000"/>
          <w:sz w:val="21"/>
          <w:szCs w:val="22"/>
          <w:lang w:val="fr-FR"/>
        </w:rPr>
        <w:fldChar w:fldCharType="end"/>
      </w:r>
    </w:p>
    <w:p w14:paraId="6419E7E2"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0" w:name="ArtL1_CCAP-1-A2"/>
      <w:bookmarkStart w:id="1" w:name="_Toc256000000"/>
      <w:bookmarkEnd w:id="0"/>
      <w:r w:rsidRPr="005D5B0F">
        <w:rPr>
          <w:rFonts w:ascii="Barlow" w:eastAsia="Trebuchet MS" w:hAnsi="Barlow" w:cs="Trebuchet MS"/>
          <w:color w:val="FFFFFF"/>
          <w:sz w:val="24"/>
          <w:szCs w:val="28"/>
          <w:lang w:val="fr-FR"/>
        </w:rPr>
        <w:lastRenderedPageBreak/>
        <w:t>1 - Dispositions générales du contrat</w:t>
      </w:r>
      <w:bookmarkEnd w:id="1"/>
    </w:p>
    <w:p w14:paraId="50E1BB4B"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7EDAFF30"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2" w:name="ArtL2_CCAP-1-A2.1"/>
      <w:bookmarkStart w:id="3" w:name="_Toc256000001"/>
      <w:bookmarkEnd w:id="2"/>
      <w:r w:rsidRPr="005D5B0F">
        <w:rPr>
          <w:rFonts w:ascii="Barlow" w:eastAsia="Trebuchet MS" w:hAnsi="Barlow" w:cs="Trebuchet MS"/>
          <w:i w:val="0"/>
          <w:color w:val="000000"/>
          <w:sz w:val="22"/>
          <w:szCs w:val="24"/>
          <w:lang w:val="fr-FR"/>
        </w:rPr>
        <w:t>1.1 - Objet du contrat</w:t>
      </w:r>
      <w:bookmarkEnd w:id="3"/>
    </w:p>
    <w:p w14:paraId="0DB9DD80" w14:textId="77777777" w:rsidR="00701F8C" w:rsidRPr="005D5B0F" w:rsidRDefault="00701F8C">
      <w:pPr>
        <w:pStyle w:val="ParagrapheIndent2"/>
        <w:spacing w:line="232" w:lineRule="exact"/>
        <w:rPr>
          <w:rFonts w:ascii="Barlow" w:hAnsi="Barlow"/>
          <w:color w:val="000000"/>
          <w:sz w:val="18"/>
          <w:szCs w:val="22"/>
          <w:lang w:val="fr-FR"/>
        </w:rPr>
      </w:pPr>
    </w:p>
    <w:p w14:paraId="327CD790" w14:textId="477FD276"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Les stipulations du présent Cahier des clauses administratives particulières (CCAP) concernent :</w:t>
      </w:r>
    </w:p>
    <w:p w14:paraId="7A668434" w14:textId="7E90464A"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Travaux de création de douches en cellules et mise en œuvre des opérations de GER prioritaires pour le bâtiment petit quartier, bâtiment femmes et l'USN.</w:t>
      </w:r>
      <w:r w:rsidR="00701F8C" w:rsidRPr="005D5B0F">
        <w:rPr>
          <w:rFonts w:ascii="Barlow" w:hAnsi="Barlow"/>
          <w:color w:val="000000"/>
          <w:sz w:val="18"/>
          <w:szCs w:val="22"/>
          <w:lang w:val="fr-FR"/>
        </w:rPr>
        <w:t xml:space="preserve"> </w:t>
      </w:r>
      <w:r w:rsidR="00701F8C" w:rsidRPr="005D5B0F">
        <w:rPr>
          <w:rFonts w:ascii="Barlow" w:hAnsi="Barlow"/>
          <w:color w:val="00B0F0"/>
          <w:sz w:val="18"/>
          <w:szCs w:val="22"/>
          <w:lang w:val="fr-FR"/>
        </w:rPr>
        <w:t>Lot Peinture 05</w:t>
      </w:r>
      <w:r w:rsidR="00701F8C" w:rsidRPr="005D5B0F">
        <w:rPr>
          <w:rFonts w:ascii="Barlow" w:hAnsi="Barlow"/>
          <w:color w:val="00B0F0"/>
          <w:sz w:val="18"/>
          <w:szCs w:val="22"/>
          <w:lang w:val="fr-FR"/>
        </w:rPr>
        <w:t>.</w:t>
      </w:r>
    </w:p>
    <w:p w14:paraId="49EAB760" w14:textId="77777777" w:rsidR="00D03000" w:rsidRPr="005D5B0F" w:rsidRDefault="00D03000">
      <w:pPr>
        <w:pStyle w:val="ParagrapheIndent2"/>
        <w:spacing w:line="232" w:lineRule="exact"/>
        <w:rPr>
          <w:rFonts w:ascii="Barlow" w:hAnsi="Barlow"/>
          <w:color w:val="000000"/>
          <w:sz w:val="18"/>
          <w:szCs w:val="22"/>
          <w:lang w:val="fr-FR"/>
        </w:rPr>
      </w:pPr>
    </w:p>
    <w:p w14:paraId="5ACCB3FA"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Lieu(x) d'exécution :</w:t>
      </w:r>
    </w:p>
    <w:p w14:paraId="7A21722E"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607 Rue de la Sauvagère, 42350 La Talaudière</w:t>
      </w:r>
    </w:p>
    <w:p w14:paraId="70265248" w14:textId="45D0F650"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 xml:space="preserve">42350 La </w:t>
      </w:r>
      <w:r w:rsidR="005D5B0F" w:rsidRPr="005D5B0F">
        <w:rPr>
          <w:rFonts w:ascii="Barlow" w:hAnsi="Barlow"/>
          <w:color w:val="000000"/>
          <w:sz w:val="18"/>
          <w:szCs w:val="22"/>
          <w:lang w:val="fr-FR"/>
        </w:rPr>
        <w:t>Talaudière</w:t>
      </w:r>
    </w:p>
    <w:p w14:paraId="092F92DD"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4" w:name="ArtL2_CCAP-1-A2.2"/>
      <w:bookmarkStart w:id="5" w:name="_Toc256000002"/>
      <w:bookmarkEnd w:id="4"/>
      <w:r w:rsidRPr="005D5B0F">
        <w:rPr>
          <w:rFonts w:ascii="Barlow" w:eastAsia="Trebuchet MS" w:hAnsi="Barlow" w:cs="Trebuchet MS"/>
          <w:i w:val="0"/>
          <w:color w:val="000000"/>
          <w:sz w:val="22"/>
          <w:szCs w:val="24"/>
          <w:lang w:val="fr-FR"/>
        </w:rPr>
        <w:t>1.2 - Décomposition du contrat</w:t>
      </w:r>
      <w:bookmarkEnd w:id="5"/>
    </w:p>
    <w:p w14:paraId="0121E1C2" w14:textId="77777777" w:rsidR="00D03000" w:rsidRPr="005D5B0F" w:rsidRDefault="00000000">
      <w:pPr>
        <w:pStyle w:val="ParagrapheIndent2"/>
        <w:spacing w:after="240"/>
        <w:rPr>
          <w:rFonts w:ascii="Barlow" w:hAnsi="Barlow"/>
          <w:color w:val="000000"/>
          <w:sz w:val="18"/>
          <w:szCs w:val="22"/>
          <w:lang w:val="fr-FR"/>
        </w:rPr>
      </w:pPr>
      <w:r w:rsidRPr="005D5B0F">
        <w:rPr>
          <w:rFonts w:ascii="Barlow" w:hAnsi="Barlow"/>
          <w:color w:val="000000"/>
          <w:sz w:val="18"/>
          <w:szCs w:val="22"/>
          <w:lang w:val="fr-FR"/>
        </w:rPr>
        <w:t>Il n'est pas prévu de décomposition en lots.</w:t>
      </w:r>
    </w:p>
    <w:p w14:paraId="0BDE8F2B"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6" w:name="ArtL2_CCAP-1-A2.7"/>
      <w:bookmarkStart w:id="7" w:name="_Toc256000003"/>
      <w:bookmarkEnd w:id="6"/>
      <w:r w:rsidRPr="005D5B0F">
        <w:rPr>
          <w:rFonts w:ascii="Barlow" w:eastAsia="Trebuchet MS" w:hAnsi="Barlow" w:cs="Trebuchet MS"/>
          <w:i w:val="0"/>
          <w:color w:val="000000"/>
          <w:sz w:val="22"/>
          <w:szCs w:val="24"/>
          <w:lang w:val="fr-FR"/>
        </w:rPr>
        <w:t>1.3 - Réalisation de prestations similaires</w:t>
      </w:r>
      <w:bookmarkEnd w:id="7"/>
    </w:p>
    <w:p w14:paraId="7427273B"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Le pouvoir adjudicateur pourra confier au titulaire du marché, en application des articles L. 2122-1 et R. 2122-7 du Code de la commande publique, un ou plusieurs nouveaux marchés ayant pour objet la réalisation de prestations similaires.</w:t>
      </w:r>
    </w:p>
    <w:p w14:paraId="1D18FA22" w14:textId="77777777" w:rsidR="00D03000" w:rsidRPr="005D5B0F" w:rsidRDefault="00D03000">
      <w:pPr>
        <w:pStyle w:val="ParagrapheIndent2"/>
        <w:spacing w:line="232" w:lineRule="exact"/>
        <w:rPr>
          <w:rFonts w:ascii="Barlow" w:hAnsi="Barlow"/>
          <w:color w:val="000000"/>
          <w:sz w:val="18"/>
          <w:szCs w:val="22"/>
          <w:lang w:val="fr-FR"/>
        </w:rPr>
      </w:pPr>
    </w:p>
    <w:p w14:paraId="6240B79A" w14:textId="77777777"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La durée pendant laquelle un nouveau marché pourra être conclu ne peut dépasser 3 ans à compter de la notification du présent marché.</w:t>
      </w:r>
    </w:p>
    <w:p w14:paraId="67D07332"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8" w:name="ArtL1_CCAP-1-A3"/>
      <w:bookmarkStart w:id="9" w:name="_Toc256000004"/>
      <w:bookmarkEnd w:id="8"/>
      <w:r w:rsidRPr="005D5B0F">
        <w:rPr>
          <w:rFonts w:ascii="Barlow" w:eastAsia="Trebuchet MS" w:hAnsi="Barlow" w:cs="Trebuchet MS"/>
          <w:color w:val="FFFFFF"/>
          <w:sz w:val="24"/>
          <w:szCs w:val="28"/>
          <w:lang w:val="fr-FR"/>
        </w:rPr>
        <w:t>2 - Pièces contractuelles</w:t>
      </w:r>
      <w:bookmarkEnd w:id="9"/>
    </w:p>
    <w:p w14:paraId="42E046B7"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3105B67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Par dérogation à l'article 4.1 du CCAG-Travaux, les pièces contractuelles sont les suivantes et, en cas de contradiction entre leurs stipulations, prévalent dans cet ordre de priorité :</w:t>
      </w:r>
    </w:p>
    <w:p w14:paraId="4336DBB6" w14:textId="0D1A818E"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L'acte d'engagement (AE) et ses annexes financières</w:t>
      </w:r>
      <w:r w:rsidR="00701F8C" w:rsidRPr="005D5B0F">
        <w:rPr>
          <w:rFonts w:ascii="Barlow" w:hAnsi="Barlow"/>
          <w:color w:val="000000"/>
          <w:sz w:val="18"/>
          <w:szCs w:val="22"/>
          <w:lang w:val="fr-FR"/>
        </w:rPr>
        <w:t> ;</w:t>
      </w:r>
    </w:p>
    <w:p w14:paraId="71AEF5BE" w14:textId="23799447" w:rsidR="00701F8C" w:rsidRPr="005D5B0F" w:rsidRDefault="00701F8C" w:rsidP="00701F8C">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w:t>
      </w:r>
      <w:r w:rsidRPr="005D5B0F">
        <w:rPr>
          <w:rFonts w:ascii="Barlow" w:hAnsi="Barlow"/>
          <w:color w:val="000000"/>
          <w:sz w:val="18"/>
          <w:szCs w:val="22"/>
          <w:lang w:val="fr-FR"/>
        </w:rPr>
        <w:t>Le présent cahier des clauses administratives particulières (C.C.A.P.)</w:t>
      </w:r>
      <w:r w:rsidRPr="005D5B0F">
        <w:rPr>
          <w:rFonts w:ascii="Barlow" w:hAnsi="Barlow"/>
          <w:color w:val="000000"/>
          <w:sz w:val="18"/>
          <w:szCs w:val="22"/>
          <w:lang w:val="fr-FR"/>
        </w:rPr>
        <w:t> ;</w:t>
      </w:r>
    </w:p>
    <w:p w14:paraId="60165CB4" w14:textId="3B8D92F2" w:rsidR="00701F8C" w:rsidRPr="005D5B0F" w:rsidRDefault="00701F8C" w:rsidP="00701F8C">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w:t>
      </w:r>
      <w:r w:rsidRPr="005D5B0F">
        <w:rPr>
          <w:rFonts w:ascii="Barlow" w:hAnsi="Barlow"/>
          <w:color w:val="000000"/>
          <w:sz w:val="18"/>
          <w:szCs w:val="22"/>
          <w:lang w:val="fr-FR"/>
        </w:rPr>
        <w:t>Le cahier des clauses techniques et ses documents annexés</w:t>
      </w:r>
      <w:r w:rsidRPr="005D5B0F">
        <w:rPr>
          <w:rFonts w:ascii="Barlow" w:hAnsi="Barlow"/>
          <w:color w:val="000000"/>
          <w:sz w:val="18"/>
          <w:szCs w:val="22"/>
          <w:lang w:val="fr-FR"/>
        </w:rPr>
        <w:t> ;</w:t>
      </w:r>
    </w:p>
    <w:p w14:paraId="3A9A72CD" w14:textId="7CADCED2" w:rsidR="00701F8C" w:rsidRPr="005D5B0F" w:rsidRDefault="00701F8C" w:rsidP="00701F8C">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w:t>
      </w:r>
      <w:r w:rsidRPr="005D5B0F">
        <w:rPr>
          <w:rFonts w:ascii="Barlow" w:hAnsi="Barlow"/>
          <w:color w:val="000000"/>
          <w:sz w:val="18"/>
          <w:szCs w:val="22"/>
          <w:lang w:val="fr-FR"/>
        </w:rPr>
        <w:t>Le mémoire justificatif technique</w:t>
      </w:r>
      <w:r w:rsidRPr="005D5B0F">
        <w:rPr>
          <w:rFonts w:ascii="Barlow" w:hAnsi="Barlow"/>
          <w:color w:val="000000"/>
          <w:sz w:val="18"/>
          <w:szCs w:val="22"/>
          <w:lang w:val="fr-FR"/>
        </w:rPr>
        <w:t> ;</w:t>
      </w:r>
    </w:p>
    <w:p w14:paraId="0AC106D2" w14:textId="670190F9" w:rsidR="00701F8C" w:rsidRPr="005D5B0F" w:rsidRDefault="00701F8C" w:rsidP="00701F8C">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w:t>
      </w:r>
      <w:r w:rsidRPr="005D5B0F">
        <w:rPr>
          <w:rFonts w:ascii="Barlow" w:hAnsi="Barlow"/>
          <w:color w:val="000000"/>
          <w:sz w:val="18"/>
          <w:szCs w:val="22"/>
          <w:lang w:val="fr-FR"/>
        </w:rPr>
        <w:t>Les décompositions globales et forfaitaires (DPGF)</w:t>
      </w:r>
      <w:r w:rsidRPr="005D5B0F">
        <w:rPr>
          <w:rFonts w:ascii="Barlow" w:hAnsi="Barlow"/>
          <w:color w:val="000000"/>
          <w:sz w:val="18"/>
          <w:szCs w:val="22"/>
          <w:lang w:val="fr-FR"/>
        </w:rPr>
        <w:t> ;</w:t>
      </w:r>
    </w:p>
    <w:p w14:paraId="547448FC" w14:textId="5A58CB37" w:rsidR="00701F8C" w:rsidRPr="005D5B0F" w:rsidRDefault="00701F8C" w:rsidP="00701F8C">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w:t>
      </w:r>
      <w:r w:rsidRPr="005D5B0F">
        <w:rPr>
          <w:rFonts w:ascii="Barlow" w:hAnsi="Barlow"/>
          <w:color w:val="000000"/>
          <w:sz w:val="18"/>
          <w:szCs w:val="22"/>
          <w:lang w:val="fr-FR"/>
        </w:rPr>
        <w:t xml:space="preserve">Le cahier des clauses administratives générales (C.C.A.G.) </w:t>
      </w:r>
    </w:p>
    <w:p w14:paraId="69114502" w14:textId="77777777" w:rsidR="00701F8C" w:rsidRPr="005D5B0F" w:rsidRDefault="00701F8C" w:rsidP="00701F8C">
      <w:pPr>
        <w:rPr>
          <w:rFonts w:ascii="Barlow" w:eastAsia="Trebuchet MS" w:hAnsi="Barlow" w:cs="Trebuchet MS"/>
          <w:color w:val="000000"/>
          <w:sz w:val="18"/>
          <w:szCs w:val="22"/>
          <w:lang w:val="fr-FR"/>
        </w:rPr>
      </w:pPr>
    </w:p>
    <w:p w14:paraId="1F0D04D2" w14:textId="47E535EA" w:rsidR="00701F8C" w:rsidRPr="005D5B0F" w:rsidRDefault="00701F8C" w:rsidP="00701F8C">
      <w:pPr>
        <w:rPr>
          <w:rFonts w:ascii="Barlow" w:eastAsia="Trebuchet MS" w:hAnsi="Barlow" w:cs="Trebuchet MS"/>
          <w:color w:val="000000"/>
          <w:sz w:val="18"/>
          <w:szCs w:val="22"/>
          <w:lang w:val="fr-FR"/>
        </w:rPr>
      </w:pPr>
      <w:r w:rsidRPr="005D5B0F">
        <w:rPr>
          <w:rFonts w:ascii="Barlow" w:eastAsia="Trebuchet MS" w:hAnsi="Barlow" w:cs="Trebuchet MS"/>
          <w:color w:val="000000"/>
          <w:sz w:val="18"/>
          <w:szCs w:val="22"/>
          <w:lang w:val="fr-FR"/>
        </w:rPr>
        <w:t>En tout état de cause, et notamment dans les éléments constitutifs de l’offre du Titulaire, seront prises en considération et seront donc applicables les dispositions les plus favorables à la DISP.</w:t>
      </w:r>
    </w:p>
    <w:p w14:paraId="69C0F193" w14:textId="77777777" w:rsidR="00701F8C" w:rsidRPr="005D5B0F" w:rsidRDefault="00701F8C" w:rsidP="00701F8C">
      <w:pPr>
        <w:rPr>
          <w:rFonts w:ascii="Barlow" w:hAnsi="Barlow"/>
          <w:sz w:val="22"/>
          <w:szCs w:val="22"/>
          <w:lang w:val="fr-FR"/>
        </w:rPr>
      </w:pPr>
    </w:p>
    <w:p w14:paraId="1764E716"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10" w:name="ArtL1_CCAP-1-A4"/>
      <w:bookmarkStart w:id="11" w:name="_Toc256000005"/>
      <w:bookmarkEnd w:id="10"/>
      <w:r w:rsidRPr="005D5B0F">
        <w:rPr>
          <w:rFonts w:ascii="Barlow" w:eastAsia="Trebuchet MS" w:hAnsi="Barlow" w:cs="Trebuchet MS"/>
          <w:color w:val="FFFFFF"/>
          <w:sz w:val="24"/>
          <w:szCs w:val="28"/>
          <w:lang w:val="fr-FR"/>
        </w:rPr>
        <w:t>3 - Intervenants</w:t>
      </w:r>
      <w:bookmarkEnd w:id="11"/>
    </w:p>
    <w:p w14:paraId="1501E959"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0561B136"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12" w:name="ArtL2_CCAP-1-A4.6"/>
      <w:bookmarkStart w:id="13" w:name="_Toc256000006"/>
      <w:bookmarkEnd w:id="12"/>
      <w:r w:rsidRPr="005D5B0F">
        <w:rPr>
          <w:rFonts w:ascii="Barlow" w:eastAsia="Trebuchet MS" w:hAnsi="Barlow" w:cs="Trebuchet MS"/>
          <w:i w:val="0"/>
          <w:color w:val="000000"/>
          <w:sz w:val="22"/>
          <w:szCs w:val="24"/>
          <w:lang w:val="fr-FR"/>
        </w:rPr>
        <w:t>3.1 - Maîtrise d'œuvre</w:t>
      </w:r>
      <w:bookmarkEnd w:id="13"/>
    </w:p>
    <w:p w14:paraId="24168408" w14:textId="77777777" w:rsidR="00701F8C" w:rsidRPr="005D5B0F" w:rsidRDefault="00701F8C" w:rsidP="00701F8C">
      <w:pPr>
        <w:pStyle w:val="Titre2"/>
        <w:rPr>
          <w:rFonts w:ascii="Barlow" w:eastAsia="Trebuchet MS" w:hAnsi="Barlow" w:cs="Trebuchet MS"/>
          <w:b w:val="0"/>
          <w:bCs w:val="0"/>
          <w:i w:val="0"/>
          <w:iCs w:val="0"/>
          <w:color w:val="000000"/>
          <w:sz w:val="18"/>
          <w:szCs w:val="22"/>
          <w:lang w:val="fr-FR"/>
        </w:rPr>
      </w:pPr>
      <w:bookmarkStart w:id="14" w:name="ArtL2_CCAP-1-A4.7"/>
      <w:bookmarkStart w:id="15" w:name="_Toc256000007"/>
      <w:bookmarkEnd w:id="14"/>
    </w:p>
    <w:p w14:paraId="5E99B21B" w14:textId="3730478C" w:rsidR="00701F8C" w:rsidRPr="005D5B0F" w:rsidRDefault="00701F8C" w:rsidP="00701F8C">
      <w:pPr>
        <w:pStyle w:val="Titre2"/>
        <w:rPr>
          <w:rFonts w:ascii="Barlow" w:eastAsia="Trebuchet MS" w:hAnsi="Barlow" w:cs="Trebuchet MS"/>
          <w:b w:val="0"/>
          <w:bCs w:val="0"/>
          <w:i w:val="0"/>
          <w:iCs w:val="0"/>
          <w:color w:val="000000"/>
          <w:sz w:val="18"/>
          <w:szCs w:val="22"/>
          <w:lang w:val="fr-FR"/>
        </w:rPr>
      </w:pPr>
      <w:r w:rsidRPr="005D5B0F">
        <w:rPr>
          <w:rFonts w:ascii="Barlow" w:eastAsia="Trebuchet MS" w:hAnsi="Barlow" w:cs="Trebuchet MS"/>
          <w:b w:val="0"/>
          <w:bCs w:val="0"/>
          <w:i w:val="0"/>
          <w:iCs w:val="0"/>
          <w:color w:val="000000"/>
          <w:sz w:val="18"/>
          <w:szCs w:val="22"/>
          <w:lang w:val="fr-FR"/>
        </w:rPr>
        <w:t xml:space="preserve">ARCHITECTE MANDATAIRE : LIPSTICK </w:t>
      </w:r>
      <w:r w:rsidRPr="005D5B0F">
        <w:rPr>
          <w:rFonts w:ascii="Barlow" w:eastAsia="Trebuchet MS" w:hAnsi="Barlow" w:cs="Trebuchet MS"/>
          <w:b w:val="0"/>
          <w:bCs w:val="0"/>
          <w:i w:val="0"/>
          <w:iCs w:val="0"/>
          <w:color w:val="000000"/>
          <w:sz w:val="18"/>
          <w:szCs w:val="22"/>
          <w:lang w:val="fr-FR"/>
        </w:rPr>
        <w:t>XANADU</w:t>
      </w:r>
      <w:r w:rsidRPr="005D5B0F">
        <w:rPr>
          <w:rFonts w:ascii="Barlow" w:eastAsia="Trebuchet MS" w:hAnsi="Barlow" w:cs="Trebuchet MS"/>
          <w:b w:val="0"/>
          <w:bCs w:val="0"/>
          <w:i w:val="0"/>
          <w:iCs w:val="0"/>
          <w:color w:val="000000"/>
          <w:sz w:val="18"/>
          <w:szCs w:val="22"/>
          <w:lang w:val="fr-FR"/>
        </w:rPr>
        <w:t xml:space="preserve"> </w:t>
      </w:r>
    </w:p>
    <w:p w14:paraId="30A90215" w14:textId="77777777" w:rsidR="00701F8C" w:rsidRPr="005D5B0F" w:rsidRDefault="00701F8C" w:rsidP="00701F8C">
      <w:pPr>
        <w:pStyle w:val="Titre2"/>
        <w:rPr>
          <w:rFonts w:ascii="Barlow" w:eastAsia="Trebuchet MS" w:hAnsi="Barlow" w:cs="Trebuchet MS"/>
          <w:b w:val="0"/>
          <w:bCs w:val="0"/>
          <w:i w:val="0"/>
          <w:iCs w:val="0"/>
          <w:color w:val="000000"/>
          <w:sz w:val="18"/>
          <w:szCs w:val="22"/>
          <w:lang w:val="fr-FR"/>
        </w:rPr>
      </w:pPr>
      <w:r w:rsidRPr="005D5B0F">
        <w:rPr>
          <w:rFonts w:ascii="Barlow" w:eastAsia="Trebuchet MS" w:hAnsi="Barlow" w:cs="Trebuchet MS"/>
          <w:b w:val="0"/>
          <w:bCs w:val="0"/>
          <w:i w:val="0"/>
          <w:iCs w:val="0"/>
          <w:color w:val="000000"/>
          <w:sz w:val="18"/>
          <w:szCs w:val="22"/>
          <w:lang w:val="fr-FR"/>
        </w:rPr>
        <w:t>STRUCTURE : COGECI</w:t>
      </w:r>
      <w:r w:rsidRPr="005D5B0F">
        <w:rPr>
          <w:rFonts w:ascii="Barlow" w:eastAsia="Trebuchet MS" w:hAnsi="Barlow" w:cs="Trebuchet MS"/>
          <w:b w:val="0"/>
          <w:bCs w:val="0"/>
          <w:i w:val="0"/>
          <w:iCs w:val="0"/>
          <w:color w:val="000000"/>
          <w:sz w:val="18"/>
          <w:szCs w:val="22"/>
          <w:lang w:val="fr-FR"/>
        </w:rPr>
        <w:t xml:space="preserve"> </w:t>
      </w:r>
    </w:p>
    <w:p w14:paraId="445A774A" w14:textId="77777777" w:rsidR="00701F8C" w:rsidRPr="005D5B0F" w:rsidRDefault="00701F8C" w:rsidP="00701F8C">
      <w:pPr>
        <w:pStyle w:val="Titre2"/>
        <w:rPr>
          <w:rFonts w:ascii="Barlow" w:eastAsia="Trebuchet MS" w:hAnsi="Barlow" w:cs="Trebuchet MS"/>
          <w:b w:val="0"/>
          <w:bCs w:val="0"/>
          <w:i w:val="0"/>
          <w:iCs w:val="0"/>
          <w:color w:val="000000"/>
          <w:sz w:val="18"/>
          <w:szCs w:val="22"/>
          <w:lang w:val="fr-FR"/>
        </w:rPr>
      </w:pPr>
      <w:r w:rsidRPr="005D5B0F">
        <w:rPr>
          <w:rFonts w:ascii="Barlow" w:eastAsia="Trebuchet MS" w:hAnsi="Barlow" w:cs="Trebuchet MS"/>
          <w:b w:val="0"/>
          <w:bCs w:val="0"/>
          <w:i w:val="0"/>
          <w:iCs w:val="0"/>
          <w:color w:val="000000"/>
          <w:sz w:val="18"/>
          <w:szCs w:val="22"/>
          <w:lang w:val="fr-FR"/>
        </w:rPr>
        <w:t xml:space="preserve">FLUIDES : OTEIS </w:t>
      </w:r>
    </w:p>
    <w:p w14:paraId="3E8B27CF" w14:textId="77777777" w:rsidR="00701F8C" w:rsidRPr="005D5B0F" w:rsidRDefault="00701F8C" w:rsidP="00701F8C">
      <w:pPr>
        <w:pStyle w:val="Titre2"/>
        <w:rPr>
          <w:rFonts w:ascii="Barlow" w:eastAsia="Trebuchet MS" w:hAnsi="Barlow" w:cs="Trebuchet MS"/>
          <w:b w:val="0"/>
          <w:bCs w:val="0"/>
          <w:i w:val="0"/>
          <w:iCs w:val="0"/>
          <w:color w:val="000000"/>
          <w:sz w:val="18"/>
          <w:szCs w:val="22"/>
          <w:lang w:val="fr-FR"/>
        </w:rPr>
      </w:pPr>
      <w:r w:rsidRPr="005D5B0F">
        <w:rPr>
          <w:rFonts w:ascii="Barlow" w:eastAsia="Trebuchet MS" w:hAnsi="Barlow" w:cs="Trebuchet MS"/>
          <w:b w:val="0"/>
          <w:bCs w:val="0"/>
          <w:i w:val="0"/>
          <w:iCs w:val="0"/>
          <w:color w:val="000000"/>
          <w:sz w:val="18"/>
          <w:szCs w:val="22"/>
          <w:lang w:val="fr-FR"/>
        </w:rPr>
        <w:t xml:space="preserve">AMIANTE : ACCEO </w:t>
      </w:r>
    </w:p>
    <w:p w14:paraId="6EB1A175" w14:textId="77777777" w:rsidR="00701F8C" w:rsidRPr="005D5B0F" w:rsidRDefault="00701F8C" w:rsidP="00701F8C">
      <w:pPr>
        <w:pStyle w:val="Titre2"/>
        <w:rPr>
          <w:rFonts w:ascii="Barlow" w:eastAsia="Trebuchet MS" w:hAnsi="Barlow" w:cs="Trebuchet MS"/>
          <w:b w:val="0"/>
          <w:bCs w:val="0"/>
          <w:i w:val="0"/>
          <w:iCs w:val="0"/>
          <w:color w:val="000000"/>
          <w:sz w:val="18"/>
          <w:szCs w:val="22"/>
          <w:lang w:val="fr-FR"/>
        </w:rPr>
      </w:pPr>
      <w:r w:rsidRPr="005D5B0F">
        <w:rPr>
          <w:rFonts w:ascii="Barlow" w:eastAsia="Trebuchet MS" w:hAnsi="Barlow" w:cs="Trebuchet MS"/>
          <w:b w:val="0"/>
          <w:bCs w:val="0"/>
          <w:i w:val="0"/>
          <w:iCs w:val="0"/>
          <w:color w:val="000000"/>
          <w:sz w:val="18"/>
          <w:szCs w:val="22"/>
          <w:lang w:val="fr-FR"/>
        </w:rPr>
        <w:t xml:space="preserve">ECONOMISTE : CYPRIUM </w:t>
      </w:r>
    </w:p>
    <w:p w14:paraId="57BD0B7E" w14:textId="220C2F14" w:rsidR="00701F8C" w:rsidRPr="005D5B0F" w:rsidRDefault="00701F8C" w:rsidP="00701F8C">
      <w:pPr>
        <w:pStyle w:val="Titre2"/>
        <w:rPr>
          <w:rFonts w:ascii="Barlow" w:eastAsia="Trebuchet MS" w:hAnsi="Barlow" w:cs="Trebuchet MS"/>
          <w:b w:val="0"/>
          <w:bCs w:val="0"/>
          <w:i w:val="0"/>
          <w:iCs w:val="0"/>
          <w:color w:val="000000"/>
          <w:sz w:val="18"/>
          <w:szCs w:val="22"/>
          <w:lang w:val="fr-FR"/>
        </w:rPr>
      </w:pPr>
      <w:r w:rsidRPr="005D5B0F">
        <w:rPr>
          <w:rFonts w:ascii="Barlow" w:eastAsia="Trebuchet MS" w:hAnsi="Barlow" w:cs="Trebuchet MS"/>
          <w:b w:val="0"/>
          <w:bCs w:val="0"/>
          <w:i w:val="0"/>
          <w:iCs w:val="0"/>
          <w:color w:val="000000"/>
          <w:sz w:val="18"/>
          <w:szCs w:val="22"/>
          <w:lang w:val="fr-FR"/>
        </w:rPr>
        <w:t xml:space="preserve">ACOUSTICIEN : IGETEC </w:t>
      </w:r>
    </w:p>
    <w:p w14:paraId="24E76E4F" w14:textId="02368F90" w:rsidR="00701F8C" w:rsidRPr="005D5B0F" w:rsidRDefault="00701F8C" w:rsidP="00701F8C">
      <w:pPr>
        <w:rPr>
          <w:rFonts w:ascii="Barlow" w:hAnsi="Barlow"/>
          <w:sz w:val="22"/>
          <w:szCs w:val="22"/>
          <w:lang w:val="fr-FR"/>
        </w:rPr>
      </w:pPr>
    </w:p>
    <w:p w14:paraId="6DD3DCE6" w14:textId="296C0BAE" w:rsidR="00D03000" w:rsidRPr="005D5B0F" w:rsidRDefault="00000000" w:rsidP="00701F8C">
      <w:pPr>
        <w:pStyle w:val="Titre2"/>
        <w:ind w:left="280"/>
        <w:rPr>
          <w:rFonts w:ascii="Barlow" w:eastAsia="Trebuchet MS" w:hAnsi="Barlow" w:cs="Trebuchet MS"/>
          <w:i w:val="0"/>
          <w:color w:val="000000"/>
          <w:sz w:val="22"/>
          <w:szCs w:val="24"/>
          <w:lang w:val="fr-FR"/>
        </w:rPr>
      </w:pPr>
      <w:r w:rsidRPr="005D5B0F">
        <w:rPr>
          <w:rFonts w:ascii="Barlow" w:eastAsia="Trebuchet MS" w:hAnsi="Barlow" w:cs="Trebuchet MS"/>
          <w:i w:val="0"/>
          <w:color w:val="000000"/>
          <w:sz w:val="22"/>
          <w:szCs w:val="24"/>
          <w:lang w:val="fr-FR"/>
        </w:rPr>
        <w:t>3.2 - Ordonnancement, Pilotage et Coordination du chantier</w:t>
      </w:r>
      <w:bookmarkEnd w:id="15"/>
    </w:p>
    <w:p w14:paraId="16FC3355" w14:textId="7DAEDC3F" w:rsidR="00701F8C" w:rsidRPr="005D5B0F" w:rsidRDefault="00000000" w:rsidP="00701F8C">
      <w:pPr>
        <w:pStyle w:val="ParagrapheIndent2"/>
        <w:spacing w:after="240"/>
        <w:rPr>
          <w:rFonts w:ascii="Barlow" w:hAnsi="Barlow"/>
          <w:color w:val="000000"/>
          <w:sz w:val="18"/>
          <w:szCs w:val="22"/>
          <w:lang w:val="fr-FR"/>
        </w:rPr>
      </w:pPr>
      <w:r w:rsidRPr="005D5B0F">
        <w:rPr>
          <w:rFonts w:ascii="Barlow" w:hAnsi="Barlow"/>
          <w:color w:val="000000"/>
          <w:sz w:val="18"/>
          <w:szCs w:val="22"/>
          <w:lang w:val="fr-FR"/>
        </w:rPr>
        <w:t>La mission d'ordonnancement, pilotage et coordination du chantier est assurée par le maître d'œuvre.</w:t>
      </w:r>
    </w:p>
    <w:p w14:paraId="77F39A2B" w14:textId="77777777" w:rsidR="00701F8C" w:rsidRPr="005D5B0F" w:rsidRDefault="00701F8C" w:rsidP="00701F8C">
      <w:pPr>
        <w:pStyle w:val="Titre2"/>
        <w:rPr>
          <w:rFonts w:ascii="Barlow" w:eastAsia="Trebuchet MS" w:hAnsi="Barlow" w:cs="Trebuchet MS"/>
          <w:b w:val="0"/>
          <w:bCs w:val="0"/>
          <w:i w:val="0"/>
          <w:iCs w:val="0"/>
          <w:color w:val="000000"/>
          <w:sz w:val="18"/>
          <w:szCs w:val="22"/>
          <w:lang w:val="fr-FR"/>
        </w:rPr>
      </w:pPr>
      <w:r w:rsidRPr="005D5B0F">
        <w:rPr>
          <w:rFonts w:ascii="Barlow" w:eastAsia="Trebuchet MS" w:hAnsi="Barlow" w:cs="Trebuchet MS"/>
          <w:b w:val="0"/>
          <w:bCs w:val="0"/>
          <w:i w:val="0"/>
          <w:iCs w:val="0"/>
          <w:color w:val="000000"/>
          <w:sz w:val="18"/>
          <w:szCs w:val="22"/>
          <w:lang w:val="fr-FR"/>
        </w:rPr>
        <w:t>OPC : OTEIS</w:t>
      </w:r>
    </w:p>
    <w:p w14:paraId="09129CA7" w14:textId="77777777" w:rsidR="00701F8C" w:rsidRPr="005D5B0F" w:rsidRDefault="00701F8C" w:rsidP="00701F8C">
      <w:pPr>
        <w:rPr>
          <w:rFonts w:ascii="Barlow" w:hAnsi="Barlow"/>
          <w:sz w:val="22"/>
          <w:szCs w:val="22"/>
          <w:lang w:val="fr-FR"/>
        </w:rPr>
      </w:pPr>
    </w:p>
    <w:p w14:paraId="4FE43A80"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16" w:name="ArtL2_CCAP-1-A4.9"/>
      <w:bookmarkStart w:id="17" w:name="_Toc256000008"/>
      <w:bookmarkEnd w:id="16"/>
      <w:r w:rsidRPr="005D5B0F">
        <w:rPr>
          <w:rFonts w:ascii="Barlow" w:eastAsia="Trebuchet MS" w:hAnsi="Barlow" w:cs="Trebuchet MS"/>
          <w:i w:val="0"/>
          <w:color w:val="000000"/>
          <w:sz w:val="22"/>
          <w:szCs w:val="24"/>
          <w:lang w:val="fr-FR"/>
        </w:rPr>
        <w:t>3.3 - Contrôle technique</w:t>
      </w:r>
      <w:bookmarkEnd w:id="17"/>
    </w:p>
    <w:p w14:paraId="01A52BBA" w14:textId="48070897" w:rsidR="00D03000" w:rsidRPr="005D5B0F" w:rsidRDefault="00000000">
      <w:pPr>
        <w:pStyle w:val="ParagrapheIndent2"/>
        <w:spacing w:after="240"/>
        <w:rPr>
          <w:rFonts w:ascii="Barlow" w:hAnsi="Barlow"/>
          <w:color w:val="000000"/>
          <w:sz w:val="18"/>
          <w:szCs w:val="22"/>
          <w:lang w:val="fr-FR"/>
        </w:rPr>
      </w:pPr>
      <w:r w:rsidRPr="005D5B0F">
        <w:rPr>
          <w:rFonts w:ascii="Barlow" w:hAnsi="Barlow"/>
          <w:color w:val="000000"/>
          <w:sz w:val="18"/>
          <w:szCs w:val="22"/>
          <w:lang w:val="fr-FR"/>
        </w:rPr>
        <w:t xml:space="preserve">Le contrôleur technique sera </w:t>
      </w:r>
      <w:r w:rsidR="00701F8C" w:rsidRPr="005D5B0F">
        <w:rPr>
          <w:rFonts w:ascii="Barlow" w:hAnsi="Barlow"/>
          <w:color w:val="000000"/>
          <w:sz w:val="18"/>
          <w:szCs w:val="22"/>
          <w:lang w:val="fr-FR"/>
        </w:rPr>
        <w:t xml:space="preserve">assuré par </w:t>
      </w:r>
      <w:r w:rsidR="00701F8C" w:rsidRPr="005D5B0F">
        <w:rPr>
          <w:rFonts w:ascii="Barlow" w:hAnsi="Barlow"/>
          <w:color w:val="000000"/>
          <w:sz w:val="18"/>
          <w:szCs w:val="22"/>
          <w:lang w:val="fr-FR"/>
        </w:rPr>
        <w:t>QUALICONSULT</w:t>
      </w:r>
      <w:r w:rsidR="00701F8C" w:rsidRPr="005D5B0F">
        <w:rPr>
          <w:rFonts w:ascii="Barlow" w:hAnsi="Barlow"/>
          <w:color w:val="000000"/>
          <w:sz w:val="18"/>
          <w:szCs w:val="22"/>
          <w:lang w:val="fr-FR"/>
        </w:rPr>
        <w:t>.</w:t>
      </w:r>
    </w:p>
    <w:p w14:paraId="388B2F46"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18" w:name="ArtL2_CCAP-1-A4.10"/>
      <w:bookmarkStart w:id="19" w:name="_Toc256000009"/>
      <w:bookmarkEnd w:id="18"/>
      <w:r w:rsidRPr="005D5B0F">
        <w:rPr>
          <w:rFonts w:ascii="Barlow" w:eastAsia="Trebuchet MS" w:hAnsi="Barlow" w:cs="Trebuchet MS"/>
          <w:i w:val="0"/>
          <w:color w:val="000000"/>
          <w:sz w:val="22"/>
          <w:szCs w:val="24"/>
          <w:lang w:val="fr-FR"/>
        </w:rPr>
        <w:lastRenderedPageBreak/>
        <w:t>3.4 - Sécurité et protection de la santé des travailleurs</w:t>
      </w:r>
      <w:bookmarkEnd w:id="19"/>
    </w:p>
    <w:p w14:paraId="4EA16CD1" w14:textId="0FF2D0BB" w:rsidR="00D03000" w:rsidRPr="005D5B0F" w:rsidRDefault="00000000" w:rsidP="00701F8C">
      <w:pPr>
        <w:pStyle w:val="ParagrapheIndent2"/>
        <w:spacing w:after="240"/>
        <w:rPr>
          <w:rFonts w:ascii="Barlow" w:hAnsi="Barlow"/>
          <w:color w:val="000000"/>
          <w:sz w:val="18"/>
          <w:szCs w:val="22"/>
          <w:lang w:val="fr-FR"/>
        </w:rPr>
        <w:sectPr w:rsidR="00D03000" w:rsidRPr="005D5B0F">
          <w:footerReference w:type="default" r:id="rId23"/>
          <w:pgSz w:w="11900" w:h="16840"/>
          <w:pgMar w:top="1140" w:right="1140" w:bottom="1140" w:left="1140" w:header="1140" w:footer="1140" w:gutter="0"/>
          <w:cols w:space="708"/>
        </w:sectPr>
      </w:pPr>
      <w:r w:rsidRPr="005D5B0F">
        <w:rPr>
          <w:rFonts w:ascii="Barlow" w:hAnsi="Barlow"/>
          <w:color w:val="000000"/>
          <w:sz w:val="18"/>
          <w:szCs w:val="22"/>
          <w:lang w:val="fr-FR"/>
        </w:rPr>
        <w:t>La coordination sécurité et protection de la santé pour cette opération de niveau II sera assurée par</w:t>
      </w:r>
      <w:r w:rsidR="00701F8C" w:rsidRPr="005D5B0F">
        <w:rPr>
          <w:rFonts w:ascii="Barlow" w:hAnsi="Barlow"/>
          <w:color w:val="000000"/>
          <w:sz w:val="18"/>
          <w:szCs w:val="22"/>
          <w:lang w:val="fr-FR"/>
        </w:rPr>
        <w:t xml:space="preserve"> </w:t>
      </w:r>
      <w:r w:rsidR="00701F8C" w:rsidRPr="005D5B0F">
        <w:rPr>
          <w:rFonts w:ascii="Barlow" w:hAnsi="Barlow"/>
          <w:color w:val="000000"/>
          <w:sz w:val="18"/>
          <w:szCs w:val="22"/>
          <w:lang w:val="fr-FR"/>
        </w:rPr>
        <w:t>QUALICONSULT</w:t>
      </w:r>
      <w:r w:rsidR="00701F8C" w:rsidRPr="005D5B0F">
        <w:rPr>
          <w:rFonts w:ascii="Barlow" w:hAnsi="Barlow"/>
          <w:color w:val="000000"/>
          <w:sz w:val="18"/>
          <w:szCs w:val="22"/>
          <w:lang w:val="fr-FR"/>
        </w:rPr>
        <w:t xml:space="preserve"> SECURITÉ.</w:t>
      </w:r>
    </w:p>
    <w:p w14:paraId="21D871CF"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20" w:name="ArtL1_CCAP-1-A6"/>
      <w:bookmarkStart w:id="21" w:name="_Toc256000010"/>
      <w:bookmarkEnd w:id="20"/>
      <w:r w:rsidRPr="005D5B0F">
        <w:rPr>
          <w:rFonts w:ascii="Barlow" w:eastAsia="Trebuchet MS" w:hAnsi="Barlow" w:cs="Trebuchet MS"/>
          <w:color w:val="FFFFFF"/>
          <w:sz w:val="24"/>
          <w:szCs w:val="28"/>
          <w:lang w:val="fr-FR"/>
        </w:rPr>
        <w:lastRenderedPageBreak/>
        <w:t>4 - Confidentialité et mesures de sécurité</w:t>
      </w:r>
      <w:bookmarkEnd w:id="21"/>
    </w:p>
    <w:p w14:paraId="0792CA8D"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2571271E" w14:textId="77777777" w:rsidR="00D03000" w:rsidRPr="005D5B0F" w:rsidRDefault="00000000">
      <w:pPr>
        <w:pStyle w:val="ParagrapheIndent1"/>
        <w:spacing w:after="240" w:line="232" w:lineRule="exact"/>
        <w:rPr>
          <w:rFonts w:ascii="Barlow" w:hAnsi="Barlow"/>
          <w:color w:val="000000"/>
          <w:sz w:val="18"/>
          <w:szCs w:val="22"/>
          <w:lang w:val="fr-FR"/>
        </w:rPr>
      </w:pPr>
      <w:r w:rsidRPr="005D5B0F">
        <w:rPr>
          <w:rFonts w:ascii="Barlow" w:hAnsi="Barlow"/>
          <w:color w:val="000000"/>
          <w:sz w:val="18"/>
          <w:szCs w:val="22"/>
          <w:lang w:val="fr-FR"/>
        </w:rPr>
        <w:t>Le présent contrat comporte une obligation de confidentialité telle que prévue à l'article 5.1 du CCAG-Travaux.</w:t>
      </w:r>
    </w:p>
    <w:p w14:paraId="00F65D9A" w14:textId="77777777" w:rsidR="00D03000" w:rsidRPr="005D5B0F" w:rsidRDefault="00000000">
      <w:pPr>
        <w:pStyle w:val="ParagrapheIndent1"/>
        <w:spacing w:after="240"/>
        <w:rPr>
          <w:rFonts w:ascii="Barlow" w:hAnsi="Barlow"/>
          <w:color w:val="000000"/>
          <w:sz w:val="18"/>
          <w:szCs w:val="22"/>
          <w:lang w:val="fr-FR"/>
        </w:rPr>
      </w:pPr>
      <w:r w:rsidRPr="005D5B0F">
        <w:rPr>
          <w:rFonts w:ascii="Barlow" w:hAnsi="Barlow"/>
          <w:color w:val="000000"/>
          <w:sz w:val="18"/>
          <w:szCs w:val="22"/>
          <w:lang w:val="fr-FR"/>
        </w:rPr>
        <w:t>Les prestations sont soumises à des mesures de sécurité conformément à l'article 5.3 du CCAG-Travaux.</w:t>
      </w:r>
    </w:p>
    <w:p w14:paraId="06719D2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Le titulaire doit informer ses sous-traitants des obligations de confidentialité et/ou des mesures de sécurité.</w:t>
      </w:r>
    </w:p>
    <w:p w14:paraId="4FA6FAE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3F50A9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Gestion des documents:</w:t>
      </w:r>
    </w:p>
    <w:p w14:paraId="7AA3EC5D" w14:textId="430A3AB4"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Les documents transmis dans le cadre de cette mise en concurrence (pièces, plans, ...) ne pourront en aucun cas être transmis, publiés ou photocopiés. Ils doivent être immédiatement détruits par les candidats non retenus suite à la notification de la décision d</w:t>
      </w:r>
      <w:r w:rsidR="003D2BDC" w:rsidRPr="005D5B0F">
        <w:rPr>
          <w:rFonts w:ascii="Barlow" w:hAnsi="Barlow"/>
          <w:color w:val="000000"/>
          <w:sz w:val="18"/>
          <w:szCs w:val="22"/>
          <w:lang w:val="fr-FR"/>
        </w:rPr>
        <w:t>u pouvoir</w:t>
      </w:r>
      <w:r w:rsidRPr="005D5B0F">
        <w:rPr>
          <w:rFonts w:ascii="Barlow" w:hAnsi="Barlow"/>
          <w:color w:val="000000"/>
          <w:sz w:val="18"/>
          <w:szCs w:val="22"/>
          <w:lang w:val="fr-FR"/>
        </w:rPr>
        <w:t xml:space="preserve"> adjudicateur de ne pas les retenir. De même, ils devront être immédiatement détruit</w:t>
      </w:r>
      <w:r w:rsidR="003D2BDC" w:rsidRPr="005D5B0F">
        <w:rPr>
          <w:rFonts w:ascii="Barlow" w:hAnsi="Barlow"/>
          <w:color w:val="000000"/>
          <w:sz w:val="18"/>
          <w:szCs w:val="22"/>
          <w:lang w:val="fr-FR"/>
        </w:rPr>
        <w:t>s</w:t>
      </w:r>
      <w:r w:rsidRPr="005D5B0F">
        <w:rPr>
          <w:rFonts w:ascii="Barlow" w:hAnsi="Barlow"/>
          <w:color w:val="000000"/>
          <w:sz w:val="18"/>
          <w:szCs w:val="22"/>
          <w:lang w:val="fr-FR"/>
        </w:rPr>
        <w:t xml:space="preserve"> par le titulaire du marché au terme des garanties qui lui  incombent. "</w:t>
      </w:r>
    </w:p>
    <w:p w14:paraId="7DAF9DB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543B33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Sécurité Pénitentiaire:</w:t>
      </w:r>
    </w:p>
    <w:p w14:paraId="213FA83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A titre de rappel  l’article 434-35 du code pénal dispose " Est puni d’un an d’emprisonnement et de 15000 euros d’amende le fait, en quelque lieu qu’il se produise, de remettre ou de faire parvenir à un détenu, ou de recevoir de lui et de transmettre des sommes d’argent, correspondances, objets ou substances quelconques ainsi que de communiquer par tout moyen avec une personne détenue, en dehors des cas autorisés par les règlements.</w:t>
      </w:r>
    </w:p>
    <w:p w14:paraId="222602C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La peine est portée à trois ans d’emprisonnement et à 45000 euros d’amende si le coupable est chargé de la surveillance de détenus ou s’il est habilité par ses fonctions à pénétrer dans un établissement pénitentiaire ou à approcher, à quelque titre que ce soit, des détenus "</w:t>
      </w:r>
    </w:p>
    <w:p w14:paraId="2745653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C49799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Intervention sur site:</w:t>
      </w:r>
    </w:p>
    <w:p w14:paraId="19C9E0E2" w14:textId="77777777" w:rsidR="00D03000" w:rsidRPr="005D5B0F" w:rsidRDefault="00000000">
      <w:pPr>
        <w:pStyle w:val="ParagrapheIndent1"/>
        <w:spacing w:after="240" w:line="232" w:lineRule="exact"/>
        <w:rPr>
          <w:rFonts w:ascii="Barlow" w:hAnsi="Barlow"/>
          <w:color w:val="000000"/>
          <w:sz w:val="18"/>
          <w:szCs w:val="22"/>
          <w:lang w:val="fr-FR"/>
        </w:rPr>
      </w:pPr>
      <w:r w:rsidRPr="005D5B0F">
        <w:rPr>
          <w:rFonts w:ascii="Barlow" w:hAnsi="Barlow"/>
          <w:color w:val="000000"/>
          <w:sz w:val="18"/>
          <w:szCs w:val="22"/>
          <w:lang w:val="fr-FR"/>
        </w:rPr>
        <w:t>Les candidats seront réputés informés des conditions particulières à leur intervention en intérieur d’établissement pénitentiaire en activité. Ils se conforment à toutes injonctions du directeur de l’établissement ou du personnel pénitentiaire concernant le fonctionnement de l’établissement. Ils ne pourront en aucun cas arguer d’un quelconque préjudice à ce titre.</w:t>
      </w:r>
    </w:p>
    <w:p w14:paraId="70C507D4"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22" w:name="ArtL1_CCAP-1-A10"/>
      <w:bookmarkStart w:id="23" w:name="_Toc256000011"/>
      <w:bookmarkEnd w:id="22"/>
      <w:r w:rsidRPr="005D5B0F">
        <w:rPr>
          <w:rFonts w:ascii="Barlow" w:eastAsia="Trebuchet MS" w:hAnsi="Barlow" w:cs="Trebuchet MS"/>
          <w:color w:val="FFFFFF"/>
          <w:sz w:val="24"/>
          <w:szCs w:val="28"/>
          <w:lang w:val="fr-FR"/>
        </w:rPr>
        <w:t>5 - Durée et délais d'exécution</w:t>
      </w:r>
      <w:bookmarkEnd w:id="23"/>
    </w:p>
    <w:p w14:paraId="51CA4607"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57ED57AD"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24" w:name="ArtL2_CCAP-1-A10.2"/>
      <w:bookmarkStart w:id="25" w:name="_Toc256000012"/>
      <w:bookmarkEnd w:id="24"/>
      <w:r w:rsidRPr="005D5B0F">
        <w:rPr>
          <w:rFonts w:ascii="Barlow" w:eastAsia="Trebuchet MS" w:hAnsi="Barlow" w:cs="Trebuchet MS"/>
          <w:i w:val="0"/>
          <w:color w:val="000000"/>
          <w:sz w:val="22"/>
          <w:szCs w:val="24"/>
          <w:lang w:val="fr-FR"/>
        </w:rPr>
        <w:t>5.1 - Délai global d'exécution des prestations</w:t>
      </w:r>
      <w:bookmarkEnd w:id="25"/>
    </w:p>
    <w:p w14:paraId="47497F95"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495057"/>
          <w:sz w:val="18"/>
          <w:szCs w:val="22"/>
          <w:lang w:val="fr-FR"/>
        </w:rPr>
        <w:t xml:space="preserve">Le </w:t>
      </w:r>
      <w:r w:rsidRPr="005D5B0F">
        <w:rPr>
          <w:rFonts w:ascii="Barlow" w:hAnsi="Barlow"/>
          <w:color w:val="000000"/>
          <w:sz w:val="18"/>
          <w:szCs w:val="22"/>
          <w:lang w:val="fr-FR"/>
        </w:rPr>
        <w:t>délai global d’exécution des prestations comprend la période de préparation et le délai d’exécution des travaux.</w:t>
      </w:r>
    </w:p>
    <w:p w14:paraId="69B05B02"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Il est suivi d’une période</w:t>
      </w:r>
      <w:r w:rsidRPr="005D5B0F">
        <w:rPr>
          <w:rFonts w:ascii="Barlow" w:hAnsi="Barlow"/>
          <w:color w:val="495057"/>
          <w:sz w:val="18"/>
          <w:szCs w:val="22"/>
          <w:lang w:val="fr-FR"/>
        </w:rPr>
        <w:t xml:space="preserve"> de Garantie de Parfait Achèvement (GPA) </w:t>
      </w:r>
      <w:r w:rsidRPr="005D5B0F">
        <w:rPr>
          <w:rFonts w:ascii="Barlow" w:hAnsi="Barlow"/>
          <w:color w:val="000000"/>
          <w:sz w:val="18"/>
          <w:szCs w:val="22"/>
          <w:lang w:val="fr-FR"/>
        </w:rPr>
        <w:t>d’1 an qui démarre à compter de la réception des prestations.</w:t>
      </w:r>
    </w:p>
    <w:p w14:paraId="2DA03A70" w14:textId="77777777" w:rsidR="00D03000" w:rsidRPr="005D5B0F" w:rsidRDefault="00D03000">
      <w:pPr>
        <w:pStyle w:val="ParagrapheIndent2"/>
        <w:spacing w:line="232" w:lineRule="exact"/>
        <w:rPr>
          <w:rFonts w:ascii="Barlow" w:hAnsi="Barlow"/>
          <w:color w:val="000000"/>
          <w:sz w:val="18"/>
          <w:szCs w:val="22"/>
          <w:lang w:val="fr-FR"/>
        </w:rPr>
      </w:pPr>
    </w:p>
    <w:p w14:paraId="1D3010C5" w14:textId="77777777" w:rsidR="00701F8C" w:rsidRPr="005D5B0F" w:rsidRDefault="00000000" w:rsidP="00701F8C">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La date prévisionnelle de début des prestations est le 01/10/2026.</w:t>
      </w:r>
    </w:p>
    <w:p w14:paraId="3C3A8B9D" w14:textId="411D2C2B" w:rsidR="00D03000" w:rsidRPr="005D5B0F" w:rsidRDefault="00000000" w:rsidP="00701F8C">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La date prévisionnelle d'achèvement des prestations est le 02/01/2030.</w:t>
      </w:r>
      <w:r w:rsidR="00701F8C" w:rsidRPr="005D5B0F">
        <w:rPr>
          <w:rFonts w:ascii="Barlow" w:hAnsi="Barlow"/>
          <w:color w:val="000000"/>
          <w:sz w:val="18"/>
          <w:szCs w:val="22"/>
          <w:lang w:val="fr-FR"/>
        </w:rPr>
        <w:t xml:space="preserve"> (Fin de GPA)</w:t>
      </w:r>
    </w:p>
    <w:p w14:paraId="2D0AEC9D"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26" w:name="ArtL2_CCAP-1-A10.4"/>
      <w:bookmarkStart w:id="27" w:name="_Toc256000013"/>
      <w:bookmarkEnd w:id="26"/>
      <w:r w:rsidRPr="005D5B0F">
        <w:rPr>
          <w:rFonts w:ascii="Barlow" w:eastAsia="Trebuchet MS" w:hAnsi="Barlow" w:cs="Trebuchet MS"/>
          <w:i w:val="0"/>
          <w:color w:val="000000"/>
          <w:sz w:val="22"/>
          <w:szCs w:val="24"/>
          <w:lang w:val="fr-FR"/>
        </w:rPr>
        <w:t>5.2 - Délai d'exécution</w:t>
      </w:r>
      <w:bookmarkEnd w:id="27"/>
    </w:p>
    <w:p w14:paraId="17241010" w14:textId="77777777" w:rsidR="00D03000" w:rsidRPr="005D5B0F" w:rsidRDefault="00000000">
      <w:pPr>
        <w:pStyle w:val="ParagrapheIndent2"/>
        <w:spacing w:after="240"/>
        <w:rPr>
          <w:rFonts w:ascii="Barlow" w:hAnsi="Barlow"/>
          <w:color w:val="000000"/>
          <w:sz w:val="18"/>
          <w:szCs w:val="22"/>
          <w:lang w:val="fr-FR"/>
        </w:rPr>
      </w:pPr>
      <w:r w:rsidRPr="005D5B0F">
        <w:rPr>
          <w:rFonts w:ascii="Barlow" w:hAnsi="Barlow"/>
          <w:color w:val="000000"/>
          <w:sz w:val="18"/>
          <w:szCs w:val="22"/>
          <w:lang w:val="fr-FR"/>
        </w:rPr>
        <w:t>Le délai d'exécution est de 39 mois.</w:t>
      </w:r>
    </w:p>
    <w:p w14:paraId="5D890529" w14:textId="77777777" w:rsidR="00D03000" w:rsidRPr="005D5B0F" w:rsidRDefault="00000000">
      <w:pPr>
        <w:pStyle w:val="ParagrapheIndent2"/>
        <w:spacing w:after="240" w:line="232" w:lineRule="exact"/>
        <w:rPr>
          <w:rFonts w:ascii="Barlow" w:hAnsi="Barlow"/>
          <w:b/>
          <w:bCs/>
          <w:color w:val="0070C0"/>
          <w:sz w:val="18"/>
          <w:szCs w:val="22"/>
          <w:lang w:val="fr-FR"/>
        </w:rPr>
      </w:pPr>
      <w:r w:rsidRPr="005D5B0F">
        <w:rPr>
          <w:rFonts w:ascii="Barlow" w:hAnsi="Barlow"/>
          <w:color w:val="000000"/>
          <w:sz w:val="18"/>
          <w:szCs w:val="22"/>
          <w:lang w:val="fr-FR"/>
        </w:rPr>
        <w:t>L'exécution du marché débute à compter de la date de notification du contrat</w:t>
      </w:r>
      <w:r w:rsidRPr="005D5B0F">
        <w:rPr>
          <w:rFonts w:ascii="Barlow" w:hAnsi="Barlow"/>
          <w:b/>
          <w:bCs/>
          <w:color w:val="0070C0"/>
          <w:sz w:val="18"/>
          <w:szCs w:val="22"/>
          <w:lang w:val="fr-FR"/>
        </w:rPr>
        <w:t>. L'exécution des travaux débute à compter de la date fixée par l'ordre de service prescrivant de commencer les travaux.</w:t>
      </w:r>
    </w:p>
    <w:p w14:paraId="6C97DD71" w14:textId="77777777" w:rsidR="00D03000" w:rsidRPr="005D5B0F" w:rsidRDefault="00000000">
      <w:pPr>
        <w:pStyle w:val="ParagrapheIndent2"/>
        <w:spacing w:line="232" w:lineRule="exact"/>
        <w:rPr>
          <w:rFonts w:ascii="Barlow" w:hAnsi="Barlow"/>
          <w:color w:val="000000"/>
          <w:sz w:val="18"/>
          <w:szCs w:val="22"/>
          <w:lang w:val="fr-FR"/>
        </w:rPr>
        <w:sectPr w:rsidR="00D03000" w:rsidRPr="005D5B0F">
          <w:footerReference w:type="default" r:id="rId24"/>
          <w:pgSz w:w="11900" w:h="16840"/>
          <w:pgMar w:top="1140" w:right="1140" w:bottom="1140" w:left="1140" w:header="1140" w:footer="1140" w:gutter="0"/>
          <w:cols w:space="708"/>
        </w:sectPr>
      </w:pPr>
      <w:r w:rsidRPr="005D5B0F">
        <w:rPr>
          <w:rFonts w:ascii="Barlow" w:hAnsi="Barlow"/>
          <w:color w:val="000000"/>
          <w:sz w:val="18"/>
          <w:szCs w:val="22"/>
          <w:lang w:val="fr-FR"/>
        </w:rPr>
        <w:t>Une prolongation du délai d'exécution peut être accordée par le pouvoir adjudicateur dans les conditions de l'article 18.2 du CCAG-Travaux.</w:t>
      </w:r>
    </w:p>
    <w:p w14:paraId="1917394E"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28" w:name="ArtL2_CCAP-1-A10.6"/>
      <w:bookmarkStart w:id="29" w:name="_Toc256000014"/>
      <w:bookmarkEnd w:id="28"/>
      <w:r w:rsidRPr="005D5B0F">
        <w:rPr>
          <w:rFonts w:ascii="Barlow" w:eastAsia="Trebuchet MS" w:hAnsi="Barlow" w:cs="Trebuchet MS"/>
          <w:i w:val="0"/>
          <w:color w:val="000000"/>
          <w:sz w:val="22"/>
          <w:szCs w:val="24"/>
          <w:lang w:val="fr-FR"/>
        </w:rPr>
        <w:lastRenderedPageBreak/>
        <w:t>5.3 - Calendrier prévisionnel et détaillé d'exécution</w:t>
      </w:r>
      <w:bookmarkEnd w:id="29"/>
    </w:p>
    <w:p w14:paraId="2AFE258D" w14:textId="15E45F55"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Le délai d'exécution des travaux est défini conformément au calendrier prévisionnel d'exécution annexé au présent CCAP</w:t>
      </w:r>
    </w:p>
    <w:p w14:paraId="72F35F3F"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30" w:name="ArtL1_CCAP-1-A11"/>
      <w:bookmarkStart w:id="31" w:name="_Toc256000015"/>
      <w:bookmarkEnd w:id="30"/>
      <w:r w:rsidRPr="005D5B0F">
        <w:rPr>
          <w:rFonts w:ascii="Barlow" w:eastAsia="Trebuchet MS" w:hAnsi="Barlow" w:cs="Trebuchet MS"/>
          <w:color w:val="FFFFFF"/>
          <w:sz w:val="24"/>
          <w:szCs w:val="28"/>
          <w:lang w:val="fr-FR"/>
        </w:rPr>
        <w:t>6 - Prix</w:t>
      </w:r>
      <w:bookmarkEnd w:id="31"/>
    </w:p>
    <w:p w14:paraId="7D99E998"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14A37A36"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32" w:name="ArtL2_CCAP-1-A11.1"/>
      <w:bookmarkStart w:id="33" w:name="_Toc256000016"/>
      <w:bookmarkEnd w:id="32"/>
      <w:r w:rsidRPr="005D5B0F">
        <w:rPr>
          <w:rFonts w:ascii="Barlow" w:eastAsia="Trebuchet MS" w:hAnsi="Barlow" w:cs="Trebuchet MS"/>
          <w:i w:val="0"/>
          <w:color w:val="000000"/>
          <w:sz w:val="22"/>
          <w:szCs w:val="24"/>
          <w:lang w:val="fr-FR"/>
        </w:rPr>
        <w:t>6.1 - Caractéristiques des prix pratiqués</w:t>
      </w:r>
      <w:bookmarkEnd w:id="33"/>
    </w:p>
    <w:p w14:paraId="5E94252F"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Les prestations sont réglées par un prix global forfaitaire selon les stipulations de l'acte d'engagement.</w:t>
      </w:r>
    </w:p>
    <w:p w14:paraId="7463656C"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436C8E9"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Le forfait doit prendre en compte l’intervention en milieu pénitentiaire et ses aléas.</w:t>
      </w:r>
    </w:p>
    <w:p w14:paraId="29D27304" w14:textId="572360D4" w:rsidR="00D03000" w:rsidRPr="005D5B0F" w:rsidRDefault="00D03000">
      <w:pPr>
        <w:pStyle w:val="ParagrapheIndent2"/>
        <w:spacing w:line="232" w:lineRule="exact"/>
        <w:rPr>
          <w:rFonts w:ascii="Barlow" w:hAnsi="Barlow"/>
          <w:color w:val="000000"/>
          <w:sz w:val="18"/>
          <w:szCs w:val="22"/>
          <w:lang w:val="fr-FR"/>
        </w:rPr>
      </w:pPr>
    </w:p>
    <w:p w14:paraId="09932803" w14:textId="77777777" w:rsidR="00D03000" w:rsidRPr="005D5B0F" w:rsidRDefault="00D03000">
      <w:pPr>
        <w:pStyle w:val="ParagrapheIndent2"/>
        <w:spacing w:after="240" w:line="232" w:lineRule="exact"/>
        <w:rPr>
          <w:rFonts w:ascii="Barlow" w:hAnsi="Barlow"/>
          <w:color w:val="000000"/>
          <w:sz w:val="18"/>
          <w:szCs w:val="22"/>
          <w:lang w:val="fr-FR"/>
        </w:rPr>
      </w:pPr>
    </w:p>
    <w:p w14:paraId="6D72C079"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Les prix tiennent compte des dépenses liées aux mesures particulières concernant la sécurité et la protection de la santé, de la notification du marché à l'expiration du délai de garantie de parfait achèvement.</w:t>
      </w:r>
    </w:p>
    <w:p w14:paraId="664EC370"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6AC85A9"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Par dérogation à l’article 13.4 du CCAG travaux 2021, l'ordre de service de prestations supplémentaires ou modificatives  ou un autre ordre de service intervenant au plus tard quinze jours après, notifie au titulaire les prix proposés pour le règlement des travaux nouveaux ou modificatifs. Ces prix, qui ne sont pas fixés définitivement, sont arrêtés par le maître d'œuvre après consultation du titulaire ».</w:t>
      </w:r>
    </w:p>
    <w:p w14:paraId="5390ACC3"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040A528" w14:textId="77777777"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 Par dérogation à l’article 13.6 du CCAG travaux 2021 le titulaire est tenu de se conformer à un ordre de service avec ou sans valorisation financière »</w:t>
      </w:r>
    </w:p>
    <w:p w14:paraId="7B0CD415"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34" w:name="ArtL2_CCAP-1-A11.3"/>
      <w:bookmarkStart w:id="35" w:name="_Toc256000017"/>
      <w:bookmarkEnd w:id="34"/>
      <w:r w:rsidRPr="005D5B0F">
        <w:rPr>
          <w:rFonts w:ascii="Barlow" w:eastAsia="Trebuchet MS" w:hAnsi="Barlow" w:cs="Trebuchet MS"/>
          <w:i w:val="0"/>
          <w:color w:val="000000"/>
          <w:sz w:val="22"/>
          <w:szCs w:val="24"/>
          <w:lang w:val="fr-FR"/>
        </w:rPr>
        <w:t>6.2 - Modalités de variation des prix</w:t>
      </w:r>
      <w:bookmarkEnd w:id="35"/>
    </w:p>
    <w:p w14:paraId="1A16B4FB" w14:textId="77777777" w:rsidR="00701F8C" w:rsidRPr="005D5B0F" w:rsidRDefault="00701F8C">
      <w:pPr>
        <w:pStyle w:val="ParagrapheIndent2"/>
        <w:spacing w:after="240" w:line="232" w:lineRule="exact"/>
        <w:rPr>
          <w:rFonts w:ascii="Barlow" w:hAnsi="Barlow"/>
          <w:color w:val="000000"/>
          <w:sz w:val="18"/>
          <w:szCs w:val="22"/>
          <w:lang w:val="fr-FR"/>
        </w:rPr>
      </w:pPr>
    </w:p>
    <w:p w14:paraId="363120B1" w14:textId="479C4022"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L</w:t>
      </w:r>
      <w:r w:rsidR="00701F8C" w:rsidRPr="005D5B0F">
        <w:rPr>
          <w:rFonts w:ascii="Barlow" w:hAnsi="Barlow"/>
          <w:color w:val="000000"/>
          <w:sz w:val="18"/>
          <w:szCs w:val="22"/>
          <w:lang w:val="fr-FR"/>
        </w:rPr>
        <w:t>e "mois zéro" correspond au mois de notification du marché tel qu'indiqué dans l'acte d'engagement</w:t>
      </w:r>
      <w:r w:rsidRPr="005D5B0F">
        <w:rPr>
          <w:rFonts w:ascii="Barlow" w:hAnsi="Barlow"/>
          <w:color w:val="000000"/>
          <w:sz w:val="18"/>
          <w:szCs w:val="22"/>
          <w:lang w:val="fr-FR"/>
        </w:rPr>
        <w:t>.</w:t>
      </w:r>
    </w:p>
    <w:p w14:paraId="7A187B88" w14:textId="051871AF" w:rsidR="00701F8C"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Les prix sont </w:t>
      </w:r>
      <w:r w:rsidR="00701F8C" w:rsidRPr="005D5B0F">
        <w:rPr>
          <w:rFonts w:ascii="Barlow" w:hAnsi="Barlow"/>
          <w:color w:val="000000"/>
          <w:sz w:val="18"/>
          <w:szCs w:val="22"/>
          <w:lang w:val="fr-FR"/>
        </w:rPr>
        <w:t>rév</w:t>
      </w:r>
      <w:r w:rsidRPr="005D5B0F">
        <w:rPr>
          <w:rFonts w:ascii="Barlow" w:hAnsi="Barlow"/>
          <w:color w:val="000000"/>
          <w:sz w:val="18"/>
          <w:szCs w:val="22"/>
          <w:lang w:val="fr-FR"/>
        </w:rPr>
        <w:t>isables par application aux prix du contrat d'un coefficient Cn donné par l</w:t>
      </w:r>
      <w:r w:rsidR="003D2BDC" w:rsidRPr="005D5B0F">
        <w:rPr>
          <w:rFonts w:ascii="Barlow" w:hAnsi="Barlow"/>
          <w:color w:val="000000"/>
          <w:sz w:val="18"/>
          <w:szCs w:val="22"/>
          <w:lang w:val="fr-FR"/>
        </w:rPr>
        <w:t>a formule suivante</w:t>
      </w:r>
      <w:r w:rsidRPr="005D5B0F">
        <w:rPr>
          <w:rFonts w:ascii="Barlow" w:hAnsi="Barlow"/>
          <w:color w:val="000000"/>
          <w:sz w:val="18"/>
          <w:szCs w:val="22"/>
          <w:lang w:val="fr-FR"/>
        </w:rPr>
        <w:t xml:space="preserve"> :</w:t>
      </w:r>
    </w:p>
    <w:p w14:paraId="7FB00F51" w14:textId="3173A768" w:rsidR="00D03000" w:rsidRPr="005D5B0F" w:rsidRDefault="00701F8C">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Cn = 40 % + 60 % (BT46 (n-3) / BT46 (o-3</w:t>
      </w:r>
      <w:r w:rsidR="00000000" w:rsidRPr="005D5B0F">
        <w:rPr>
          <w:rFonts w:ascii="Barlow" w:hAnsi="Barlow"/>
          <w:color w:val="000000"/>
          <w:sz w:val="18"/>
          <w:szCs w:val="22"/>
          <w:lang w:val="fr-FR"/>
        </w:rPr>
        <w:t>))</w:t>
      </w:r>
    </w:p>
    <w:p w14:paraId="79B91233" w14:textId="77777777" w:rsidR="00701F8C" w:rsidRPr="005D5B0F" w:rsidRDefault="00701F8C">
      <w:pPr>
        <w:pStyle w:val="ParagrapheIndent2"/>
        <w:spacing w:line="232" w:lineRule="exact"/>
        <w:rPr>
          <w:rFonts w:ascii="Barlow" w:hAnsi="Barlow"/>
          <w:color w:val="000000"/>
          <w:sz w:val="18"/>
          <w:szCs w:val="22"/>
          <w:lang w:val="fr-FR"/>
        </w:rPr>
      </w:pPr>
    </w:p>
    <w:p w14:paraId="1E11D5DB" w14:textId="3CEA0B1C"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selon les dispositions suivantes :</w:t>
      </w:r>
    </w:p>
    <w:p w14:paraId="2D45EFDA" w14:textId="00690326"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Cn : coefficient d</w:t>
      </w:r>
      <w:r w:rsidR="00701F8C" w:rsidRPr="005D5B0F">
        <w:rPr>
          <w:rFonts w:ascii="Barlow" w:hAnsi="Barlow"/>
          <w:color w:val="000000"/>
          <w:sz w:val="18"/>
          <w:szCs w:val="22"/>
          <w:lang w:val="fr-FR"/>
        </w:rPr>
        <w:t>e révis</w:t>
      </w:r>
      <w:r w:rsidRPr="005D5B0F">
        <w:rPr>
          <w:rFonts w:ascii="Barlow" w:hAnsi="Barlow"/>
          <w:color w:val="000000"/>
          <w:sz w:val="18"/>
          <w:szCs w:val="22"/>
          <w:lang w:val="fr-FR"/>
        </w:rPr>
        <w:t>ion.</w:t>
      </w:r>
    </w:p>
    <w:p w14:paraId="6F0F47FF" w14:textId="7D9B6E55"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w:t>
      </w:r>
      <w:r w:rsidR="00701F8C" w:rsidRPr="005D5B0F">
        <w:rPr>
          <w:rFonts w:ascii="Barlow" w:hAnsi="Barlow"/>
          <w:color w:val="000000"/>
          <w:sz w:val="18"/>
          <w:szCs w:val="22"/>
          <w:lang w:val="fr-FR"/>
        </w:rPr>
        <w:t>n : mois en cours d'exécution (mois de la demande de paiement)</w:t>
      </w:r>
      <w:r w:rsidRPr="005D5B0F">
        <w:rPr>
          <w:rFonts w:ascii="Barlow" w:hAnsi="Barlow"/>
          <w:color w:val="000000"/>
          <w:sz w:val="18"/>
          <w:szCs w:val="22"/>
          <w:lang w:val="fr-FR"/>
        </w:rPr>
        <w:t>.</w:t>
      </w:r>
    </w:p>
    <w:p w14:paraId="09B9CC58" w14:textId="1F95579C" w:rsidR="00D03000" w:rsidRPr="005D5B0F" w:rsidRDefault="00701F8C">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 Index (n-3) : valeur de l'index de référence au mois n diminué de 3 mois de décalage.</w:t>
      </w:r>
      <w:r w:rsidRPr="005D5B0F">
        <w:rPr>
          <w:rFonts w:ascii="Barlow" w:hAnsi="Barlow"/>
          <w:color w:val="000000"/>
          <w:sz w:val="18"/>
          <w:szCs w:val="22"/>
          <w:lang w:val="fr-FR"/>
        </w:rPr>
        <w:br/>
        <w:t>- Index (o-3) : valeur de l'index de référence au mois zéro diminué de 3 mois de décalage.</w:t>
      </w:r>
    </w:p>
    <w:p w14:paraId="37E0F062" w14:textId="5E5496F8"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 xml:space="preserve">Lorsqu'une </w:t>
      </w:r>
      <w:r w:rsidR="00701F8C" w:rsidRPr="005D5B0F">
        <w:rPr>
          <w:rFonts w:ascii="Barlow" w:hAnsi="Barlow"/>
          <w:color w:val="000000"/>
          <w:sz w:val="18"/>
          <w:szCs w:val="22"/>
          <w:lang w:val="fr-FR"/>
        </w:rPr>
        <w:t>révis</w:t>
      </w:r>
      <w:r w:rsidRPr="005D5B0F">
        <w:rPr>
          <w:rFonts w:ascii="Barlow" w:hAnsi="Barlow"/>
          <w:color w:val="000000"/>
          <w:sz w:val="18"/>
          <w:szCs w:val="22"/>
          <w:lang w:val="fr-FR"/>
        </w:rPr>
        <w:t>ion est effectuée provisoirement en utilisant une valeur d'index antérieure à celle qui doit être appliquée, l</w:t>
      </w:r>
      <w:r w:rsidR="00701F8C" w:rsidRPr="005D5B0F">
        <w:rPr>
          <w:rFonts w:ascii="Barlow" w:hAnsi="Barlow"/>
          <w:color w:val="000000"/>
          <w:sz w:val="18"/>
          <w:szCs w:val="22"/>
          <w:lang w:val="fr-FR"/>
        </w:rPr>
        <w:t>a révis</w:t>
      </w:r>
      <w:r w:rsidRPr="005D5B0F">
        <w:rPr>
          <w:rFonts w:ascii="Barlow" w:hAnsi="Barlow"/>
          <w:color w:val="000000"/>
          <w:sz w:val="18"/>
          <w:szCs w:val="22"/>
          <w:lang w:val="fr-FR"/>
        </w:rPr>
        <w:t>ion définitive, calculée sur la base de la valeur finale de l'index correspondant, intervient au plus tard trois mois après la publication de cette valeur.</w:t>
      </w:r>
    </w:p>
    <w:p w14:paraId="00D8A848" w14:textId="15CE007F" w:rsidR="00701F8C"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w:t>
      </w:r>
      <w:r w:rsidR="003D2BDC" w:rsidRPr="005D5B0F">
        <w:rPr>
          <w:rFonts w:ascii="Barlow" w:hAnsi="Barlow"/>
          <w:color w:val="000000"/>
          <w:sz w:val="18"/>
          <w:szCs w:val="22"/>
          <w:lang w:val="fr-FR"/>
        </w:rPr>
        <w:t>'index de référence, publié au Moniteur des Travaux Publics et des Bâtiments, est</w:t>
      </w:r>
      <w:r w:rsidR="00701F8C" w:rsidRPr="005D5B0F">
        <w:rPr>
          <w:rFonts w:ascii="Barlow" w:hAnsi="Barlow"/>
          <w:color w:val="000000"/>
          <w:sz w:val="18"/>
          <w:szCs w:val="22"/>
          <w:lang w:val="fr-FR"/>
        </w:rPr>
        <w:t xml:space="preserve"> :</w:t>
      </w:r>
    </w:p>
    <w:p w14:paraId="654E2A4C" w14:textId="77777777" w:rsidR="00701F8C" w:rsidRPr="005D5B0F" w:rsidRDefault="00701F8C">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BT46 : Peinture, tenture, revêtements muraux, pour les travaux ;</w:t>
      </w:r>
    </w:p>
    <w:p w14:paraId="22197F3F" w14:textId="77777777" w:rsidR="00701F8C" w:rsidRPr="005D5B0F" w:rsidRDefault="00701F8C" w:rsidP="00701F8C">
      <w:pPr>
        <w:rPr>
          <w:sz w:val="22"/>
          <w:szCs w:val="22"/>
          <w:lang w:val="fr-FR"/>
        </w:rPr>
      </w:pPr>
    </w:p>
    <w:p w14:paraId="0CD9235D"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36" w:name="ArtL1_CCAP-1-A12"/>
      <w:bookmarkStart w:id="37" w:name="_Toc256000018"/>
      <w:bookmarkEnd w:id="36"/>
      <w:r w:rsidRPr="005D5B0F">
        <w:rPr>
          <w:rFonts w:ascii="Barlow" w:eastAsia="Trebuchet MS" w:hAnsi="Barlow" w:cs="Trebuchet MS"/>
          <w:color w:val="FFFFFF"/>
          <w:sz w:val="24"/>
          <w:szCs w:val="28"/>
          <w:lang w:val="fr-FR"/>
        </w:rPr>
        <w:t>7 - Garanties Financières</w:t>
      </w:r>
      <w:bookmarkEnd w:id="37"/>
    </w:p>
    <w:p w14:paraId="012E5013"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68C29F99" w14:textId="77777777" w:rsidR="00D03000" w:rsidRPr="005D5B0F" w:rsidRDefault="00000000">
      <w:pPr>
        <w:pStyle w:val="ParagrapheIndent1"/>
        <w:spacing w:after="240" w:line="232" w:lineRule="exact"/>
        <w:rPr>
          <w:rFonts w:ascii="Barlow" w:hAnsi="Barlow"/>
          <w:color w:val="000000"/>
          <w:sz w:val="18"/>
          <w:szCs w:val="22"/>
          <w:lang w:val="fr-FR"/>
        </w:rPr>
      </w:pPr>
      <w:r w:rsidRPr="005D5B0F">
        <w:rPr>
          <w:rFonts w:ascii="Barlow" w:hAnsi="Barlow"/>
          <w:color w:val="000000"/>
          <w:sz w:val="18"/>
          <w:szCs w:val="22"/>
          <w:lang w:val="fr-FR"/>
        </w:rPr>
        <w:t>Une retenue de garantie de 3% du montant initial du marché (augmenté le cas échéant du montant des avenants) sera constituée. Cette retenue de garantie sera prélevée sur le montant de chaque acompte par le comptable assignataire des paiements.</w:t>
      </w:r>
    </w:p>
    <w:p w14:paraId="0D71A15B" w14:textId="77777777" w:rsidR="00D03000" w:rsidRPr="005D5B0F" w:rsidRDefault="00000000">
      <w:pPr>
        <w:pStyle w:val="ParagrapheIndent1"/>
        <w:spacing w:after="240" w:line="232" w:lineRule="exact"/>
        <w:rPr>
          <w:rFonts w:ascii="Barlow" w:hAnsi="Barlow"/>
          <w:color w:val="000000"/>
          <w:sz w:val="18"/>
          <w:szCs w:val="22"/>
          <w:lang w:val="fr-FR"/>
        </w:rPr>
      </w:pPr>
      <w:r w:rsidRPr="005D5B0F">
        <w:rPr>
          <w:rFonts w:ascii="Barlow" w:hAnsi="Barlow"/>
          <w:color w:val="000000"/>
          <w:sz w:val="18"/>
          <w:szCs w:val="22"/>
          <w:lang w:val="fr-FR"/>
        </w:rPr>
        <w:t>Ce taux est fixé à 3,00 % lorsque le titulaire est une petite et moyenne entreprise mentionnée à l'article R. 2151-13 du Code de la commande publique.</w:t>
      </w:r>
    </w:p>
    <w:p w14:paraId="5B47C6C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Cette retenue de garantie peut être remplacée au gré du titulaire par une garantie à première demande. En revanche, il ne sera pas accepté de caution personnelle et solidaire.</w:t>
      </w:r>
    </w:p>
    <w:p w14:paraId="6BA2566D" w14:textId="77777777" w:rsidR="00D03000" w:rsidRPr="005D5B0F" w:rsidRDefault="00D03000">
      <w:pPr>
        <w:pStyle w:val="ParagrapheIndent1"/>
        <w:spacing w:line="232" w:lineRule="exact"/>
        <w:rPr>
          <w:rFonts w:ascii="Barlow" w:hAnsi="Barlow"/>
          <w:color w:val="000000"/>
          <w:sz w:val="18"/>
          <w:szCs w:val="22"/>
          <w:lang w:val="fr-FR"/>
        </w:rPr>
      </w:pPr>
    </w:p>
    <w:p w14:paraId="4DDA7707" w14:textId="77777777" w:rsidR="00D03000" w:rsidRPr="005D5B0F" w:rsidRDefault="00000000">
      <w:pPr>
        <w:pStyle w:val="ParagrapheIndent1"/>
        <w:spacing w:after="240" w:line="232" w:lineRule="exact"/>
        <w:rPr>
          <w:rFonts w:ascii="Barlow" w:hAnsi="Barlow"/>
          <w:color w:val="000000"/>
          <w:sz w:val="18"/>
          <w:szCs w:val="22"/>
          <w:lang w:val="fr-FR"/>
        </w:rPr>
      </w:pPr>
      <w:r w:rsidRPr="005D5B0F">
        <w:rPr>
          <w:rFonts w:ascii="Barlow" w:hAnsi="Barlow"/>
          <w:color w:val="000000"/>
          <w:sz w:val="18"/>
          <w:szCs w:val="22"/>
          <w:lang w:val="fr-FR"/>
        </w:rPr>
        <w:lastRenderedPageBreak/>
        <w:t>Dans l'hypothèse où la garantie ne serait pas constituée ou complétée au plus tard à la date à laquelle le titulaire remet la demande de paiement correspondant au premier acompte du marché, la fraction de la retenue de garantie correspondant à l'acompte est prélevée. Le titulaire garde la possibilité, pendant toute la durée du marché, de substituer une garantie à première demande à la retenue de garantie.</w:t>
      </w:r>
    </w:p>
    <w:p w14:paraId="511522E1"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38" w:name="ArtL1_CCAP-1-A13"/>
      <w:bookmarkStart w:id="39" w:name="_Toc256000019"/>
      <w:bookmarkEnd w:id="38"/>
      <w:r w:rsidRPr="005D5B0F">
        <w:rPr>
          <w:rFonts w:ascii="Barlow" w:eastAsia="Trebuchet MS" w:hAnsi="Barlow" w:cs="Trebuchet MS"/>
          <w:color w:val="FFFFFF"/>
          <w:sz w:val="24"/>
          <w:szCs w:val="28"/>
          <w:lang w:val="fr-FR"/>
        </w:rPr>
        <w:t>8 - Avance</w:t>
      </w:r>
      <w:bookmarkEnd w:id="39"/>
    </w:p>
    <w:p w14:paraId="32E7FBB0"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08AF62A3" w14:textId="77777777" w:rsidR="00D03000" w:rsidRPr="005D5B0F" w:rsidRDefault="00000000">
      <w:pPr>
        <w:pStyle w:val="ParagrapheIndent1"/>
        <w:spacing w:after="240"/>
        <w:rPr>
          <w:rFonts w:ascii="Barlow" w:hAnsi="Barlow"/>
          <w:color w:val="000000"/>
          <w:sz w:val="18"/>
          <w:szCs w:val="22"/>
          <w:lang w:val="fr-FR"/>
        </w:rPr>
      </w:pPr>
      <w:r w:rsidRPr="005D5B0F">
        <w:rPr>
          <w:rFonts w:ascii="Barlow" w:hAnsi="Barlow"/>
          <w:color w:val="000000"/>
          <w:sz w:val="18"/>
          <w:szCs w:val="22"/>
          <w:lang w:val="fr-FR"/>
        </w:rPr>
        <w:t>L'option retenue pour le calcul de l'avance est l'option A du CCAG - Travaux.</w:t>
      </w:r>
    </w:p>
    <w:p w14:paraId="4B67B692"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40" w:name="ArtL2_CCAP-1-A13.3"/>
      <w:bookmarkStart w:id="41" w:name="_Toc256000020"/>
      <w:bookmarkEnd w:id="40"/>
      <w:r w:rsidRPr="005D5B0F">
        <w:rPr>
          <w:rFonts w:ascii="Barlow" w:eastAsia="Trebuchet MS" w:hAnsi="Barlow" w:cs="Trebuchet MS"/>
          <w:i w:val="0"/>
          <w:color w:val="000000"/>
          <w:sz w:val="22"/>
          <w:szCs w:val="24"/>
          <w:lang w:val="fr-FR"/>
        </w:rPr>
        <w:t>8.1 - Conditions de versement et de remboursement</w:t>
      </w:r>
      <w:bookmarkEnd w:id="41"/>
    </w:p>
    <w:p w14:paraId="64D3D115" w14:textId="77777777"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Une avance est accordée au titulaire lorsque le montant initial du marché est supérieur à 50 000 € HT et dans la mesure où le délai d'exécution est supérieur à 2 mois, sauf indication contraire de l'acte d'engagement.</w:t>
      </w:r>
    </w:p>
    <w:p w14:paraId="2D090EDD"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Le montant de l'avance est fixé à 30% du montant initial, toutes taxes comprises, du marché , si sa durée est inférieure ou égale à douze mois ; si cette durée est supérieure à douze mois, l'avance est égale à 30% d'une somme égale à douze fois le montant mentionné ci-dessus divisé par cette durée exprimée en mois.</w:t>
      </w:r>
    </w:p>
    <w:p w14:paraId="4F8BEDE8" w14:textId="77777777" w:rsidR="00D03000" w:rsidRPr="005D5B0F" w:rsidRDefault="00D03000">
      <w:pPr>
        <w:pStyle w:val="ParagrapheIndent2"/>
        <w:spacing w:line="232" w:lineRule="exact"/>
        <w:rPr>
          <w:rFonts w:ascii="Barlow" w:hAnsi="Barlow"/>
          <w:color w:val="000000"/>
          <w:sz w:val="18"/>
          <w:szCs w:val="22"/>
          <w:lang w:val="fr-FR"/>
        </w:rPr>
      </w:pPr>
    </w:p>
    <w:p w14:paraId="4632AAE8"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Le montant de l'avance ne peut être affecté par la mise en oeuvre d'une clause de variation de prix.</w:t>
      </w:r>
    </w:p>
    <w:p w14:paraId="20D36704"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4D41DF29" w14:textId="1AF5CB46" w:rsidR="005D5B0F" w:rsidRPr="005D5B0F" w:rsidRDefault="00000000" w:rsidP="005D5B0F">
      <w:pPr>
        <w:rPr>
          <w:sz w:val="22"/>
          <w:szCs w:val="22"/>
          <w:lang w:val="fr-FR"/>
        </w:rPr>
      </w:pPr>
      <w:r w:rsidRPr="005D5B0F">
        <w:rPr>
          <w:rFonts w:ascii="Barlow" w:eastAsia="Trebuchet MS" w:hAnsi="Barlow" w:cs="Trebuchet MS"/>
          <w:color w:val="000000"/>
          <w:sz w:val="18"/>
          <w:szCs w:val="22"/>
          <w:lang w:val="fr-FR"/>
        </w:rPr>
        <w:t>L’avance sera payée dans les 30 jours suivant notification du marché.</w:t>
      </w:r>
    </w:p>
    <w:p w14:paraId="55BFA6F4" w14:textId="62840CAD" w:rsidR="00D03000" w:rsidRPr="005D5B0F" w:rsidRDefault="00D03000" w:rsidP="005D5B0F">
      <w:pPr>
        <w:pStyle w:val="ParagrapheIndent2"/>
        <w:spacing w:line="232" w:lineRule="exact"/>
        <w:rPr>
          <w:rFonts w:ascii="Barlow" w:hAnsi="Barlow"/>
          <w:color w:val="000000"/>
          <w:sz w:val="18"/>
          <w:szCs w:val="22"/>
          <w:lang w:val="fr-FR"/>
        </w:rPr>
      </w:pPr>
    </w:p>
    <w:p w14:paraId="3474C12C" w14:textId="77777777"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Le remboursement de l'avance commence lorsque le montant des prestations exécutées par le titulaire atteint ou dépasse 50,00 % de la part du montant toutes taxes comprises du marché exécutée par le titulaire. Il doit être terminé lorsque ledit montant atteint 80,00 %.</w:t>
      </w:r>
    </w:p>
    <w:p w14:paraId="7E23895A" w14:textId="7EE7374A"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Ce remboursement s'effectue par précompte sur les sommes dues ultérieurement au titulaire à titre d'acompte ou de solde.   </w:t>
      </w:r>
    </w:p>
    <w:p w14:paraId="34592FC4" w14:textId="77777777"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En cas de groupement d'opérateurs économiques, la part de l'avance est rapportée au montant des prestations individualisées par membre, à défaut l'avance est versée sur le compte du groupement ou du mandataire qui aura la charge de la répartir entre les membres du groupement.</w:t>
      </w:r>
    </w:p>
    <w:p w14:paraId="5C8A4599" w14:textId="77777777" w:rsidR="00D03000" w:rsidRPr="005D5B0F" w:rsidRDefault="00000000">
      <w:pPr>
        <w:pStyle w:val="ParagrapheIndent2"/>
        <w:spacing w:line="232" w:lineRule="exact"/>
        <w:rPr>
          <w:rFonts w:ascii="Barlow" w:hAnsi="Barlow"/>
          <w:color w:val="000000"/>
          <w:sz w:val="18"/>
          <w:szCs w:val="22"/>
          <w:lang w:val="fr-FR"/>
        </w:rPr>
        <w:sectPr w:rsidR="00D03000" w:rsidRPr="005D5B0F">
          <w:footerReference w:type="default" r:id="rId25"/>
          <w:pgSz w:w="11900" w:h="16840"/>
          <w:pgMar w:top="1140" w:right="1140" w:bottom="1140" w:left="1140" w:header="1140" w:footer="1140" w:gutter="0"/>
          <w:cols w:space="708"/>
        </w:sectPr>
      </w:pPr>
      <w:r w:rsidRPr="005D5B0F">
        <w:rPr>
          <w:rFonts w:ascii="Barlow" w:hAnsi="Barlow"/>
          <w:color w:val="000000"/>
          <w:sz w:val="18"/>
          <w:szCs w:val="22"/>
          <w:lang w:val="fr-FR"/>
        </w:rPr>
        <w:t>Une avance peut être versée, sur leur demande, aux sous-traitants bénéficiaires du paiement direct suivant les mêmes dispositions que celles applicables au titulaire du marché, avec les particularités détaillées aux articles R. 2191-6, R. 2193-10 et R. 2193-17 à R. 2193-21 du Code de la commande publique.</w:t>
      </w:r>
    </w:p>
    <w:p w14:paraId="3F9CDECA"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42" w:name="ArtL2_CCAP-1-A13.5"/>
      <w:bookmarkStart w:id="43" w:name="_Toc256000021"/>
      <w:bookmarkEnd w:id="42"/>
      <w:r w:rsidRPr="005D5B0F">
        <w:rPr>
          <w:rFonts w:ascii="Barlow" w:eastAsia="Trebuchet MS" w:hAnsi="Barlow" w:cs="Trebuchet MS"/>
          <w:i w:val="0"/>
          <w:color w:val="000000"/>
          <w:sz w:val="22"/>
          <w:szCs w:val="24"/>
          <w:lang w:val="fr-FR"/>
        </w:rPr>
        <w:lastRenderedPageBreak/>
        <w:t>8.2 - Garanties financières de l'avance</w:t>
      </w:r>
      <w:bookmarkEnd w:id="43"/>
    </w:p>
    <w:p w14:paraId="001BCDEB" w14:textId="77777777" w:rsidR="00D03000" w:rsidRPr="005D5B0F" w:rsidRDefault="00000000">
      <w:pPr>
        <w:pStyle w:val="ParagrapheIndent2"/>
        <w:spacing w:after="240"/>
        <w:rPr>
          <w:rFonts w:ascii="Barlow" w:hAnsi="Barlow"/>
          <w:color w:val="000000"/>
          <w:sz w:val="18"/>
          <w:szCs w:val="22"/>
          <w:lang w:val="fr-FR"/>
        </w:rPr>
      </w:pPr>
      <w:r w:rsidRPr="005D5B0F">
        <w:rPr>
          <w:rFonts w:ascii="Barlow" w:hAnsi="Barlow"/>
          <w:color w:val="000000"/>
          <w:sz w:val="18"/>
          <w:szCs w:val="22"/>
          <w:lang w:val="fr-FR"/>
        </w:rPr>
        <w:t>Aucune garantie financière ne sera demandée au titulaire pour le versement de l'avance.</w:t>
      </w:r>
    </w:p>
    <w:p w14:paraId="45B75E61"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44" w:name="ArtL1_CCAP-1-A14"/>
      <w:bookmarkStart w:id="45" w:name="_Toc256000022"/>
      <w:bookmarkEnd w:id="44"/>
      <w:r w:rsidRPr="005D5B0F">
        <w:rPr>
          <w:rFonts w:ascii="Barlow" w:eastAsia="Trebuchet MS" w:hAnsi="Barlow" w:cs="Trebuchet MS"/>
          <w:color w:val="FFFFFF"/>
          <w:sz w:val="24"/>
          <w:szCs w:val="28"/>
          <w:lang w:val="fr-FR"/>
        </w:rPr>
        <w:t>9 - Modalités de règlement des comptes</w:t>
      </w:r>
      <w:bookmarkEnd w:id="45"/>
    </w:p>
    <w:p w14:paraId="26AC76F3"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415C039F"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46" w:name="ArtL2_CCAP-1-A14.2"/>
      <w:bookmarkStart w:id="47" w:name="_Toc256000023"/>
      <w:bookmarkEnd w:id="46"/>
      <w:r w:rsidRPr="005D5B0F">
        <w:rPr>
          <w:rFonts w:ascii="Barlow" w:eastAsia="Trebuchet MS" w:hAnsi="Barlow" w:cs="Trebuchet MS"/>
          <w:i w:val="0"/>
          <w:color w:val="000000"/>
          <w:sz w:val="22"/>
          <w:szCs w:val="24"/>
          <w:lang w:val="fr-FR"/>
        </w:rPr>
        <w:t>9.1 - Décomptes et acomptes mensuels</w:t>
      </w:r>
      <w:bookmarkEnd w:id="47"/>
    </w:p>
    <w:p w14:paraId="0203BF36"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Les modalités de règlement des comptes sont définies dans les conditions de l'article 12 du CCAG-Travaux. Les acomptes seront versés mensuellement.</w:t>
      </w:r>
    </w:p>
    <w:p w14:paraId="64CB22ED" w14:textId="0741080C"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Le maître d’ouvrage prendra à sa charge la rédaction de l’état d’acompte mensuel à partir du décompte mensuel établi par le titulaire, vérifié et le cas échéant corrigé par le maître d’œuvre.</w:t>
      </w:r>
    </w:p>
    <w:p w14:paraId="6007D3A9"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Le titulaire déposera sa situation sur Ediflex, plateforme de traitement des factures dématérialisées </w:t>
      </w:r>
      <w:r w:rsidRPr="005D5B0F">
        <w:rPr>
          <w:rFonts w:ascii="Barlow" w:hAnsi="Barlow"/>
          <w:color w:val="000000"/>
          <w:sz w:val="18"/>
          <w:szCs w:val="22"/>
          <w:u w:val="single"/>
          <w:lang w:val="fr-FR"/>
        </w:rPr>
        <w:t>en lien direct avec CHORUS PRO</w:t>
      </w:r>
      <w:r w:rsidRPr="005D5B0F">
        <w:rPr>
          <w:rFonts w:ascii="Barlow" w:hAnsi="Barlow"/>
          <w:color w:val="000000"/>
          <w:sz w:val="18"/>
          <w:szCs w:val="22"/>
          <w:lang w:val="fr-FR"/>
        </w:rPr>
        <w:t xml:space="preserve"> (voir article Présentation des demandes de paiement)</w:t>
      </w:r>
    </w:p>
    <w:p w14:paraId="274FEB03" w14:textId="77777777" w:rsidR="00D03000" w:rsidRPr="005D5B0F" w:rsidRDefault="00D03000">
      <w:pPr>
        <w:pStyle w:val="ParagrapheIndent2"/>
        <w:spacing w:after="240" w:line="232" w:lineRule="exact"/>
        <w:rPr>
          <w:rFonts w:ascii="Barlow" w:hAnsi="Barlow"/>
          <w:color w:val="000000"/>
          <w:sz w:val="18"/>
          <w:szCs w:val="22"/>
          <w:lang w:val="fr-FR"/>
        </w:rPr>
      </w:pPr>
    </w:p>
    <w:p w14:paraId="3FF7AC27"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Si lors de l'établissement du décompte général, les valeurs finales des indices ou index de référence ne sont pas connues, le pouvoir adjudicateur notifie au titulaire le décompte général. Le décompte général et définitif lie définitivement les parties, sauf en ce qui concerne la variation de prix afférente au solde.</w:t>
      </w:r>
    </w:p>
    <w:p w14:paraId="1B943ABF" w14:textId="77777777" w:rsidR="00D03000" w:rsidRPr="005D5B0F" w:rsidRDefault="00D03000">
      <w:pPr>
        <w:pStyle w:val="ParagrapheIndent2"/>
        <w:spacing w:line="232" w:lineRule="exact"/>
        <w:rPr>
          <w:rFonts w:ascii="Barlow" w:hAnsi="Barlow"/>
          <w:color w:val="000000"/>
          <w:sz w:val="18"/>
          <w:szCs w:val="22"/>
          <w:lang w:val="fr-FR"/>
        </w:rPr>
      </w:pPr>
    </w:p>
    <w:p w14:paraId="209E7E6A" w14:textId="77777777"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Le représentant du pouvoir adjudicateur notifiera au titulaire le montant de cette variation de prix au plus tard dix jours après la publication de l'indice ou l'index de référence permettant de calculer la variation du solde. La date de cette notification constitue le point de départ du délai de paiement de ce montant.</w:t>
      </w:r>
    </w:p>
    <w:p w14:paraId="7B6477DB"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48" w:name="ArtL2_CCAP-1-A14.4"/>
      <w:bookmarkStart w:id="49" w:name="_Toc256000024"/>
      <w:bookmarkEnd w:id="48"/>
      <w:r w:rsidRPr="005D5B0F">
        <w:rPr>
          <w:rFonts w:ascii="Barlow" w:eastAsia="Trebuchet MS" w:hAnsi="Barlow" w:cs="Trebuchet MS"/>
          <w:i w:val="0"/>
          <w:color w:val="000000"/>
          <w:sz w:val="22"/>
          <w:szCs w:val="24"/>
          <w:lang w:val="fr-FR"/>
        </w:rPr>
        <w:t>9.2 - Présentation des demandes de paiement</w:t>
      </w:r>
      <w:bookmarkEnd w:id="49"/>
    </w:p>
    <w:p w14:paraId="5856F41C"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w:t>
      </w:r>
      <w:r w:rsidRPr="005D5B0F">
        <w:rPr>
          <w:rFonts w:ascii="Barlow" w:hAnsi="Barlow"/>
          <w:b/>
          <w:color w:val="000000"/>
          <w:sz w:val="18"/>
          <w:szCs w:val="22"/>
          <w:u w:val="single"/>
          <w:lang w:val="fr-FR"/>
        </w:rPr>
        <w:t>DISPOSITIONS APPLICABLES EN MATIERE DE FACTURATION ELECTRONIQUE EDIFLEX :</w:t>
      </w:r>
    </w:p>
    <w:p w14:paraId="1ADFB110"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EDIFLEX est une plateforme de traitement des factures dématérialisées </w:t>
      </w:r>
      <w:r w:rsidRPr="005D5B0F">
        <w:rPr>
          <w:rFonts w:ascii="Barlow" w:hAnsi="Barlow"/>
          <w:color w:val="000000"/>
          <w:sz w:val="18"/>
          <w:szCs w:val="22"/>
          <w:u w:val="single"/>
          <w:lang w:val="fr-FR"/>
        </w:rPr>
        <w:t>en lien direct avec CHORUS PRO</w:t>
      </w:r>
      <w:r w:rsidRPr="005D5B0F">
        <w:rPr>
          <w:rFonts w:ascii="Barlow" w:hAnsi="Barlow"/>
          <w:color w:val="000000"/>
          <w:sz w:val="18"/>
          <w:szCs w:val="22"/>
          <w:lang w:val="fr-FR"/>
        </w:rPr>
        <w:t xml:space="preserve">, qui prend en charge le dépôt, la transmission et la récupération des factures dématérialisées sur le serveur </w:t>
      </w:r>
      <w:r w:rsidRPr="005D5B0F">
        <w:rPr>
          <w:rFonts w:ascii="Barlow" w:hAnsi="Barlow"/>
          <w:b/>
          <w:color w:val="000000"/>
          <w:sz w:val="18"/>
          <w:szCs w:val="22"/>
          <w:lang w:val="fr-FR"/>
        </w:rPr>
        <w:t xml:space="preserve">CHORUS PRO </w:t>
      </w:r>
      <w:r w:rsidRPr="005D5B0F">
        <w:rPr>
          <w:rFonts w:ascii="Barlow" w:hAnsi="Barlow"/>
          <w:color w:val="000000"/>
          <w:sz w:val="18"/>
          <w:szCs w:val="22"/>
          <w:lang w:val="fr-FR"/>
        </w:rPr>
        <w:t>mis en oeuvre par la DGFIP et l'AIFE (Direction Générale des Finances Publiques et Agence pour l'Informatique Financière de l'État).     </w:t>
      </w:r>
    </w:p>
    <w:p w14:paraId="129872F4"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Le titulaire s’engage à </w:t>
      </w:r>
      <w:r w:rsidRPr="005D5B0F">
        <w:rPr>
          <w:rFonts w:ascii="Barlow" w:hAnsi="Barlow"/>
          <w:color w:val="000000"/>
          <w:sz w:val="18"/>
          <w:szCs w:val="22"/>
          <w:u w:val="single"/>
          <w:lang w:val="fr-FR"/>
        </w:rPr>
        <w:t>déposer ses factures sur cette plateforme</w:t>
      </w:r>
      <w:r w:rsidRPr="005D5B0F">
        <w:rPr>
          <w:rFonts w:ascii="Barlow" w:hAnsi="Barlow"/>
          <w:color w:val="000000"/>
          <w:sz w:val="18"/>
          <w:szCs w:val="22"/>
          <w:lang w:val="fr-FR"/>
        </w:rPr>
        <w:t>, à cet effet, une convention d’interchange sera signée entre les parties.</w:t>
      </w:r>
    </w:p>
    <w:p w14:paraId="7D7EC0B2"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L'accès à la plateforme EDIFLEX est pris en charge sur le budget d'investissement de la Direction Interrégionale.</w:t>
      </w:r>
    </w:p>
    <w:p w14:paraId="02B36680"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Afin que les factures déposées sur EDIFLEX basculent bien sur CHORUS PRO, il est nécessaire de créer un compte sur CHORUS PRO et de le paramétrer selon les indications suivantes :</w:t>
      </w:r>
    </w:p>
    <w:p w14:paraId="376FFD50" w14:textId="77777777" w:rsidR="00D03000" w:rsidRPr="005D5B0F" w:rsidRDefault="00D03000">
      <w:pPr>
        <w:pStyle w:val="ParagrapheIndent2"/>
        <w:spacing w:line="232" w:lineRule="exact"/>
        <w:rPr>
          <w:rFonts w:ascii="Barlow" w:hAnsi="Barlow"/>
          <w:color w:val="000000"/>
          <w:sz w:val="18"/>
          <w:szCs w:val="22"/>
          <w:lang w:val="fr-FR"/>
        </w:rPr>
      </w:pPr>
    </w:p>
    <w:p w14:paraId="5E55C479"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  Indiquer dans le profil Chorus Pro, le code exécutant de la Direction interrégionale des services pénitentiaires de Lyon « FAC0000069 »;</w:t>
      </w:r>
    </w:p>
    <w:p w14:paraId="1B5F41B5"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  le module Facture de Travaux ne s’affiche pas par défaut, il faut l’ajouter en créant un « espace »;</w:t>
      </w:r>
    </w:p>
    <w:p w14:paraId="306877E0"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  création d'un identifiant technique pour que CHORUS PRO puisse établir le lien avec EDIFLEX;</w:t>
      </w:r>
    </w:p>
    <w:p w14:paraId="32CB8BEA"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Le service facturier Auvergne Rhône Alpes est la DRFIP, le code exécutant de la Direction interrégionale des services pénitentiaires de Lyon est le « </w:t>
      </w:r>
      <w:r w:rsidRPr="005D5B0F">
        <w:rPr>
          <w:rFonts w:ascii="Barlow" w:hAnsi="Barlow"/>
          <w:b/>
          <w:color w:val="000000"/>
          <w:sz w:val="18"/>
          <w:szCs w:val="22"/>
          <w:lang w:val="fr-FR"/>
        </w:rPr>
        <w:t>FAC0000069</w:t>
      </w:r>
      <w:r w:rsidRPr="005D5B0F">
        <w:rPr>
          <w:rFonts w:ascii="Barlow" w:hAnsi="Barlow"/>
          <w:color w:val="000000"/>
          <w:sz w:val="18"/>
          <w:szCs w:val="22"/>
          <w:lang w:val="fr-FR"/>
        </w:rPr>
        <w:t>».</w:t>
      </w:r>
    </w:p>
    <w:p w14:paraId="45C36B0C"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Pour toute précision il est nécessaire de se référer à la documentation publiée sur le portail CHORUS PRO </w:t>
      </w:r>
      <w:hyperlink r:id="rId26" w:history="1">
        <w:r w:rsidRPr="005D5B0F">
          <w:rPr>
            <w:rFonts w:ascii="Barlow" w:hAnsi="Barlow"/>
            <w:color w:val="000000"/>
            <w:sz w:val="18"/>
            <w:szCs w:val="22"/>
            <w:lang w:val="fr-FR"/>
          </w:rPr>
          <w:t>https://communaute.chorus-pro.gouv.fr/emetteur-de-factures-electroniques/</w:t>
        </w:r>
      </w:hyperlink>
    </w:p>
    <w:p w14:paraId="74EE796F"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BB57B80"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Le dépôt, la transmission et la réception des factures électroniques sont effectués exclusivement sur le portail de facturation EDIFLEX, les factures basculeront automatiquement sur le portail de facturation Chorus Pro. Lorsqu'une facture est transmise en dehors de ce portail, la personne publique peut la rejeter après avoir rappelé cette obligation à l'émetteur et l'avoir invité à s'y conformer.</w:t>
      </w:r>
    </w:p>
    <w:p w14:paraId="7C4FD827" w14:textId="77777777" w:rsidR="00D03000" w:rsidRPr="005D5B0F" w:rsidRDefault="00D03000">
      <w:pPr>
        <w:pStyle w:val="ParagrapheIndent2"/>
        <w:spacing w:line="232" w:lineRule="exact"/>
        <w:rPr>
          <w:rFonts w:ascii="Barlow" w:hAnsi="Barlow"/>
          <w:color w:val="000000"/>
          <w:sz w:val="18"/>
          <w:szCs w:val="22"/>
          <w:lang w:val="fr-FR"/>
        </w:rPr>
      </w:pPr>
    </w:p>
    <w:p w14:paraId="1E245DB6" w14:textId="77777777" w:rsidR="00D03000" w:rsidRPr="005D5B0F" w:rsidRDefault="00D03000">
      <w:pPr>
        <w:pStyle w:val="ParagrapheIndent2"/>
        <w:spacing w:line="232" w:lineRule="exact"/>
        <w:rPr>
          <w:rFonts w:ascii="Barlow" w:hAnsi="Barlow"/>
          <w:color w:val="000000"/>
          <w:sz w:val="18"/>
          <w:szCs w:val="22"/>
          <w:lang w:val="fr-FR"/>
        </w:rPr>
      </w:pPr>
    </w:p>
    <w:p w14:paraId="742BC73C" w14:textId="77777777" w:rsidR="00D03000" w:rsidRPr="005D5B0F" w:rsidRDefault="00000000">
      <w:pPr>
        <w:pStyle w:val="ParagrapheIndent2"/>
        <w:spacing w:line="232" w:lineRule="exact"/>
        <w:rPr>
          <w:rFonts w:ascii="Barlow" w:hAnsi="Barlow"/>
          <w:color w:val="000000"/>
          <w:sz w:val="18"/>
          <w:szCs w:val="22"/>
          <w:lang w:val="fr-FR"/>
        </w:rPr>
        <w:sectPr w:rsidR="00D03000" w:rsidRPr="005D5B0F">
          <w:footerReference w:type="default" r:id="rId27"/>
          <w:pgSz w:w="11900" w:h="16840"/>
          <w:pgMar w:top="1140" w:right="1140" w:bottom="1140" w:left="1140" w:header="1140" w:footer="1140" w:gutter="0"/>
          <w:cols w:space="708"/>
        </w:sectPr>
      </w:pPr>
      <w:r w:rsidRPr="005D5B0F">
        <w:rPr>
          <w:rFonts w:ascii="Barlow" w:hAnsi="Barlow"/>
          <w:color w:val="000000"/>
          <w:sz w:val="18"/>
          <w:szCs w:val="22"/>
          <w:lang w:val="fr-FR"/>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14:paraId="4E874ADF"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u w:val="single"/>
          <w:lang w:val="fr-FR"/>
        </w:rPr>
        <w:lastRenderedPageBreak/>
        <w:t>Informations à utiliser pour la facturation électronique</w:t>
      </w:r>
    </w:p>
    <w:p w14:paraId="37503371" w14:textId="77777777" w:rsidR="00D03000" w:rsidRPr="005D5B0F" w:rsidRDefault="00D03000">
      <w:pPr>
        <w:pStyle w:val="ParagrapheIndent2"/>
        <w:spacing w:line="232" w:lineRule="exact"/>
        <w:rPr>
          <w:rFonts w:ascii="Barlow" w:hAnsi="Barlow"/>
          <w:color w:val="000000"/>
          <w:sz w:val="18"/>
          <w:szCs w:val="22"/>
          <w:lang w:val="fr-FR"/>
        </w:rPr>
      </w:pPr>
    </w:p>
    <w:p w14:paraId="1AD23525" w14:textId="77777777"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 Identifiant de la structure publique (SIRET) : 11000201100044</w:t>
      </w:r>
    </w:p>
    <w:p w14:paraId="0D4D7DAC"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50" w:name="ArtL2_CCAP-1-A14.5"/>
      <w:bookmarkStart w:id="51" w:name="_Toc256000025"/>
      <w:bookmarkEnd w:id="50"/>
      <w:r w:rsidRPr="005D5B0F">
        <w:rPr>
          <w:rFonts w:ascii="Barlow" w:eastAsia="Trebuchet MS" w:hAnsi="Barlow" w:cs="Trebuchet MS"/>
          <w:i w:val="0"/>
          <w:color w:val="000000"/>
          <w:sz w:val="22"/>
          <w:szCs w:val="24"/>
          <w:lang w:val="fr-FR"/>
        </w:rPr>
        <w:t>9.3 - Délai global de paiement</w:t>
      </w:r>
      <w:bookmarkEnd w:id="51"/>
    </w:p>
    <w:p w14:paraId="70DAEFEC"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Les sommes dues au(x) titulaire(s) seront payées dans un délai global de 30 jours à compter de la date de réception des demandes de paiement.</w:t>
      </w:r>
    </w:p>
    <w:p w14:paraId="1A3312AB" w14:textId="77777777" w:rsidR="00D03000" w:rsidRPr="005D5B0F" w:rsidRDefault="00D03000">
      <w:pPr>
        <w:pStyle w:val="ParagrapheIndent2"/>
        <w:spacing w:line="232" w:lineRule="exact"/>
        <w:rPr>
          <w:rFonts w:ascii="Barlow" w:hAnsi="Barlow"/>
          <w:color w:val="000000"/>
          <w:sz w:val="18"/>
          <w:szCs w:val="22"/>
          <w:lang w:val="fr-FR"/>
        </w:rPr>
      </w:pPr>
    </w:p>
    <w:p w14:paraId="345FED2F" w14:textId="77777777"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F1AED5A"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52" w:name="ArtL2_CCAP-1-A14.6"/>
      <w:bookmarkStart w:id="53" w:name="_Toc256000026"/>
      <w:bookmarkEnd w:id="52"/>
      <w:r w:rsidRPr="005D5B0F">
        <w:rPr>
          <w:rFonts w:ascii="Barlow" w:eastAsia="Trebuchet MS" w:hAnsi="Barlow" w:cs="Trebuchet MS"/>
          <w:i w:val="0"/>
          <w:color w:val="000000"/>
          <w:sz w:val="22"/>
          <w:szCs w:val="24"/>
          <w:lang w:val="fr-FR"/>
        </w:rPr>
        <w:t>9.4 - Paiement des cotraitants</w:t>
      </w:r>
      <w:bookmarkEnd w:id="53"/>
    </w:p>
    <w:p w14:paraId="27108843"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En cas de groupement conjoint, chaque membre du groupement perçoit directement les sommes se rapportant à l'exécution de ses propres prestations.</w:t>
      </w:r>
    </w:p>
    <w:p w14:paraId="404841C4" w14:textId="77777777"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Les autres dispositions relatives à la cotraitance s'appliquent selon les articles 10.7 et 12.5 du CCAG-Travaux.</w:t>
      </w:r>
    </w:p>
    <w:p w14:paraId="2F0FC45C"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54" w:name="ArtL2_CCAP-1-A14.7"/>
      <w:bookmarkStart w:id="55" w:name="_Toc256000027"/>
      <w:bookmarkEnd w:id="54"/>
      <w:r w:rsidRPr="005D5B0F">
        <w:rPr>
          <w:rFonts w:ascii="Barlow" w:eastAsia="Trebuchet MS" w:hAnsi="Barlow" w:cs="Trebuchet MS"/>
          <w:i w:val="0"/>
          <w:color w:val="000000"/>
          <w:sz w:val="22"/>
          <w:szCs w:val="24"/>
          <w:lang w:val="fr-FR"/>
        </w:rPr>
        <w:t>9.5 - Paiement des sous-traitants</w:t>
      </w:r>
      <w:bookmarkEnd w:id="55"/>
    </w:p>
    <w:p w14:paraId="0AECD431" w14:textId="77777777"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15 jours, la demande de paiement est considérée comme validée.</w:t>
      </w:r>
    </w:p>
    <w:p w14:paraId="3A951C51"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56" w:name="ArtL1_CCAP-1-A16"/>
      <w:bookmarkStart w:id="57" w:name="_Toc256000028"/>
      <w:bookmarkEnd w:id="56"/>
      <w:r w:rsidRPr="005D5B0F">
        <w:rPr>
          <w:rFonts w:ascii="Barlow" w:eastAsia="Trebuchet MS" w:hAnsi="Barlow" w:cs="Trebuchet MS"/>
          <w:color w:val="FFFFFF"/>
          <w:sz w:val="24"/>
          <w:szCs w:val="28"/>
          <w:lang w:val="fr-FR"/>
        </w:rPr>
        <w:t>10 - Conditions d'exécution des prestations</w:t>
      </w:r>
      <w:bookmarkEnd w:id="57"/>
    </w:p>
    <w:p w14:paraId="056C11F7"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1DF9EF99"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58" w:name="ArtL2_CCAP-1-A16.24"/>
      <w:bookmarkStart w:id="59" w:name="_Toc256000029"/>
      <w:bookmarkEnd w:id="58"/>
      <w:r w:rsidRPr="005D5B0F">
        <w:rPr>
          <w:rFonts w:ascii="Barlow" w:eastAsia="Trebuchet MS" w:hAnsi="Barlow" w:cs="Trebuchet MS"/>
          <w:i w:val="0"/>
          <w:color w:val="000000"/>
          <w:sz w:val="22"/>
          <w:szCs w:val="24"/>
          <w:lang w:val="fr-FR"/>
        </w:rPr>
        <w:t>10.1 - Caractéristiques des matériaux et produits</w:t>
      </w:r>
      <w:bookmarkEnd w:id="59"/>
    </w:p>
    <w:p w14:paraId="18698345" w14:textId="77777777"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Le cahier des charges fixe la provenance des matériaux, produits et composants de construction dont le choix n'est pas laissé au titulaire ou n'est pas déjà fixé par les documents particuliers du contrat ou déroge aux dispositions des dites pièces. Les matériaux et produits de construction utilisés pour l'exécution doivent être conformes aux normes visées par le cahier des charges.</w:t>
      </w:r>
    </w:p>
    <w:p w14:paraId="22DDBADF"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60" w:name="ArtL2_CCAP-1-A16.26"/>
      <w:bookmarkStart w:id="61" w:name="_Toc256000030"/>
      <w:bookmarkEnd w:id="60"/>
      <w:r w:rsidRPr="005D5B0F">
        <w:rPr>
          <w:rFonts w:ascii="Barlow" w:eastAsia="Trebuchet MS" w:hAnsi="Barlow" w:cs="Trebuchet MS"/>
          <w:i w:val="0"/>
          <w:color w:val="000000"/>
          <w:sz w:val="22"/>
          <w:szCs w:val="24"/>
          <w:lang w:val="fr-FR"/>
        </w:rPr>
        <w:t>10.2 - Implantation des ouvrages</w:t>
      </w:r>
      <w:bookmarkEnd w:id="61"/>
    </w:p>
    <w:p w14:paraId="2F56B775" w14:textId="77777777" w:rsidR="00D03000" w:rsidRPr="005D5B0F" w:rsidRDefault="00000000">
      <w:pPr>
        <w:pStyle w:val="ParagrapheIndent2"/>
        <w:spacing w:after="240"/>
        <w:rPr>
          <w:rFonts w:ascii="Barlow" w:hAnsi="Barlow"/>
          <w:color w:val="000000"/>
          <w:sz w:val="18"/>
          <w:szCs w:val="22"/>
          <w:lang w:val="fr-FR"/>
        </w:rPr>
      </w:pPr>
      <w:r w:rsidRPr="005D5B0F">
        <w:rPr>
          <w:rFonts w:ascii="Barlow" w:hAnsi="Barlow"/>
          <w:color w:val="000000"/>
          <w:sz w:val="18"/>
          <w:szCs w:val="22"/>
          <w:lang w:val="fr-FR"/>
        </w:rPr>
        <w:t>Aucun piquetage n'est prévu pour cette opération.</w:t>
      </w:r>
    </w:p>
    <w:p w14:paraId="2CC8D10E"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62" w:name="ArtL2_CCAP-1-A16.28"/>
      <w:bookmarkStart w:id="63" w:name="_Toc256000031"/>
      <w:bookmarkEnd w:id="62"/>
      <w:r w:rsidRPr="005D5B0F">
        <w:rPr>
          <w:rFonts w:ascii="Barlow" w:eastAsia="Trebuchet MS" w:hAnsi="Barlow" w:cs="Trebuchet MS"/>
          <w:i w:val="0"/>
          <w:color w:val="000000"/>
          <w:sz w:val="22"/>
          <w:szCs w:val="24"/>
          <w:lang w:val="fr-FR"/>
        </w:rPr>
        <w:t>10.3 - Préparation et coordination des travaux</w:t>
      </w:r>
      <w:bookmarkEnd w:id="63"/>
    </w:p>
    <w:p w14:paraId="2F08DFDA" w14:textId="77777777" w:rsidR="00D03000" w:rsidRPr="005D5B0F" w:rsidRDefault="00000000">
      <w:pPr>
        <w:pStyle w:val="Titre3"/>
        <w:ind w:left="560"/>
        <w:rPr>
          <w:rFonts w:ascii="Barlow" w:eastAsia="Trebuchet MS" w:hAnsi="Barlow" w:cs="Trebuchet MS"/>
          <w:color w:val="000000"/>
          <w:sz w:val="21"/>
          <w:szCs w:val="24"/>
          <w:lang w:val="fr-FR"/>
        </w:rPr>
      </w:pPr>
      <w:bookmarkStart w:id="64" w:name="ArtL3_CCAP-1-A16.28.1"/>
      <w:bookmarkStart w:id="65" w:name="_Toc256000032"/>
      <w:bookmarkEnd w:id="64"/>
      <w:r w:rsidRPr="005D5B0F">
        <w:rPr>
          <w:rFonts w:ascii="Barlow" w:eastAsia="Trebuchet MS" w:hAnsi="Barlow" w:cs="Trebuchet MS"/>
          <w:color w:val="000000"/>
          <w:sz w:val="21"/>
          <w:szCs w:val="24"/>
          <w:lang w:val="fr-FR"/>
        </w:rPr>
        <w:t>10.3.1 - Période de préparation - Programme d'exécution des travaux</w:t>
      </w:r>
      <w:bookmarkEnd w:id="65"/>
    </w:p>
    <w:p w14:paraId="028078E7" w14:textId="77777777" w:rsidR="00D03000" w:rsidRPr="005D5B0F" w:rsidRDefault="00000000">
      <w:pPr>
        <w:pStyle w:val="ParagrapheIndent3"/>
        <w:spacing w:after="240" w:line="232" w:lineRule="exact"/>
        <w:rPr>
          <w:rFonts w:ascii="Barlow" w:hAnsi="Barlow"/>
          <w:color w:val="000000"/>
          <w:sz w:val="18"/>
          <w:szCs w:val="22"/>
          <w:lang w:val="fr-FR"/>
        </w:rPr>
      </w:pPr>
      <w:r w:rsidRPr="005D5B0F">
        <w:rPr>
          <w:rFonts w:ascii="Barlow" w:hAnsi="Barlow"/>
          <w:color w:val="000000"/>
          <w:sz w:val="18"/>
          <w:szCs w:val="22"/>
          <w:lang w:val="fr-FR"/>
        </w:rPr>
        <w:t>Il est fixé une période de préparation, comprise dans le délai d'exécution du marché, d'une durée de 30 jours.</w:t>
      </w:r>
    </w:p>
    <w:p w14:paraId="15AAED11" w14:textId="77777777" w:rsidR="00D03000" w:rsidRPr="005D5B0F" w:rsidRDefault="00000000">
      <w:pPr>
        <w:pStyle w:val="ParagrapheIndent3"/>
        <w:spacing w:after="240"/>
        <w:rPr>
          <w:rFonts w:ascii="Barlow" w:hAnsi="Barlow"/>
          <w:color w:val="000000"/>
          <w:sz w:val="18"/>
          <w:szCs w:val="22"/>
          <w:lang w:val="fr-FR"/>
        </w:rPr>
      </w:pPr>
      <w:r w:rsidRPr="005D5B0F">
        <w:rPr>
          <w:rFonts w:ascii="Barlow" w:hAnsi="Barlow"/>
          <w:color w:val="000000"/>
          <w:sz w:val="18"/>
          <w:szCs w:val="22"/>
          <w:lang w:val="fr-FR"/>
        </w:rPr>
        <w:t>Cette période débute à compter de la notification du marché.</w:t>
      </w:r>
    </w:p>
    <w:p w14:paraId="59557307" w14:textId="77777777" w:rsidR="00D03000" w:rsidRPr="005D5B0F" w:rsidRDefault="00000000">
      <w:pPr>
        <w:pStyle w:val="ParagrapheIndent3"/>
        <w:spacing w:after="240" w:line="232" w:lineRule="exact"/>
        <w:rPr>
          <w:rFonts w:ascii="Barlow" w:hAnsi="Barlow"/>
          <w:color w:val="000000"/>
          <w:sz w:val="18"/>
          <w:szCs w:val="22"/>
          <w:lang w:val="fr-FR"/>
        </w:rPr>
      </w:pPr>
      <w:r w:rsidRPr="005D5B0F">
        <w:rPr>
          <w:rFonts w:ascii="Barlow" w:hAnsi="Barlow"/>
          <w:color w:val="000000"/>
          <w:sz w:val="18"/>
          <w:szCs w:val="22"/>
          <w:lang w:val="fr-FR"/>
        </w:rPr>
        <w:t>Chaque entrepreneur (y compris cotraitants et sous-traitants) doit établir un plan particulier de sécurité et de protection de la santé, après inspection commune organisée par le coordonnateur sécurité. Ces plans particuliers doivent être remis au coordonnateur dans un délai de 30 jours à compter du début de la période de préparation.</w:t>
      </w:r>
    </w:p>
    <w:p w14:paraId="3E2AB9D2" w14:textId="77777777" w:rsidR="00D03000" w:rsidRPr="005D5B0F" w:rsidRDefault="00000000">
      <w:pPr>
        <w:pStyle w:val="ParagrapheIndent3"/>
        <w:spacing w:line="232" w:lineRule="exact"/>
        <w:rPr>
          <w:rFonts w:ascii="Barlow" w:hAnsi="Barlow"/>
          <w:color w:val="000000"/>
          <w:sz w:val="18"/>
          <w:szCs w:val="22"/>
          <w:lang w:val="fr-FR"/>
        </w:rPr>
        <w:sectPr w:rsidR="00D03000" w:rsidRPr="005D5B0F">
          <w:footerReference w:type="default" r:id="rId28"/>
          <w:pgSz w:w="11900" w:h="16840"/>
          <w:pgMar w:top="1380" w:right="1140" w:bottom="1140" w:left="1140" w:header="1380" w:footer="1140" w:gutter="0"/>
          <w:cols w:space="708"/>
        </w:sectPr>
      </w:pPr>
      <w:r w:rsidRPr="005D5B0F">
        <w:rPr>
          <w:rFonts w:ascii="Barlow" w:hAnsi="Barlow"/>
          <w:color w:val="000000"/>
          <w:sz w:val="18"/>
          <w:szCs w:val="22"/>
          <w:lang w:val="fr-FR"/>
        </w:rPr>
        <w:t>Dans le cadre de la période de préparation, le coordonnateur SPS doit adapter et modifier le plan général de coordination en matière de sécurité et de protection de la santé pour le chantier.</w:t>
      </w:r>
    </w:p>
    <w:p w14:paraId="082784CF" w14:textId="77777777" w:rsidR="00D03000" w:rsidRPr="005D5B0F" w:rsidRDefault="00000000">
      <w:pPr>
        <w:pStyle w:val="Titre3"/>
        <w:ind w:left="560"/>
        <w:rPr>
          <w:rFonts w:ascii="Barlow" w:eastAsia="Trebuchet MS" w:hAnsi="Barlow" w:cs="Trebuchet MS"/>
          <w:color w:val="000000"/>
          <w:sz w:val="21"/>
          <w:szCs w:val="24"/>
          <w:lang w:val="fr-FR"/>
        </w:rPr>
      </w:pPr>
      <w:bookmarkStart w:id="66" w:name="ArtL3_CCAP-1-A16.28.2"/>
      <w:bookmarkStart w:id="67" w:name="_Toc256000033"/>
      <w:bookmarkEnd w:id="66"/>
      <w:r w:rsidRPr="005D5B0F">
        <w:rPr>
          <w:rFonts w:ascii="Barlow" w:eastAsia="Trebuchet MS" w:hAnsi="Barlow" w:cs="Trebuchet MS"/>
          <w:color w:val="000000"/>
          <w:sz w:val="21"/>
          <w:szCs w:val="24"/>
          <w:lang w:val="fr-FR"/>
        </w:rPr>
        <w:lastRenderedPageBreak/>
        <w:t>10.3.2 - Sécurité et protection de la santé des travailleurs sur le chantier</w:t>
      </w:r>
      <w:bookmarkEnd w:id="67"/>
    </w:p>
    <w:p w14:paraId="6F1EB2AB" w14:textId="77777777" w:rsidR="00D03000" w:rsidRPr="005D5B0F" w:rsidRDefault="00000000">
      <w:pPr>
        <w:pStyle w:val="ParagrapheIndent3"/>
        <w:spacing w:line="232" w:lineRule="exact"/>
        <w:rPr>
          <w:rFonts w:ascii="Barlow" w:hAnsi="Barlow"/>
          <w:color w:val="000000"/>
          <w:sz w:val="18"/>
          <w:szCs w:val="22"/>
          <w:lang w:val="fr-FR"/>
        </w:rPr>
      </w:pPr>
      <w:r w:rsidRPr="005D5B0F">
        <w:rPr>
          <w:rFonts w:ascii="Barlow" w:hAnsi="Barlow"/>
          <w:color w:val="000000"/>
          <w:sz w:val="18"/>
          <w:szCs w:val="22"/>
          <w:lang w:val="fr-FR"/>
        </w:rPr>
        <w:t>Le coordonnateur SPS doit informer le maître d'ouvrage et le maître d'œuvre sans délai, et par tous moyens, de toute violation par les intervenants, y compris les entreprises, des mesures de coordination qu'il a définies, ainsi que des procédures de travail et des obligations réglementaires en matière de sécurité et de protection de la santé des travailleurs sur les chantiers. En cas de danger grave et imminent menaçant la sécurité ou la santé d'un intervenant ou d'un tiers (tels que chute de hauteur, ensevelissement...), il doit prendre les mesures nécessaires pour supprimer le danger. Il peut, à ce titre, arrêter tout ou partie du chantier. Il a libre accès au chantier.</w:t>
      </w:r>
    </w:p>
    <w:p w14:paraId="07B9302D" w14:textId="77777777" w:rsidR="00D03000" w:rsidRPr="005D5B0F" w:rsidRDefault="00D03000">
      <w:pPr>
        <w:pStyle w:val="ParagrapheIndent3"/>
        <w:spacing w:line="232" w:lineRule="exact"/>
        <w:rPr>
          <w:rFonts w:ascii="Barlow" w:hAnsi="Barlow"/>
          <w:color w:val="000000"/>
          <w:sz w:val="18"/>
          <w:szCs w:val="22"/>
          <w:lang w:val="fr-FR"/>
        </w:rPr>
      </w:pPr>
    </w:p>
    <w:p w14:paraId="6679F0F5" w14:textId="77777777" w:rsidR="00D03000" w:rsidRPr="005D5B0F" w:rsidRDefault="00000000">
      <w:pPr>
        <w:pStyle w:val="ParagrapheIndent3"/>
        <w:spacing w:line="232" w:lineRule="exact"/>
        <w:rPr>
          <w:rFonts w:ascii="Barlow" w:hAnsi="Barlow"/>
          <w:color w:val="000000"/>
          <w:sz w:val="18"/>
          <w:szCs w:val="22"/>
          <w:lang w:val="fr-FR"/>
        </w:rPr>
      </w:pPr>
      <w:r w:rsidRPr="005D5B0F">
        <w:rPr>
          <w:rFonts w:ascii="Barlow" w:hAnsi="Barlow"/>
          <w:color w:val="000000"/>
          <w:sz w:val="18"/>
          <w:szCs w:val="22"/>
          <w:lang w:val="fr-FR"/>
        </w:rPr>
        <w:t>Le titulaire communique directement au coordonnateur SPS :</w:t>
      </w:r>
    </w:p>
    <w:p w14:paraId="6F1DD333" w14:textId="77777777" w:rsidR="00D03000" w:rsidRPr="005D5B0F" w:rsidRDefault="00000000">
      <w:pPr>
        <w:pStyle w:val="ParagrapheIndent3"/>
        <w:spacing w:line="232" w:lineRule="exact"/>
        <w:rPr>
          <w:rFonts w:ascii="Barlow" w:hAnsi="Barlow"/>
          <w:color w:val="000000"/>
          <w:sz w:val="18"/>
          <w:szCs w:val="22"/>
          <w:lang w:val="fr-FR"/>
        </w:rPr>
      </w:pPr>
      <w:r w:rsidRPr="005D5B0F">
        <w:rPr>
          <w:rFonts w:ascii="Barlow" w:hAnsi="Barlow"/>
          <w:color w:val="000000"/>
          <w:sz w:val="18"/>
          <w:szCs w:val="22"/>
          <w:lang w:val="fr-FR"/>
        </w:rPr>
        <w:t>- le Plan Particulier de Sécurité et de Protection de la Santé ;</w:t>
      </w:r>
    </w:p>
    <w:p w14:paraId="663C3074" w14:textId="77777777" w:rsidR="00D03000" w:rsidRPr="005D5B0F" w:rsidRDefault="00000000">
      <w:pPr>
        <w:pStyle w:val="ParagrapheIndent3"/>
        <w:spacing w:line="232" w:lineRule="exact"/>
        <w:rPr>
          <w:rFonts w:ascii="Barlow" w:hAnsi="Barlow"/>
          <w:color w:val="000000"/>
          <w:sz w:val="18"/>
          <w:szCs w:val="22"/>
          <w:lang w:val="fr-FR"/>
        </w:rPr>
      </w:pPr>
      <w:r w:rsidRPr="005D5B0F">
        <w:rPr>
          <w:rFonts w:ascii="Barlow" w:hAnsi="Barlow"/>
          <w:color w:val="000000"/>
          <w:sz w:val="18"/>
          <w:szCs w:val="22"/>
          <w:lang w:val="fr-FR"/>
        </w:rPr>
        <w:t>- tous les documents relatifs à la sécurité et à la protection de la santé des travailleurs ;</w:t>
      </w:r>
    </w:p>
    <w:p w14:paraId="2E1BC5C2" w14:textId="77777777" w:rsidR="00D03000" w:rsidRPr="005D5B0F" w:rsidRDefault="00000000">
      <w:pPr>
        <w:pStyle w:val="ParagrapheIndent3"/>
        <w:spacing w:line="232" w:lineRule="exact"/>
        <w:rPr>
          <w:rFonts w:ascii="Barlow" w:hAnsi="Barlow"/>
          <w:color w:val="000000"/>
          <w:sz w:val="18"/>
          <w:szCs w:val="22"/>
          <w:lang w:val="fr-FR"/>
        </w:rPr>
      </w:pPr>
      <w:r w:rsidRPr="005D5B0F">
        <w:rPr>
          <w:rFonts w:ascii="Barlow" w:hAnsi="Barlow"/>
          <w:color w:val="000000"/>
          <w:sz w:val="18"/>
          <w:szCs w:val="22"/>
          <w:lang w:val="fr-FR"/>
        </w:rPr>
        <w:t>- la liste tenue à jour des personnes qu'il autorise à accéder au chantier ;</w:t>
      </w:r>
    </w:p>
    <w:p w14:paraId="7A7E615D" w14:textId="77777777" w:rsidR="00D03000" w:rsidRPr="005D5B0F" w:rsidRDefault="00000000">
      <w:pPr>
        <w:pStyle w:val="ParagrapheIndent3"/>
        <w:spacing w:line="232" w:lineRule="exact"/>
        <w:rPr>
          <w:rFonts w:ascii="Barlow" w:hAnsi="Barlow"/>
          <w:color w:val="000000"/>
          <w:sz w:val="18"/>
          <w:szCs w:val="22"/>
          <w:lang w:val="fr-FR"/>
        </w:rPr>
      </w:pPr>
      <w:r w:rsidRPr="005D5B0F">
        <w:rPr>
          <w:rFonts w:ascii="Barlow" w:hAnsi="Barlow"/>
          <w:color w:val="000000"/>
          <w:sz w:val="18"/>
          <w:szCs w:val="22"/>
          <w:lang w:val="fr-FR"/>
        </w:rPr>
        <w:t>- dans les 5 jours qui suivent le début de la période de préparation, les effectifs prévisionnels affectés au chantier ;</w:t>
      </w:r>
    </w:p>
    <w:p w14:paraId="5D6A2E56" w14:textId="77777777" w:rsidR="00D03000" w:rsidRPr="005D5B0F" w:rsidRDefault="00000000">
      <w:pPr>
        <w:pStyle w:val="ParagrapheIndent3"/>
        <w:spacing w:line="232" w:lineRule="exact"/>
        <w:rPr>
          <w:rFonts w:ascii="Barlow" w:hAnsi="Barlow"/>
          <w:color w:val="000000"/>
          <w:sz w:val="18"/>
          <w:szCs w:val="22"/>
          <w:lang w:val="fr-FR"/>
        </w:rPr>
      </w:pPr>
      <w:r w:rsidRPr="005D5B0F">
        <w:rPr>
          <w:rFonts w:ascii="Barlow" w:hAnsi="Barlow"/>
          <w:color w:val="000000"/>
          <w:sz w:val="18"/>
          <w:szCs w:val="22"/>
          <w:lang w:val="fr-FR"/>
        </w:rPr>
        <w:t>- les noms et coordonnées de l'ensemble des sous-traitants quel que soit leur rang. Il tient à sa disposition leurs contrats ;</w:t>
      </w:r>
    </w:p>
    <w:p w14:paraId="4D807554" w14:textId="77777777" w:rsidR="00D03000" w:rsidRPr="005D5B0F" w:rsidRDefault="00000000">
      <w:pPr>
        <w:pStyle w:val="ParagrapheIndent3"/>
        <w:spacing w:line="232" w:lineRule="exact"/>
        <w:rPr>
          <w:rFonts w:ascii="Barlow" w:hAnsi="Barlow"/>
          <w:color w:val="000000"/>
          <w:sz w:val="18"/>
          <w:szCs w:val="22"/>
          <w:lang w:val="fr-FR"/>
        </w:rPr>
      </w:pPr>
      <w:r w:rsidRPr="005D5B0F">
        <w:rPr>
          <w:rFonts w:ascii="Barlow" w:hAnsi="Barlow"/>
          <w:color w:val="000000"/>
          <w:sz w:val="18"/>
          <w:szCs w:val="22"/>
          <w:lang w:val="fr-FR"/>
        </w:rPr>
        <w:t>- tous les documents relatifs à la sécurité et à la protection de la santé des travailleurs demandés par le coordonnateur ;</w:t>
      </w:r>
    </w:p>
    <w:p w14:paraId="5421FA6C" w14:textId="77777777" w:rsidR="00D03000" w:rsidRPr="005D5B0F" w:rsidRDefault="00000000">
      <w:pPr>
        <w:pStyle w:val="ParagrapheIndent3"/>
        <w:spacing w:after="240" w:line="232" w:lineRule="exact"/>
        <w:rPr>
          <w:rFonts w:ascii="Barlow" w:hAnsi="Barlow"/>
          <w:color w:val="000000"/>
          <w:sz w:val="18"/>
          <w:szCs w:val="22"/>
          <w:lang w:val="fr-FR"/>
        </w:rPr>
      </w:pPr>
      <w:r w:rsidRPr="005D5B0F">
        <w:rPr>
          <w:rFonts w:ascii="Barlow" w:hAnsi="Barlow"/>
          <w:color w:val="000000"/>
          <w:sz w:val="18"/>
          <w:szCs w:val="22"/>
          <w:lang w:val="fr-FR"/>
        </w:rPr>
        <w:t>- la copie des déclarations d'accident du travail.</w:t>
      </w:r>
    </w:p>
    <w:p w14:paraId="3690D215" w14:textId="77777777" w:rsidR="00D03000" w:rsidRPr="005D5B0F" w:rsidRDefault="00000000">
      <w:pPr>
        <w:pStyle w:val="ParagrapheIndent3"/>
        <w:spacing w:line="232" w:lineRule="exact"/>
        <w:rPr>
          <w:rFonts w:ascii="Barlow" w:hAnsi="Barlow"/>
          <w:color w:val="000000"/>
          <w:sz w:val="18"/>
          <w:szCs w:val="22"/>
          <w:lang w:val="fr-FR"/>
        </w:rPr>
      </w:pPr>
      <w:r w:rsidRPr="005D5B0F">
        <w:rPr>
          <w:rFonts w:ascii="Barlow" w:hAnsi="Barlow"/>
          <w:color w:val="000000"/>
          <w:sz w:val="18"/>
          <w:szCs w:val="22"/>
          <w:lang w:val="fr-FR"/>
        </w:rPr>
        <w:t>Il s'engage à respecter les modalités pratiques de coopération entre le coordonnateur SPS et les intervenants, définies dans le document visé au présent CCAP. Il informe le coordonnateur SPS de toutes les réunions (avec leur objet) qu'il organise lorsqu'elles font intervenir plusieurs entreprises et lui indique leur objet ainsi que de ses interventions au titre de la garantie de parfait achèvement. Il donne aussi suite, pendant toute la durée de l'exécution de ses prestations, aux avis, observations ou mesures préconisées en matière de sécurité et de protection de la santé des travailleurs par le coordonnateur SPS. Tout différend entre le titulaire et le coordonnateur SPS est soumis au maître de l'ouvrage. A la demande du coordonnateur SPS, le titulaire vise toutes les observations consignées dans le registre journal. Il s'engage aussi vis à vis de ses sous-traitants à introduire dans les contrats de sous-traitance les clauses nécessaires au respect des prescriptions législatives et réglementaires.</w:t>
      </w:r>
    </w:p>
    <w:p w14:paraId="6CD84917" w14:textId="77777777" w:rsidR="00D03000" w:rsidRPr="005D5B0F" w:rsidRDefault="00D03000">
      <w:pPr>
        <w:pStyle w:val="ParagrapheIndent3"/>
        <w:spacing w:line="232" w:lineRule="exact"/>
        <w:rPr>
          <w:rFonts w:ascii="Barlow" w:hAnsi="Barlow"/>
          <w:color w:val="000000"/>
          <w:sz w:val="18"/>
          <w:szCs w:val="22"/>
          <w:lang w:val="fr-FR"/>
        </w:rPr>
      </w:pPr>
    </w:p>
    <w:p w14:paraId="4078F2EA" w14:textId="77777777" w:rsidR="00D03000" w:rsidRPr="005D5B0F" w:rsidRDefault="00000000">
      <w:pPr>
        <w:pStyle w:val="ParagrapheIndent3"/>
        <w:spacing w:after="240" w:line="232" w:lineRule="exact"/>
        <w:rPr>
          <w:rFonts w:ascii="Barlow" w:hAnsi="Barlow"/>
          <w:color w:val="000000"/>
          <w:sz w:val="18"/>
          <w:szCs w:val="22"/>
          <w:lang w:val="fr-FR"/>
        </w:rPr>
      </w:pPr>
      <w:r w:rsidRPr="005D5B0F">
        <w:rPr>
          <w:rFonts w:ascii="Barlow" w:hAnsi="Barlow"/>
          <w:color w:val="000000"/>
          <w:sz w:val="18"/>
          <w:szCs w:val="22"/>
          <w:lang w:val="fr-FR"/>
        </w:rPr>
        <w:t>Quant aux locaux pour le personnel, le projet des installations de chantier indique, s'il y a lieu, la situation sur plan des locaux pour le personnel et leurs accès à partir de l'entrée du chantier, leur desserte par les réseaux d'eau, d'électricité et d'assainissement et leurs dates de réalisation ; ces dates doivent être telles que les conditions d'hébergement et d'hygiène sur le chantier soient toujours adaptées aux effectifs. L'accès aux locaux du personnel doit être assuré depuis l'entrée du chantier dans des conditions satisfaisantes, en particulier du point de vue de la sécurité.</w:t>
      </w:r>
    </w:p>
    <w:p w14:paraId="7B0BC2B6" w14:textId="77777777" w:rsidR="00D03000" w:rsidRPr="005D5B0F" w:rsidRDefault="00000000">
      <w:pPr>
        <w:pStyle w:val="ParagrapheIndent3"/>
        <w:spacing w:after="240" w:line="232" w:lineRule="exact"/>
        <w:rPr>
          <w:rFonts w:ascii="Barlow" w:hAnsi="Barlow"/>
          <w:color w:val="000000"/>
          <w:sz w:val="18"/>
          <w:szCs w:val="22"/>
          <w:lang w:val="fr-FR"/>
        </w:rPr>
      </w:pPr>
      <w:r w:rsidRPr="005D5B0F">
        <w:rPr>
          <w:rFonts w:ascii="Barlow" w:hAnsi="Barlow"/>
          <w:color w:val="000000"/>
          <w:sz w:val="18"/>
          <w:szCs w:val="22"/>
          <w:lang w:val="fr-FR"/>
        </w:rPr>
        <w:t>Le titulaire encourt une pénalité journalière fixée à 300,00 €, sans mise en demeure préalable, en cas de non respect des délais de remise des documents fixés au présent article.</w:t>
      </w:r>
    </w:p>
    <w:p w14:paraId="0D39B9CE" w14:textId="77777777" w:rsidR="00D03000" w:rsidRPr="005D5B0F" w:rsidRDefault="00000000">
      <w:pPr>
        <w:pStyle w:val="ParagrapheIndent3"/>
        <w:spacing w:after="240" w:line="232" w:lineRule="exact"/>
        <w:rPr>
          <w:rFonts w:ascii="Barlow" w:hAnsi="Barlow"/>
          <w:color w:val="000000"/>
          <w:sz w:val="18"/>
          <w:szCs w:val="22"/>
          <w:lang w:val="fr-FR"/>
        </w:rPr>
      </w:pPr>
      <w:r w:rsidRPr="005D5B0F">
        <w:rPr>
          <w:rFonts w:ascii="Barlow" w:hAnsi="Barlow"/>
          <w:color w:val="000000"/>
          <w:sz w:val="18"/>
          <w:szCs w:val="22"/>
          <w:lang w:val="fr-FR"/>
        </w:rPr>
        <w:t>Le titulaire doit respecter les dispositions de l'article L. 5212-1 à 4 du Code du travail sur l'emploi des travailleurs handicapés.</w:t>
      </w:r>
    </w:p>
    <w:p w14:paraId="7A99C6B6" w14:textId="77777777" w:rsidR="00D03000" w:rsidRPr="005D5B0F" w:rsidRDefault="00000000">
      <w:pPr>
        <w:pStyle w:val="Titre3"/>
        <w:ind w:left="560"/>
        <w:rPr>
          <w:rFonts w:ascii="Barlow" w:eastAsia="Trebuchet MS" w:hAnsi="Barlow" w:cs="Trebuchet MS"/>
          <w:color w:val="000000"/>
          <w:sz w:val="21"/>
          <w:szCs w:val="24"/>
          <w:lang w:val="fr-FR"/>
        </w:rPr>
      </w:pPr>
      <w:bookmarkStart w:id="68" w:name="ArtL3_CCAP-1-A16.28.4"/>
      <w:bookmarkStart w:id="69" w:name="_Toc256000034"/>
      <w:bookmarkEnd w:id="68"/>
      <w:r w:rsidRPr="005D5B0F">
        <w:rPr>
          <w:rFonts w:ascii="Barlow" w:eastAsia="Trebuchet MS" w:hAnsi="Barlow" w:cs="Trebuchet MS"/>
          <w:color w:val="000000"/>
          <w:sz w:val="21"/>
          <w:szCs w:val="24"/>
          <w:lang w:val="fr-FR"/>
        </w:rPr>
        <w:t>10.3.3 - Registre de chantier</w:t>
      </w:r>
      <w:bookmarkEnd w:id="69"/>
    </w:p>
    <w:p w14:paraId="78691AC4" w14:textId="77777777" w:rsidR="00D03000" w:rsidRPr="005D5B0F" w:rsidRDefault="00000000">
      <w:pPr>
        <w:pStyle w:val="ParagrapheIndent3"/>
        <w:spacing w:after="240"/>
        <w:rPr>
          <w:rFonts w:ascii="Barlow" w:hAnsi="Barlow"/>
          <w:color w:val="000000"/>
          <w:sz w:val="18"/>
          <w:szCs w:val="22"/>
          <w:lang w:val="fr-FR"/>
        </w:rPr>
      </w:pPr>
      <w:r w:rsidRPr="005D5B0F">
        <w:rPr>
          <w:rFonts w:ascii="Barlow" w:hAnsi="Barlow"/>
          <w:color w:val="000000"/>
          <w:sz w:val="18"/>
          <w:szCs w:val="22"/>
          <w:lang w:val="fr-FR"/>
        </w:rPr>
        <w:t>Il n'est pas prévu de registre de chantier.</w:t>
      </w:r>
    </w:p>
    <w:p w14:paraId="7334CB8F"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70" w:name="ArtL2_CCAP-1-A16.30"/>
      <w:bookmarkStart w:id="71" w:name="_Toc256000035"/>
      <w:bookmarkEnd w:id="70"/>
      <w:r w:rsidRPr="005D5B0F">
        <w:rPr>
          <w:rFonts w:ascii="Barlow" w:eastAsia="Trebuchet MS" w:hAnsi="Barlow" w:cs="Trebuchet MS"/>
          <w:i w:val="0"/>
          <w:color w:val="000000"/>
          <w:sz w:val="22"/>
          <w:szCs w:val="24"/>
          <w:lang w:val="fr-FR"/>
        </w:rPr>
        <w:t>10.4 - Etudes d'exécution</w:t>
      </w:r>
      <w:bookmarkEnd w:id="71"/>
    </w:p>
    <w:p w14:paraId="4B721E9D" w14:textId="77777777" w:rsidR="00D03000" w:rsidRPr="005D5B0F" w:rsidRDefault="00000000">
      <w:pPr>
        <w:pStyle w:val="ParagrapheIndent2"/>
        <w:spacing w:line="232" w:lineRule="exact"/>
        <w:rPr>
          <w:rFonts w:ascii="Barlow" w:hAnsi="Barlow"/>
          <w:color w:val="000000"/>
          <w:sz w:val="18"/>
          <w:szCs w:val="22"/>
          <w:lang w:val="fr-FR"/>
        </w:rPr>
        <w:sectPr w:rsidR="00D03000" w:rsidRPr="005D5B0F">
          <w:footerReference w:type="default" r:id="rId29"/>
          <w:pgSz w:w="11900" w:h="16840"/>
          <w:pgMar w:top="1140" w:right="1140" w:bottom="1140" w:left="1140" w:header="1140" w:footer="1140" w:gutter="0"/>
          <w:cols w:space="708"/>
        </w:sectPr>
      </w:pPr>
      <w:r w:rsidRPr="005D5B0F">
        <w:rPr>
          <w:rFonts w:ascii="Barlow" w:hAnsi="Barlow"/>
          <w:color w:val="000000"/>
          <w:sz w:val="18"/>
          <w:szCs w:val="22"/>
          <w:lang w:val="fr-FR"/>
        </w:rPr>
        <w:t>Les plans d'exécution des ouvrages et les spécifications techniques détaillées sont établis par le maître d'œuvre et remis gratuitement au titulaire.</w:t>
      </w:r>
    </w:p>
    <w:p w14:paraId="740D5C00"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72" w:name="ArtL2_CCAP-1-A16.32"/>
      <w:bookmarkStart w:id="73" w:name="_Toc256000036"/>
      <w:bookmarkEnd w:id="72"/>
      <w:r w:rsidRPr="005D5B0F">
        <w:rPr>
          <w:rFonts w:ascii="Barlow" w:eastAsia="Trebuchet MS" w:hAnsi="Barlow" w:cs="Trebuchet MS"/>
          <w:i w:val="0"/>
          <w:color w:val="000000"/>
          <w:sz w:val="22"/>
          <w:szCs w:val="24"/>
          <w:lang w:val="fr-FR"/>
        </w:rPr>
        <w:lastRenderedPageBreak/>
        <w:t>10.5 - Installation et organisation du chantier</w:t>
      </w:r>
      <w:bookmarkEnd w:id="73"/>
    </w:p>
    <w:p w14:paraId="3F8F6C94" w14:textId="77777777" w:rsidR="00D03000" w:rsidRPr="005D5B0F" w:rsidRDefault="00000000">
      <w:pPr>
        <w:pStyle w:val="Titre3"/>
        <w:ind w:left="560"/>
        <w:rPr>
          <w:rFonts w:ascii="Barlow" w:eastAsia="Trebuchet MS" w:hAnsi="Barlow" w:cs="Trebuchet MS"/>
          <w:color w:val="000000"/>
          <w:sz w:val="21"/>
          <w:szCs w:val="24"/>
          <w:lang w:val="fr-FR"/>
        </w:rPr>
      </w:pPr>
      <w:bookmarkStart w:id="74" w:name="ArtL3_CCAP-1-A16.32.1"/>
      <w:bookmarkStart w:id="75" w:name="_Toc256000037"/>
      <w:bookmarkEnd w:id="74"/>
      <w:r w:rsidRPr="005D5B0F">
        <w:rPr>
          <w:rFonts w:ascii="Barlow" w:eastAsia="Trebuchet MS" w:hAnsi="Barlow" w:cs="Trebuchet MS"/>
          <w:color w:val="000000"/>
          <w:sz w:val="21"/>
          <w:szCs w:val="24"/>
          <w:lang w:val="fr-FR"/>
        </w:rPr>
        <w:t>10.5.1 - Installation de chantier</w:t>
      </w:r>
      <w:bookmarkEnd w:id="75"/>
    </w:p>
    <w:p w14:paraId="7C4537EA" w14:textId="77777777" w:rsidR="00D03000" w:rsidRPr="005D5B0F" w:rsidRDefault="00000000">
      <w:pPr>
        <w:pStyle w:val="ParagrapheIndent3"/>
        <w:spacing w:line="232" w:lineRule="exact"/>
        <w:rPr>
          <w:rFonts w:ascii="Barlow" w:hAnsi="Barlow"/>
          <w:color w:val="000000"/>
          <w:sz w:val="18"/>
          <w:szCs w:val="22"/>
          <w:lang w:val="fr-FR"/>
        </w:rPr>
      </w:pPr>
      <w:r w:rsidRPr="005D5B0F">
        <w:rPr>
          <w:rFonts w:ascii="Barlow" w:hAnsi="Barlow"/>
          <w:color w:val="000000"/>
          <w:sz w:val="18"/>
          <w:szCs w:val="22"/>
          <w:lang w:val="fr-FR"/>
        </w:rPr>
        <w:t>Le titulaire supporte toutes les charges relatives à l'établissement et à l'entretien des installations de chantier dans les conditions suivantes :</w:t>
      </w:r>
    </w:p>
    <w:p w14:paraId="067EF729" w14:textId="77777777" w:rsidR="00D03000" w:rsidRPr="005D5B0F" w:rsidRDefault="00000000">
      <w:pPr>
        <w:pStyle w:val="ParagrapheIndent3"/>
        <w:spacing w:after="240" w:line="232" w:lineRule="exact"/>
        <w:rPr>
          <w:rFonts w:ascii="Barlow" w:hAnsi="Barlow"/>
          <w:color w:val="000000"/>
          <w:sz w:val="18"/>
          <w:szCs w:val="22"/>
          <w:lang w:val="fr-FR"/>
        </w:rPr>
      </w:pPr>
      <w:r w:rsidRPr="005D5B0F">
        <w:rPr>
          <w:rFonts w:ascii="Barlow" w:hAnsi="Barlow"/>
          <w:color w:val="000000"/>
          <w:sz w:val="18"/>
          <w:szCs w:val="22"/>
          <w:lang w:val="fr-FR"/>
        </w:rPr>
        <w:t>Les installations de chantier sont à la charge du Lot 0.</w:t>
      </w:r>
    </w:p>
    <w:p w14:paraId="4FDC89A1"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76" w:name="ArtL2_CCAP-1-A16.33"/>
      <w:bookmarkStart w:id="77" w:name="_Toc256000038"/>
      <w:bookmarkEnd w:id="76"/>
      <w:r w:rsidRPr="005D5B0F">
        <w:rPr>
          <w:rFonts w:ascii="Barlow" w:eastAsia="Trebuchet MS" w:hAnsi="Barlow" w:cs="Trebuchet MS"/>
          <w:i w:val="0"/>
          <w:color w:val="000000"/>
          <w:sz w:val="22"/>
          <w:szCs w:val="24"/>
          <w:lang w:val="fr-FR"/>
        </w:rPr>
        <w:t>10.6 - Dispositions particulières à l'achèvement du chantier</w:t>
      </w:r>
      <w:bookmarkEnd w:id="77"/>
    </w:p>
    <w:p w14:paraId="5A98C5FF" w14:textId="77777777" w:rsidR="00D03000" w:rsidRPr="005D5B0F" w:rsidRDefault="00000000">
      <w:pPr>
        <w:pStyle w:val="Titre3"/>
        <w:ind w:left="560"/>
        <w:rPr>
          <w:rFonts w:ascii="Barlow" w:eastAsia="Trebuchet MS" w:hAnsi="Barlow" w:cs="Trebuchet MS"/>
          <w:color w:val="000000"/>
          <w:sz w:val="21"/>
          <w:szCs w:val="24"/>
          <w:lang w:val="fr-FR"/>
        </w:rPr>
      </w:pPr>
      <w:bookmarkStart w:id="78" w:name="ArtL3_CCAP-1-A16.33.1"/>
      <w:bookmarkStart w:id="79" w:name="_Toc256000039"/>
      <w:bookmarkEnd w:id="78"/>
      <w:r w:rsidRPr="005D5B0F">
        <w:rPr>
          <w:rFonts w:ascii="Barlow" w:eastAsia="Trebuchet MS" w:hAnsi="Barlow" w:cs="Trebuchet MS"/>
          <w:color w:val="000000"/>
          <w:sz w:val="21"/>
          <w:szCs w:val="24"/>
          <w:lang w:val="fr-FR"/>
        </w:rPr>
        <w:t>10.6.1 - Gestion des déchets de chantier</w:t>
      </w:r>
      <w:bookmarkEnd w:id="79"/>
    </w:p>
    <w:p w14:paraId="31F09FAE" w14:textId="77777777" w:rsidR="00D03000" w:rsidRPr="005D5B0F" w:rsidRDefault="00000000">
      <w:pPr>
        <w:pStyle w:val="ParagrapheIndent3"/>
        <w:spacing w:line="232" w:lineRule="exact"/>
        <w:rPr>
          <w:rFonts w:ascii="Barlow" w:hAnsi="Barlow"/>
          <w:color w:val="000000"/>
          <w:sz w:val="18"/>
          <w:szCs w:val="22"/>
          <w:lang w:val="fr-FR"/>
        </w:rPr>
      </w:pPr>
      <w:r w:rsidRPr="005D5B0F">
        <w:rPr>
          <w:rFonts w:ascii="Barlow" w:hAnsi="Barlow"/>
          <w:color w:val="000000"/>
          <w:sz w:val="18"/>
          <w:szCs w:val="22"/>
          <w:lang w:val="fr-FR"/>
        </w:rPr>
        <w:t>La valorisation ou l'élimination des déchets créés par les travaux du contrat est de la responsabilité du maître de l'ouvrage en tant que "producteur" de déchets et du titulaire en tant que "détenteur" de déchets, pendant la durée du chantier.</w:t>
      </w:r>
    </w:p>
    <w:p w14:paraId="772A9A18" w14:textId="77777777" w:rsidR="00D03000" w:rsidRPr="005D5B0F" w:rsidRDefault="00D03000">
      <w:pPr>
        <w:pStyle w:val="ParagrapheIndent3"/>
        <w:spacing w:line="232" w:lineRule="exact"/>
        <w:rPr>
          <w:rFonts w:ascii="Barlow" w:hAnsi="Barlow"/>
          <w:color w:val="000000"/>
          <w:sz w:val="18"/>
          <w:szCs w:val="22"/>
          <w:lang w:val="fr-FR"/>
        </w:rPr>
      </w:pPr>
    </w:p>
    <w:p w14:paraId="38667A4A" w14:textId="77777777" w:rsidR="00D03000" w:rsidRPr="005D5B0F" w:rsidRDefault="00000000">
      <w:pPr>
        <w:pStyle w:val="ParagrapheIndent3"/>
        <w:spacing w:line="232" w:lineRule="exact"/>
        <w:rPr>
          <w:rFonts w:ascii="Barlow" w:hAnsi="Barlow"/>
          <w:color w:val="000000"/>
          <w:sz w:val="18"/>
          <w:szCs w:val="22"/>
          <w:lang w:val="fr-FR"/>
        </w:rPr>
      </w:pPr>
      <w:r w:rsidRPr="005D5B0F">
        <w:rPr>
          <w:rFonts w:ascii="Barlow" w:hAnsi="Barlow"/>
          <w:color w:val="000000"/>
          <w:sz w:val="18"/>
          <w:szCs w:val="22"/>
          <w:lang w:val="fr-FR"/>
        </w:rPr>
        <w:t>Toutefois, le titulaire reste "producteur" de ses déchets en ce qui concerne les emballages des produits qu'il met en œuvre et les chutes résultant de ses interventions. Le titulaire doit se conformer à la réglementation en vigueur quant à la collecte, au transport, au stockage et à l'évacuation de ses déchets. Il est également de sa responsabilité de fournir les éléments de leur traçabilité.</w:t>
      </w:r>
    </w:p>
    <w:p w14:paraId="4E6E2E31" w14:textId="77777777" w:rsidR="00D03000" w:rsidRPr="005D5B0F" w:rsidRDefault="00D03000">
      <w:pPr>
        <w:pStyle w:val="ParagrapheIndent3"/>
        <w:spacing w:line="232" w:lineRule="exact"/>
        <w:rPr>
          <w:rFonts w:ascii="Barlow" w:hAnsi="Barlow"/>
          <w:color w:val="000000"/>
          <w:sz w:val="18"/>
          <w:szCs w:val="22"/>
          <w:lang w:val="fr-FR"/>
        </w:rPr>
      </w:pPr>
    </w:p>
    <w:p w14:paraId="73EEE850" w14:textId="77777777" w:rsidR="00D03000" w:rsidRPr="005D5B0F" w:rsidRDefault="00D03000">
      <w:pPr>
        <w:pStyle w:val="ParagrapheIndent3"/>
        <w:spacing w:after="240" w:line="232" w:lineRule="exact"/>
        <w:rPr>
          <w:rFonts w:ascii="Barlow" w:hAnsi="Barlow"/>
          <w:color w:val="000000"/>
          <w:sz w:val="18"/>
          <w:szCs w:val="22"/>
          <w:lang w:val="fr-FR"/>
        </w:rPr>
      </w:pPr>
    </w:p>
    <w:p w14:paraId="2F532F16" w14:textId="77777777" w:rsidR="00D03000" w:rsidRPr="005D5B0F" w:rsidRDefault="00000000">
      <w:pPr>
        <w:pStyle w:val="Titre3"/>
        <w:ind w:left="560"/>
        <w:rPr>
          <w:rFonts w:ascii="Barlow" w:eastAsia="Trebuchet MS" w:hAnsi="Barlow" w:cs="Trebuchet MS"/>
          <w:color w:val="000000"/>
          <w:sz w:val="21"/>
          <w:szCs w:val="24"/>
          <w:lang w:val="fr-FR"/>
        </w:rPr>
      </w:pPr>
      <w:bookmarkStart w:id="80" w:name="ArtL3_CCAP-1-A16.33.2"/>
      <w:bookmarkStart w:id="81" w:name="_Toc256000040"/>
      <w:bookmarkEnd w:id="80"/>
      <w:r w:rsidRPr="005D5B0F">
        <w:rPr>
          <w:rFonts w:ascii="Barlow" w:eastAsia="Trebuchet MS" w:hAnsi="Barlow" w:cs="Trebuchet MS"/>
          <w:color w:val="000000"/>
          <w:sz w:val="21"/>
          <w:szCs w:val="24"/>
          <w:lang w:val="fr-FR"/>
        </w:rPr>
        <w:t>10.6.2 - Repliement des installations de chantier et remise en état des lieux</w:t>
      </w:r>
      <w:bookmarkEnd w:id="81"/>
    </w:p>
    <w:p w14:paraId="254239BB" w14:textId="77777777" w:rsidR="00D03000" w:rsidRPr="005D5B0F" w:rsidRDefault="00000000">
      <w:pPr>
        <w:pStyle w:val="ParagrapheIndent3"/>
        <w:spacing w:after="240" w:line="232" w:lineRule="exact"/>
        <w:rPr>
          <w:rFonts w:ascii="Barlow" w:hAnsi="Barlow"/>
          <w:color w:val="000000"/>
          <w:sz w:val="18"/>
          <w:szCs w:val="22"/>
          <w:lang w:val="fr-FR"/>
        </w:rPr>
      </w:pPr>
      <w:r w:rsidRPr="005D5B0F">
        <w:rPr>
          <w:rFonts w:ascii="Barlow" w:hAnsi="Barlow"/>
          <w:color w:val="000000"/>
          <w:sz w:val="18"/>
          <w:szCs w:val="22"/>
          <w:lang w:val="fr-FR"/>
        </w:rPr>
        <w:t>Le repliement des installations de chantier et la remise en état des terrains et des lieux sont compris dans le délai d'exécution. A la fin des travaux, chaque titulaire doit donc avoir fini de procéder au dégagement, nettoiement et remise en état des emplacements qui auront été occupés par le chantier.</w:t>
      </w:r>
    </w:p>
    <w:p w14:paraId="78AD937F" w14:textId="77777777" w:rsidR="00D03000" w:rsidRPr="005D5B0F" w:rsidRDefault="00000000">
      <w:pPr>
        <w:pStyle w:val="Titre3"/>
        <w:ind w:left="560"/>
        <w:rPr>
          <w:rFonts w:ascii="Barlow" w:eastAsia="Trebuchet MS" w:hAnsi="Barlow" w:cs="Trebuchet MS"/>
          <w:color w:val="000000"/>
          <w:sz w:val="21"/>
          <w:szCs w:val="24"/>
          <w:lang w:val="fr-FR"/>
        </w:rPr>
      </w:pPr>
      <w:bookmarkStart w:id="82" w:name="ArtL3_CCAP-1-A16.33.3"/>
      <w:bookmarkStart w:id="83" w:name="_Toc256000041"/>
      <w:bookmarkEnd w:id="82"/>
      <w:r w:rsidRPr="005D5B0F">
        <w:rPr>
          <w:rFonts w:ascii="Barlow" w:eastAsia="Trebuchet MS" w:hAnsi="Barlow" w:cs="Trebuchet MS"/>
          <w:color w:val="000000"/>
          <w:sz w:val="21"/>
          <w:szCs w:val="24"/>
          <w:lang w:val="fr-FR"/>
        </w:rPr>
        <w:t>10.6.3 - Documents à fournir après exécution</w:t>
      </w:r>
      <w:bookmarkEnd w:id="83"/>
    </w:p>
    <w:p w14:paraId="360063CD" w14:textId="77777777" w:rsidR="00D03000" w:rsidRPr="005D5B0F" w:rsidRDefault="00000000">
      <w:pPr>
        <w:pStyle w:val="ParagrapheIndent3"/>
        <w:spacing w:line="232" w:lineRule="exact"/>
        <w:rPr>
          <w:rFonts w:ascii="Barlow" w:hAnsi="Barlow"/>
          <w:color w:val="000000"/>
          <w:sz w:val="18"/>
          <w:szCs w:val="22"/>
          <w:lang w:val="fr-FR"/>
        </w:rPr>
      </w:pPr>
      <w:r w:rsidRPr="005D5B0F">
        <w:rPr>
          <w:rFonts w:ascii="Barlow" w:hAnsi="Barlow"/>
          <w:color w:val="000000"/>
          <w:sz w:val="18"/>
          <w:szCs w:val="22"/>
          <w:lang w:val="fr-FR"/>
        </w:rPr>
        <w:t>Le titulaire doit remettre au maître d'oeuvre les documents prévus à l'article 40 du CCAG-Travaux.</w:t>
      </w:r>
    </w:p>
    <w:p w14:paraId="48018245" w14:textId="77777777" w:rsidR="00D03000" w:rsidRPr="005D5B0F" w:rsidRDefault="00000000">
      <w:pPr>
        <w:pStyle w:val="ParagrapheIndent3"/>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CEF5FE3" w14:textId="77777777" w:rsidR="00D03000" w:rsidRPr="005D5B0F" w:rsidRDefault="00000000">
      <w:pPr>
        <w:pStyle w:val="ParagrapheIndent3"/>
        <w:spacing w:line="232" w:lineRule="exact"/>
        <w:rPr>
          <w:rFonts w:ascii="Barlow" w:hAnsi="Barlow"/>
          <w:color w:val="000000"/>
          <w:sz w:val="18"/>
          <w:szCs w:val="22"/>
          <w:lang w:val="fr-FR"/>
        </w:rPr>
      </w:pPr>
      <w:r w:rsidRPr="005D5B0F">
        <w:rPr>
          <w:rFonts w:ascii="Barlow" w:hAnsi="Barlow"/>
          <w:color w:val="000000"/>
          <w:sz w:val="18"/>
          <w:szCs w:val="22"/>
          <w:lang w:val="fr-FR"/>
        </w:rPr>
        <w:t>Voir en annexe la liste exhaustive des documents que doivent comporter les DOE.</w:t>
      </w:r>
    </w:p>
    <w:p w14:paraId="063E8AF8" w14:textId="77777777" w:rsidR="00D03000" w:rsidRPr="005D5B0F" w:rsidRDefault="00D03000">
      <w:pPr>
        <w:pStyle w:val="ParagrapheIndent3"/>
        <w:spacing w:line="232" w:lineRule="exact"/>
        <w:rPr>
          <w:rFonts w:ascii="Barlow" w:hAnsi="Barlow"/>
          <w:color w:val="000000"/>
          <w:sz w:val="18"/>
          <w:szCs w:val="22"/>
          <w:lang w:val="fr-FR"/>
        </w:rPr>
      </w:pPr>
    </w:p>
    <w:p w14:paraId="2865F72E" w14:textId="77777777" w:rsidR="00D03000" w:rsidRPr="005D5B0F" w:rsidRDefault="00D03000">
      <w:pPr>
        <w:pStyle w:val="ParagrapheIndent3"/>
        <w:spacing w:line="232" w:lineRule="exact"/>
        <w:rPr>
          <w:rFonts w:ascii="Barlow" w:hAnsi="Barlow"/>
          <w:color w:val="000000"/>
          <w:sz w:val="18"/>
          <w:szCs w:val="22"/>
          <w:lang w:val="fr-FR"/>
        </w:rPr>
      </w:pPr>
    </w:p>
    <w:p w14:paraId="6AC86431" w14:textId="77777777" w:rsidR="00D03000" w:rsidRPr="005D5B0F" w:rsidRDefault="00D03000">
      <w:pPr>
        <w:pStyle w:val="ParagrapheIndent3"/>
        <w:spacing w:after="240" w:line="232" w:lineRule="exact"/>
        <w:rPr>
          <w:rFonts w:ascii="Barlow" w:hAnsi="Barlow"/>
          <w:color w:val="000000"/>
          <w:sz w:val="18"/>
          <w:szCs w:val="22"/>
          <w:lang w:val="fr-FR"/>
        </w:rPr>
      </w:pPr>
    </w:p>
    <w:p w14:paraId="24B8ACC1" w14:textId="77777777" w:rsidR="00D03000" w:rsidRPr="005D5B0F" w:rsidRDefault="00000000">
      <w:pPr>
        <w:pStyle w:val="ParagrapheIndent3"/>
        <w:spacing w:line="232" w:lineRule="exact"/>
        <w:rPr>
          <w:rFonts w:ascii="Barlow" w:hAnsi="Barlow"/>
          <w:color w:val="000000"/>
          <w:sz w:val="18"/>
          <w:szCs w:val="22"/>
          <w:lang w:val="fr-FR"/>
        </w:rPr>
      </w:pPr>
      <w:r w:rsidRPr="005D5B0F">
        <w:rPr>
          <w:rFonts w:ascii="Barlow" w:hAnsi="Barlow"/>
          <w:color w:val="000000"/>
          <w:sz w:val="18"/>
          <w:szCs w:val="22"/>
          <w:lang w:val="fr-FR"/>
        </w:rPr>
        <w:t>Aucun format numérique n'est préconisé pour la remise de ces documents. Cependant, chaque document doit être remis dans un format largement disponible et exploitable par le maître d'œuvre et le maître d'ouvrage.</w:t>
      </w:r>
    </w:p>
    <w:p w14:paraId="5BC832D1" w14:textId="77777777" w:rsidR="00D03000" w:rsidRPr="005D5B0F" w:rsidRDefault="00D03000">
      <w:pPr>
        <w:pStyle w:val="ParagrapheIndent3"/>
        <w:spacing w:after="240" w:line="232" w:lineRule="exact"/>
        <w:rPr>
          <w:rFonts w:ascii="Barlow" w:hAnsi="Barlow"/>
          <w:color w:val="000000"/>
          <w:sz w:val="18"/>
          <w:szCs w:val="22"/>
          <w:lang w:val="fr-FR"/>
        </w:rPr>
      </w:pPr>
    </w:p>
    <w:p w14:paraId="2A525970" w14:textId="77777777" w:rsidR="00D03000" w:rsidRPr="005D5B0F" w:rsidRDefault="00000000">
      <w:pPr>
        <w:pStyle w:val="ParagrapheIndent3"/>
        <w:spacing w:after="240" w:line="232" w:lineRule="exact"/>
        <w:rPr>
          <w:rFonts w:ascii="Barlow" w:hAnsi="Barlow"/>
          <w:color w:val="000000"/>
          <w:sz w:val="18"/>
          <w:szCs w:val="22"/>
          <w:lang w:val="fr-FR"/>
        </w:rPr>
      </w:pPr>
      <w:r w:rsidRPr="005D5B0F">
        <w:rPr>
          <w:rFonts w:ascii="Barlow" w:hAnsi="Barlow"/>
          <w:color w:val="000000"/>
          <w:sz w:val="18"/>
          <w:szCs w:val="22"/>
          <w:lang w:val="fr-FR"/>
        </w:rPr>
        <w:t>Un exemplaire du dossier des ouvrages exécutés est remis au coordonnateur SPS pour assurer la cohérence avec le Dossier d'Intervention Ultérieure sur les Ouvrages (DIUO).</w:t>
      </w:r>
    </w:p>
    <w:p w14:paraId="343DEB8A" w14:textId="77777777" w:rsidR="00D03000" w:rsidRPr="005D5B0F" w:rsidRDefault="00000000">
      <w:pPr>
        <w:pStyle w:val="ParagrapheIndent3"/>
        <w:spacing w:after="240" w:line="232" w:lineRule="exact"/>
        <w:rPr>
          <w:rFonts w:ascii="Barlow" w:hAnsi="Barlow"/>
          <w:color w:val="000000"/>
          <w:sz w:val="18"/>
          <w:szCs w:val="22"/>
          <w:lang w:val="fr-FR"/>
        </w:rPr>
      </w:pPr>
      <w:r w:rsidRPr="005D5B0F">
        <w:rPr>
          <w:rFonts w:ascii="Barlow" w:hAnsi="Barlow"/>
          <w:color w:val="000000"/>
          <w:sz w:val="18"/>
          <w:szCs w:val="22"/>
          <w:lang w:val="fr-FR"/>
        </w:rPr>
        <w:t>En cas de retard dans la remise des plans et autres documents à fournir après exécution par les titulaires, une pénalité égale à 200,00 € par jour de retard est appliquée sur les sommes dues aux titulaires.</w:t>
      </w:r>
    </w:p>
    <w:p w14:paraId="4681DC68"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84" w:name="ArtL1_CCAP-1-A17"/>
      <w:bookmarkStart w:id="85" w:name="_Toc256000042"/>
      <w:bookmarkEnd w:id="84"/>
      <w:r w:rsidRPr="005D5B0F">
        <w:rPr>
          <w:rFonts w:ascii="Barlow" w:eastAsia="Trebuchet MS" w:hAnsi="Barlow" w:cs="Trebuchet MS"/>
          <w:color w:val="FFFFFF"/>
          <w:sz w:val="24"/>
          <w:szCs w:val="28"/>
          <w:lang w:val="fr-FR"/>
        </w:rPr>
        <w:t>11 - Développement durable</w:t>
      </w:r>
      <w:bookmarkEnd w:id="85"/>
    </w:p>
    <w:p w14:paraId="7EF1625C"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0D5768CC" w14:textId="77777777" w:rsidR="00D03000" w:rsidRPr="005D5B0F" w:rsidRDefault="00000000">
      <w:pPr>
        <w:pStyle w:val="ParagrapheIndent1"/>
        <w:rPr>
          <w:rFonts w:ascii="Barlow" w:hAnsi="Barlow"/>
          <w:color w:val="000000"/>
          <w:sz w:val="18"/>
          <w:szCs w:val="22"/>
          <w:lang w:val="fr-FR"/>
        </w:rPr>
        <w:sectPr w:rsidR="00D03000" w:rsidRPr="005D5B0F">
          <w:footerReference w:type="default" r:id="rId30"/>
          <w:pgSz w:w="11900" w:h="16840"/>
          <w:pgMar w:top="1140" w:right="1140" w:bottom="1140" w:left="1140" w:header="1140" w:footer="1140" w:gutter="0"/>
          <w:cols w:space="708"/>
        </w:sectPr>
      </w:pPr>
      <w:r w:rsidRPr="005D5B0F">
        <w:rPr>
          <w:rFonts w:ascii="Barlow" w:hAnsi="Barlow"/>
          <w:color w:val="000000"/>
          <w:sz w:val="18"/>
          <w:szCs w:val="22"/>
          <w:lang w:val="fr-FR"/>
        </w:rPr>
        <w:t>Il n'est prévu aucune obligation environnementale dans l'exécution du contrat.</w:t>
      </w:r>
    </w:p>
    <w:p w14:paraId="6D5C19DF"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86" w:name="ArtL1_CCAP-1-A22"/>
      <w:bookmarkStart w:id="87" w:name="_Toc256000043"/>
      <w:bookmarkEnd w:id="86"/>
      <w:r w:rsidRPr="005D5B0F">
        <w:rPr>
          <w:rFonts w:ascii="Barlow" w:eastAsia="Trebuchet MS" w:hAnsi="Barlow" w:cs="Trebuchet MS"/>
          <w:color w:val="FFFFFF"/>
          <w:sz w:val="24"/>
          <w:szCs w:val="28"/>
          <w:lang w:val="fr-FR"/>
        </w:rPr>
        <w:lastRenderedPageBreak/>
        <w:t>12 - Réception</w:t>
      </w:r>
      <w:bookmarkEnd w:id="87"/>
    </w:p>
    <w:p w14:paraId="01596FF5"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5F28CBB7"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88" w:name="ArtL2_CCAP-1-A22.1"/>
      <w:bookmarkStart w:id="89" w:name="_Toc256000044"/>
      <w:bookmarkEnd w:id="88"/>
      <w:r w:rsidRPr="005D5B0F">
        <w:rPr>
          <w:rFonts w:ascii="Barlow" w:eastAsia="Trebuchet MS" w:hAnsi="Barlow" w:cs="Trebuchet MS"/>
          <w:i w:val="0"/>
          <w:color w:val="000000"/>
          <w:sz w:val="22"/>
          <w:szCs w:val="24"/>
          <w:lang w:val="fr-FR"/>
        </w:rPr>
        <w:t>12.1 - Réception des travaux</w:t>
      </w:r>
      <w:bookmarkEnd w:id="89"/>
    </w:p>
    <w:p w14:paraId="3B1C10C9" w14:textId="77777777" w:rsidR="00D03000" w:rsidRPr="005D5B0F" w:rsidRDefault="00000000">
      <w:pPr>
        <w:pStyle w:val="Titre3"/>
        <w:ind w:left="560"/>
        <w:rPr>
          <w:rFonts w:ascii="Barlow" w:eastAsia="Trebuchet MS" w:hAnsi="Barlow" w:cs="Trebuchet MS"/>
          <w:color w:val="000000"/>
          <w:sz w:val="21"/>
          <w:szCs w:val="24"/>
          <w:lang w:val="fr-FR"/>
        </w:rPr>
      </w:pPr>
      <w:bookmarkStart w:id="90" w:name="ArtL3_CCAP-1-A22.1.1"/>
      <w:bookmarkStart w:id="91" w:name="_Toc256000045"/>
      <w:bookmarkEnd w:id="90"/>
      <w:r w:rsidRPr="005D5B0F">
        <w:rPr>
          <w:rFonts w:ascii="Barlow" w:eastAsia="Trebuchet MS" w:hAnsi="Barlow" w:cs="Trebuchet MS"/>
          <w:color w:val="000000"/>
          <w:sz w:val="21"/>
          <w:szCs w:val="24"/>
          <w:lang w:val="fr-FR"/>
        </w:rPr>
        <w:t>12.1.1 - Dispositions applicables à la réception</w:t>
      </w:r>
      <w:bookmarkEnd w:id="91"/>
    </w:p>
    <w:p w14:paraId="3EBCC423" w14:textId="77777777" w:rsidR="00D03000" w:rsidRPr="005D5B0F" w:rsidRDefault="00000000">
      <w:pPr>
        <w:pStyle w:val="ParagrapheIndent3"/>
        <w:spacing w:line="232" w:lineRule="exact"/>
        <w:rPr>
          <w:rFonts w:ascii="Barlow" w:hAnsi="Barlow"/>
          <w:color w:val="000000"/>
          <w:sz w:val="18"/>
          <w:szCs w:val="22"/>
          <w:lang w:val="fr-FR"/>
        </w:rPr>
      </w:pPr>
      <w:r w:rsidRPr="005D5B0F">
        <w:rPr>
          <w:rFonts w:ascii="Barlow" w:hAnsi="Barlow"/>
          <w:color w:val="000000"/>
          <w:sz w:val="18"/>
          <w:szCs w:val="22"/>
          <w:lang w:val="fr-FR"/>
        </w:rPr>
        <w:t>La réception a lieu à l'achèvement de l'ensemble des travaux du marché dans les conditions de l'article 41 du CCAG-Travaux.</w:t>
      </w:r>
    </w:p>
    <w:p w14:paraId="6ABD59BD" w14:textId="77777777" w:rsidR="00D03000" w:rsidRPr="005D5B0F" w:rsidRDefault="00D03000">
      <w:pPr>
        <w:pStyle w:val="ParagrapheIndent3"/>
        <w:spacing w:line="232" w:lineRule="exact"/>
        <w:rPr>
          <w:rFonts w:ascii="Barlow" w:hAnsi="Barlow"/>
          <w:color w:val="000000"/>
          <w:sz w:val="18"/>
          <w:szCs w:val="22"/>
          <w:lang w:val="fr-FR"/>
        </w:rPr>
      </w:pPr>
    </w:p>
    <w:p w14:paraId="7D289E7E" w14:textId="77777777" w:rsidR="00D03000" w:rsidRPr="005D5B0F" w:rsidRDefault="00000000">
      <w:pPr>
        <w:pStyle w:val="ParagrapheIndent3"/>
        <w:spacing w:after="240" w:line="232" w:lineRule="exact"/>
        <w:rPr>
          <w:rFonts w:ascii="Barlow" w:hAnsi="Barlow"/>
          <w:color w:val="000000"/>
          <w:sz w:val="18"/>
          <w:szCs w:val="22"/>
          <w:lang w:val="fr-FR"/>
        </w:rPr>
      </w:pPr>
      <w:r w:rsidRPr="005D5B0F">
        <w:rPr>
          <w:rFonts w:ascii="Barlow" w:hAnsi="Barlow"/>
          <w:color w:val="000000"/>
          <w:sz w:val="18"/>
          <w:szCs w:val="22"/>
          <w:lang w:val="fr-FR"/>
        </w:rPr>
        <w:t>Le titulaire avise le pouvoir adjudicateur et le maître d'œuvre de la date à laquelle ses travaux sont ou seront considérés comme achevés ; le maître d'œuvre aura alors à charge de provoquer les opérations de réception.</w:t>
      </w:r>
    </w:p>
    <w:p w14:paraId="1A554B20" w14:textId="77777777" w:rsidR="00D03000" w:rsidRPr="005D5B0F" w:rsidRDefault="00000000">
      <w:pPr>
        <w:pStyle w:val="Titre3"/>
        <w:ind w:left="560"/>
        <w:rPr>
          <w:rFonts w:ascii="Barlow" w:eastAsia="Trebuchet MS" w:hAnsi="Barlow" w:cs="Trebuchet MS"/>
          <w:color w:val="000000"/>
          <w:sz w:val="21"/>
          <w:szCs w:val="24"/>
          <w:lang w:val="fr-FR"/>
        </w:rPr>
      </w:pPr>
      <w:bookmarkStart w:id="92" w:name="ArtL3_CCAP-1-A22.1.2"/>
      <w:bookmarkStart w:id="93" w:name="_Toc256000046"/>
      <w:bookmarkEnd w:id="92"/>
      <w:r w:rsidRPr="005D5B0F">
        <w:rPr>
          <w:rFonts w:ascii="Barlow" w:eastAsia="Trebuchet MS" w:hAnsi="Barlow" w:cs="Trebuchet MS"/>
          <w:color w:val="000000"/>
          <w:sz w:val="21"/>
          <w:szCs w:val="24"/>
          <w:lang w:val="fr-FR"/>
        </w:rPr>
        <w:t>12.1.2 - Réception partielle</w:t>
      </w:r>
      <w:bookmarkEnd w:id="93"/>
    </w:p>
    <w:p w14:paraId="552FCE22" w14:textId="77777777" w:rsidR="00D03000" w:rsidRPr="005D5B0F" w:rsidRDefault="00000000">
      <w:pPr>
        <w:pStyle w:val="ParagrapheIndent3"/>
        <w:spacing w:line="232" w:lineRule="exact"/>
        <w:rPr>
          <w:rFonts w:ascii="Barlow" w:hAnsi="Barlow"/>
          <w:color w:val="000000"/>
          <w:sz w:val="18"/>
          <w:szCs w:val="22"/>
          <w:lang w:val="fr-FR"/>
        </w:rPr>
      </w:pPr>
      <w:r w:rsidRPr="005D5B0F">
        <w:rPr>
          <w:rFonts w:ascii="Barlow" w:hAnsi="Barlow"/>
          <w:color w:val="000000"/>
          <w:sz w:val="18"/>
          <w:szCs w:val="22"/>
          <w:lang w:val="fr-FR"/>
        </w:rPr>
        <w:t>La réception partielle des ouvrages ou parties d'ouvrages est réalisée conformément aux dispositions de l'article 42 du CCAG-Travaux.</w:t>
      </w:r>
    </w:p>
    <w:p w14:paraId="2603E171" w14:textId="77777777" w:rsidR="00D03000" w:rsidRPr="005D5B0F" w:rsidRDefault="00D03000">
      <w:pPr>
        <w:pStyle w:val="ParagrapheIndent3"/>
        <w:spacing w:line="232" w:lineRule="exact"/>
        <w:rPr>
          <w:rFonts w:ascii="Barlow" w:hAnsi="Barlow"/>
          <w:color w:val="000000"/>
          <w:sz w:val="18"/>
          <w:szCs w:val="22"/>
          <w:lang w:val="fr-FR"/>
        </w:rPr>
      </w:pPr>
    </w:p>
    <w:p w14:paraId="7DEC85E3" w14:textId="0E3F4723" w:rsidR="00D03000" w:rsidRPr="005D5B0F" w:rsidRDefault="00000000">
      <w:pPr>
        <w:pStyle w:val="ParagrapheIndent3"/>
        <w:spacing w:after="240" w:line="232" w:lineRule="exact"/>
        <w:rPr>
          <w:rFonts w:ascii="Barlow" w:hAnsi="Barlow"/>
          <w:color w:val="000000"/>
          <w:sz w:val="18"/>
          <w:szCs w:val="22"/>
          <w:lang w:val="fr-FR"/>
        </w:rPr>
      </w:pPr>
      <w:r w:rsidRPr="005D5B0F">
        <w:rPr>
          <w:rFonts w:ascii="Barlow" w:hAnsi="Barlow"/>
          <w:color w:val="000000"/>
          <w:sz w:val="18"/>
          <w:szCs w:val="22"/>
          <w:lang w:val="fr-FR"/>
        </w:rPr>
        <w:t>Les travaux se déroulant en tranches successives, il est prévu</w:t>
      </w:r>
      <w:r w:rsidR="00701F8C" w:rsidRPr="005D5B0F">
        <w:rPr>
          <w:rFonts w:ascii="Barlow" w:hAnsi="Barlow"/>
          <w:color w:val="000000"/>
          <w:sz w:val="18"/>
          <w:szCs w:val="22"/>
          <w:lang w:val="fr-FR"/>
        </w:rPr>
        <w:t xml:space="preserve"> </w:t>
      </w:r>
      <w:r w:rsidRPr="005D5B0F">
        <w:rPr>
          <w:rFonts w:ascii="Barlow" w:hAnsi="Barlow"/>
          <w:color w:val="000000"/>
          <w:sz w:val="18"/>
          <w:szCs w:val="22"/>
          <w:lang w:val="fr-FR"/>
        </w:rPr>
        <w:t>plusieurs réceptions partielles dans le phasage.</w:t>
      </w:r>
    </w:p>
    <w:p w14:paraId="75D94D7F"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94" w:name="ArtL1_CCAP-1-A24"/>
      <w:bookmarkStart w:id="95" w:name="_Toc256000047"/>
      <w:bookmarkEnd w:id="94"/>
      <w:r w:rsidRPr="005D5B0F">
        <w:rPr>
          <w:rFonts w:ascii="Barlow" w:eastAsia="Trebuchet MS" w:hAnsi="Barlow" w:cs="Trebuchet MS"/>
          <w:color w:val="FFFFFF"/>
          <w:sz w:val="24"/>
          <w:szCs w:val="28"/>
          <w:lang w:val="fr-FR"/>
        </w:rPr>
        <w:t>13 - Garantie des prestations</w:t>
      </w:r>
      <w:bookmarkEnd w:id="95"/>
    </w:p>
    <w:p w14:paraId="2C7F00E4"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1F51F921" w14:textId="77777777" w:rsidR="00D03000" w:rsidRPr="005D5B0F" w:rsidRDefault="00000000">
      <w:pPr>
        <w:pStyle w:val="ParagrapheIndent1"/>
        <w:spacing w:after="240" w:line="232" w:lineRule="exact"/>
        <w:rPr>
          <w:rFonts w:ascii="Barlow" w:hAnsi="Barlow"/>
          <w:color w:val="000000"/>
          <w:sz w:val="18"/>
          <w:szCs w:val="22"/>
          <w:lang w:val="fr-FR"/>
        </w:rPr>
      </w:pPr>
      <w:r w:rsidRPr="005D5B0F">
        <w:rPr>
          <w:rFonts w:ascii="Barlow" w:hAnsi="Barlow"/>
          <w:color w:val="000000"/>
          <w:sz w:val="18"/>
          <w:szCs w:val="22"/>
          <w:lang w:val="fr-FR"/>
        </w:rPr>
        <w:t>Les travaux feront l'objet d'une garantie de parfait achèvement de 1 an dont le point de départ est la date de réception des travaux. Les modalités de cette garantie sont définies à l'article 44.1 du CCAG-Travaux.</w:t>
      </w:r>
    </w:p>
    <w:p w14:paraId="26CF39B6" w14:textId="77777777" w:rsidR="00D03000" w:rsidRPr="005D5B0F" w:rsidRDefault="00000000">
      <w:pPr>
        <w:pStyle w:val="ParagrapheIndent1"/>
        <w:spacing w:after="240" w:line="232" w:lineRule="exact"/>
        <w:rPr>
          <w:rFonts w:ascii="Barlow" w:hAnsi="Barlow"/>
          <w:color w:val="000000"/>
          <w:sz w:val="18"/>
          <w:szCs w:val="22"/>
          <w:lang w:val="fr-FR"/>
        </w:rPr>
      </w:pPr>
      <w:r w:rsidRPr="005D5B0F">
        <w:rPr>
          <w:rFonts w:ascii="Barlow" w:hAnsi="Barlow"/>
          <w:color w:val="000000"/>
          <w:sz w:val="18"/>
          <w:szCs w:val="22"/>
          <w:lang w:val="fr-FR"/>
        </w:rPr>
        <w:t>Le délai de garantie des ouvrages ou parties d'ouvrages qui font l'objet d'une réception partielle court à compter de la date d'effet de cette réception partielle.</w:t>
      </w:r>
    </w:p>
    <w:p w14:paraId="76E5C2F8"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96" w:name="ArtL1_CCAP-1-A31"/>
      <w:bookmarkStart w:id="97" w:name="_Toc256000048"/>
      <w:bookmarkEnd w:id="96"/>
      <w:r w:rsidRPr="005D5B0F">
        <w:rPr>
          <w:rFonts w:ascii="Barlow" w:eastAsia="Trebuchet MS" w:hAnsi="Barlow" w:cs="Trebuchet MS"/>
          <w:color w:val="FFFFFF"/>
          <w:sz w:val="24"/>
          <w:szCs w:val="28"/>
          <w:lang w:val="fr-FR"/>
        </w:rPr>
        <w:t>14 - Pénalités</w:t>
      </w:r>
      <w:bookmarkEnd w:id="97"/>
    </w:p>
    <w:p w14:paraId="6775ABB6"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28495C7B"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98" w:name="ArtL2_CCAP-1-A31.1"/>
      <w:bookmarkStart w:id="99" w:name="_Toc256000049"/>
      <w:bookmarkEnd w:id="98"/>
      <w:r w:rsidRPr="005D5B0F">
        <w:rPr>
          <w:rFonts w:ascii="Barlow" w:eastAsia="Trebuchet MS" w:hAnsi="Barlow" w:cs="Trebuchet MS"/>
          <w:i w:val="0"/>
          <w:color w:val="000000"/>
          <w:sz w:val="22"/>
          <w:szCs w:val="24"/>
          <w:lang w:val="fr-FR"/>
        </w:rPr>
        <w:t>14.1 - Pénalités de retard</w:t>
      </w:r>
      <w:bookmarkEnd w:id="99"/>
    </w:p>
    <w:p w14:paraId="216D9BB9" w14:textId="77777777"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Lorsque le délai contractuel d'exécution ou de livraison est dépassé, par le fait du titulaire, celui-ci encourt, par jour de retard, une pénalité fixée à 300,00 €.</w:t>
      </w:r>
    </w:p>
    <w:p w14:paraId="04FBD52A"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Par dérogation à l'article 19.2.1 et 19.2.2 du CCAG-Travaux 2021, il n'est prévu aucune exonération à l'application des pénalités de retard.</w:t>
      </w:r>
    </w:p>
    <w:p w14:paraId="4C2D4E46"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Par dérogation à l’article 19.2 4 CCAG travaux 2021, les pénalités seront appliquées sur simple constat du maitre d’œuvre.</w:t>
      </w:r>
    </w:p>
    <w:p w14:paraId="4429D177" w14:textId="77777777" w:rsidR="00701F8C"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 </w:t>
      </w:r>
    </w:p>
    <w:p w14:paraId="605022F5" w14:textId="383E2BF9"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 xml:space="preserve">Le titulaire subira également, en cas de </w:t>
      </w:r>
      <w:r w:rsidR="00701F8C" w:rsidRPr="005D5B0F">
        <w:rPr>
          <w:rFonts w:ascii="Barlow" w:hAnsi="Barlow"/>
          <w:color w:val="000000"/>
          <w:sz w:val="18"/>
          <w:szCs w:val="22"/>
          <w:lang w:val="fr-FR"/>
        </w:rPr>
        <w:t>non-respect</w:t>
      </w:r>
      <w:r w:rsidRPr="005D5B0F">
        <w:rPr>
          <w:rFonts w:ascii="Barlow" w:hAnsi="Barlow"/>
          <w:color w:val="000000"/>
          <w:sz w:val="18"/>
          <w:szCs w:val="22"/>
          <w:lang w:val="fr-FR"/>
        </w:rPr>
        <w:t xml:space="preserve"> du délai contractuel d'exécution ou de livraison, une pénalité forfaitaire de 300,00 €.</w:t>
      </w:r>
    </w:p>
    <w:p w14:paraId="7D59FB06" w14:textId="77777777" w:rsidR="00D03000" w:rsidRPr="005D5B0F" w:rsidRDefault="00000000">
      <w:pPr>
        <w:pStyle w:val="ParagrapheIndent2"/>
        <w:spacing w:after="240"/>
        <w:rPr>
          <w:rFonts w:ascii="Barlow" w:hAnsi="Barlow"/>
          <w:color w:val="000000"/>
          <w:sz w:val="18"/>
          <w:szCs w:val="22"/>
          <w:lang w:val="fr-FR"/>
        </w:rPr>
      </w:pPr>
      <w:r w:rsidRPr="005D5B0F">
        <w:rPr>
          <w:rFonts w:ascii="Barlow" w:hAnsi="Barlow"/>
          <w:color w:val="000000"/>
          <w:sz w:val="18"/>
          <w:szCs w:val="22"/>
          <w:lang w:val="fr-FR"/>
        </w:rPr>
        <w:t>Le montant total des pénalités de retard n'est pas plafonné.</w:t>
      </w:r>
    </w:p>
    <w:p w14:paraId="000021AD" w14:textId="77777777" w:rsidR="00D03000" w:rsidRPr="005D5B0F" w:rsidRDefault="00000000">
      <w:pPr>
        <w:pStyle w:val="ParagrapheIndent2"/>
        <w:spacing w:after="240"/>
        <w:rPr>
          <w:rFonts w:ascii="Barlow" w:hAnsi="Barlow"/>
          <w:color w:val="000000"/>
          <w:sz w:val="18"/>
          <w:szCs w:val="22"/>
          <w:lang w:val="fr-FR"/>
        </w:rPr>
      </w:pPr>
      <w:r w:rsidRPr="005D5B0F">
        <w:rPr>
          <w:rFonts w:ascii="Barlow" w:hAnsi="Barlow"/>
          <w:color w:val="000000"/>
          <w:sz w:val="18"/>
          <w:szCs w:val="22"/>
          <w:lang w:val="fr-FR"/>
        </w:rPr>
        <w:t>Les pénalités de retard sont appliquées sans mise en demeure préalable du titulaire.</w:t>
      </w:r>
    </w:p>
    <w:p w14:paraId="20188D24"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100" w:name="ArtL2_CCAP-1-A31.7"/>
      <w:bookmarkStart w:id="101" w:name="_Toc256000050"/>
      <w:bookmarkEnd w:id="100"/>
      <w:r w:rsidRPr="005D5B0F">
        <w:rPr>
          <w:rFonts w:ascii="Barlow" w:eastAsia="Trebuchet MS" w:hAnsi="Barlow" w:cs="Trebuchet MS"/>
          <w:i w:val="0"/>
          <w:color w:val="000000"/>
          <w:sz w:val="22"/>
          <w:szCs w:val="24"/>
          <w:lang w:val="fr-FR"/>
        </w:rPr>
        <w:t>14.2 - Autres pénalités spécifiques</w:t>
      </w:r>
      <w:bookmarkEnd w:id="101"/>
    </w:p>
    <w:p w14:paraId="68EB66C2"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En cas d'absence aux réunions de chantier, les entreprises dont la présence est requise se verront appliquer une pénalité forfaitaire fixée à 300,00 € par absence.</w:t>
      </w:r>
    </w:p>
    <w:p w14:paraId="7AA762A0" w14:textId="77777777" w:rsidR="00D03000" w:rsidRPr="005D5B0F" w:rsidRDefault="00D03000">
      <w:pPr>
        <w:spacing w:line="240" w:lineRule="exact"/>
        <w:rPr>
          <w:rFonts w:ascii="Barlow" w:hAnsi="Barlow"/>
          <w:sz w:val="22"/>
          <w:szCs w:val="22"/>
        </w:rPr>
      </w:pPr>
    </w:p>
    <w:p w14:paraId="3BF89B47" w14:textId="77777777" w:rsidR="00D03000" w:rsidRPr="005D5B0F" w:rsidRDefault="00000000">
      <w:pPr>
        <w:spacing w:line="240" w:lineRule="exact"/>
        <w:rPr>
          <w:rFonts w:ascii="Barlow" w:hAnsi="Barlow"/>
          <w:sz w:val="22"/>
          <w:szCs w:val="22"/>
        </w:rPr>
        <w:sectPr w:rsidR="00D03000" w:rsidRPr="005D5B0F">
          <w:footerReference w:type="default" r:id="rId31"/>
          <w:pgSz w:w="11900" w:h="16840"/>
          <w:pgMar w:top="1140" w:right="1140" w:bottom="1140" w:left="1140" w:header="1140" w:footer="1140" w:gutter="0"/>
          <w:cols w:space="708"/>
        </w:sectPr>
      </w:pPr>
      <w:r w:rsidRPr="005D5B0F">
        <w:rPr>
          <w:rFonts w:ascii="Barlow" w:hAnsi="Barlow"/>
          <w:sz w:val="22"/>
          <w:szCs w:val="22"/>
        </w:rPr>
        <w:t xml:space="preserve"> </w:t>
      </w:r>
    </w:p>
    <w:tbl>
      <w:tblPr>
        <w:tblW w:w="0" w:type="auto"/>
        <w:tblLayout w:type="fixed"/>
        <w:tblLook w:val="04A0" w:firstRow="1" w:lastRow="0" w:firstColumn="1" w:lastColumn="0" w:noHBand="0" w:noVBand="1"/>
      </w:tblPr>
      <w:tblGrid>
        <w:gridCol w:w="3200"/>
        <w:gridCol w:w="1400"/>
        <w:gridCol w:w="1400"/>
        <w:gridCol w:w="3600"/>
      </w:tblGrid>
      <w:tr w:rsidR="00D03000" w:rsidRPr="005D5B0F" w14:paraId="13F11F48" w14:textId="77777777">
        <w:trPr>
          <w:trHeight w:val="292"/>
        </w:trPr>
        <w:tc>
          <w:tcPr>
            <w:tcW w:w="3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B69CD4E" w14:textId="77777777" w:rsidR="00D03000" w:rsidRPr="005D5B0F" w:rsidRDefault="00000000">
            <w:pPr>
              <w:spacing w:before="40"/>
              <w:jc w:val="center"/>
              <w:rPr>
                <w:rFonts w:ascii="Barlow" w:eastAsia="Trebuchet MS" w:hAnsi="Barlow" w:cs="Trebuchet MS"/>
                <w:color w:val="000000"/>
                <w:sz w:val="18"/>
                <w:szCs w:val="22"/>
                <w:lang w:val="fr-FR"/>
              </w:rPr>
            </w:pPr>
            <w:r w:rsidRPr="005D5B0F">
              <w:rPr>
                <w:rFonts w:ascii="Barlow" w:eastAsia="Trebuchet MS" w:hAnsi="Barlow" w:cs="Trebuchet MS"/>
                <w:color w:val="000000"/>
                <w:sz w:val="18"/>
                <w:szCs w:val="22"/>
                <w:lang w:val="fr-FR"/>
              </w:rPr>
              <w:lastRenderedPageBreak/>
              <w:t>Pénalités</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F6135C" w14:textId="77777777" w:rsidR="00D03000" w:rsidRPr="005D5B0F" w:rsidRDefault="00000000">
            <w:pPr>
              <w:spacing w:before="40"/>
              <w:jc w:val="center"/>
              <w:rPr>
                <w:rFonts w:ascii="Barlow" w:eastAsia="Trebuchet MS" w:hAnsi="Barlow" w:cs="Trebuchet MS"/>
                <w:color w:val="000000"/>
                <w:sz w:val="18"/>
                <w:szCs w:val="22"/>
                <w:lang w:val="fr-FR"/>
              </w:rPr>
            </w:pPr>
            <w:r w:rsidRPr="005D5B0F">
              <w:rPr>
                <w:rFonts w:ascii="Barlow" w:eastAsia="Trebuchet MS" w:hAnsi="Barlow" w:cs="Trebuchet MS"/>
                <w:color w:val="000000"/>
                <w:sz w:val="18"/>
                <w:szCs w:val="22"/>
                <w:lang w:val="fr-FR"/>
              </w:rPr>
              <w:t>Occurrence</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F518B15" w14:textId="77777777" w:rsidR="00D03000" w:rsidRPr="005D5B0F" w:rsidRDefault="00000000">
            <w:pPr>
              <w:spacing w:before="40"/>
              <w:jc w:val="center"/>
              <w:rPr>
                <w:rFonts w:ascii="Barlow" w:eastAsia="Trebuchet MS" w:hAnsi="Barlow" w:cs="Trebuchet MS"/>
                <w:color w:val="000000"/>
                <w:sz w:val="18"/>
                <w:szCs w:val="22"/>
                <w:lang w:val="fr-FR"/>
              </w:rPr>
            </w:pPr>
            <w:r w:rsidRPr="005D5B0F">
              <w:rPr>
                <w:rFonts w:ascii="Barlow" w:eastAsia="Trebuchet MS" w:hAnsi="Barlow" w:cs="Trebuchet MS"/>
                <w:color w:val="000000"/>
                <w:sz w:val="18"/>
                <w:szCs w:val="22"/>
                <w:lang w:val="fr-FR"/>
              </w:rPr>
              <w:t>Valeurs</w:t>
            </w:r>
          </w:p>
        </w:tc>
        <w:tc>
          <w:tcPr>
            <w:tcW w:w="3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519C97" w14:textId="77777777" w:rsidR="00D03000" w:rsidRPr="005D5B0F" w:rsidRDefault="00000000">
            <w:pPr>
              <w:spacing w:before="40"/>
              <w:jc w:val="center"/>
              <w:rPr>
                <w:rFonts w:ascii="Barlow" w:eastAsia="Trebuchet MS" w:hAnsi="Barlow" w:cs="Trebuchet MS"/>
                <w:color w:val="000000"/>
                <w:sz w:val="18"/>
                <w:szCs w:val="22"/>
                <w:lang w:val="fr-FR"/>
              </w:rPr>
            </w:pPr>
            <w:r w:rsidRPr="005D5B0F">
              <w:rPr>
                <w:rFonts w:ascii="Barlow" w:eastAsia="Trebuchet MS" w:hAnsi="Barlow" w:cs="Trebuchet MS"/>
                <w:color w:val="000000"/>
                <w:sz w:val="18"/>
                <w:szCs w:val="22"/>
                <w:lang w:val="fr-FR"/>
              </w:rPr>
              <w:t>Précisions</w:t>
            </w:r>
          </w:p>
        </w:tc>
      </w:tr>
      <w:tr w:rsidR="00D03000" w:rsidRPr="005D5B0F" w14:paraId="6B77A00E" w14:textId="77777777">
        <w:trPr>
          <w:trHeight w:val="814"/>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49B924" w14:textId="77777777" w:rsidR="00D03000" w:rsidRPr="005D5B0F" w:rsidRDefault="00000000">
            <w:pPr>
              <w:spacing w:line="232" w:lineRule="exact"/>
              <w:ind w:left="80" w:right="80"/>
              <w:rPr>
                <w:rFonts w:ascii="Barlow" w:eastAsia="Trebuchet MS" w:hAnsi="Barlow" w:cs="Trebuchet MS"/>
                <w:color w:val="000000"/>
                <w:sz w:val="18"/>
                <w:szCs w:val="22"/>
                <w:lang w:val="fr-FR"/>
              </w:rPr>
            </w:pPr>
            <w:r w:rsidRPr="005D5B0F">
              <w:rPr>
                <w:rFonts w:ascii="Barlow" w:eastAsia="Trebuchet MS" w:hAnsi="Barlow" w:cs="Trebuchet MS"/>
                <w:color w:val="000000"/>
                <w:sz w:val="18"/>
                <w:szCs w:val="22"/>
                <w:lang w:val="fr-FR"/>
              </w:rPr>
              <w:t>Non-production ou production incomplète des documents prévus au contrat ou sollicité par MOA/MOE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506575" w14:textId="77777777" w:rsidR="00D03000" w:rsidRPr="005D5B0F" w:rsidRDefault="00000000">
            <w:pPr>
              <w:spacing w:before="80" w:after="20"/>
              <w:jc w:val="center"/>
              <w:rPr>
                <w:rFonts w:ascii="Barlow" w:eastAsia="Trebuchet MS" w:hAnsi="Barlow" w:cs="Trebuchet MS"/>
                <w:color w:val="000000"/>
                <w:sz w:val="18"/>
                <w:szCs w:val="22"/>
                <w:lang w:val="fr-FR"/>
              </w:rPr>
            </w:pPr>
            <w:r w:rsidRPr="005D5B0F">
              <w:rPr>
                <w:rFonts w:ascii="Barlow" w:eastAsia="Trebuchet MS" w:hAnsi="Barlow" w:cs="Trebuchet MS"/>
                <w:color w:val="000000"/>
                <w:sz w:val="18"/>
                <w:szCs w:val="22"/>
                <w:lang w:val="fr-FR"/>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510901" w14:textId="77777777" w:rsidR="00D03000" w:rsidRPr="005D5B0F" w:rsidRDefault="00000000">
            <w:pPr>
              <w:spacing w:before="80" w:after="20"/>
              <w:jc w:val="center"/>
              <w:rPr>
                <w:rFonts w:ascii="Barlow" w:eastAsia="Trebuchet MS" w:hAnsi="Barlow" w:cs="Trebuchet MS"/>
                <w:color w:val="000000"/>
                <w:sz w:val="18"/>
                <w:szCs w:val="22"/>
                <w:lang w:val="fr-FR"/>
              </w:rPr>
            </w:pPr>
            <w:r w:rsidRPr="005D5B0F">
              <w:rPr>
                <w:rFonts w:ascii="Barlow" w:eastAsia="Trebuchet MS" w:hAnsi="Barlow" w:cs="Trebuchet MS"/>
                <w:color w:val="000000"/>
                <w:sz w:val="18"/>
                <w:szCs w:val="22"/>
                <w:lang w:val="fr-FR"/>
              </w:rPr>
              <w:t>200,00 €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D33A7D" w14:textId="77777777" w:rsidR="00D03000" w:rsidRPr="005D5B0F" w:rsidRDefault="00D03000">
            <w:pPr>
              <w:rPr>
                <w:rFonts w:ascii="Barlow" w:hAnsi="Barlow"/>
                <w:sz w:val="22"/>
                <w:szCs w:val="22"/>
              </w:rPr>
            </w:pPr>
          </w:p>
        </w:tc>
      </w:tr>
    </w:tbl>
    <w:p w14:paraId="67442056" w14:textId="77777777" w:rsidR="00D03000" w:rsidRPr="005D5B0F" w:rsidRDefault="00000000">
      <w:pPr>
        <w:spacing w:after="160" w:line="240" w:lineRule="exact"/>
        <w:rPr>
          <w:rFonts w:ascii="Barlow" w:hAnsi="Barlow"/>
          <w:sz w:val="22"/>
          <w:szCs w:val="22"/>
        </w:rPr>
      </w:pPr>
      <w:r w:rsidRPr="005D5B0F">
        <w:rPr>
          <w:rFonts w:ascii="Barlow" w:hAnsi="Barlow"/>
          <w:sz w:val="22"/>
          <w:szCs w:val="22"/>
        </w:rPr>
        <w:t xml:space="preserve"> </w:t>
      </w:r>
    </w:p>
    <w:p w14:paraId="1EDE4EAC" w14:textId="6C631782" w:rsidR="00D03000" w:rsidRPr="005D5B0F" w:rsidRDefault="003D2BDC" w:rsidP="005D5B0F">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w:t>
      </w:r>
    </w:p>
    <w:p w14:paraId="517CCD0A"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102" w:name="ArtL1_CCAP-1-A33"/>
      <w:bookmarkStart w:id="103" w:name="_Toc256000051"/>
      <w:bookmarkEnd w:id="102"/>
      <w:r w:rsidRPr="005D5B0F">
        <w:rPr>
          <w:rFonts w:ascii="Barlow" w:eastAsia="Trebuchet MS" w:hAnsi="Barlow" w:cs="Trebuchet MS"/>
          <w:color w:val="FFFFFF"/>
          <w:sz w:val="24"/>
          <w:szCs w:val="28"/>
          <w:lang w:val="fr-FR"/>
        </w:rPr>
        <w:t>15 - Assurances</w:t>
      </w:r>
      <w:bookmarkEnd w:id="103"/>
    </w:p>
    <w:p w14:paraId="3BD2D296"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21E58D79" w14:textId="77777777" w:rsidR="00D03000" w:rsidRPr="005D5B0F" w:rsidRDefault="00000000">
      <w:pPr>
        <w:pStyle w:val="ParagrapheIndent1"/>
        <w:spacing w:after="240" w:line="232" w:lineRule="exact"/>
        <w:rPr>
          <w:rFonts w:ascii="Barlow" w:hAnsi="Barlow"/>
          <w:color w:val="000000"/>
          <w:sz w:val="18"/>
          <w:szCs w:val="22"/>
          <w:lang w:val="fr-FR"/>
        </w:rPr>
      </w:pPr>
      <w:r w:rsidRPr="005D5B0F">
        <w:rPr>
          <w:rFonts w:ascii="Barlow" w:hAnsi="Barlow"/>
          <w:color w:val="000000"/>
          <w:sz w:val="18"/>
          <w:szCs w:val="22"/>
          <w:lang w:val="fr-FR"/>
        </w:rPr>
        <w:t>Conformément aux dispositions de l'article 8 du CCAG-Travaux, tout titulaire (mandataire et cotraitants inclus) doit justifier, dans un délai de 15 jours à compter de la notification du contrat et avant tout commencement d'exécution, qu'il est titulaire des contrats d'assurances, au moyen d'une attestation établissant l'étendue de la responsabilité garantie.</w:t>
      </w:r>
    </w:p>
    <w:p w14:paraId="7E7131A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Il doit donc contracter :</w:t>
      </w:r>
    </w:p>
    <w:p w14:paraId="578A8D3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une assurance au titre de la responsabilité civile découlant des articles 1240 à 1242 du Code civil, garantissant les tiers en cas d'accidents ou de dommages causés par l'exécution des travaux.</w:t>
      </w:r>
    </w:p>
    <w:p w14:paraId="79583DA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une assurance au titre de la garantie décennale couvrant les responsabilités résultant des principes dont s'inspirent les articles 1792, 1792-1, 1792-2, 1792-4 et 1792-4-1 du Code civil ;</w:t>
      </w:r>
    </w:p>
    <w:p w14:paraId="49417B11" w14:textId="77777777" w:rsidR="00D03000" w:rsidRPr="005D5B0F" w:rsidRDefault="00000000">
      <w:pPr>
        <w:pStyle w:val="ParagrapheIndent1"/>
        <w:spacing w:after="240" w:line="232" w:lineRule="exact"/>
        <w:rPr>
          <w:rFonts w:ascii="Barlow" w:hAnsi="Barlow"/>
          <w:color w:val="000000"/>
          <w:sz w:val="18"/>
          <w:szCs w:val="22"/>
          <w:lang w:val="fr-FR"/>
        </w:rPr>
      </w:pPr>
      <w:r w:rsidRPr="005D5B0F">
        <w:rPr>
          <w:rFonts w:ascii="Barlow" w:hAnsi="Barlow"/>
          <w:color w:val="000000"/>
          <w:sz w:val="18"/>
          <w:szCs w:val="22"/>
          <w:lang w:val="fr-FR"/>
        </w:rPr>
        <w:t>- une assurance au titre de la garantie biennale de bon fonctionnement couvrant les responsabilités résultant des principes de l'article 1792-3 du Code civil.</w:t>
      </w:r>
    </w:p>
    <w:p w14:paraId="701B27BF"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104" w:name="ArtL1_CCAP-1-A34"/>
      <w:bookmarkStart w:id="105" w:name="_Toc256000052"/>
      <w:bookmarkEnd w:id="104"/>
      <w:r w:rsidRPr="005D5B0F">
        <w:rPr>
          <w:rFonts w:ascii="Barlow" w:eastAsia="Trebuchet MS" w:hAnsi="Barlow" w:cs="Trebuchet MS"/>
          <w:color w:val="FFFFFF"/>
          <w:sz w:val="24"/>
          <w:szCs w:val="28"/>
          <w:lang w:val="fr-FR"/>
        </w:rPr>
        <w:t>16 - Clause de réexamen</w:t>
      </w:r>
      <w:bookmarkEnd w:id="105"/>
    </w:p>
    <w:p w14:paraId="5CD0ABCB"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4C5B69A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Une procédure de réexamen des conditions d'exécution du marché peut être menée en application des articles L. 2194-1 1° et R. 2194-1 du Code de la commande publique. Toute modification des conditions d'exécution acceptée à l'issue de cette procédure de réexamen fait l'objet d'un avenant au présent marché.</w:t>
      </w:r>
    </w:p>
    <w:p w14:paraId="69F2175E" w14:textId="77777777" w:rsidR="00D03000" w:rsidRPr="005D5B0F" w:rsidRDefault="00D03000">
      <w:pPr>
        <w:pStyle w:val="ParagrapheIndent1"/>
        <w:spacing w:line="232" w:lineRule="exact"/>
        <w:rPr>
          <w:rFonts w:ascii="Barlow" w:hAnsi="Barlow"/>
          <w:color w:val="000000"/>
          <w:sz w:val="18"/>
          <w:szCs w:val="22"/>
          <w:lang w:val="fr-FR"/>
        </w:rPr>
      </w:pPr>
    </w:p>
    <w:p w14:paraId="0777653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Cette procédure s'applique lorsque la teneur des modifications n'est pas prévue initialement dans le marché, et ce pendant toute la durée de son exécution.</w:t>
      </w:r>
    </w:p>
    <w:p w14:paraId="0A72B052" w14:textId="77777777" w:rsidR="00D03000" w:rsidRPr="005D5B0F" w:rsidRDefault="00D03000">
      <w:pPr>
        <w:pStyle w:val="ParagrapheIndent1"/>
        <w:spacing w:line="232" w:lineRule="exact"/>
        <w:rPr>
          <w:rFonts w:ascii="Barlow" w:hAnsi="Barlow"/>
          <w:color w:val="000000"/>
          <w:sz w:val="18"/>
          <w:szCs w:val="22"/>
          <w:lang w:val="fr-FR"/>
        </w:rPr>
      </w:pPr>
    </w:p>
    <w:p w14:paraId="6CE2FC3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14:paraId="5AF40182" w14:textId="77777777" w:rsidR="00D03000" w:rsidRPr="005D5B0F" w:rsidRDefault="00D03000">
      <w:pPr>
        <w:pStyle w:val="ParagrapheIndent1"/>
        <w:spacing w:line="232" w:lineRule="exact"/>
        <w:rPr>
          <w:rFonts w:ascii="Barlow" w:hAnsi="Barlow"/>
          <w:color w:val="000000"/>
          <w:sz w:val="18"/>
          <w:szCs w:val="22"/>
          <w:lang w:val="fr-FR"/>
        </w:rPr>
      </w:pPr>
    </w:p>
    <w:p w14:paraId="5DEAC56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Si le principe et les conditions de mise en œuvre du réexamen sont acceptés par les parties, il trouve à s'appliquer quel que soit le montant des modifications qu'il induit.</w:t>
      </w:r>
    </w:p>
    <w:p w14:paraId="12A3A67C" w14:textId="77777777" w:rsidR="00D03000" w:rsidRPr="005D5B0F" w:rsidRDefault="00D03000">
      <w:pPr>
        <w:pStyle w:val="ParagrapheIndent1"/>
        <w:spacing w:line="232" w:lineRule="exact"/>
        <w:rPr>
          <w:rFonts w:ascii="Barlow" w:hAnsi="Barlow"/>
          <w:color w:val="000000"/>
          <w:sz w:val="18"/>
          <w:szCs w:val="22"/>
          <w:lang w:val="fr-FR"/>
        </w:rPr>
      </w:pPr>
    </w:p>
    <w:p w14:paraId="2B36A10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L'initiative de la demande de réexamen appartient aux deux parties, et la procédure de réexamen n'interrompt en aucun cas l'exécution des prestations.</w:t>
      </w:r>
    </w:p>
    <w:p w14:paraId="69CBD23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La demande doit être transmise par tout moyen matériel ou dématérialisé permettant de déterminer de façon certaine la date de sa réception.</w:t>
      </w:r>
    </w:p>
    <w:p w14:paraId="4B4D92C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A compter de la date de réception de la demande, la partie destinatrice dispose d'un délai de 15 jours pour se prononcer sur les conditions de réexamen. Si aucun accord n'est intervenu dans ce délai, il est convenu que la position du pouvoir adjudicateur est retenue par défaut, cette stipulation ne valant pas renonciation à recours pour le titulaire.</w:t>
      </w:r>
    </w:p>
    <w:p w14:paraId="0A117F92" w14:textId="546BEBCC" w:rsidR="003D2BDC" w:rsidRPr="005D5B0F" w:rsidRDefault="003D2BDC" w:rsidP="003D2BDC">
      <w:pPr>
        <w:rPr>
          <w:sz w:val="22"/>
          <w:szCs w:val="22"/>
          <w:lang w:val="fr-FR"/>
        </w:rPr>
      </w:pPr>
    </w:p>
    <w:p w14:paraId="7A04B89A" w14:textId="77777777" w:rsidR="00D03000" w:rsidRPr="005D5B0F" w:rsidRDefault="00D03000">
      <w:pPr>
        <w:pStyle w:val="ParagrapheIndent1"/>
        <w:spacing w:line="232" w:lineRule="exact"/>
        <w:rPr>
          <w:rFonts w:ascii="Barlow" w:hAnsi="Barlow"/>
          <w:color w:val="000000"/>
          <w:sz w:val="18"/>
          <w:szCs w:val="22"/>
          <w:lang w:val="fr-FR"/>
        </w:rPr>
      </w:pPr>
    </w:p>
    <w:p w14:paraId="222AE3C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La procédure de réexamen ainsi définie peut être initiée dans les cas suivants :</w:t>
      </w:r>
    </w:p>
    <w:p w14:paraId="62704E09" w14:textId="77777777" w:rsidR="00D03000" w:rsidRPr="005D5B0F" w:rsidRDefault="00D03000">
      <w:pPr>
        <w:pStyle w:val="ParagrapheIndent1"/>
        <w:spacing w:after="40" w:line="232" w:lineRule="exact"/>
        <w:rPr>
          <w:rFonts w:ascii="Barlow" w:hAnsi="Barlow"/>
          <w:color w:val="000000"/>
          <w:sz w:val="18"/>
          <w:szCs w:val="22"/>
          <w:lang w:val="fr-FR"/>
        </w:rPr>
        <w:sectPr w:rsidR="00D03000" w:rsidRPr="005D5B0F">
          <w:footerReference w:type="default" r:id="rId32"/>
          <w:pgSz w:w="11900" w:h="16840"/>
          <w:pgMar w:top="1140" w:right="1140" w:bottom="1140" w:left="1140" w:header="1140" w:footer="1140" w:gutter="0"/>
          <w:cols w:space="708"/>
        </w:sectPr>
      </w:pPr>
    </w:p>
    <w:p w14:paraId="096E90D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lastRenderedPageBreak/>
        <w:t>Le présent marché s'exécute en site pénitentiaire occupé et maintenu en activité. En raison de cette contrainte d'exploitation, des travaux non identifiables avec précision lors de la consultation peuvent s'imposer au maître d'ouvrage en cours d'exécution, notamment dans les cas suivants :</w:t>
      </w:r>
    </w:p>
    <w:p w14:paraId="71B6DB85" w14:textId="77777777" w:rsidR="00D03000" w:rsidRPr="005D5B0F" w:rsidRDefault="00D03000">
      <w:pPr>
        <w:pStyle w:val="ParagrapheIndent1"/>
        <w:spacing w:line="232" w:lineRule="exact"/>
        <w:rPr>
          <w:rFonts w:ascii="Barlow" w:hAnsi="Barlow"/>
          <w:color w:val="000000"/>
          <w:sz w:val="18"/>
          <w:szCs w:val="22"/>
          <w:lang w:val="fr-FR"/>
        </w:rPr>
      </w:pPr>
    </w:p>
    <w:p w14:paraId="0F107A9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difficultés ou impossibilités d'intervention liées à l'environnement de détention (restrictions d'accès, contraintes de sécurité et de mouvements, escortes, fermeture temporaire de zones, découverte de configurations rendant les supports inaccessibles ou différents de ceux prévus) ;</w:t>
      </w:r>
    </w:p>
    <w:p w14:paraId="063C0E0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décisions de l'utilisateur du site (administration pénitentiaire / établissement) modifiant le périmètre, le phasage, les zones traitées ou les sujétions d'intervention des travaux, ou imposant des prestations complémentaires de finition ou de remise en état.</w:t>
      </w:r>
    </w:p>
    <w:p w14:paraId="48F32990" w14:textId="77777777" w:rsidR="00D03000" w:rsidRPr="005D5B0F" w:rsidRDefault="00D03000">
      <w:pPr>
        <w:pStyle w:val="ParagrapheIndent1"/>
        <w:spacing w:line="232" w:lineRule="exact"/>
        <w:rPr>
          <w:rFonts w:ascii="Barlow" w:hAnsi="Barlow"/>
          <w:color w:val="000000"/>
          <w:sz w:val="18"/>
          <w:szCs w:val="22"/>
          <w:lang w:val="fr-FR"/>
        </w:rPr>
      </w:pPr>
    </w:p>
    <w:p w14:paraId="338E5F4A" w14:textId="57E8B7EA" w:rsidR="00D03000" w:rsidRPr="005D5B0F" w:rsidRDefault="00000000">
      <w:pPr>
        <w:pStyle w:val="ParagrapheIndent1"/>
        <w:spacing w:after="240" w:line="232" w:lineRule="exact"/>
        <w:rPr>
          <w:rFonts w:ascii="Barlow" w:hAnsi="Barlow"/>
          <w:color w:val="000000"/>
          <w:sz w:val="18"/>
          <w:szCs w:val="22"/>
          <w:lang w:val="fr-FR"/>
        </w:rPr>
      </w:pPr>
      <w:r w:rsidRPr="005D5B0F">
        <w:rPr>
          <w:rFonts w:ascii="Barlow" w:hAnsi="Barlow"/>
          <w:color w:val="000000"/>
          <w:sz w:val="18"/>
          <w:szCs w:val="22"/>
          <w:lang w:val="fr-FR"/>
        </w:rPr>
        <w:t xml:space="preserve">Les travaux et quantités supplémentaires ainsi commandés sont rémunérés par application des prix unitaires du bordereau des prix unitaires (BPU) du marché. Lorsqu'une prestation nécessaire ne figure pas au BPU, le prix </w:t>
      </w:r>
      <w:r w:rsidR="003D2BDC" w:rsidRPr="005D5B0F">
        <w:rPr>
          <w:rFonts w:ascii="Barlow" w:hAnsi="Barlow"/>
          <w:color w:val="000000"/>
          <w:sz w:val="18"/>
          <w:szCs w:val="22"/>
          <w:lang w:val="fr-FR"/>
        </w:rPr>
        <w:t xml:space="preserve">sera fixé </w:t>
      </w:r>
      <w:r w:rsidRPr="005D5B0F">
        <w:rPr>
          <w:rFonts w:ascii="Barlow" w:hAnsi="Barlow"/>
          <w:color w:val="000000"/>
          <w:sz w:val="18"/>
          <w:szCs w:val="22"/>
          <w:lang w:val="fr-FR"/>
        </w:rPr>
        <w:t>dans le cadre d'une négociation entre l'entreprise et la MOE.</w:t>
      </w:r>
    </w:p>
    <w:p w14:paraId="77EA7BE3"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106" w:name="ArtL1_CCAP-1-A35"/>
      <w:bookmarkStart w:id="107" w:name="_Toc256000053"/>
      <w:bookmarkEnd w:id="106"/>
      <w:r w:rsidRPr="005D5B0F">
        <w:rPr>
          <w:rFonts w:ascii="Barlow" w:eastAsia="Trebuchet MS" w:hAnsi="Barlow" w:cs="Trebuchet MS"/>
          <w:color w:val="FFFFFF"/>
          <w:sz w:val="24"/>
          <w:szCs w:val="28"/>
          <w:lang w:val="fr-FR"/>
        </w:rPr>
        <w:t>17 - Résiliation du contrat</w:t>
      </w:r>
      <w:bookmarkEnd w:id="107"/>
    </w:p>
    <w:p w14:paraId="799FA3C7"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7C5B1448"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108" w:name="ArtL2_CCAP-1-A35.2"/>
      <w:bookmarkStart w:id="109" w:name="_Toc256000054"/>
      <w:bookmarkEnd w:id="108"/>
      <w:r w:rsidRPr="005D5B0F">
        <w:rPr>
          <w:rFonts w:ascii="Barlow" w:eastAsia="Trebuchet MS" w:hAnsi="Barlow" w:cs="Trebuchet MS"/>
          <w:i w:val="0"/>
          <w:color w:val="000000"/>
          <w:sz w:val="22"/>
          <w:szCs w:val="24"/>
          <w:lang w:val="fr-FR"/>
        </w:rPr>
        <w:t>17.1 - Conditions de résiliation</w:t>
      </w:r>
      <w:bookmarkEnd w:id="109"/>
    </w:p>
    <w:p w14:paraId="4D260C43" w14:textId="77777777" w:rsidR="00D03000" w:rsidRPr="005D5B0F" w:rsidRDefault="00000000">
      <w:pPr>
        <w:pStyle w:val="ParagrapheIndent2"/>
        <w:spacing w:after="240"/>
        <w:rPr>
          <w:rFonts w:ascii="Barlow" w:hAnsi="Barlow"/>
          <w:color w:val="000000"/>
          <w:sz w:val="18"/>
          <w:szCs w:val="22"/>
          <w:lang w:val="fr-FR"/>
        </w:rPr>
      </w:pPr>
      <w:r w:rsidRPr="005D5B0F">
        <w:rPr>
          <w:rFonts w:ascii="Barlow" w:hAnsi="Barlow"/>
          <w:color w:val="000000"/>
          <w:sz w:val="18"/>
          <w:szCs w:val="22"/>
          <w:lang w:val="fr-FR"/>
        </w:rPr>
        <w:t>Les conditions de résiliation du marché sont définies aux articles 49 à 53.2 du CCAG-Travaux.</w:t>
      </w:r>
    </w:p>
    <w:p w14:paraId="47B134CA" w14:textId="77777777"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En cas de résiliation du marché pour motif d'intérêt général par le pouvoir adjudicateur, le titulaire percevra à titre d'indemnisation une somme forfaitaire calculée en appliquant au montant initial hors TVA, diminué du montant hors TVA non révisé des prestations admises, un pourcentage égal à 2,00 %.</w:t>
      </w:r>
    </w:p>
    <w:p w14:paraId="74430A0A" w14:textId="77777777"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14:paraId="4AE5079C"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Le pouvoir adjudicateur se réserve la possibilité de faire exécuter par un tiers les prestations aux frais et risques du titulaire.</w:t>
      </w:r>
    </w:p>
    <w:p w14:paraId="4F61CDC1"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61F3608"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u w:val="single"/>
          <w:lang w:val="fr-FR"/>
        </w:rPr>
        <w:t>Arrêts de fin de phase :</w:t>
      </w:r>
    </w:p>
    <w:p w14:paraId="2668D7B4"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Lorsque les prestations sont scindées en plusieurs parties techniques à exécuter distinctement, le pouvoir adjudicateur peut décider, au terme de chacune de ces parties, soit de sa propre initiative, soit à la demande du titulaire, de ne pas poursuivre l'exécution des Prestations.</w:t>
      </w:r>
    </w:p>
    <w:p w14:paraId="1F27E58A"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La décision d'arrêter l'exécution des prestations ne donne lieu à aucune indemnité.</w:t>
      </w:r>
    </w:p>
    <w:p w14:paraId="589DAE1B" w14:textId="77777777"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t>L'arrêt de l'exécution des prestations entraîne la résiliation du marché.</w:t>
      </w:r>
    </w:p>
    <w:p w14:paraId="342D2CE2"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110" w:name="ArtL2_CCAP-1-A35.3"/>
      <w:bookmarkStart w:id="111" w:name="_Toc256000055"/>
      <w:bookmarkEnd w:id="110"/>
      <w:r w:rsidRPr="005D5B0F">
        <w:rPr>
          <w:rFonts w:ascii="Barlow" w:eastAsia="Trebuchet MS" w:hAnsi="Barlow" w:cs="Trebuchet MS"/>
          <w:i w:val="0"/>
          <w:color w:val="000000"/>
          <w:sz w:val="22"/>
          <w:szCs w:val="24"/>
          <w:lang w:val="fr-FR"/>
        </w:rPr>
        <w:t>17.2 - Redressement ou liquidation judiciaire</w:t>
      </w:r>
      <w:bookmarkEnd w:id="111"/>
    </w:p>
    <w:p w14:paraId="441FA33B"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Le jugement instituant le redressement ou la liquidation judiciaire est notifié immédiatement au pouvoir adjudicateur par le titulaire du marché. Il en va de même de tout jugement ou décision susceptible d'avoir un effet sur l'exécution du marché.</w:t>
      </w:r>
    </w:p>
    <w:p w14:paraId="0CC5F311" w14:textId="77777777" w:rsidR="00D03000" w:rsidRPr="005D5B0F" w:rsidRDefault="00D03000">
      <w:pPr>
        <w:pStyle w:val="ParagrapheIndent2"/>
        <w:spacing w:line="232" w:lineRule="exact"/>
        <w:rPr>
          <w:rFonts w:ascii="Barlow" w:hAnsi="Barlow"/>
          <w:color w:val="000000"/>
          <w:sz w:val="18"/>
          <w:szCs w:val="22"/>
          <w:lang w:val="fr-FR"/>
        </w:rPr>
      </w:pPr>
    </w:p>
    <w:p w14:paraId="210A847B"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2B892A18" w14:textId="77777777" w:rsidR="00D03000" w:rsidRPr="005D5B0F" w:rsidRDefault="00D03000">
      <w:pPr>
        <w:pStyle w:val="ParagrapheIndent2"/>
        <w:spacing w:line="232" w:lineRule="exact"/>
        <w:rPr>
          <w:rFonts w:ascii="Barlow" w:hAnsi="Barlow"/>
          <w:color w:val="000000"/>
          <w:sz w:val="18"/>
          <w:szCs w:val="22"/>
          <w:lang w:val="fr-FR"/>
        </w:rPr>
      </w:pPr>
    </w:p>
    <w:p w14:paraId="4820922A" w14:textId="77777777" w:rsidR="00D03000" w:rsidRPr="005D5B0F" w:rsidRDefault="00000000">
      <w:pPr>
        <w:pStyle w:val="ParagrapheIndent2"/>
        <w:spacing w:line="232" w:lineRule="exact"/>
        <w:rPr>
          <w:rFonts w:ascii="Barlow" w:hAnsi="Barlow"/>
          <w:color w:val="000000"/>
          <w:sz w:val="18"/>
          <w:szCs w:val="22"/>
          <w:lang w:val="fr-FR"/>
        </w:rPr>
      </w:pPr>
      <w:r w:rsidRPr="005D5B0F">
        <w:rPr>
          <w:rFonts w:ascii="Barlow" w:hAnsi="Barlow"/>
          <w:color w:val="000000"/>
          <w:sz w:val="18"/>
          <w:szCs w:val="22"/>
          <w:lang w:val="fr-FR"/>
        </w:rP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24943EFC" w14:textId="77777777" w:rsidR="00D03000" w:rsidRPr="005D5B0F" w:rsidRDefault="00D03000">
      <w:pPr>
        <w:pStyle w:val="ParagrapheIndent2"/>
        <w:spacing w:line="232" w:lineRule="exact"/>
        <w:rPr>
          <w:rFonts w:ascii="Barlow" w:hAnsi="Barlow"/>
          <w:color w:val="000000"/>
          <w:sz w:val="18"/>
          <w:szCs w:val="22"/>
          <w:lang w:val="fr-FR"/>
        </w:rPr>
      </w:pPr>
    </w:p>
    <w:p w14:paraId="66410856" w14:textId="77777777" w:rsidR="00D03000" w:rsidRPr="005D5B0F" w:rsidRDefault="00000000">
      <w:pPr>
        <w:pStyle w:val="ParagrapheIndent2"/>
        <w:spacing w:after="80" w:line="232" w:lineRule="exact"/>
        <w:rPr>
          <w:rFonts w:ascii="Barlow" w:hAnsi="Barlow"/>
          <w:color w:val="000000"/>
          <w:sz w:val="18"/>
          <w:szCs w:val="22"/>
          <w:lang w:val="fr-FR"/>
        </w:rPr>
        <w:sectPr w:rsidR="00D03000" w:rsidRPr="005D5B0F">
          <w:footerReference w:type="default" r:id="rId33"/>
          <w:pgSz w:w="11900" w:h="16840"/>
          <w:pgMar w:top="1140" w:right="1140" w:bottom="1140" w:left="1140" w:header="1140" w:footer="1140" w:gutter="0"/>
          <w:cols w:space="708"/>
        </w:sectPr>
      </w:pPr>
      <w:r w:rsidRPr="005D5B0F">
        <w:rPr>
          <w:rFonts w:ascii="Barlow" w:hAnsi="Barlow"/>
          <w:color w:val="000000"/>
          <w:sz w:val="18"/>
          <w:szCs w:val="22"/>
          <w:lang w:val="fr-FR"/>
        </w:rPr>
        <w:t xml:space="preserve">La résiliation prend effet à la date de décision de l'administrateur, du liquidateur ou du titulaire de </w:t>
      </w:r>
    </w:p>
    <w:p w14:paraId="67E9AD52" w14:textId="77777777" w:rsidR="00D03000" w:rsidRPr="005D5B0F" w:rsidRDefault="00000000">
      <w:pPr>
        <w:pStyle w:val="ParagrapheIndent2"/>
        <w:spacing w:after="240" w:line="232" w:lineRule="exact"/>
        <w:rPr>
          <w:rFonts w:ascii="Barlow" w:hAnsi="Barlow"/>
          <w:color w:val="000000"/>
          <w:sz w:val="18"/>
          <w:szCs w:val="22"/>
          <w:lang w:val="fr-FR"/>
        </w:rPr>
      </w:pPr>
      <w:r w:rsidRPr="005D5B0F">
        <w:rPr>
          <w:rFonts w:ascii="Barlow" w:hAnsi="Barlow"/>
          <w:color w:val="000000"/>
          <w:sz w:val="18"/>
          <w:szCs w:val="22"/>
          <w:lang w:val="fr-FR"/>
        </w:rPr>
        <w:lastRenderedPageBreak/>
        <w:t>renoncer à poursuivre l'exécution du marché, ou à l'expiration du délai d'un mois ci-dessus. Elle n'ouvre droit, pour le titulaire, à aucune indemnité.</w:t>
      </w:r>
    </w:p>
    <w:p w14:paraId="0AAB1A14"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112" w:name="ArtL1_CCAP-1-A36"/>
      <w:bookmarkStart w:id="113" w:name="_Toc256000056"/>
      <w:bookmarkEnd w:id="112"/>
      <w:r w:rsidRPr="005D5B0F">
        <w:rPr>
          <w:rFonts w:ascii="Barlow" w:eastAsia="Trebuchet MS" w:hAnsi="Barlow" w:cs="Trebuchet MS"/>
          <w:color w:val="FFFFFF"/>
          <w:sz w:val="24"/>
          <w:szCs w:val="28"/>
          <w:lang w:val="fr-FR"/>
        </w:rPr>
        <w:t>18 - Règlement des litiges et langues</w:t>
      </w:r>
      <w:bookmarkEnd w:id="113"/>
    </w:p>
    <w:p w14:paraId="61142B55"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5DCF5350"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114" w:name="ArtL2_NA35.1"/>
      <w:bookmarkStart w:id="115" w:name="_Toc256000057"/>
      <w:bookmarkEnd w:id="114"/>
      <w:r w:rsidRPr="005D5B0F">
        <w:rPr>
          <w:rFonts w:ascii="Barlow" w:eastAsia="Trebuchet MS" w:hAnsi="Barlow" w:cs="Trebuchet MS"/>
          <w:i w:val="0"/>
          <w:color w:val="000000"/>
          <w:sz w:val="22"/>
          <w:szCs w:val="24"/>
          <w:lang w:val="fr-FR"/>
        </w:rPr>
        <w:t>18.1 - « Promotion de la Charte « Relations fournisseurs et achats responsables »</w:t>
      </w:r>
      <w:bookmarkEnd w:id="115"/>
    </w:p>
    <w:p w14:paraId="75BC126E" w14:textId="77777777" w:rsidR="00D03000" w:rsidRPr="005D5B0F" w:rsidRDefault="00000000">
      <w:pPr>
        <w:pStyle w:val="ParagrapheIndent2"/>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Le ministère de la Justice s’est engagé dans une démarche « Relations fournisseurs et achats Responsables » (RFAR) avec la signature le 1</w:t>
      </w:r>
      <w:r w:rsidRPr="005D5B0F">
        <w:rPr>
          <w:rFonts w:ascii="Barlow" w:eastAsia="Marianne" w:hAnsi="Barlow" w:cs="Marianne"/>
          <w:color w:val="000000"/>
          <w:sz w:val="18"/>
          <w:szCs w:val="22"/>
          <w:vertAlign w:val="superscript"/>
          <w:lang w:val="fr-FR"/>
        </w:rPr>
        <w:t>er</w:t>
      </w:r>
      <w:r w:rsidRPr="005D5B0F">
        <w:rPr>
          <w:rFonts w:ascii="Barlow" w:eastAsia="Marianne" w:hAnsi="Barlow" w:cs="Marianne"/>
          <w:color w:val="000000"/>
          <w:sz w:val="18"/>
          <w:szCs w:val="22"/>
          <w:lang w:val="fr-FR"/>
        </w:rPr>
        <w:t xml:space="preserve"> juin 2023 de la charte du même nom. </w:t>
      </w:r>
    </w:p>
    <w:p w14:paraId="4B1BF527" w14:textId="77777777" w:rsidR="00D03000" w:rsidRPr="005D5B0F" w:rsidRDefault="00D03000">
      <w:pPr>
        <w:pStyle w:val="ParagrapheIndent2"/>
        <w:spacing w:line="233" w:lineRule="exact"/>
        <w:rPr>
          <w:rFonts w:ascii="Barlow" w:hAnsi="Barlow"/>
          <w:color w:val="000000"/>
          <w:sz w:val="18"/>
          <w:szCs w:val="22"/>
          <w:lang w:val="fr-FR"/>
        </w:rPr>
      </w:pPr>
    </w:p>
    <w:p w14:paraId="0A98C84A" w14:textId="77777777" w:rsidR="00D03000" w:rsidRPr="005D5B0F" w:rsidRDefault="00000000">
      <w:pPr>
        <w:pStyle w:val="ParagrapheIndent2"/>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xml:space="preserve">Par cet engagement, le ministère encourage notamment ses fournisseurs : </w:t>
      </w:r>
    </w:p>
    <w:p w14:paraId="224880AC" w14:textId="77777777" w:rsidR="00D03000" w:rsidRPr="005D5B0F" w:rsidRDefault="00000000">
      <w:pPr>
        <w:pStyle w:val="ParagrapheIndent2"/>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      à s’intéresser au parcours national des achats responsables,</w:t>
      </w:r>
    </w:p>
    <w:p w14:paraId="527D0C64" w14:textId="77777777" w:rsidR="00D03000" w:rsidRPr="005D5B0F" w:rsidRDefault="00000000">
      <w:pPr>
        <w:pStyle w:val="ParagrapheIndent2"/>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à construire un projet fédérateur transversal et de transformation autour d’une politique achats responsables, en y associant l’ensemble des directions concernées,</w:t>
      </w:r>
    </w:p>
    <w:p w14:paraId="2251443A" w14:textId="77777777" w:rsidR="00D03000" w:rsidRPr="005D5B0F" w:rsidRDefault="00000000">
      <w:pPr>
        <w:pStyle w:val="ParagrapheIndent2"/>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au développement de bonnes pratiques d’achat dans l’ensemble de la chaîne d’approvisionnement,</w:t>
      </w:r>
    </w:p>
    <w:p w14:paraId="22B32E21" w14:textId="77777777" w:rsidR="00D03000" w:rsidRPr="005D5B0F" w:rsidRDefault="00000000">
      <w:pPr>
        <w:pStyle w:val="ParagrapheIndent2"/>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à s’engager dans un parcours des achats responsables en signant la Charte RFAR voire, pour les plus engagés et les plus déterminés, en travaillant à l’obtention du Label RFAR.</w:t>
      </w:r>
    </w:p>
    <w:p w14:paraId="4EFD5F49" w14:textId="77777777" w:rsidR="00D03000" w:rsidRPr="005D5B0F" w:rsidRDefault="00D03000">
      <w:pPr>
        <w:pStyle w:val="ParagrapheIndent2"/>
        <w:spacing w:line="233" w:lineRule="exact"/>
        <w:rPr>
          <w:rFonts w:ascii="Barlow" w:hAnsi="Barlow"/>
          <w:color w:val="000000"/>
          <w:sz w:val="18"/>
          <w:szCs w:val="22"/>
          <w:lang w:val="fr-FR"/>
        </w:rPr>
      </w:pPr>
    </w:p>
    <w:p w14:paraId="693D4F4E" w14:textId="77777777" w:rsidR="00D03000" w:rsidRPr="005D5B0F" w:rsidRDefault="00000000">
      <w:pPr>
        <w:pStyle w:val="ParagrapheIndent2"/>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xml:space="preserve">À cet effet, le titulaire s'engage à informer le ministère de toute démarche entreprise en la matière, et notamment : </w:t>
      </w:r>
    </w:p>
    <w:p w14:paraId="701850BB" w14:textId="77777777" w:rsidR="00D03000" w:rsidRPr="005D5B0F" w:rsidRDefault="00000000">
      <w:pPr>
        <w:pStyle w:val="ParagrapheIndent2"/>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la signature de la Charte « Relations fournisseurs et achats responsables »,</w:t>
      </w:r>
    </w:p>
    <w:p w14:paraId="6FDDF743" w14:textId="77777777" w:rsidR="00D03000" w:rsidRPr="005D5B0F" w:rsidRDefault="00000000">
      <w:pPr>
        <w:pStyle w:val="ParagrapheIndent2"/>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xml:space="preserve">-    l’obtention du Label « Relations fournisseurs et achats responsables » (RFAR), </w:t>
      </w:r>
    </w:p>
    <w:p w14:paraId="3163C3BF" w14:textId="77777777" w:rsidR="00D03000" w:rsidRPr="005D5B0F" w:rsidRDefault="00000000">
      <w:pPr>
        <w:pStyle w:val="ParagrapheIndent2"/>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et/ou toute norme ou tout label équivalent.</w:t>
      </w:r>
    </w:p>
    <w:p w14:paraId="5B593A58" w14:textId="77777777" w:rsidR="00D03000" w:rsidRPr="005D5B0F" w:rsidRDefault="00D03000">
      <w:pPr>
        <w:pStyle w:val="ParagrapheIndent2"/>
        <w:spacing w:line="233" w:lineRule="exact"/>
        <w:rPr>
          <w:rFonts w:ascii="Barlow" w:hAnsi="Barlow"/>
          <w:color w:val="000000"/>
          <w:sz w:val="18"/>
          <w:szCs w:val="22"/>
          <w:lang w:val="fr-FR"/>
        </w:rPr>
      </w:pPr>
    </w:p>
    <w:p w14:paraId="09203882" w14:textId="77777777" w:rsidR="00D03000" w:rsidRPr="005D5B0F" w:rsidRDefault="00000000">
      <w:pPr>
        <w:pStyle w:val="ParagrapheIndent2"/>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xml:space="preserve">Le Médiateur des entreprises et le Conseil national des achats (CNA) se proposent de vous accompagner dans cette démarche. </w:t>
      </w:r>
    </w:p>
    <w:p w14:paraId="34249457" w14:textId="77777777" w:rsidR="00D03000" w:rsidRPr="005D5B0F" w:rsidRDefault="00000000">
      <w:pPr>
        <w:pStyle w:val="ParagrapheIndent2"/>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xml:space="preserve">Pour toute information, consultez le site internet : </w:t>
      </w:r>
      <w:hyperlink r:id="rId34" w:history="1">
        <w:r w:rsidRPr="005D5B0F">
          <w:rPr>
            <w:rFonts w:ascii="Barlow" w:eastAsia="Marianne" w:hAnsi="Barlow" w:cs="Marianne"/>
            <w:color w:val="0000FF"/>
            <w:sz w:val="18"/>
            <w:szCs w:val="22"/>
            <w:lang w:val="fr-FR"/>
          </w:rPr>
          <w:t>http://www.rfar.fr</w:t>
        </w:r>
      </w:hyperlink>
    </w:p>
    <w:p w14:paraId="7A5BA186" w14:textId="77777777" w:rsidR="00D03000" w:rsidRPr="005D5B0F" w:rsidRDefault="00000000">
      <w:pPr>
        <w:pStyle w:val="ParagrapheIndent2"/>
        <w:spacing w:after="240" w:line="233" w:lineRule="exact"/>
        <w:rPr>
          <w:rFonts w:ascii="Barlow" w:hAnsi="Barlow"/>
          <w:color w:val="000000"/>
          <w:sz w:val="18"/>
          <w:szCs w:val="22"/>
          <w:lang w:val="fr-FR"/>
        </w:rPr>
      </w:pPr>
      <w:r w:rsidRPr="005D5B0F">
        <w:rPr>
          <w:rFonts w:ascii="Barlow" w:hAnsi="Barlow"/>
          <w:color w:val="000000"/>
          <w:sz w:val="18"/>
          <w:szCs w:val="22"/>
          <w:lang w:val="fr-FR"/>
        </w:rPr>
        <w:t> </w:t>
      </w:r>
    </w:p>
    <w:p w14:paraId="28507C4E" w14:textId="77777777" w:rsidR="00D03000" w:rsidRPr="005D5B0F" w:rsidRDefault="00000000">
      <w:pPr>
        <w:pStyle w:val="Titre3"/>
        <w:ind w:left="560"/>
        <w:rPr>
          <w:rFonts w:ascii="Barlow" w:eastAsia="Trebuchet MS" w:hAnsi="Barlow" w:cs="Trebuchet MS"/>
          <w:color w:val="000000"/>
          <w:sz w:val="21"/>
          <w:szCs w:val="24"/>
          <w:lang w:val="fr-FR"/>
        </w:rPr>
      </w:pPr>
      <w:bookmarkStart w:id="116" w:name="ArtL3_NA35.1.1"/>
      <w:bookmarkStart w:id="117" w:name="_Toc256000058"/>
      <w:bookmarkEnd w:id="116"/>
      <w:r w:rsidRPr="005D5B0F">
        <w:rPr>
          <w:rFonts w:ascii="Barlow" w:eastAsia="Trebuchet MS" w:hAnsi="Barlow" w:cs="Trebuchet MS"/>
          <w:color w:val="000000"/>
          <w:sz w:val="21"/>
          <w:szCs w:val="24"/>
          <w:lang w:val="fr-FR"/>
        </w:rPr>
        <w:t>18.1.1 - Différends</w:t>
      </w:r>
      <w:bookmarkEnd w:id="117"/>
    </w:p>
    <w:p w14:paraId="32BD8218"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Le présent marché est conclu et est exécuté de bonne foi par les parties qui s’engagent à examiner ensemble, dans le plus grand esprit de concertation, tout différend qui pourrait survenir relatif à son existence, son interprétation ou à son exécution.</w:t>
      </w:r>
    </w:p>
    <w:p w14:paraId="2B34B0AE" w14:textId="77777777" w:rsidR="00D03000" w:rsidRPr="005D5B0F" w:rsidRDefault="00D03000">
      <w:pPr>
        <w:pStyle w:val="ParagrapheIndent3"/>
        <w:spacing w:line="233" w:lineRule="exact"/>
        <w:rPr>
          <w:rFonts w:ascii="Barlow" w:hAnsi="Barlow"/>
          <w:color w:val="000000"/>
          <w:sz w:val="18"/>
          <w:szCs w:val="22"/>
          <w:lang w:val="fr-FR"/>
        </w:rPr>
      </w:pPr>
    </w:p>
    <w:p w14:paraId="1F6AD483"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xml:space="preserve">L’acheteur et le titulaire s’efforcent de régler à l’amiable tout différend éventuel relatif à l’interprétation des stipulations du présent contrat ou à l’exécution des prestations. </w:t>
      </w:r>
    </w:p>
    <w:p w14:paraId="60675C23" w14:textId="77777777" w:rsidR="00D03000" w:rsidRPr="005D5B0F" w:rsidRDefault="00D03000">
      <w:pPr>
        <w:pStyle w:val="ParagrapheIndent3"/>
        <w:spacing w:line="233" w:lineRule="exact"/>
        <w:rPr>
          <w:rFonts w:ascii="Barlow" w:hAnsi="Barlow"/>
          <w:color w:val="000000"/>
          <w:sz w:val="18"/>
          <w:szCs w:val="22"/>
          <w:lang w:val="fr-FR"/>
        </w:rPr>
      </w:pPr>
    </w:p>
    <w:p w14:paraId="78468D8B"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b/>
          <w:color w:val="000000"/>
          <w:sz w:val="18"/>
          <w:szCs w:val="22"/>
          <w:lang w:val="fr-FR"/>
        </w:rPr>
        <w:t xml:space="preserve">1/ Principes communs au règlement amiable des différends </w:t>
      </w:r>
    </w:p>
    <w:p w14:paraId="45B0FDBD"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hAnsi="Barlow"/>
          <w:color w:val="000000"/>
          <w:sz w:val="18"/>
          <w:szCs w:val="22"/>
          <w:lang w:val="fr-FR"/>
        </w:rPr>
        <w:t> </w:t>
      </w:r>
    </w:p>
    <w:p w14:paraId="3203193F" w14:textId="77777777" w:rsidR="00D03000" w:rsidRPr="005D5B0F" w:rsidRDefault="00D03000">
      <w:pPr>
        <w:pStyle w:val="ParagrapheIndent3"/>
        <w:spacing w:line="233" w:lineRule="exact"/>
        <w:rPr>
          <w:rFonts w:ascii="Barlow" w:hAnsi="Barlow"/>
          <w:color w:val="000000"/>
          <w:sz w:val="18"/>
          <w:szCs w:val="22"/>
          <w:lang w:val="fr-FR"/>
        </w:rPr>
      </w:pPr>
    </w:p>
    <w:p w14:paraId="3BEC5AB5"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eastAsia="Marianne" w:hAnsi="Barlow" w:cs="Marianne"/>
          <w:b/>
          <w:color w:val="000000"/>
          <w:sz w:val="18"/>
          <w:szCs w:val="22"/>
          <w:lang w:val="fr-FR"/>
        </w:rPr>
        <w:t xml:space="preserve">Rappels quant aux processus de règlement amiable des différends  </w:t>
      </w:r>
    </w:p>
    <w:p w14:paraId="75609CE7"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xml:space="preserve">La médiation ou la conciliation par le Comité consultatif de règlement amiable des différends relatifs aux marchés publics sont des processus de règlement amiable des différends. Leur recours vise notamment à favoriser une solution rapide et pérenne aux problèmes rencontrés, et participe à l’objectif de préserver la relation future du ministère avec ses fournisseurs. </w:t>
      </w:r>
    </w:p>
    <w:p w14:paraId="1670513E" w14:textId="77777777" w:rsidR="00D03000" w:rsidRPr="005D5B0F" w:rsidRDefault="00D03000">
      <w:pPr>
        <w:pStyle w:val="ParagrapheIndent3"/>
        <w:spacing w:line="233" w:lineRule="exact"/>
        <w:rPr>
          <w:rFonts w:ascii="Barlow" w:hAnsi="Barlow"/>
          <w:color w:val="000000"/>
          <w:sz w:val="18"/>
          <w:szCs w:val="22"/>
          <w:lang w:val="fr-FR"/>
        </w:rPr>
      </w:pPr>
    </w:p>
    <w:p w14:paraId="6DE96CA5"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À ce titre, chaque partie reste libre de quitter à tout moment le processus.</w:t>
      </w:r>
    </w:p>
    <w:p w14:paraId="2EF9EDD4" w14:textId="77777777" w:rsidR="00D03000" w:rsidRPr="005D5B0F" w:rsidRDefault="00D03000">
      <w:pPr>
        <w:pStyle w:val="ParagrapheIndent3"/>
        <w:spacing w:line="233" w:lineRule="exact"/>
        <w:rPr>
          <w:rFonts w:ascii="Barlow" w:hAnsi="Barlow"/>
          <w:color w:val="000000"/>
          <w:sz w:val="18"/>
          <w:szCs w:val="22"/>
          <w:lang w:val="fr-FR"/>
        </w:rPr>
      </w:pPr>
    </w:p>
    <w:p w14:paraId="4525A978"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Dans l’hypothèse où le différend n’aurait pas trouvé de solution acceptable pour les deux parties, il appartiendra à la plus diligente d’entre elles, si elle s’y croit fondée, de saisir la juridiction compétente du litige en cause.</w:t>
      </w:r>
    </w:p>
    <w:p w14:paraId="50E3370F"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hAnsi="Barlow"/>
          <w:color w:val="000000"/>
          <w:sz w:val="18"/>
          <w:szCs w:val="22"/>
          <w:lang w:val="fr-FR"/>
        </w:rPr>
        <w:t> </w:t>
      </w:r>
    </w:p>
    <w:p w14:paraId="37C42BD1" w14:textId="77777777" w:rsidR="00D03000" w:rsidRPr="005D5B0F" w:rsidRDefault="00D03000">
      <w:pPr>
        <w:pStyle w:val="ParagrapheIndent3"/>
        <w:spacing w:line="233" w:lineRule="exact"/>
        <w:rPr>
          <w:rFonts w:ascii="Barlow" w:hAnsi="Barlow"/>
          <w:color w:val="000000"/>
          <w:sz w:val="18"/>
          <w:szCs w:val="22"/>
          <w:lang w:val="fr-FR"/>
        </w:rPr>
      </w:pPr>
    </w:p>
    <w:p w14:paraId="7BD1C3F1"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eastAsia="Marianne" w:hAnsi="Barlow" w:cs="Marianne"/>
          <w:b/>
          <w:color w:val="000000"/>
          <w:sz w:val="18"/>
          <w:szCs w:val="22"/>
          <w:lang w:val="fr-FR"/>
        </w:rPr>
        <w:t xml:space="preserve">Suspension des délais de recours contentieux et de prescriptions </w:t>
      </w:r>
    </w:p>
    <w:p w14:paraId="3956FEA5" w14:textId="77777777" w:rsidR="00D03000" w:rsidRPr="005D5B0F" w:rsidRDefault="00000000">
      <w:pPr>
        <w:pStyle w:val="ParagrapheIndent3"/>
        <w:spacing w:after="80" w:line="233" w:lineRule="exact"/>
        <w:rPr>
          <w:rFonts w:ascii="Barlow" w:eastAsia="Marianne" w:hAnsi="Barlow" w:cs="Marianne"/>
          <w:color w:val="000000"/>
          <w:sz w:val="18"/>
          <w:szCs w:val="22"/>
          <w:lang w:val="fr-FR"/>
        </w:rPr>
        <w:sectPr w:rsidR="00D03000" w:rsidRPr="005D5B0F">
          <w:footerReference w:type="default" r:id="rId35"/>
          <w:pgSz w:w="11900" w:h="16840"/>
          <w:pgMar w:top="1140" w:right="1140" w:bottom="1140" w:left="1140" w:header="1140" w:footer="1140" w:gutter="0"/>
          <w:cols w:space="708"/>
        </w:sectPr>
      </w:pPr>
      <w:r w:rsidRPr="005D5B0F">
        <w:rPr>
          <w:rFonts w:ascii="Barlow" w:eastAsia="Marianne" w:hAnsi="Barlow" w:cs="Marianne"/>
          <w:color w:val="000000"/>
          <w:sz w:val="18"/>
          <w:szCs w:val="22"/>
          <w:lang w:val="fr-FR"/>
        </w:rPr>
        <w:t xml:space="preserve">Conformément au code de justice administrative, les délais de recours contentieux sont </w:t>
      </w:r>
    </w:p>
    <w:p w14:paraId="5973D0CA"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lastRenderedPageBreak/>
        <w:t>interrompus et les prescriptions sont suspendues à compter de la date d’acceptation des deux parties indiquées dans le courriel d’ouverture qui leur est envoyé par le médiateur « Relations fournisseurs » ou de la date de saisine du Comité consultatif du règlement amiable des différends relatifs aux marchés publics.</w:t>
      </w:r>
    </w:p>
    <w:p w14:paraId="4B1DAED9" w14:textId="77777777" w:rsidR="00D03000" w:rsidRPr="005D5B0F" w:rsidRDefault="00D03000">
      <w:pPr>
        <w:pStyle w:val="ParagrapheIndent3"/>
        <w:spacing w:line="233" w:lineRule="exact"/>
        <w:rPr>
          <w:rFonts w:ascii="Barlow" w:hAnsi="Barlow"/>
          <w:color w:val="000000"/>
          <w:sz w:val="18"/>
          <w:szCs w:val="22"/>
          <w:lang w:val="fr-FR"/>
        </w:rPr>
      </w:pPr>
    </w:p>
    <w:p w14:paraId="4CC99006"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Ces démarches interrompent les délais de recours contentieux jusqu'à la notification de la décision prise après la tentative de règlement amiable, ou de la constatation de l'échec de la démarche.</w:t>
      </w:r>
    </w:p>
    <w:p w14:paraId="6BA7242C" w14:textId="77777777" w:rsidR="00D03000" w:rsidRPr="005D5B0F" w:rsidRDefault="00D03000">
      <w:pPr>
        <w:pStyle w:val="ParagrapheIndent3"/>
        <w:spacing w:line="233" w:lineRule="exact"/>
        <w:rPr>
          <w:rFonts w:ascii="Barlow" w:hAnsi="Barlow"/>
          <w:color w:val="000000"/>
          <w:sz w:val="18"/>
          <w:szCs w:val="22"/>
          <w:lang w:val="fr-FR"/>
        </w:rPr>
      </w:pPr>
    </w:p>
    <w:p w14:paraId="06239EB4"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b/>
          <w:color w:val="000000"/>
          <w:sz w:val="18"/>
          <w:szCs w:val="22"/>
          <w:lang w:val="fr-FR"/>
        </w:rPr>
        <w:t xml:space="preserve">•   Confidentialité </w:t>
      </w:r>
    </w:p>
    <w:p w14:paraId="1F8C1677"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Sauf accord des parties, et exceptions prévues par le code de la justice administrative, la médiation ou la conciliation par le Comité sont soumises au principe de confidentialité. Ce principe vise à favoriser les échanges via la libération de la parole, l’émergence de nouvelles idées ou la clarification de situations.</w:t>
      </w:r>
    </w:p>
    <w:p w14:paraId="5C469A1C" w14:textId="77777777" w:rsidR="00D03000" w:rsidRPr="005D5B0F" w:rsidRDefault="00D03000">
      <w:pPr>
        <w:pStyle w:val="ParagrapheIndent3"/>
        <w:spacing w:line="233" w:lineRule="exact"/>
        <w:rPr>
          <w:rFonts w:ascii="Barlow" w:hAnsi="Barlow"/>
          <w:color w:val="000000"/>
          <w:sz w:val="18"/>
          <w:szCs w:val="22"/>
          <w:lang w:val="fr-FR"/>
        </w:rPr>
      </w:pPr>
    </w:p>
    <w:p w14:paraId="1B931DEF"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xml:space="preserve">Aussi, les constatations et les déclarations des parties recueillies dans le cadre du règlement amiable doivent rester confidentielles. </w:t>
      </w:r>
    </w:p>
    <w:p w14:paraId="75F013AA" w14:textId="77777777" w:rsidR="00D03000" w:rsidRPr="005D5B0F" w:rsidRDefault="00D03000">
      <w:pPr>
        <w:pStyle w:val="ParagrapheIndent3"/>
        <w:spacing w:line="233" w:lineRule="exact"/>
        <w:rPr>
          <w:rFonts w:ascii="Barlow" w:hAnsi="Barlow"/>
          <w:color w:val="000000"/>
          <w:sz w:val="18"/>
          <w:szCs w:val="22"/>
          <w:lang w:val="fr-FR"/>
        </w:rPr>
      </w:pPr>
    </w:p>
    <w:p w14:paraId="162F69A8"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Ce principe de confidentialité ne s’applique pas aux pièces, documents et déclarations qui sont connus des parties et préexistent à la démarche, sans préjudice des mentions de protection qui peuvent les concerner.</w:t>
      </w:r>
    </w:p>
    <w:p w14:paraId="33F5001D" w14:textId="77777777" w:rsidR="00D03000" w:rsidRPr="005D5B0F" w:rsidRDefault="00D03000">
      <w:pPr>
        <w:pStyle w:val="ParagrapheIndent3"/>
        <w:spacing w:line="233" w:lineRule="exact"/>
        <w:rPr>
          <w:rFonts w:ascii="Barlow" w:hAnsi="Barlow"/>
          <w:color w:val="000000"/>
          <w:sz w:val="18"/>
          <w:szCs w:val="22"/>
          <w:lang w:val="fr-FR"/>
        </w:rPr>
      </w:pPr>
    </w:p>
    <w:p w14:paraId="59122735"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b/>
          <w:color w:val="000000"/>
          <w:sz w:val="18"/>
          <w:szCs w:val="22"/>
          <w:lang w:val="fr-FR"/>
        </w:rPr>
        <w:t xml:space="preserve">2/ Possibilité de saisir le médiateur pour les relations entre le ministère de la Justice et ses fournisseurs </w:t>
      </w:r>
    </w:p>
    <w:p w14:paraId="287711D1" w14:textId="77777777" w:rsidR="00D03000" w:rsidRPr="005D5B0F" w:rsidRDefault="00D03000">
      <w:pPr>
        <w:pStyle w:val="ParagrapheIndent3"/>
        <w:spacing w:line="233" w:lineRule="exact"/>
        <w:rPr>
          <w:rFonts w:ascii="Barlow" w:hAnsi="Barlow"/>
          <w:color w:val="000000"/>
          <w:sz w:val="18"/>
          <w:szCs w:val="22"/>
          <w:lang w:val="fr-FR"/>
        </w:rPr>
      </w:pPr>
    </w:p>
    <w:p w14:paraId="7AF35889"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xml:space="preserve">Lorsque l'acheteur et le titulaire ne parviennent pas à régler le différend à l'issue d'une procédure de réclamation, ils privilégient, avant toute saisine de la juridiction compétente, le recours à la conciliation ou à la médiation. Le médiateur pour les relations entre le ministère de la Justice et ses fournisseurs, dont l'indépendance est garantie par le fait qu'il n'intervient dans aucune phase de la commande publique, peut être saisi par mail à l’adresse suivante : </w:t>
      </w:r>
    </w:p>
    <w:p w14:paraId="64988943" w14:textId="77777777" w:rsidR="00D03000" w:rsidRPr="005D5B0F" w:rsidRDefault="00D03000">
      <w:pPr>
        <w:pStyle w:val="ParagrapheIndent3"/>
        <w:spacing w:line="233" w:lineRule="exact"/>
        <w:rPr>
          <w:rFonts w:ascii="Barlow" w:hAnsi="Barlow"/>
          <w:color w:val="000000"/>
          <w:sz w:val="18"/>
          <w:szCs w:val="22"/>
          <w:lang w:val="fr-FR"/>
        </w:rPr>
      </w:pPr>
    </w:p>
    <w:p w14:paraId="4AD6B52B" w14:textId="77777777" w:rsidR="00D03000" w:rsidRPr="005D5B0F" w:rsidRDefault="00000000">
      <w:pPr>
        <w:pStyle w:val="ParagrapheIndent3"/>
        <w:spacing w:line="233" w:lineRule="exact"/>
        <w:rPr>
          <w:rFonts w:ascii="Barlow" w:hAnsi="Barlow"/>
          <w:color w:val="000000"/>
          <w:sz w:val="18"/>
          <w:szCs w:val="22"/>
          <w:lang w:val="fr-FR"/>
        </w:rPr>
      </w:pPr>
      <w:hyperlink r:id="rId36" w:history="1">
        <w:r w:rsidRPr="005D5B0F">
          <w:rPr>
            <w:rFonts w:ascii="Barlow" w:eastAsia="Marianne" w:hAnsi="Barlow" w:cs="Marianne"/>
            <w:b/>
            <w:color w:val="0000FF"/>
            <w:sz w:val="18"/>
            <w:szCs w:val="22"/>
            <w:u w:val="single"/>
            <w:lang w:val="fr-FR"/>
          </w:rPr>
          <w:t>mediateur-fournisseurs@justice.gouv.fr</w:t>
        </w:r>
      </w:hyperlink>
    </w:p>
    <w:p w14:paraId="29F106B1" w14:textId="77777777" w:rsidR="00D03000" w:rsidRPr="005D5B0F" w:rsidRDefault="00D03000">
      <w:pPr>
        <w:pStyle w:val="ParagrapheIndent3"/>
        <w:spacing w:line="233" w:lineRule="exact"/>
        <w:rPr>
          <w:rFonts w:ascii="Barlow" w:hAnsi="Barlow"/>
          <w:color w:val="000000"/>
          <w:sz w:val="18"/>
          <w:szCs w:val="22"/>
          <w:lang w:val="fr-FR"/>
        </w:rPr>
      </w:pPr>
    </w:p>
    <w:p w14:paraId="1E9A8680"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ou par courrier recommandé avec avis de réception à :</w:t>
      </w:r>
    </w:p>
    <w:p w14:paraId="292699F1" w14:textId="77777777" w:rsidR="00D03000" w:rsidRPr="005D5B0F" w:rsidRDefault="00D03000">
      <w:pPr>
        <w:pStyle w:val="ParagrapheIndent3"/>
        <w:spacing w:line="233" w:lineRule="exact"/>
        <w:rPr>
          <w:rFonts w:ascii="Barlow" w:hAnsi="Barlow"/>
          <w:color w:val="000000"/>
          <w:sz w:val="18"/>
          <w:szCs w:val="22"/>
          <w:lang w:val="fr-FR"/>
        </w:rPr>
      </w:pPr>
    </w:p>
    <w:p w14:paraId="48EC8A4B"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Monsieur le médiateur pour les relations entre le ministère de la Justice et ses fournisseurs 13 place Vendôme</w:t>
      </w:r>
    </w:p>
    <w:p w14:paraId="35822D9F"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75042 Paris Cedex 01</w:t>
      </w:r>
    </w:p>
    <w:p w14:paraId="5E1D0673" w14:textId="77777777" w:rsidR="00D03000" w:rsidRPr="005D5B0F" w:rsidRDefault="00D03000">
      <w:pPr>
        <w:pStyle w:val="ParagrapheIndent3"/>
        <w:spacing w:line="233" w:lineRule="exact"/>
        <w:rPr>
          <w:rFonts w:ascii="Barlow" w:hAnsi="Barlow"/>
          <w:color w:val="000000"/>
          <w:sz w:val="18"/>
          <w:szCs w:val="22"/>
          <w:lang w:val="fr-FR"/>
        </w:rPr>
      </w:pPr>
    </w:p>
    <w:p w14:paraId="1A8D53E1"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Par ailleurs, le médiateur pour les relations entre le ministère de la justice et ses fournisseurs peut être consulté par téléphone au 06 77 62 09 60.</w:t>
      </w:r>
    </w:p>
    <w:p w14:paraId="3AD79A02" w14:textId="77777777" w:rsidR="00D03000" w:rsidRPr="005D5B0F" w:rsidRDefault="00D03000">
      <w:pPr>
        <w:pStyle w:val="ParagrapheIndent3"/>
        <w:spacing w:line="233" w:lineRule="exact"/>
        <w:rPr>
          <w:rFonts w:ascii="Barlow" w:hAnsi="Barlow"/>
          <w:color w:val="000000"/>
          <w:sz w:val="18"/>
          <w:szCs w:val="22"/>
          <w:lang w:val="fr-FR"/>
        </w:rPr>
      </w:pPr>
    </w:p>
    <w:p w14:paraId="7C3C0C33" w14:textId="77777777" w:rsidR="00D03000" w:rsidRPr="005D5B0F" w:rsidRDefault="00D03000">
      <w:pPr>
        <w:pStyle w:val="ParagrapheIndent3"/>
        <w:spacing w:line="233" w:lineRule="exact"/>
        <w:rPr>
          <w:rFonts w:ascii="Barlow" w:hAnsi="Barlow"/>
          <w:color w:val="000000"/>
          <w:sz w:val="18"/>
          <w:szCs w:val="22"/>
          <w:lang w:val="fr-FR"/>
        </w:rPr>
      </w:pPr>
    </w:p>
    <w:p w14:paraId="26ACF9B0"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b/>
          <w:color w:val="FF0000"/>
          <w:sz w:val="18"/>
          <w:szCs w:val="22"/>
          <w:lang w:val="fr-FR"/>
        </w:rPr>
        <w:t>ATTENTION </w:t>
      </w:r>
      <w:r w:rsidRPr="005D5B0F">
        <w:rPr>
          <w:rFonts w:ascii="Barlow" w:eastAsia="Marianne" w:hAnsi="Barlow" w:cs="Marianne"/>
          <w:b/>
          <w:color w:val="000000"/>
          <w:sz w:val="18"/>
          <w:szCs w:val="22"/>
          <w:lang w:val="fr-FR"/>
        </w:rPr>
        <w:t xml:space="preserve">: le médiateur pour les relations entre le ministère de la Justice et ses fournisseurs n’intervient que pour les différends entre le(s) titulaire(s) du marché et le ministère. </w:t>
      </w:r>
    </w:p>
    <w:p w14:paraId="54F3A3D6" w14:textId="77777777" w:rsidR="00D03000" w:rsidRPr="005D5B0F" w:rsidRDefault="00D03000">
      <w:pPr>
        <w:pStyle w:val="ParagrapheIndent3"/>
        <w:spacing w:line="233" w:lineRule="exact"/>
        <w:rPr>
          <w:rFonts w:ascii="Barlow" w:hAnsi="Barlow"/>
          <w:color w:val="000000"/>
          <w:sz w:val="18"/>
          <w:szCs w:val="22"/>
          <w:lang w:val="fr-FR"/>
        </w:rPr>
      </w:pPr>
    </w:p>
    <w:p w14:paraId="21E12CD9"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b/>
          <w:color w:val="000000"/>
          <w:sz w:val="18"/>
          <w:szCs w:val="22"/>
          <w:lang w:val="fr-FR"/>
        </w:rPr>
        <w:t>•   Modalités de saisine du médiateur « Relations fournisseurs »</w:t>
      </w:r>
    </w:p>
    <w:p w14:paraId="56824E15" w14:textId="77777777" w:rsidR="00D03000" w:rsidRPr="005D5B0F" w:rsidRDefault="00D03000">
      <w:pPr>
        <w:pStyle w:val="ParagrapheIndent3"/>
        <w:spacing w:line="233" w:lineRule="exact"/>
        <w:rPr>
          <w:rFonts w:ascii="Barlow" w:hAnsi="Barlow"/>
          <w:color w:val="000000"/>
          <w:sz w:val="18"/>
          <w:szCs w:val="22"/>
          <w:lang w:val="fr-FR"/>
        </w:rPr>
      </w:pPr>
    </w:p>
    <w:p w14:paraId="5FFA5FE2"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La saisine du médiateur pour les relations entre le ministère de la Justice et ses fournisseurs doit comporter :</w:t>
      </w:r>
    </w:p>
    <w:p w14:paraId="233D3C4B" w14:textId="77777777" w:rsidR="00D03000" w:rsidRPr="005D5B0F" w:rsidRDefault="00D03000">
      <w:pPr>
        <w:pStyle w:val="ParagrapheIndent3"/>
        <w:spacing w:line="233" w:lineRule="exact"/>
        <w:rPr>
          <w:rFonts w:ascii="Barlow" w:hAnsi="Barlow"/>
          <w:color w:val="000000"/>
          <w:sz w:val="18"/>
          <w:szCs w:val="22"/>
          <w:lang w:val="fr-FR"/>
        </w:rPr>
      </w:pPr>
    </w:p>
    <w:p w14:paraId="7F3EBEE4"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eastAsia="Marianne" w:hAnsi="Barlow" w:cs="Marianne"/>
          <w:color w:val="000000"/>
          <w:sz w:val="18"/>
          <w:szCs w:val="22"/>
          <w:lang w:val="fr-FR"/>
        </w:rPr>
        <w:t>le nom de l’entreprise à l’origine de la demande,</w:t>
      </w:r>
    </w:p>
    <w:p w14:paraId="252E3321"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eastAsia="Marianne" w:hAnsi="Barlow" w:cs="Marianne"/>
          <w:color w:val="000000"/>
          <w:sz w:val="18"/>
          <w:szCs w:val="22"/>
          <w:lang w:val="fr-FR"/>
        </w:rPr>
        <w:t>son numéro de SIRET,</w:t>
      </w:r>
    </w:p>
    <w:p w14:paraId="786C4E07"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eastAsia="Marianne" w:hAnsi="Barlow" w:cs="Marianne"/>
          <w:color w:val="000000"/>
          <w:sz w:val="18"/>
          <w:szCs w:val="22"/>
          <w:lang w:val="fr-FR"/>
        </w:rPr>
        <w:t>l’objet du marché et, le cas échéant, du ou des bon(s) de commande concerné(s),</w:t>
      </w:r>
    </w:p>
    <w:p w14:paraId="6DFA68F6"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eastAsia="Marianne" w:hAnsi="Barlow" w:cs="Marianne"/>
          <w:color w:val="000000"/>
          <w:sz w:val="18"/>
          <w:szCs w:val="22"/>
          <w:lang w:val="fr-FR"/>
        </w:rPr>
        <w:t xml:space="preserve">l’objet de sa sollicitation, </w:t>
      </w:r>
    </w:p>
    <w:p w14:paraId="3A99A053"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eastAsia="Marianne" w:hAnsi="Barlow" w:cs="Marianne"/>
          <w:color w:val="000000"/>
          <w:sz w:val="18"/>
          <w:szCs w:val="22"/>
          <w:lang w:val="fr-FR"/>
        </w:rPr>
        <w:t>le service concerné au sein du ministère de la Justice,</w:t>
      </w:r>
    </w:p>
    <w:p w14:paraId="32A86CD7" w14:textId="77777777" w:rsidR="00D03000" w:rsidRPr="005D5B0F" w:rsidRDefault="00D03000">
      <w:pPr>
        <w:pStyle w:val="ParagrapheIndent3"/>
        <w:spacing w:after="60" w:line="233" w:lineRule="exact"/>
        <w:rPr>
          <w:rFonts w:ascii="Barlow" w:hAnsi="Barlow"/>
          <w:color w:val="000000"/>
          <w:sz w:val="18"/>
          <w:szCs w:val="22"/>
          <w:lang w:val="fr-FR"/>
        </w:rPr>
        <w:sectPr w:rsidR="00D03000" w:rsidRPr="005D5B0F">
          <w:footerReference w:type="default" r:id="rId37"/>
          <w:pgSz w:w="11900" w:h="16840"/>
          <w:pgMar w:top="1140" w:right="1140" w:bottom="1140" w:left="1140" w:header="1140" w:footer="1140" w:gutter="0"/>
          <w:cols w:space="708"/>
        </w:sectPr>
      </w:pPr>
    </w:p>
    <w:p w14:paraId="02644209"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hAnsi="Barlow"/>
          <w:color w:val="000000"/>
          <w:sz w:val="18"/>
          <w:szCs w:val="22"/>
          <w:lang w:val="fr-FR"/>
        </w:rPr>
        <w:lastRenderedPageBreak/>
        <w:t xml:space="preserve">    •  </w:t>
      </w:r>
      <w:r w:rsidRPr="005D5B0F">
        <w:rPr>
          <w:rFonts w:ascii="Barlow" w:eastAsia="Marianne" w:hAnsi="Barlow" w:cs="Marianne"/>
          <w:color w:val="000000"/>
          <w:sz w:val="18"/>
          <w:szCs w:val="22"/>
          <w:lang w:val="fr-FR"/>
        </w:rPr>
        <w:t>les coordonnées mail et téléphoniques de la personne pouvant être contactée au sein de l’entreprise.</w:t>
      </w:r>
    </w:p>
    <w:p w14:paraId="5B460326" w14:textId="77777777" w:rsidR="00D03000" w:rsidRPr="005D5B0F" w:rsidRDefault="00D03000">
      <w:pPr>
        <w:pStyle w:val="ParagrapheIndent3"/>
        <w:spacing w:line="233" w:lineRule="exact"/>
        <w:rPr>
          <w:rFonts w:ascii="Barlow" w:hAnsi="Barlow"/>
          <w:color w:val="000000"/>
          <w:sz w:val="18"/>
          <w:szCs w:val="22"/>
          <w:lang w:val="fr-FR"/>
        </w:rPr>
      </w:pPr>
    </w:p>
    <w:p w14:paraId="27F3A545"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xml:space="preserve">Le médiateur pour les relations entre le ministère de la Justice et ses fournisseurs se prononce sur l’éligibilité de la demande et informe en retour la partie demanderesse dans les meilleurs délais. </w:t>
      </w:r>
    </w:p>
    <w:p w14:paraId="49181817" w14:textId="77777777" w:rsidR="00D03000" w:rsidRPr="005D5B0F" w:rsidRDefault="00D03000">
      <w:pPr>
        <w:pStyle w:val="ParagrapheIndent3"/>
        <w:spacing w:line="233" w:lineRule="exact"/>
        <w:rPr>
          <w:rFonts w:ascii="Barlow" w:hAnsi="Barlow"/>
          <w:color w:val="000000"/>
          <w:sz w:val="18"/>
          <w:szCs w:val="22"/>
          <w:lang w:val="fr-FR"/>
        </w:rPr>
      </w:pPr>
    </w:p>
    <w:p w14:paraId="3C6103E5"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xml:space="preserve">Dès lors que la demande d’une partie est estimée éligible, le médiateur pour les relations entre le ministère de la Justice et ses fournisseurs sollicite l’avis de l’autre partie. Si les deux parties acceptent l’entrée en médiation, le médiateur pour les relations entre le ministère de la Justice et ses fournisseurs envoie un courriel d’ouverture aux deux parties, précisant la date d’acceptation des parties. </w:t>
      </w:r>
    </w:p>
    <w:p w14:paraId="70DF445A" w14:textId="77777777" w:rsidR="00D03000" w:rsidRPr="005D5B0F" w:rsidRDefault="00D03000">
      <w:pPr>
        <w:pStyle w:val="ParagrapheIndent3"/>
        <w:spacing w:line="233" w:lineRule="exact"/>
        <w:rPr>
          <w:rFonts w:ascii="Barlow" w:hAnsi="Barlow"/>
          <w:color w:val="000000"/>
          <w:sz w:val="18"/>
          <w:szCs w:val="22"/>
          <w:lang w:val="fr-FR"/>
        </w:rPr>
      </w:pPr>
    </w:p>
    <w:p w14:paraId="404E1A92"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xml:space="preserve">Cette date constitue l’entrée en médiation et fixe la date de la première réunion. </w:t>
      </w:r>
    </w:p>
    <w:p w14:paraId="0F5E1FD8" w14:textId="77777777" w:rsidR="00D03000" w:rsidRPr="005D5B0F" w:rsidRDefault="00D03000">
      <w:pPr>
        <w:pStyle w:val="ParagrapheIndent3"/>
        <w:spacing w:line="233" w:lineRule="exact"/>
        <w:rPr>
          <w:rFonts w:ascii="Barlow" w:hAnsi="Barlow"/>
          <w:color w:val="000000"/>
          <w:sz w:val="18"/>
          <w:szCs w:val="22"/>
          <w:lang w:val="fr-FR"/>
        </w:rPr>
      </w:pPr>
    </w:p>
    <w:p w14:paraId="28F85BEA"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Le recours au service de la médiation est entièrement gratuit.</w:t>
      </w:r>
    </w:p>
    <w:p w14:paraId="5AEAED8F" w14:textId="77777777" w:rsidR="00D03000" w:rsidRPr="005D5B0F" w:rsidRDefault="00D03000">
      <w:pPr>
        <w:pStyle w:val="ParagrapheIndent3"/>
        <w:spacing w:line="233" w:lineRule="exact"/>
        <w:rPr>
          <w:rFonts w:ascii="Barlow" w:hAnsi="Barlow"/>
          <w:color w:val="000000"/>
          <w:sz w:val="18"/>
          <w:szCs w:val="22"/>
          <w:lang w:val="fr-FR"/>
        </w:rPr>
      </w:pPr>
    </w:p>
    <w:p w14:paraId="01A860B8"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hAnsi="Barlow"/>
          <w:color w:val="000000"/>
          <w:sz w:val="18"/>
          <w:szCs w:val="22"/>
          <w:lang w:val="fr-FR"/>
        </w:rPr>
        <w:t> </w:t>
      </w:r>
    </w:p>
    <w:p w14:paraId="3393172F" w14:textId="77777777" w:rsidR="00D03000" w:rsidRPr="005D5B0F" w:rsidRDefault="00D03000">
      <w:pPr>
        <w:pStyle w:val="ParagrapheIndent3"/>
        <w:spacing w:line="233" w:lineRule="exact"/>
        <w:rPr>
          <w:rFonts w:ascii="Barlow" w:hAnsi="Barlow"/>
          <w:color w:val="000000"/>
          <w:sz w:val="18"/>
          <w:szCs w:val="22"/>
          <w:lang w:val="fr-FR"/>
        </w:rPr>
      </w:pPr>
    </w:p>
    <w:p w14:paraId="2CED4396"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eastAsia="Marianne" w:hAnsi="Barlow" w:cs="Marianne"/>
          <w:b/>
          <w:color w:val="000000"/>
          <w:sz w:val="18"/>
          <w:szCs w:val="22"/>
          <w:lang w:val="fr-FR"/>
        </w:rPr>
        <w:t xml:space="preserve">Durée de la médiation </w:t>
      </w:r>
    </w:p>
    <w:p w14:paraId="2546AAD9" w14:textId="77777777" w:rsidR="00D03000" w:rsidRPr="005D5B0F" w:rsidRDefault="00D03000">
      <w:pPr>
        <w:pStyle w:val="ParagrapheIndent3"/>
        <w:spacing w:line="233" w:lineRule="exact"/>
        <w:rPr>
          <w:rFonts w:ascii="Barlow" w:hAnsi="Barlow"/>
          <w:color w:val="000000"/>
          <w:sz w:val="18"/>
          <w:szCs w:val="22"/>
          <w:lang w:val="fr-FR"/>
        </w:rPr>
      </w:pPr>
    </w:p>
    <w:p w14:paraId="2314FE65"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Les parties décident de fixer un délai de médiation, dans la limite de 6 mois maximum à compter de la date d’entrée en médiation.</w:t>
      </w:r>
    </w:p>
    <w:p w14:paraId="77702352" w14:textId="77777777" w:rsidR="00D03000" w:rsidRPr="005D5B0F" w:rsidRDefault="00D03000">
      <w:pPr>
        <w:pStyle w:val="ParagrapheIndent3"/>
        <w:spacing w:line="233" w:lineRule="exact"/>
        <w:rPr>
          <w:rFonts w:ascii="Barlow" w:hAnsi="Barlow"/>
          <w:color w:val="000000"/>
          <w:sz w:val="18"/>
          <w:szCs w:val="22"/>
          <w:lang w:val="fr-FR"/>
        </w:rPr>
      </w:pPr>
    </w:p>
    <w:p w14:paraId="2407F2F2"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La date d’entrée en médiation est celle précisée par le médiateur pour les relations entre le ministère de la Justice et ses fournisseurs dans son courriel d’ouverture attestant l’acceptation des parties d’entrer dans la démarche. À défaut, elle correspond à la date de la première réunion de médiation, conformément à l’article L. 213</w:t>
      </w:r>
      <w:r w:rsidRPr="005D5B0F">
        <w:rPr>
          <w:rFonts w:ascii="Cambria Math" w:eastAsia="Marianne" w:hAnsi="Cambria Math" w:cs="Cambria Math"/>
          <w:color w:val="000000"/>
          <w:sz w:val="18"/>
          <w:szCs w:val="22"/>
          <w:lang w:val="fr-FR"/>
        </w:rPr>
        <w:t>‑</w:t>
      </w:r>
      <w:r w:rsidRPr="005D5B0F">
        <w:rPr>
          <w:rFonts w:ascii="Barlow" w:eastAsia="Marianne" w:hAnsi="Barlow" w:cs="Marianne"/>
          <w:color w:val="000000"/>
          <w:sz w:val="18"/>
          <w:szCs w:val="22"/>
          <w:lang w:val="fr-FR"/>
        </w:rPr>
        <w:t xml:space="preserve">6 du code de justice administrative. </w:t>
      </w:r>
    </w:p>
    <w:p w14:paraId="5FFFEA3B" w14:textId="77777777" w:rsidR="00D03000" w:rsidRPr="005D5B0F" w:rsidRDefault="00D03000">
      <w:pPr>
        <w:pStyle w:val="ParagrapheIndent3"/>
        <w:spacing w:line="233" w:lineRule="exact"/>
        <w:rPr>
          <w:rFonts w:ascii="Barlow" w:hAnsi="Barlow"/>
          <w:color w:val="000000"/>
          <w:sz w:val="18"/>
          <w:szCs w:val="22"/>
          <w:lang w:val="fr-FR"/>
        </w:rPr>
      </w:pPr>
    </w:p>
    <w:p w14:paraId="77C9BBBD" w14:textId="77777777" w:rsidR="00D03000" w:rsidRPr="005D5B0F" w:rsidRDefault="00D03000">
      <w:pPr>
        <w:pStyle w:val="ParagrapheIndent3"/>
        <w:spacing w:line="233" w:lineRule="exact"/>
        <w:rPr>
          <w:rFonts w:ascii="Barlow" w:hAnsi="Barlow"/>
          <w:color w:val="000000"/>
          <w:sz w:val="18"/>
          <w:szCs w:val="22"/>
          <w:lang w:val="fr-FR"/>
        </w:rPr>
      </w:pPr>
    </w:p>
    <w:p w14:paraId="1134277E" w14:textId="77777777" w:rsidR="00D03000" w:rsidRPr="005D5B0F" w:rsidRDefault="00D03000">
      <w:pPr>
        <w:pStyle w:val="ParagrapheIndent3"/>
        <w:spacing w:line="233" w:lineRule="exact"/>
        <w:rPr>
          <w:rFonts w:ascii="Barlow" w:hAnsi="Barlow"/>
          <w:color w:val="000000"/>
          <w:sz w:val="18"/>
          <w:szCs w:val="22"/>
          <w:lang w:val="fr-FR"/>
        </w:rPr>
      </w:pPr>
    </w:p>
    <w:p w14:paraId="18DBBA8F"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b/>
          <w:color w:val="000000"/>
          <w:sz w:val="18"/>
          <w:szCs w:val="22"/>
          <w:lang w:val="fr-FR"/>
        </w:rPr>
        <w:t>3/ Possibilité de recourir au Comité consultatif de règlement amiable des différends relatifs aux marchés publics ou au Médiateur des entreprises</w:t>
      </w:r>
    </w:p>
    <w:p w14:paraId="4090B2C0" w14:textId="77777777" w:rsidR="00D03000" w:rsidRPr="005D5B0F" w:rsidRDefault="00D03000">
      <w:pPr>
        <w:pStyle w:val="ParagrapheIndent3"/>
        <w:spacing w:line="233" w:lineRule="exact"/>
        <w:rPr>
          <w:rFonts w:ascii="Barlow" w:hAnsi="Barlow"/>
          <w:color w:val="000000"/>
          <w:sz w:val="18"/>
          <w:szCs w:val="22"/>
          <w:lang w:val="fr-FR"/>
        </w:rPr>
      </w:pPr>
    </w:p>
    <w:p w14:paraId="0A264F70"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xml:space="preserve">En cas de différend, les acheteurs et le titulaire peuvent recourir au Comité consultatif de règlement amiable des différends relatifs aux marchés publics compétent ou au Médiateur des entreprises, conformément aux dispositions des articles R. 2197-1 à R. 2197-24 du code de la commande publique. </w:t>
      </w:r>
    </w:p>
    <w:p w14:paraId="7AC22D70" w14:textId="77777777" w:rsidR="00D03000" w:rsidRPr="005D5B0F" w:rsidRDefault="00D03000">
      <w:pPr>
        <w:pStyle w:val="ParagrapheIndent3"/>
        <w:spacing w:line="233" w:lineRule="exact"/>
        <w:rPr>
          <w:rFonts w:ascii="Barlow" w:hAnsi="Barlow"/>
          <w:color w:val="000000"/>
          <w:sz w:val="18"/>
          <w:szCs w:val="22"/>
          <w:lang w:val="fr-FR"/>
        </w:rPr>
      </w:pPr>
    </w:p>
    <w:p w14:paraId="065612E8"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 xml:space="preserve">Le comité consultatif compétent est : </w:t>
      </w:r>
    </w:p>
    <w:p w14:paraId="2F201371" w14:textId="77777777" w:rsidR="00D03000" w:rsidRPr="005D5B0F" w:rsidRDefault="00D03000">
      <w:pPr>
        <w:pStyle w:val="ParagrapheIndent3"/>
        <w:spacing w:line="233" w:lineRule="exact"/>
        <w:rPr>
          <w:rFonts w:ascii="Barlow" w:hAnsi="Barlow"/>
          <w:color w:val="000000"/>
          <w:sz w:val="18"/>
          <w:szCs w:val="22"/>
          <w:lang w:val="fr-FR"/>
        </w:rPr>
      </w:pPr>
    </w:p>
    <w:p w14:paraId="7C96A2A0" w14:textId="77777777" w:rsidR="00D03000" w:rsidRPr="005D5B0F" w:rsidRDefault="00D03000">
      <w:pPr>
        <w:pStyle w:val="ParagrapheIndent3"/>
        <w:spacing w:line="233" w:lineRule="exact"/>
        <w:rPr>
          <w:rFonts w:ascii="Barlow" w:hAnsi="Barlow"/>
          <w:color w:val="000000"/>
          <w:sz w:val="18"/>
          <w:szCs w:val="22"/>
          <w:lang w:val="fr-FR"/>
        </w:rPr>
      </w:pPr>
    </w:p>
    <w:p w14:paraId="39E9C664"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Direction des affaires juridiques</w:t>
      </w:r>
    </w:p>
    <w:p w14:paraId="586CC451"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Sous-direction de la commande publique</w:t>
      </w:r>
    </w:p>
    <w:p w14:paraId="5FB43708"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Bureau économie, statistiques et techniques de l’achat public</w:t>
      </w:r>
    </w:p>
    <w:p w14:paraId="1FB0256B"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1C - Bâtiment Condorcet</w:t>
      </w:r>
    </w:p>
    <w:p w14:paraId="439848D8"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6, rue Louise Weiss - Télédoc 353</w:t>
      </w:r>
    </w:p>
    <w:p w14:paraId="442F718B" w14:textId="77777777" w:rsidR="00D03000" w:rsidRPr="005D5B0F" w:rsidRDefault="00000000">
      <w:pPr>
        <w:pStyle w:val="ParagrapheIndent3"/>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75703 PARIS Cedex 13</w:t>
      </w:r>
    </w:p>
    <w:p w14:paraId="6B23AAA0" w14:textId="77777777" w:rsidR="00D03000" w:rsidRPr="005D5B0F" w:rsidRDefault="00000000">
      <w:pPr>
        <w:pStyle w:val="ParagrapheIndent3"/>
        <w:spacing w:after="240" w:line="233" w:lineRule="exact"/>
        <w:rPr>
          <w:rFonts w:ascii="Barlow" w:hAnsi="Barlow"/>
          <w:color w:val="000000"/>
          <w:sz w:val="18"/>
          <w:szCs w:val="22"/>
          <w:lang w:val="fr-FR"/>
        </w:rPr>
      </w:pPr>
      <w:r w:rsidRPr="005D5B0F">
        <w:rPr>
          <w:rFonts w:ascii="Barlow" w:hAnsi="Barlow"/>
          <w:color w:val="000000"/>
          <w:sz w:val="18"/>
          <w:szCs w:val="22"/>
          <w:lang w:val="fr-FR"/>
        </w:rPr>
        <w:t> </w:t>
      </w:r>
    </w:p>
    <w:p w14:paraId="5255A0C1" w14:textId="77777777" w:rsidR="00D03000" w:rsidRPr="005D5B0F" w:rsidRDefault="00000000">
      <w:pPr>
        <w:pStyle w:val="Titre2"/>
        <w:ind w:left="280"/>
        <w:rPr>
          <w:rFonts w:ascii="Barlow" w:eastAsia="Trebuchet MS" w:hAnsi="Barlow" w:cs="Trebuchet MS"/>
          <w:i w:val="0"/>
          <w:color w:val="000000"/>
          <w:sz w:val="22"/>
          <w:szCs w:val="24"/>
          <w:lang w:val="fr-FR"/>
        </w:rPr>
      </w:pPr>
      <w:bookmarkStart w:id="118" w:name="ArtL2_NA35.2"/>
      <w:bookmarkStart w:id="119" w:name="_Toc256000059"/>
      <w:bookmarkEnd w:id="118"/>
      <w:r w:rsidRPr="005D5B0F">
        <w:rPr>
          <w:rFonts w:ascii="Barlow" w:eastAsia="Trebuchet MS" w:hAnsi="Barlow" w:cs="Trebuchet MS"/>
          <w:i w:val="0"/>
          <w:color w:val="000000"/>
          <w:sz w:val="22"/>
          <w:szCs w:val="24"/>
          <w:lang w:val="fr-FR"/>
        </w:rPr>
        <w:t>18.2 - Règlement des litiges devant les tribunaux</w:t>
      </w:r>
      <w:bookmarkEnd w:id="119"/>
    </w:p>
    <w:p w14:paraId="3A04E3DB" w14:textId="77777777" w:rsidR="00D03000" w:rsidRPr="005D5B0F" w:rsidRDefault="00000000">
      <w:pPr>
        <w:pStyle w:val="ParagrapheIndent2"/>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En cas de litige, seul le Tribunal Administratif de Lyon est compétent en la matière.</w:t>
      </w:r>
    </w:p>
    <w:p w14:paraId="68A616EE" w14:textId="77777777" w:rsidR="00D03000" w:rsidRPr="005D5B0F" w:rsidRDefault="00D03000">
      <w:pPr>
        <w:pStyle w:val="ParagrapheIndent2"/>
        <w:spacing w:line="233" w:lineRule="exact"/>
        <w:rPr>
          <w:rFonts w:ascii="Barlow" w:hAnsi="Barlow"/>
          <w:color w:val="000000"/>
          <w:sz w:val="18"/>
          <w:szCs w:val="22"/>
          <w:lang w:val="fr-FR"/>
        </w:rPr>
      </w:pPr>
    </w:p>
    <w:p w14:paraId="46CAA883" w14:textId="77777777" w:rsidR="00D03000" w:rsidRPr="005D5B0F" w:rsidRDefault="00000000">
      <w:pPr>
        <w:pStyle w:val="ParagrapheIndent2"/>
        <w:spacing w:line="233" w:lineRule="exact"/>
        <w:rPr>
          <w:rFonts w:ascii="Barlow" w:hAnsi="Barlow"/>
          <w:color w:val="000000"/>
          <w:sz w:val="18"/>
          <w:szCs w:val="22"/>
          <w:lang w:val="fr-FR"/>
        </w:rPr>
      </w:pPr>
      <w:r w:rsidRPr="005D5B0F">
        <w:rPr>
          <w:rFonts w:ascii="Barlow" w:eastAsia="Marianne" w:hAnsi="Barlow" w:cs="Marianne"/>
          <w:color w:val="000000"/>
          <w:sz w:val="18"/>
          <w:szCs w:val="22"/>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67AF93B0" w14:textId="77777777" w:rsidR="00D03000" w:rsidRPr="005D5B0F" w:rsidRDefault="00D03000">
      <w:pPr>
        <w:pStyle w:val="ParagrapheIndent2"/>
        <w:spacing w:after="160" w:line="233" w:lineRule="exact"/>
        <w:rPr>
          <w:rFonts w:ascii="Barlow" w:hAnsi="Barlow"/>
          <w:color w:val="000000"/>
          <w:sz w:val="18"/>
          <w:szCs w:val="22"/>
          <w:lang w:val="fr-FR"/>
        </w:rPr>
        <w:sectPr w:rsidR="00D03000" w:rsidRPr="005D5B0F">
          <w:footerReference w:type="default" r:id="rId38"/>
          <w:pgSz w:w="11900" w:h="16840"/>
          <w:pgMar w:top="1140" w:right="1140" w:bottom="1140" w:left="1140" w:header="1140" w:footer="1140" w:gutter="0"/>
          <w:cols w:space="708"/>
        </w:sectPr>
      </w:pPr>
    </w:p>
    <w:p w14:paraId="55C1A891" w14:textId="77777777" w:rsidR="00D03000" w:rsidRPr="005D5B0F" w:rsidRDefault="00D03000">
      <w:pPr>
        <w:pStyle w:val="ParagrapheIndent2"/>
        <w:spacing w:line="232" w:lineRule="exact"/>
        <w:rPr>
          <w:rFonts w:ascii="Barlow" w:hAnsi="Barlow"/>
          <w:color w:val="000000"/>
          <w:sz w:val="18"/>
          <w:szCs w:val="22"/>
          <w:lang w:val="fr-FR"/>
        </w:rPr>
      </w:pPr>
    </w:p>
    <w:p w14:paraId="016CB685" w14:textId="77777777" w:rsidR="00D03000" w:rsidRPr="005D5B0F" w:rsidRDefault="00000000">
      <w:pPr>
        <w:pStyle w:val="ParagrapheIndent2"/>
        <w:spacing w:after="240" w:line="232" w:lineRule="exact"/>
        <w:rPr>
          <w:rFonts w:ascii="Barlow" w:hAnsi="Barlow"/>
          <w:color w:val="000000"/>
          <w:sz w:val="18"/>
          <w:szCs w:val="22"/>
          <w:lang w:val="fr-FR"/>
        </w:rPr>
      </w:pPr>
      <w:r w:rsidRPr="005D5B0F">
        <w:rPr>
          <w:rFonts w:ascii="Times New Roman" w:hAnsi="Times New Roman" w:cs="Times New Roman"/>
          <w:color w:val="000000"/>
          <w:sz w:val="18"/>
          <w:szCs w:val="22"/>
          <w:lang w:val="fr-FR"/>
        </w:rPr>
        <w:t>​​​​​​​</w:t>
      </w:r>
    </w:p>
    <w:p w14:paraId="42A2B8C0"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120" w:name="ArtL1_CCAP-1-A39"/>
      <w:bookmarkStart w:id="121" w:name="_Toc256000060"/>
      <w:bookmarkEnd w:id="120"/>
      <w:r w:rsidRPr="005D5B0F">
        <w:rPr>
          <w:rFonts w:ascii="Barlow" w:eastAsia="Trebuchet MS" w:hAnsi="Barlow" w:cs="Trebuchet MS"/>
          <w:color w:val="FFFFFF"/>
          <w:sz w:val="24"/>
          <w:szCs w:val="28"/>
          <w:lang w:val="fr-FR"/>
        </w:rPr>
        <w:t>19 - Dérogations</w:t>
      </w:r>
      <w:bookmarkEnd w:id="121"/>
    </w:p>
    <w:p w14:paraId="77966C93"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60D02C0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L'article 2 du CCAP déroge à l'article 4.1 du CCAG - Travaux</w:t>
      </w:r>
    </w:p>
    <w:p w14:paraId="2D34EBB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L'article 5.2 du CCAP déroge à l'article 18.1.1 du CCAG - Travaux</w:t>
      </w:r>
    </w:p>
    <w:p w14:paraId="0B561967" w14:textId="77777777" w:rsidR="003D2BDC"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L'article 6.1 du CCAP déroge à l’article 13.4 du CCAG travaux 2021</w:t>
      </w:r>
    </w:p>
    <w:p w14:paraId="6243C503" w14:textId="01193B45" w:rsidR="00D03000" w:rsidRPr="005D5B0F" w:rsidRDefault="003D2BDC">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w:t>
      </w:r>
      <w:r w:rsidR="00000000" w:rsidRPr="005D5B0F">
        <w:rPr>
          <w:rFonts w:ascii="Barlow" w:hAnsi="Barlow"/>
          <w:color w:val="000000"/>
          <w:sz w:val="18"/>
          <w:szCs w:val="22"/>
          <w:lang w:val="fr-FR"/>
        </w:rPr>
        <w:t xml:space="preserve"> L'article 6.1 du CCAP déroge à l’article 13.6 du CCAG travaux 2021</w:t>
      </w:r>
    </w:p>
    <w:p w14:paraId="5CE9F5C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L'article 8 du CCAP déroge au CCAG Travaux 2021</w:t>
      </w:r>
    </w:p>
    <w:p w14:paraId="55A44E96" w14:textId="3AFD078E" w:rsidR="00D03000" w:rsidRPr="005D5B0F" w:rsidRDefault="003D2BDC">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L'article 8.1 du CCAP déroge à l'article 10.1 du CCAG travaux 2021.</w:t>
      </w:r>
    </w:p>
    <w:p w14:paraId="1B67C59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L'article 9.1 du CCAP déroge à l'article 12.2 du CCAG Travaux :</w:t>
      </w:r>
    </w:p>
    <w:p w14:paraId="7714A17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L'article 9.4 du CCAP déroge à l'article 10.7 du CCAG Travaux 2021.</w:t>
      </w:r>
    </w:p>
    <w:p w14:paraId="6D839AD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L'article 10.3.1 du CCAP déroge à l'article 28.1 du CCAG - Travaux</w:t>
      </w:r>
    </w:p>
    <w:p w14:paraId="6CD7012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L'article 10.3.1 du CCAP déroge à l'article 18.1.1 du CCAG - Travaux</w:t>
      </w:r>
    </w:p>
    <w:p w14:paraId="0F53AB5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L'article 10.3.3 du CCAP déroge à l'article 28.5 du CCAG - Travaux</w:t>
      </w:r>
    </w:p>
    <w:p w14:paraId="17E17D7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L'article 10.5.1 du CCAP déroge à l'article 31.1 du CCAG - Travaux</w:t>
      </w:r>
    </w:p>
    <w:p w14:paraId="40978CB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L'article 11 du CCAP déroge à l'article 20.2 du CCAG - Travaux</w:t>
      </w:r>
    </w:p>
    <w:p w14:paraId="10FED2D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L'article 14.1 du CCAP déroge à l'article 19.2.3 du CCAG - Travaux</w:t>
      </w:r>
    </w:p>
    <w:p w14:paraId="7A50C3E5" w14:textId="77777777" w:rsidR="003D2BDC" w:rsidRPr="005D5B0F" w:rsidRDefault="003D2BDC">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L'article 14.1 du CCAP déroge à l'article 19.2.1 et 19.2.2 du CCAG travaux 2021.</w:t>
      </w:r>
    </w:p>
    <w:p w14:paraId="31DC14EC" w14:textId="228FB0E1" w:rsidR="00D03000" w:rsidRPr="005D5B0F" w:rsidRDefault="003D2BDC">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L'article 14.1 du CCAP déroge à l'article 19.2.4 du CCAG travaux 2021.</w:t>
      </w:r>
    </w:p>
    <w:p w14:paraId="4E4EF7DC" w14:textId="77777777" w:rsidR="003D2BDC" w:rsidRPr="005D5B0F" w:rsidRDefault="00000000">
      <w:pPr>
        <w:pStyle w:val="ParagrapheIndent1"/>
        <w:spacing w:after="240" w:line="232" w:lineRule="exact"/>
        <w:rPr>
          <w:rFonts w:ascii="Barlow" w:hAnsi="Barlow"/>
          <w:color w:val="000000"/>
          <w:sz w:val="18"/>
          <w:szCs w:val="22"/>
          <w:lang w:val="fr-FR"/>
        </w:rPr>
      </w:pPr>
      <w:r w:rsidRPr="005D5B0F">
        <w:rPr>
          <w:rFonts w:ascii="Barlow" w:hAnsi="Barlow"/>
          <w:color w:val="000000"/>
          <w:sz w:val="18"/>
          <w:szCs w:val="22"/>
          <w:lang w:val="fr-FR"/>
        </w:rPr>
        <w:t>- L'article 14.2 du CCAP déroge à l’article 19.2.1 et 19.2.2 du CCAG travaux 2021.</w:t>
      </w:r>
    </w:p>
    <w:p w14:paraId="631B62FF" w14:textId="46878651" w:rsidR="00701F8C" w:rsidRPr="005D5B0F" w:rsidRDefault="003D2BDC">
      <w:pPr>
        <w:pStyle w:val="ParagrapheIndent1"/>
        <w:spacing w:after="240" w:line="232" w:lineRule="exact"/>
        <w:rPr>
          <w:rFonts w:ascii="Barlow" w:hAnsi="Barlow"/>
          <w:color w:val="000000"/>
          <w:sz w:val="18"/>
          <w:szCs w:val="22"/>
          <w:lang w:val="fr-FR"/>
        </w:rPr>
      </w:pPr>
      <w:r w:rsidRPr="005D5B0F">
        <w:rPr>
          <w:rFonts w:ascii="Barlow" w:hAnsi="Barlow"/>
          <w:color w:val="000000"/>
          <w:sz w:val="18"/>
          <w:szCs w:val="22"/>
          <w:lang w:val="fr-FR"/>
        </w:rPr>
        <w:t xml:space="preserve">- </w:t>
      </w:r>
      <w:r w:rsidR="00000000" w:rsidRPr="005D5B0F">
        <w:rPr>
          <w:rFonts w:ascii="Barlow" w:hAnsi="Barlow"/>
          <w:color w:val="000000"/>
          <w:sz w:val="18"/>
          <w:szCs w:val="22"/>
          <w:lang w:val="fr-FR"/>
        </w:rPr>
        <w:t>L'article 14.2 du CCAP déroge à l’article 19.2.4 du CCAG travaux 2021. </w:t>
      </w:r>
    </w:p>
    <w:p w14:paraId="53EFCBA1" w14:textId="77777777" w:rsidR="00D03000" w:rsidRPr="005D5B0F" w:rsidRDefault="00701F8C" w:rsidP="00701F8C">
      <w:pPr>
        <w:rPr>
          <w:sz w:val="22"/>
          <w:szCs w:val="22"/>
          <w:lang w:val="fr-FR"/>
        </w:rPr>
      </w:pPr>
      <w:r w:rsidRPr="005D5B0F">
        <w:rPr>
          <w:sz w:val="22"/>
          <w:szCs w:val="22"/>
          <w:lang w:val="fr-FR"/>
        </w:rPr>
        <w:br w:type="page"/>
      </w:r>
    </w:p>
    <w:p w14:paraId="2CB1B27F"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122" w:name="ArtL1_NA40"/>
      <w:bookmarkStart w:id="123" w:name="_Toc256000061"/>
      <w:bookmarkEnd w:id="122"/>
      <w:r w:rsidRPr="005D5B0F">
        <w:rPr>
          <w:rFonts w:ascii="Barlow" w:eastAsia="Trebuchet MS" w:hAnsi="Barlow" w:cs="Trebuchet MS"/>
          <w:color w:val="FFFFFF"/>
          <w:sz w:val="24"/>
          <w:szCs w:val="28"/>
          <w:lang w:val="fr-FR"/>
        </w:rPr>
        <w:t>20 - ANNEXE A (OPR - DOE - DUEM)</w:t>
      </w:r>
      <w:bookmarkEnd w:id="123"/>
    </w:p>
    <w:p w14:paraId="38196E28"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42A3BAF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22"/>
          <w:szCs w:val="22"/>
          <w:lang w:val="fr-FR"/>
        </w:rPr>
        <w:t>ANNEXE (A)   </w:t>
      </w:r>
    </w:p>
    <w:p w14:paraId="1E4865AE" w14:textId="77777777" w:rsidR="00D03000" w:rsidRPr="005D5B0F" w:rsidRDefault="00D03000">
      <w:pPr>
        <w:pStyle w:val="ParagrapheIndent1"/>
        <w:spacing w:line="232" w:lineRule="exact"/>
        <w:rPr>
          <w:rFonts w:ascii="Barlow" w:hAnsi="Barlow"/>
          <w:color w:val="000000"/>
          <w:sz w:val="18"/>
          <w:szCs w:val="22"/>
          <w:lang w:val="fr-FR"/>
        </w:rPr>
      </w:pPr>
    </w:p>
    <w:p w14:paraId="5A7196C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22"/>
          <w:szCs w:val="22"/>
          <w:lang w:val="fr-FR"/>
        </w:rPr>
        <w:t> CADRE des OPR - DOE - DUEM (Version 6 du 27 avril 2018)</w:t>
      </w:r>
    </w:p>
    <w:p w14:paraId="52B256F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EBE1EB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EAC162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ADBF78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Ministère de la Justice</w:t>
      </w:r>
    </w:p>
    <w:p w14:paraId="53B3791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Direction interrégionale des services pénitentiaires de Lyon</w:t>
      </w:r>
    </w:p>
    <w:p w14:paraId="273A388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Direction des Affaires Immobilières</w:t>
      </w:r>
    </w:p>
    <w:p w14:paraId="7F97A1E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72C103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076BEE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______________________</w:t>
      </w:r>
    </w:p>
    <w:p w14:paraId="1686BBA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49D9A26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D380DC1" w14:textId="77777777" w:rsidR="00D03000" w:rsidRPr="005D5B0F" w:rsidRDefault="00D03000">
      <w:pPr>
        <w:pStyle w:val="ParagrapheIndent1"/>
        <w:spacing w:line="232" w:lineRule="exact"/>
        <w:rPr>
          <w:rFonts w:ascii="Barlow" w:hAnsi="Barlow"/>
          <w:color w:val="000000"/>
          <w:sz w:val="18"/>
          <w:szCs w:val="22"/>
          <w:lang w:val="fr-FR"/>
        </w:rPr>
      </w:pPr>
    </w:p>
    <w:p w14:paraId="2A7471C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03D3F1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OPERATIONS PREALABLES A LA RECEPTION (OPR)</w:t>
      </w:r>
    </w:p>
    <w:p w14:paraId="58A991B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C4732A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2700EF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FFAAD7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Dispositions communes aux opérations menées par le DAI</w:t>
      </w:r>
    </w:p>
    <w:p w14:paraId="3EDC72C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A2B6AD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EAECFA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361758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CE60ABD" w14:textId="77777777" w:rsidR="00D03000" w:rsidRPr="005D5B0F" w:rsidRDefault="00D03000">
      <w:pPr>
        <w:pStyle w:val="ParagrapheIndent1"/>
        <w:spacing w:line="232" w:lineRule="exact"/>
        <w:rPr>
          <w:rFonts w:ascii="Barlow" w:hAnsi="Barlow"/>
          <w:color w:val="000000"/>
          <w:sz w:val="18"/>
          <w:szCs w:val="22"/>
          <w:lang w:val="fr-FR"/>
        </w:rPr>
        <w:sectPr w:rsidR="00D03000" w:rsidRPr="005D5B0F">
          <w:footerReference w:type="default" r:id="rId39"/>
          <w:pgSz w:w="11900" w:h="16840"/>
          <w:pgMar w:top="1140" w:right="1140" w:bottom="1140" w:left="1140" w:header="1140" w:footer="1140" w:gutter="0"/>
          <w:cols w:space="708"/>
        </w:sectPr>
      </w:pPr>
    </w:p>
    <w:p w14:paraId="2036E0E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lastRenderedPageBreak/>
        <w:t> </w:t>
      </w:r>
    </w:p>
    <w:p w14:paraId="745FF66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07DD05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NOTA IMPORTANT :</w:t>
      </w:r>
    </w:p>
    <w:p w14:paraId="15AEBFE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Ce document a vocation à servir de base de réflexion générale pour l’ensemble des opérations menées par le DAI de la DISP de Lyon.</w:t>
      </w:r>
    </w:p>
    <w:p w14:paraId="6C03AA2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Ce cadre sert de base de réflexion au coordonnateur chargé des opérations de réception. Il ne peut suffire toutefois de pièce contractuelle des marchés de travaux, le coordonnateur demeurant notamment responsable de la teneur des documents rendus par les entreprises.</w:t>
      </w:r>
    </w:p>
    <w:p w14:paraId="63A443D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FCC1BB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MODE D’EMPLOI :</w:t>
      </w:r>
    </w:p>
    <w:p w14:paraId="44506904" w14:textId="77777777" w:rsidR="00D03000" w:rsidRPr="005D5B0F" w:rsidRDefault="00D03000">
      <w:pPr>
        <w:pStyle w:val="ParagrapheIndent1"/>
        <w:spacing w:line="232" w:lineRule="exact"/>
        <w:rPr>
          <w:rFonts w:ascii="Barlow" w:hAnsi="Barlow"/>
          <w:color w:val="000000"/>
          <w:sz w:val="18"/>
          <w:szCs w:val="22"/>
          <w:lang w:val="fr-FR"/>
        </w:rPr>
      </w:pPr>
    </w:p>
    <w:p w14:paraId="5BD98C0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1.  Intégration du cadre au marché du coordonnateur chargé des opérations de réception.</w:t>
      </w:r>
    </w:p>
    <w:p w14:paraId="43DCDC2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2.  Base d’échange pour la mise au point des exigences contractuelles nécessaires à la passation des contrats de travaux</w:t>
      </w:r>
    </w:p>
    <w:p w14:paraId="0AF5A8B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D556BD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RELATIONS AVEC LES AUTRES PIECES CONTRACTUELLES :</w:t>
      </w:r>
    </w:p>
    <w:p w14:paraId="2115D86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Ce document peut être complété par d’autres pièces contractuelles.</w:t>
      </w:r>
    </w:p>
    <w:p w14:paraId="5E1C29C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97BBE3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B3E092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5F29CC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SOMMAIRE</w:t>
      </w:r>
    </w:p>
    <w:p w14:paraId="37743B5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114ED98" w14:textId="77777777" w:rsidR="00D03000" w:rsidRPr="005D5B0F" w:rsidRDefault="00000000">
      <w:pPr>
        <w:pStyle w:val="ParagrapheIndent1"/>
        <w:spacing w:line="232" w:lineRule="exact"/>
        <w:rPr>
          <w:rFonts w:ascii="Barlow" w:hAnsi="Barlow"/>
          <w:color w:val="000000"/>
          <w:sz w:val="18"/>
          <w:szCs w:val="22"/>
          <w:lang w:val="fr-FR"/>
        </w:rPr>
      </w:pPr>
      <w:hyperlink r:id="rId40" w:anchor="_Toc478059486" w:history="1">
        <w:r w:rsidRPr="005D5B0F">
          <w:rPr>
            <w:rFonts w:ascii="Barlow" w:hAnsi="Barlow"/>
            <w:color w:val="000000"/>
            <w:sz w:val="18"/>
            <w:szCs w:val="22"/>
            <w:lang w:val="fr-FR"/>
          </w:rPr>
          <w:t>1.          Préambule</w:t>
        </w:r>
      </w:hyperlink>
    </w:p>
    <w:p w14:paraId="1AEB9F29" w14:textId="77777777" w:rsidR="00D03000" w:rsidRPr="005D5B0F" w:rsidRDefault="00000000">
      <w:pPr>
        <w:pStyle w:val="ParagrapheIndent1"/>
        <w:spacing w:line="232" w:lineRule="exact"/>
        <w:rPr>
          <w:rFonts w:ascii="Barlow" w:hAnsi="Barlow"/>
          <w:color w:val="000000"/>
          <w:sz w:val="18"/>
          <w:szCs w:val="22"/>
          <w:lang w:val="fr-FR"/>
        </w:rPr>
      </w:pPr>
      <w:hyperlink r:id="rId41" w:anchor="_Toc478059487" w:history="1">
        <w:r w:rsidRPr="005D5B0F">
          <w:rPr>
            <w:rFonts w:ascii="Barlow" w:hAnsi="Barlow"/>
            <w:color w:val="000000"/>
            <w:sz w:val="18"/>
            <w:szCs w:val="22"/>
            <w:lang w:val="fr-FR"/>
          </w:rPr>
          <w:t>2.          Partie « réception »</w:t>
        </w:r>
      </w:hyperlink>
    </w:p>
    <w:p w14:paraId="5C45B18C" w14:textId="77777777" w:rsidR="00D03000" w:rsidRPr="005D5B0F" w:rsidRDefault="00000000">
      <w:pPr>
        <w:pStyle w:val="ParagrapheIndent1"/>
        <w:spacing w:line="232" w:lineRule="exact"/>
        <w:rPr>
          <w:rFonts w:ascii="Barlow" w:hAnsi="Barlow"/>
          <w:color w:val="000000"/>
          <w:sz w:val="18"/>
          <w:szCs w:val="22"/>
          <w:lang w:val="fr-FR"/>
        </w:rPr>
      </w:pPr>
      <w:hyperlink r:id="rId42" w:anchor="_Toc478059488" w:history="1">
        <w:r w:rsidRPr="005D5B0F">
          <w:rPr>
            <w:rFonts w:ascii="Barlow" w:hAnsi="Barlow"/>
            <w:color w:val="000000"/>
            <w:sz w:val="18"/>
            <w:szCs w:val="22"/>
            <w:lang w:val="fr-FR"/>
          </w:rPr>
          <w:t>3.          Partie « paiements »</w:t>
        </w:r>
      </w:hyperlink>
    </w:p>
    <w:p w14:paraId="78B94267" w14:textId="77777777" w:rsidR="00D03000" w:rsidRPr="005D5B0F" w:rsidRDefault="00000000">
      <w:pPr>
        <w:pStyle w:val="ParagrapheIndent1"/>
        <w:spacing w:line="232" w:lineRule="exact"/>
        <w:rPr>
          <w:rFonts w:ascii="Barlow" w:hAnsi="Barlow"/>
          <w:color w:val="000000"/>
          <w:sz w:val="18"/>
          <w:szCs w:val="22"/>
          <w:lang w:val="fr-FR"/>
        </w:rPr>
      </w:pPr>
      <w:hyperlink r:id="rId43" w:anchor="_Toc478059489" w:history="1">
        <w:r w:rsidRPr="005D5B0F">
          <w:rPr>
            <w:rFonts w:ascii="Barlow" w:hAnsi="Barlow"/>
            <w:color w:val="000000"/>
            <w:sz w:val="18"/>
            <w:szCs w:val="22"/>
            <w:lang w:val="fr-FR"/>
          </w:rPr>
          <w:t>4.          Partie « documents »</w:t>
        </w:r>
      </w:hyperlink>
    </w:p>
    <w:p w14:paraId="76355948" w14:textId="77777777" w:rsidR="00D03000" w:rsidRPr="005D5B0F" w:rsidRDefault="00000000">
      <w:pPr>
        <w:pStyle w:val="ParagrapheIndent1"/>
        <w:spacing w:line="232" w:lineRule="exact"/>
        <w:rPr>
          <w:rFonts w:ascii="Barlow" w:hAnsi="Barlow"/>
          <w:color w:val="000000"/>
          <w:sz w:val="18"/>
          <w:szCs w:val="22"/>
          <w:lang w:val="fr-FR"/>
        </w:rPr>
      </w:pPr>
      <w:hyperlink r:id="rId44" w:anchor="_Toc478059490" w:history="1">
        <w:r w:rsidRPr="005D5B0F">
          <w:rPr>
            <w:rFonts w:ascii="Barlow" w:hAnsi="Barlow"/>
            <w:color w:val="000000"/>
            <w:sz w:val="18"/>
            <w:szCs w:val="22"/>
            <w:lang w:val="fr-FR"/>
          </w:rPr>
          <w:t>5.          Annexe 1 – Liste prévisionnelle des documents constitutifs du DOE</w:t>
        </w:r>
      </w:hyperlink>
    </w:p>
    <w:p w14:paraId="77AF26B3" w14:textId="77777777" w:rsidR="00D03000" w:rsidRPr="005D5B0F" w:rsidRDefault="00000000">
      <w:pPr>
        <w:pStyle w:val="ParagrapheIndent1"/>
        <w:spacing w:line="232" w:lineRule="exact"/>
        <w:rPr>
          <w:rFonts w:ascii="Barlow" w:hAnsi="Barlow"/>
          <w:color w:val="000000"/>
          <w:sz w:val="18"/>
          <w:szCs w:val="22"/>
          <w:lang w:val="fr-FR"/>
        </w:rPr>
      </w:pPr>
      <w:hyperlink r:id="rId45" w:anchor="_Toc478059491" w:history="1">
        <w:r w:rsidRPr="005D5B0F">
          <w:rPr>
            <w:rFonts w:ascii="Barlow" w:hAnsi="Barlow"/>
            <w:color w:val="000000"/>
            <w:sz w:val="18"/>
            <w:szCs w:val="22"/>
            <w:lang w:val="fr-FR"/>
          </w:rPr>
          <w:t>A - Sous dossier "ORGANISATION GENERALE"</w:t>
        </w:r>
      </w:hyperlink>
    </w:p>
    <w:p w14:paraId="156C917F" w14:textId="77777777" w:rsidR="00D03000" w:rsidRPr="005D5B0F" w:rsidRDefault="00000000">
      <w:pPr>
        <w:pStyle w:val="ParagrapheIndent1"/>
        <w:spacing w:line="232" w:lineRule="exact"/>
        <w:rPr>
          <w:rFonts w:ascii="Barlow" w:hAnsi="Barlow"/>
          <w:color w:val="000000"/>
          <w:sz w:val="18"/>
          <w:szCs w:val="22"/>
          <w:lang w:val="fr-FR"/>
        </w:rPr>
      </w:pPr>
      <w:hyperlink r:id="rId46" w:anchor="_Toc478059492" w:history="1">
        <w:r w:rsidRPr="005D5B0F">
          <w:rPr>
            <w:rFonts w:ascii="Barlow" w:hAnsi="Barlow"/>
            <w:color w:val="000000"/>
            <w:sz w:val="18"/>
            <w:szCs w:val="22"/>
            <w:lang w:val="fr-FR"/>
          </w:rPr>
          <w:t>B - Sous dossier "STRUCTURES"</w:t>
        </w:r>
      </w:hyperlink>
    </w:p>
    <w:p w14:paraId="01168158" w14:textId="77777777" w:rsidR="00D03000" w:rsidRPr="005D5B0F" w:rsidRDefault="00000000">
      <w:pPr>
        <w:pStyle w:val="ParagrapheIndent1"/>
        <w:spacing w:line="232" w:lineRule="exact"/>
        <w:rPr>
          <w:rFonts w:ascii="Barlow" w:hAnsi="Barlow"/>
          <w:color w:val="000000"/>
          <w:sz w:val="18"/>
          <w:szCs w:val="22"/>
          <w:lang w:val="fr-FR"/>
        </w:rPr>
      </w:pPr>
      <w:hyperlink r:id="rId47" w:anchor="_Toc478059493" w:history="1">
        <w:r w:rsidRPr="005D5B0F">
          <w:rPr>
            <w:rFonts w:ascii="Barlow" w:hAnsi="Barlow"/>
            <w:color w:val="000000"/>
            <w:sz w:val="18"/>
            <w:szCs w:val="22"/>
            <w:lang w:val="fr-FR"/>
          </w:rPr>
          <w:t>C - Sous dossier "TECHNIQUE"</w:t>
        </w:r>
      </w:hyperlink>
    </w:p>
    <w:p w14:paraId="576CB607" w14:textId="77777777" w:rsidR="00D03000" w:rsidRPr="005D5B0F" w:rsidRDefault="00000000">
      <w:pPr>
        <w:pStyle w:val="ParagrapheIndent1"/>
        <w:spacing w:line="232" w:lineRule="exact"/>
        <w:rPr>
          <w:rFonts w:ascii="Barlow" w:hAnsi="Barlow"/>
          <w:color w:val="000000"/>
          <w:sz w:val="18"/>
          <w:szCs w:val="22"/>
          <w:lang w:val="fr-FR"/>
        </w:rPr>
      </w:pPr>
      <w:hyperlink r:id="rId48" w:anchor="_Toc478059494" w:history="1">
        <w:r w:rsidRPr="005D5B0F">
          <w:rPr>
            <w:rFonts w:ascii="Barlow" w:hAnsi="Barlow"/>
            <w:color w:val="000000"/>
            <w:sz w:val="18"/>
            <w:szCs w:val="22"/>
            <w:lang w:val="fr-FR"/>
          </w:rPr>
          <w:t>D – Sous-dossier "SECURITE"</w:t>
        </w:r>
      </w:hyperlink>
    </w:p>
    <w:p w14:paraId="00901911" w14:textId="77777777" w:rsidR="00D03000" w:rsidRPr="005D5B0F" w:rsidRDefault="00000000">
      <w:pPr>
        <w:pStyle w:val="ParagrapheIndent1"/>
        <w:spacing w:line="232" w:lineRule="exact"/>
        <w:rPr>
          <w:rFonts w:ascii="Barlow" w:hAnsi="Barlow"/>
          <w:color w:val="000000"/>
          <w:sz w:val="18"/>
          <w:szCs w:val="22"/>
          <w:lang w:val="fr-FR"/>
        </w:rPr>
      </w:pPr>
      <w:hyperlink r:id="rId49" w:anchor="_Toc478059495" w:history="1">
        <w:r w:rsidRPr="005D5B0F">
          <w:rPr>
            <w:rFonts w:ascii="Barlow" w:hAnsi="Barlow"/>
            <w:color w:val="000000"/>
            <w:sz w:val="18"/>
            <w:szCs w:val="22"/>
            <w:lang w:val="fr-FR"/>
          </w:rPr>
          <w:t>E - Dossier d'Utilisation, d'Exploitation et de Maintenance (DUEM)</w:t>
        </w:r>
      </w:hyperlink>
    </w:p>
    <w:p w14:paraId="331E5D0B" w14:textId="77777777" w:rsidR="00D03000" w:rsidRPr="005D5B0F" w:rsidRDefault="00000000">
      <w:pPr>
        <w:pStyle w:val="ParagrapheIndent1"/>
        <w:spacing w:line="232" w:lineRule="exact"/>
        <w:rPr>
          <w:rFonts w:ascii="Barlow" w:hAnsi="Barlow"/>
          <w:color w:val="000000"/>
          <w:sz w:val="18"/>
          <w:szCs w:val="22"/>
          <w:lang w:val="fr-FR"/>
        </w:rPr>
      </w:pPr>
      <w:hyperlink r:id="rId50" w:anchor="_Toc478059496" w:history="1">
        <w:r w:rsidRPr="005D5B0F">
          <w:rPr>
            <w:rFonts w:ascii="Barlow" w:hAnsi="Barlow"/>
            <w:color w:val="000000"/>
            <w:sz w:val="18"/>
            <w:szCs w:val="22"/>
            <w:lang w:val="fr-FR"/>
          </w:rPr>
          <w:t>6.          Annexe 2 – Forme du DME exigée par l’UEGP</w:t>
        </w:r>
      </w:hyperlink>
    </w:p>
    <w:p w14:paraId="2EE44DDC" w14:textId="77777777" w:rsidR="00D03000" w:rsidRPr="005D5B0F" w:rsidRDefault="00000000">
      <w:pPr>
        <w:pStyle w:val="ParagrapheIndent1"/>
        <w:spacing w:line="232" w:lineRule="exact"/>
        <w:rPr>
          <w:rFonts w:ascii="Barlow" w:hAnsi="Barlow"/>
          <w:color w:val="000000"/>
          <w:sz w:val="18"/>
          <w:szCs w:val="22"/>
          <w:lang w:val="fr-FR"/>
        </w:rPr>
      </w:pPr>
      <w:hyperlink r:id="rId51" w:anchor="_Toc478059497" w:history="1">
        <w:r w:rsidRPr="005D5B0F">
          <w:rPr>
            <w:rFonts w:ascii="Barlow" w:hAnsi="Barlow"/>
            <w:color w:val="000000"/>
            <w:sz w:val="18"/>
            <w:szCs w:val="22"/>
            <w:lang w:val="fr-FR"/>
          </w:rPr>
          <w:t>7.          Annexe 3 – Identité des intervenants</w:t>
        </w:r>
      </w:hyperlink>
    </w:p>
    <w:p w14:paraId="078BAE41" w14:textId="77777777" w:rsidR="00D03000" w:rsidRPr="005D5B0F" w:rsidRDefault="00000000">
      <w:pPr>
        <w:pStyle w:val="ParagrapheIndent1"/>
        <w:spacing w:line="232" w:lineRule="exact"/>
        <w:rPr>
          <w:rFonts w:ascii="Barlow" w:hAnsi="Barlow"/>
          <w:color w:val="000000"/>
          <w:sz w:val="18"/>
          <w:szCs w:val="22"/>
          <w:lang w:val="fr-FR"/>
        </w:rPr>
      </w:pPr>
      <w:hyperlink r:id="rId52" w:anchor="_Toc478059498" w:history="1">
        <w:r w:rsidRPr="005D5B0F">
          <w:rPr>
            <w:rFonts w:ascii="Barlow" w:hAnsi="Barlow"/>
            <w:color w:val="000000"/>
            <w:sz w:val="18"/>
            <w:szCs w:val="22"/>
            <w:lang w:val="fr-FR"/>
          </w:rPr>
          <w:t>8.          Annexe 4 – Adaptation de la répartition des tâches</w:t>
        </w:r>
      </w:hyperlink>
    </w:p>
    <w:p w14:paraId="14A8ADB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61D539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4E1C5441" w14:textId="77777777" w:rsidR="00D03000" w:rsidRPr="005D5B0F" w:rsidRDefault="00D03000">
      <w:pPr>
        <w:pStyle w:val="ParagrapheIndent1"/>
        <w:spacing w:line="232" w:lineRule="exact"/>
        <w:rPr>
          <w:rFonts w:ascii="Barlow" w:hAnsi="Barlow"/>
          <w:color w:val="000000"/>
          <w:sz w:val="18"/>
          <w:szCs w:val="22"/>
          <w:lang w:val="fr-FR"/>
        </w:rPr>
      </w:pPr>
    </w:p>
    <w:p w14:paraId="2FD930FF" w14:textId="77777777" w:rsidR="00D03000" w:rsidRPr="005D5B0F" w:rsidRDefault="00D03000">
      <w:pPr>
        <w:pStyle w:val="ParagrapheIndent1"/>
        <w:spacing w:line="232" w:lineRule="exact"/>
        <w:rPr>
          <w:rFonts w:ascii="Barlow" w:hAnsi="Barlow"/>
          <w:color w:val="000000"/>
          <w:sz w:val="18"/>
          <w:szCs w:val="22"/>
          <w:lang w:val="fr-FR"/>
        </w:rPr>
      </w:pPr>
    </w:p>
    <w:p w14:paraId="3A396DA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1.       Préambule</w:t>
      </w:r>
    </w:p>
    <w:p w14:paraId="48311A7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ED0AC1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Le présent document présente les différentes étapes et tâches nécessaires à la réalisation et à la bonne anticipation des Opérations préalables à la réception des travaux d’une opération menée par le DAI de la DISP de Lyon.</w:t>
      </w:r>
    </w:p>
    <w:p w14:paraId="46676B1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8841EA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Elle concerne trois aspects </w:t>
      </w:r>
      <w:r w:rsidRPr="005D5B0F">
        <w:rPr>
          <w:rFonts w:ascii="Barlow" w:hAnsi="Barlow"/>
          <w:b/>
          <w:color w:val="000000"/>
          <w:sz w:val="18"/>
          <w:szCs w:val="22"/>
          <w:u w:val="single"/>
          <w:lang w:val="fr-FR"/>
        </w:rPr>
        <w:t>complémentaires</w:t>
      </w:r>
      <w:r w:rsidRPr="005D5B0F">
        <w:rPr>
          <w:rFonts w:ascii="Barlow" w:hAnsi="Barlow"/>
          <w:b/>
          <w:color w:val="000000"/>
          <w:sz w:val="18"/>
          <w:szCs w:val="22"/>
          <w:lang w:val="fr-FR"/>
        </w:rPr>
        <w:t xml:space="preserve"> de la clôture d’un marché de travaux :</w:t>
      </w:r>
    </w:p>
    <w:p w14:paraId="4F99E46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La partie « réception » (l’enchaînement des EXE).</w:t>
      </w:r>
    </w:p>
    <w:p w14:paraId="5DDD4D6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La partie « paiements » (qui aboutit au DGD).</w:t>
      </w:r>
    </w:p>
    <w:p w14:paraId="0DEED1B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La partie « documents »</w:t>
      </w:r>
    </w:p>
    <w:p w14:paraId="1DF031E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2B704E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Ce document cadre présente une répartition « type » des tâches entre :</w:t>
      </w:r>
    </w:p>
    <w:p w14:paraId="6244865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9E25859" w14:textId="77777777" w:rsidR="00D03000" w:rsidRPr="005D5B0F" w:rsidRDefault="00D03000">
      <w:pPr>
        <w:pStyle w:val="ParagrapheIndent1"/>
        <w:spacing w:line="232" w:lineRule="exact"/>
        <w:rPr>
          <w:rFonts w:ascii="Barlow" w:hAnsi="Barlow"/>
          <w:color w:val="000000"/>
          <w:sz w:val="18"/>
          <w:szCs w:val="22"/>
          <w:lang w:val="fr-FR"/>
        </w:rPr>
      </w:pPr>
    </w:p>
    <w:p w14:paraId="7B6436A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1. 1.Le chargé d’opération du DAI (éventuellement un AMO pilote) ;</w:t>
      </w:r>
    </w:p>
    <w:p w14:paraId="4E90B8B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2. 2.Le coordonnateur responsable des éléments de mission relatifs aux opérations de réception au sens de l’article 41 du CCAG Travaux ;</w:t>
      </w:r>
    </w:p>
    <w:p w14:paraId="210A686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3. 3.L’entreprise dont on réceptionne les travaux.</w:t>
      </w:r>
    </w:p>
    <w:p w14:paraId="2753BB77" w14:textId="77777777" w:rsidR="00D03000" w:rsidRPr="005D5B0F" w:rsidRDefault="00D03000">
      <w:pPr>
        <w:pStyle w:val="ParagrapheIndent1"/>
        <w:spacing w:after="80" w:line="232" w:lineRule="exact"/>
        <w:rPr>
          <w:rFonts w:ascii="Barlow" w:hAnsi="Barlow"/>
          <w:color w:val="000000"/>
          <w:sz w:val="18"/>
          <w:szCs w:val="22"/>
          <w:lang w:val="fr-FR"/>
        </w:rPr>
        <w:sectPr w:rsidR="00D03000" w:rsidRPr="005D5B0F">
          <w:footerReference w:type="default" r:id="rId53"/>
          <w:pgSz w:w="11900" w:h="16840"/>
          <w:pgMar w:top="1140" w:right="1140" w:bottom="1140" w:left="1140" w:header="1140" w:footer="1140" w:gutter="0"/>
          <w:cols w:space="708"/>
        </w:sectPr>
      </w:pPr>
    </w:p>
    <w:p w14:paraId="524B96B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lastRenderedPageBreak/>
        <w:t> </w:t>
      </w:r>
    </w:p>
    <w:p w14:paraId="38E236E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L’identité des acteurs 1 et 2 est précisée à </w:t>
      </w:r>
      <w:r w:rsidRPr="005D5B0F">
        <w:rPr>
          <w:rFonts w:ascii="Barlow" w:hAnsi="Barlow"/>
          <w:b/>
          <w:color w:val="000000"/>
          <w:sz w:val="18"/>
          <w:szCs w:val="22"/>
          <w:lang w:val="fr-FR"/>
        </w:rPr>
        <w:t xml:space="preserve">l’annexe 3 </w:t>
      </w:r>
      <w:r w:rsidRPr="005D5B0F">
        <w:rPr>
          <w:rFonts w:ascii="Barlow" w:hAnsi="Barlow"/>
          <w:color w:val="000000"/>
          <w:sz w:val="18"/>
          <w:szCs w:val="22"/>
          <w:lang w:val="fr-FR"/>
        </w:rPr>
        <w:t>du présent. Le document n’étant pas voué à être joint aux pièces de l’entreprise, il n’est pas prévu de préciser l’acteur 3.</w:t>
      </w:r>
    </w:p>
    <w:p w14:paraId="596069B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2C4AE1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La répartition des tâches entre ces trois acteurs peut faire l’objet d’une mise au point, avec signature tripartite, au travers de </w:t>
      </w:r>
      <w:r w:rsidRPr="005D5B0F">
        <w:rPr>
          <w:rFonts w:ascii="Barlow" w:hAnsi="Barlow"/>
          <w:b/>
          <w:color w:val="000000"/>
          <w:sz w:val="18"/>
          <w:szCs w:val="22"/>
          <w:lang w:val="fr-FR"/>
        </w:rPr>
        <w:t>l’annexe 4.</w:t>
      </w:r>
    </w:p>
    <w:p w14:paraId="2E57273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088E6D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F0C88D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Les délais théoriques sont mentionnés en jours calendaires :</w:t>
      </w:r>
    </w:p>
    <w:p w14:paraId="1EEB806C" w14:textId="77777777" w:rsidR="00D03000" w:rsidRPr="005D5B0F" w:rsidRDefault="00D03000">
      <w:pPr>
        <w:pStyle w:val="ParagrapheIndent1"/>
        <w:spacing w:line="232" w:lineRule="exact"/>
        <w:rPr>
          <w:rFonts w:ascii="Barlow" w:hAnsi="Barlow"/>
          <w:color w:val="000000"/>
          <w:sz w:val="18"/>
          <w:szCs w:val="22"/>
          <w:lang w:val="fr-FR"/>
        </w:rPr>
      </w:pPr>
    </w:p>
    <w:p w14:paraId="4BAA658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      Pour la partie « réception », en référence à J, jour de la réception.</w:t>
      </w:r>
    </w:p>
    <w:p w14:paraId="6306ECD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      Pour la partie « paiements », en référence à J2, date variable (cf. la partie dédiée).</w:t>
      </w:r>
    </w:p>
    <w:p w14:paraId="1BBA239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     Pour la partie « documents », en référence à J, jour de la réception.</w:t>
      </w:r>
    </w:p>
    <w:p w14:paraId="4EF540D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1C6174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Les retards sur ces délais théoriques peuvent, éventuellement, faire l’objet de pénalités.</w:t>
      </w:r>
    </w:p>
    <w:p w14:paraId="1778EDF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54D11E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48B41B6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408C853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2.Partie « réception »</w:t>
      </w:r>
    </w:p>
    <w:p w14:paraId="69DEF19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8E7BFB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DB2CBB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Délais théorique : Etudes PRO</w:t>
      </w:r>
    </w:p>
    <w:p w14:paraId="2F3DE51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 Coordonnateur</w:t>
      </w:r>
    </w:p>
    <w:p w14:paraId="748AE41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w:t>
      </w:r>
      <w:r w:rsidRPr="005D5B0F">
        <w:rPr>
          <w:rFonts w:ascii="Barlow" w:hAnsi="Barlow"/>
          <w:color w:val="000000"/>
          <w:sz w:val="18"/>
          <w:szCs w:val="22"/>
          <w:lang w:val="fr-FR"/>
        </w:rPr>
        <w:t xml:space="preserve"> =&gt; Transmission d’une note organisationnelle des OPR intégrant :</w:t>
      </w:r>
    </w:p>
    <w:p w14:paraId="0F5C6746" w14:textId="77777777" w:rsidR="00D03000" w:rsidRPr="005D5B0F" w:rsidRDefault="00D03000">
      <w:pPr>
        <w:pStyle w:val="ParagrapheIndent1"/>
        <w:spacing w:line="232" w:lineRule="exact"/>
        <w:rPr>
          <w:rFonts w:ascii="Barlow" w:hAnsi="Barlow"/>
          <w:color w:val="000000"/>
          <w:sz w:val="18"/>
          <w:szCs w:val="22"/>
          <w:lang w:val="fr-FR"/>
        </w:rPr>
      </w:pPr>
    </w:p>
    <w:p w14:paraId="66F2AF1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Planning prévisionnel</w:t>
      </w:r>
    </w:p>
    <w:p w14:paraId="0733C3D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Programme d’essais</w:t>
      </w:r>
    </w:p>
    <w:p w14:paraId="67ED220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Intégration des intervenants : CT, CSPS, Etablissement, GD, contrôleur périodique</w:t>
      </w:r>
      <w:hyperlink r:id="rId54" w:anchor="_ftn1" w:history="1">
        <w:r w:rsidRPr="005D5B0F">
          <w:rPr>
            <w:rFonts w:ascii="Barlow" w:hAnsi="Barlow"/>
            <w:color w:val="000000"/>
            <w:sz w:val="18"/>
            <w:szCs w:val="22"/>
            <w:lang w:val="fr-FR"/>
          </w:rPr>
          <w:t>[1]</w:t>
        </w:r>
      </w:hyperlink>
      <w:r w:rsidRPr="005D5B0F">
        <w:rPr>
          <w:rFonts w:ascii="Barlow" w:hAnsi="Barlow"/>
          <w:color w:val="000000"/>
          <w:sz w:val="18"/>
          <w:szCs w:val="22"/>
          <w:lang w:val="fr-FR"/>
        </w:rPr>
        <w:t>, préventionniste du SDIS</w:t>
      </w:r>
      <w:hyperlink r:id="rId55" w:anchor="_ftn2" w:history="1">
        <w:r w:rsidRPr="005D5B0F">
          <w:rPr>
            <w:rFonts w:ascii="Barlow" w:hAnsi="Barlow"/>
            <w:color w:val="000000"/>
            <w:sz w:val="18"/>
            <w:szCs w:val="22"/>
            <w:lang w:val="fr-FR"/>
          </w:rPr>
          <w:t>[2]</w:t>
        </w:r>
      </w:hyperlink>
    </w:p>
    <w:p w14:paraId="0F3FBB0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Planification de la remise des documents de fin de travaux.</w:t>
      </w:r>
    </w:p>
    <w:p w14:paraId="1AF74D9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C6792D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4C78E97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Délais théorique : ~J-45</w:t>
      </w:r>
    </w:p>
    <w:p w14:paraId="55A07BC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l'entreprise</w:t>
      </w:r>
    </w:p>
    <w:p w14:paraId="08B85D9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Référence : CCAG Travaux, article 41.1</w:t>
      </w:r>
    </w:p>
    <w:p w14:paraId="23EAAEA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w:t>
      </w:r>
      <w:r w:rsidRPr="005D5B0F">
        <w:rPr>
          <w:rFonts w:ascii="Barlow" w:hAnsi="Barlow"/>
          <w:color w:val="000000"/>
          <w:sz w:val="18"/>
          <w:szCs w:val="22"/>
          <w:lang w:val="fr-FR"/>
        </w:rPr>
        <w:t xml:space="preserve"> =&gt; Courrier émis par l’entreprise (ou les entreprises si corps d’état séparés) informant le coordonnateur indiquant de la date à laquelle elle estime que les travaux et prestations à sa tâche seront ou ont été achevés.</w:t>
      </w:r>
    </w:p>
    <w:p w14:paraId="7D3B769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D40651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A737AC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Délais théorique : ~J-45</w:t>
      </w:r>
    </w:p>
    <w:p w14:paraId="1B39E02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 coordonnateur,</w:t>
      </w:r>
      <w:r w:rsidRPr="005D5B0F">
        <w:rPr>
          <w:rFonts w:ascii="Barlow" w:hAnsi="Barlow"/>
          <w:color w:val="000000"/>
          <w:sz w:val="18"/>
          <w:szCs w:val="22"/>
          <w:lang w:val="fr-FR"/>
        </w:rPr>
        <w:t xml:space="preserve"> le cas échéant, après mise en demeure de l’entreprise</w:t>
      </w:r>
    </w:p>
    <w:p w14:paraId="165963C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Référence : </w:t>
      </w:r>
      <w:r w:rsidRPr="005D5B0F">
        <w:rPr>
          <w:rFonts w:ascii="Barlow" w:hAnsi="Barlow"/>
          <w:color w:val="000000"/>
          <w:sz w:val="18"/>
          <w:szCs w:val="22"/>
          <w:lang w:val="fr-FR"/>
        </w:rPr>
        <w:t>CCAG Travaux, article 41.1</w:t>
      </w:r>
    </w:p>
    <w:p w14:paraId="7E54BB4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w:t>
      </w:r>
      <w:r w:rsidRPr="005D5B0F">
        <w:rPr>
          <w:rFonts w:ascii="Barlow" w:hAnsi="Barlow"/>
          <w:color w:val="000000"/>
          <w:sz w:val="18"/>
          <w:szCs w:val="22"/>
          <w:lang w:val="fr-FR"/>
        </w:rPr>
        <w:t xml:space="preserve"> : Nota : en l’absence de ce courrier, la bonne démarche le coordonnateur fixe cette date après mise en demeure préalable de l’entreprise, laquelle doit demander la réception de ses travaux et qui lui permet in fine d’obtenir une réception tacite.</w:t>
      </w:r>
    </w:p>
    <w:p w14:paraId="13A2712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9DBF2D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600A7E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J-40</w:t>
      </w:r>
    </w:p>
    <w:p w14:paraId="42363BC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w:t>
      </w:r>
      <w:r w:rsidRPr="005D5B0F">
        <w:rPr>
          <w:rFonts w:ascii="Barlow" w:hAnsi="Barlow"/>
          <w:color w:val="000000"/>
          <w:sz w:val="18"/>
          <w:szCs w:val="22"/>
          <w:lang w:val="fr-FR"/>
        </w:rPr>
        <w:t xml:space="preserve"> c</w:t>
      </w:r>
      <w:r w:rsidRPr="005D5B0F">
        <w:rPr>
          <w:rFonts w:ascii="Barlow" w:hAnsi="Barlow"/>
          <w:b/>
          <w:color w:val="000000"/>
          <w:sz w:val="18"/>
          <w:szCs w:val="22"/>
          <w:lang w:val="fr-FR"/>
        </w:rPr>
        <w:t>oordonnateur</w:t>
      </w:r>
    </w:p>
    <w:p w14:paraId="35A052F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w:t>
      </w:r>
      <w:r w:rsidRPr="005D5B0F">
        <w:rPr>
          <w:rFonts w:ascii="Barlow" w:hAnsi="Barlow"/>
          <w:color w:val="000000"/>
          <w:sz w:val="18"/>
          <w:szCs w:val="22"/>
          <w:lang w:val="fr-FR"/>
        </w:rPr>
        <w:t xml:space="preserve"> : Convocation des entreprises pour la date de démarrage des OPR, dans un délai qui est de vingt jours à compter de la date mentionnée dans le précédent courrier.</w:t>
      </w:r>
      <w:r w:rsidRPr="005D5B0F">
        <w:rPr>
          <w:rFonts w:ascii="Barlow" w:hAnsi="Barlow"/>
          <w:b/>
          <w:color w:val="000000"/>
          <w:sz w:val="18"/>
          <w:szCs w:val="22"/>
          <w:lang w:val="fr-FR"/>
        </w:rPr>
        <w:t xml:space="preserve"> Cette démarche doit se faire par LRAR pour que le caractère contradictoire de la réception puisse être opposé.</w:t>
      </w:r>
    </w:p>
    <w:p w14:paraId="629B38A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7DA1D1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59BBA5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Délais théorique : J-25</w:t>
      </w:r>
    </w:p>
    <w:p w14:paraId="4247E56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  coordonnateur</w:t>
      </w:r>
    </w:p>
    <w:p w14:paraId="5B39A0A6" w14:textId="77777777" w:rsidR="00D03000" w:rsidRPr="005D5B0F" w:rsidRDefault="00D03000">
      <w:pPr>
        <w:pStyle w:val="ParagrapheIndent1"/>
        <w:spacing w:after="80" w:line="232" w:lineRule="exact"/>
        <w:rPr>
          <w:rFonts w:ascii="Barlow" w:hAnsi="Barlow"/>
          <w:color w:val="000000"/>
          <w:sz w:val="18"/>
          <w:szCs w:val="22"/>
          <w:lang w:val="fr-FR"/>
        </w:rPr>
        <w:sectPr w:rsidR="00D03000" w:rsidRPr="005D5B0F">
          <w:footerReference w:type="default" r:id="rId56"/>
          <w:pgSz w:w="11900" w:h="16840"/>
          <w:pgMar w:top="1140" w:right="1140" w:bottom="1140" w:left="1140" w:header="1140" w:footer="1140" w:gutter="0"/>
          <w:cols w:space="708"/>
        </w:sectPr>
      </w:pPr>
    </w:p>
    <w:p w14:paraId="4CD4EB8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lastRenderedPageBreak/>
        <w:t> </w:t>
      </w:r>
    </w:p>
    <w:p w14:paraId="1F5C711D" w14:textId="77777777" w:rsidR="00D03000" w:rsidRPr="005D5B0F" w:rsidRDefault="00D03000">
      <w:pPr>
        <w:pStyle w:val="ParagrapheIndent1"/>
        <w:spacing w:line="232" w:lineRule="exact"/>
        <w:rPr>
          <w:rFonts w:ascii="Barlow" w:hAnsi="Barlow"/>
          <w:color w:val="000000"/>
          <w:sz w:val="18"/>
          <w:szCs w:val="22"/>
          <w:lang w:val="fr-FR"/>
        </w:rPr>
      </w:pPr>
    </w:p>
    <w:p w14:paraId="386C1B8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Référence : CCAG Travaux, article 41.2</w:t>
      </w:r>
    </w:p>
    <w:p w14:paraId="266A155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w:t>
      </w:r>
      <w:r w:rsidRPr="005D5B0F">
        <w:rPr>
          <w:rFonts w:ascii="Barlow" w:hAnsi="Barlow"/>
          <w:color w:val="000000"/>
          <w:sz w:val="18"/>
          <w:szCs w:val="22"/>
          <w:lang w:val="fr-FR"/>
        </w:rPr>
        <w:t xml:space="preserve"> : Début des visites d’OPR selon méthodologie convenue avec le coordonnateur, devant reprendre a minima les items suivants :</w:t>
      </w:r>
    </w:p>
    <w:p w14:paraId="4EC27783" w14:textId="77777777" w:rsidR="00D03000" w:rsidRPr="005D5B0F" w:rsidRDefault="00D03000">
      <w:pPr>
        <w:pStyle w:val="ParagrapheIndent1"/>
        <w:spacing w:line="232" w:lineRule="exact"/>
        <w:rPr>
          <w:rFonts w:ascii="Barlow" w:hAnsi="Barlow"/>
          <w:color w:val="000000"/>
          <w:sz w:val="18"/>
          <w:szCs w:val="22"/>
          <w:lang w:val="fr-FR"/>
        </w:rPr>
      </w:pPr>
    </w:p>
    <w:p w14:paraId="156FB78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la reconnaissance des ouvrages exécutés ;</w:t>
      </w:r>
    </w:p>
    <w:p w14:paraId="79E189B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les épreuves éventuellement prévues par le marché ;</w:t>
      </w:r>
    </w:p>
    <w:p w14:paraId="5C6C339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la constatation éventuelle de l’inexécution des prestations prévues au marché ;</w:t>
      </w:r>
    </w:p>
    <w:p w14:paraId="3E046EC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la vérification de la conformité des conditions de pose des équipements aux spécifications des fournisseurs conditionnant leur garantie ;</w:t>
      </w:r>
    </w:p>
    <w:p w14:paraId="4B1B1F0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la constatation éventuelle d’imperfections ou malfaçons ;</w:t>
      </w:r>
    </w:p>
    <w:p w14:paraId="6A828C6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la constatation du repliement des installations de chantier et de la remise en état des terrains et des lieux ;</w:t>
      </w:r>
    </w:p>
    <w:p w14:paraId="2D527B4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les constatations relatives à l’achèvement des travaux.</w:t>
      </w:r>
    </w:p>
    <w:p w14:paraId="5051384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6E8C69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B16B38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 J </w:t>
      </w:r>
    </w:p>
    <w:p w14:paraId="70F1BF0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  coordonnateur avec signature entreprise(s)</w:t>
      </w:r>
    </w:p>
    <w:p w14:paraId="053AFF0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Référence : CCAG Travaux, article 41.2</w:t>
      </w:r>
    </w:p>
    <w:p w14:paraId="4355CCD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w:t>
      </w:r>
      <w:r w:rsidRPr="005D5B0F">
        <w:rPr>
          <w:rFonts w:ascii="Barlow" w:hAnsi="Barlow"/>
          <w:color w:val="000000"/>
          <w:sz w:val="18"/>
          <w:szCs w:val="22"/>
          <w:lang w:val="fr-FR"/>
        </w:rPr>
        <w:t xml:space="preserve"> : Etablissement du PV d’OPR (EXE4) ; celui-ci est signé par l’entreprise (ou le coordonnateur mentionne dans le PV que l’entreprise a refusé de le signer) et lui est remis sur le champ.</w:t>
      </w:r>
    </w:p>
    <w:p w14:paraId="4DA10BA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6490FE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BF43C5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Délais théorique : J+5</w:t>
      </w:r>
    </w:p>
    <w:p w14:paraId="53BC395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Réalisé par le  coordonnateur </w:t>
      </w:r>
    </w:p>
    <w:p w14:paraId="76EF8C2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Référence au CCAG Travaux, article 41.2</w:t>
      </w:r>
    </w:p>
    <w:p w14:paraId="5EDF8E3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w:t>
      </w:r>
      <w:r w:rsidRPr="005D5B0F">
        <w:rPr>
          <w:rFonts w:ascii="Barlow" w:hAnsi="Barlow"/>
          <w:color w:val="000000"/>
          <w:sz w:val="18"/>
          <w:szCs w:val="22"/>
          <w:lang w:val="fr-FR"/>
        </w:rPr>
        <w:t xml:space="preserve"> : Remise à la DISP de sa proposition de réception (EXE5), proposition de refus de réception, réception sans réserve, avec réserve, sous réserve, avec une proposition de date de réception.</w:t>
      </w:r>
    </w:p>
    <w:p w14:paraId="415F2DF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B743F9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5B8674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Délais théorique : J+5</w:t>
      </w:r>
    </w:p>
    <w:p w14:paraId="7E5F36D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l'entreprise</w:t>
      </w:r>
    </w:p>
    <w:p w14:paraId="25C8598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Référence : </w:t>
      </w:r>
      <w:r w:rsidRPr="005D5B0F">
        <w:rPr>
          <w:rFonts w:ascii="Barlow" w:hAnsi="Barlow"/>
          <w:color w:val="000000"/>
          <w:sz w:val="18"/>
          <w:szCs w:val="22"/>
          <w:lang w:val="fr-FR"/>
        </w:rPr>
        <w:t>CCAG Travaux, article 41.2</w:t>
      </w:r>
    </w:p>
    <w:p w14:paraId="121EA3E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w:t>
      </w:r>
      <w:r w:rsidRPr="005D5B0F">
        <w:rPr>
          <w:rFonts w:ascii="Barlow" w:hAnsi="Barlow"/>
          <w:color w:val="000000"/>
          <w:sz w:val="18"/>
          <w:szCs w:val="22"/>
          <w:lang w:val="fr-FR"/>
        </w:rPr>
        <w:t xml:space="preserve"> : En l’absence de la transmission dans les délais de l’EXE5, c’est l’entreprise qui peut diffuser les listes de réserves de l’EXE4 à la DISP.</w:t>
      </w:r>
    </w:p>
    <w:p w14:paraId="3C836A7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897B63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F35254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xml:space="preserve">: </w:t>
      </w:r>
      <w:r w:rsidRPr="005D5B0F">
        <w:rPr>
          <w:rFonts w:ascii="Barlow" w:hAnsi="Barlow"/>
          <w:b/>
          <w:color w:val="000000"/>
          <w:sz w:val="18"/>
          <w:szCs w:val="22"/>
          <w:lang w:val="fr-FR"/>
        </w:rPr>
        <w:t>J+20</w:t>
      </w:r>
    </w:p>
    <w:p w14:paraId="04E5015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Réalisé par le  coordonnateur </w:t>
      </w:r>
    </w:p>
    <w:p w14:paraId="6070746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w:t>
      </w:r>
      <w:r w:rsidRPr="005D5B0F">
        <w:rPr>
          <w:rFonts w:ascii="Barlow" w:hAnsi="Barlow"/>
          <w:color w:val="000000"/>
          <w:sz w:val="18"/>
          <w:szCs w:val="22"/>
          <w:lang w:val="fr-FR"/>
        </w:rPr>
        <w:t xml:space="preserve"> : Séance de levée de réserves</w:t>
      </w:r>
    </w:p>
    <w:p w14:paraId="552EE73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369FC1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3F975B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Délais théorique : J+30</w:t>
      </w:r>
    </w:p>
    <w:p w14:paraId="6424F7F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 Chargé d’opération</w:t>
      </w:r>
    </w:p>
    <w:p w14:paraId="794AAC4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Référence : </w:t>
      </w:r>
      <w:r w:rsidRPr="005D5B0F">
        <w:rPr>
          <w:rFonts w:ascii="Barlow" w:hAnsi="Barlow"/>
          <w:color w:val="000000"/>
          <w:sz w:val="18"/>
          <w:szCs w:val="22"/>
          <w:lang w:val="fr-FR"/>
        </w:rPr>
        <w:t>CCAG Travaux article 41.3 et CCAG Travaux article 41.6</w:t>
      </w:r>
    </w:p>
    <w:p w14:paraId="40C10EC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w:t>
      </w:r>
      <w:r w:rsidRPr="005D5B0F">
        <w:rPr>
          <w:rFonts w:ascii="Barlow" w:hAnsi="Barlow"/>
          <w:color w:val="000000"/>
          <w:sz w:val="18"/>
          <w:szCs w:val="22"/>
          <w:lang w:val="fr-FR"/>
        </w:rPr>
        <w:t xml:space="preserve"> : Notification de la décision de réception (EXE6) sur le vu des EXE4 et EXE5 (si présent) en fixant la date de réception, le délai de levée des éventuelles réserves, les conditions de traitement des éventuelles dispositions « sous réserve » ; J+30 est le délai maximal possible ; au-delà de ces 30 jours, c’est la proposition du coordonnateur qui s’impose à la DISP et aux entreprises si l’EXE5 existe ; en son absence, il y a réception tacite.</w:t>
      </w:r>
    </w:p>
    <w:p w14:paraId="49614F2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52630A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52489C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Délais théorique : J+35</w:t>
      </w:r>
    </w:p>
    <w:p w14:paraId="35C733D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 coordonnateur</w:t>
      </w:r>
    </w:p>
    <w:p w14:paraId="361DC6E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w:t>
      </w:r>
      <w:r w:rsidRPr="005D5B0F">
        <w:rPr>
          <w:rFonts w:ascii="Barlow" w:hAnsi="Barlow"/>
          <w:color w:val="000000"/>
          <w:sz w:val="18"/>
          <w:szCs w:val="22"/>
          <w:lang w:val="fr-FR"/>
        </w:rPr>
        <w:t xml:space="preserve"> : Remise à la DISP de la proposition de levée de réserves (première partie de l’EXE9),</w:t>
      </w:r>
    </w:p>
    <w:p w14:paraId="2F64846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E384041" w14:textId="77777777" w:rsidR="00D03000" w:rsidRPr="005D5B0F" w:rsidRDefault="00D03000">
      <w:pPr>
        <w:pStyle w:val="ParagrapheIndent1"/>
        <w:spacing w:after="80" w:line="232" w:lineRule="exact"/>
        <w:rPr>
          <w:rFonts w:ascii="Barlow" w:hAnsi="Barlow"/>
          <w:color w:val="000000"/>
          <w:sz w:val="18"/>
          <w:szCs w:val="22"/>
          <w:lang w:val="fr-FR"/>
        </w:rPr>
        <w:sectPr w:rsidR="00D03000" w:rsidRPr="005D5B0F">
          <w:footerReference w:type="default" r:id="rId57"/>
          <w:pgSz w:w="11900" w:h="16840"/>
          <w:pgMar w:top="1140" w:right="1140" w:bottom="1140" w:left="1140" w:header="1140" w:footer="1140" w:gutter="0"/>
          <w:cols w:space="708"/>
        </w:sectPr>
      </w:pPr>
    </w:p>
    <w:p w14:paraId="0F05D97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lastRenderedPageBreak/>
        <w:t> </w:t>
      </w:r>
    </w:p>
    <w:p w14:paraId="6E74EB5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J+35</w:t>
      </w:r>
    </w:p>
    <w:p w14:paraId="1674860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 Chargé d’opération</w:t>
      </w:r>
    </w:p>
    <w:p w14:paraId="0F45865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w:t>
      </w:r>
      <w:r w:rsidRPr="005D5B0F">
        <w:rPr>
          <w:rFonts w:ascii="Barlow" w:hAnsi="Barlow"/>
          <w:color w:val="000000"/>
          <w:sz w:val="18"/>
          <w:szCs w:val="22"/>
          <w:lang w:val="fr-FR"/>
        </w:rPr>
        <w:t xml:space="preserve"> : Le formulaire est complété (deuxième partie de l’EXE9) à destination du coordonnateur et de l’entreprise</w:t>
      </w:r>
    </w:p>
    <w:p w14:paraId="5859C624" w14:textId="19119D2B"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71343A0" w14:textId="77777777" w:rsidR="00D03000" w:rsidRPr="005D5B0F" w:rsidRDefault="00000000">
      <w:pPr>
        <w:pStyle w:val="ParagrapheIndent1"/>
        <w:spacing w:line="232" w:lineRule="exact"/>
        <w:rPr>
          <w:rFonts w:ascii="Barlow" w:hAnsi="Barlow"/>
          <w:color w:val="000000"/>
          <w:sz w:val="18"/>
          <w:szCs w:val="22"/>
          <w:lang w:val="fr-FR"/>
        </w:rPr>
      </w:pPr>
      <w:hyperlink r:id="rId58" w:anchor="_ftnref1" w:history="1">
        <w:r w:rsidRPr="005D5B0F">
          <w:rPr>
            <w:rFonts w:ascii="Barlow" w:hAnsi="Barlow"/>
            <w:color w:val="000000"/>
            <w:sz w:val="18"/>
            <w:szCs w:val="22"/>
            <w:lang w:val="fr-FR"/>
          </w:rPr>
          <w:t>[1]</w:t>
        </w:r>
      </w:hyperlink>
      <w:r w:rsidRPr="005D5B0F">
        <w:rPr>
          <w:rFonts w:ascii="Barlow" w:hAnsi="Barlow"/>
          <w:color w:val="000000"/>
          <w:sz w:val="18"/>
          <w:szCs w:val="22"/>
          <w:lang w:val="fr-FR"/>
        </w:rPr>
        <w:t xml:space="preserve"> Passage préalable demandé pour obtenir un rapport initial de contrôle périodique avant la réception.</w:t>
      </w:r>
    </w:p>
    <w:p w14:paraId="0915FDD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BB8A54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5A8A1A0" w14:textId="77777777" w:rsidR="00D03000" w:rsidRPr="005D5B0F" w:rsidRDefault="00000000">
      <w:pPr>
        <w:pStyle w:val="ParagrapheIndent1"/>
        <w:spacing w:line="232" w:lineRule="exact"/>
        <w:rPr>
          <w:rFonts w:ascii="Barlow" w:hAnsi="Barlow"/>
          <w:color w:val="000000"/>
          <w:sz w:val="18"/>
          <w:szCs w:val="22"/>
          <w:lang w:val="fr-FR"/>
        </w:rPr>
      </w:pPr>
      <w:hyperlink r:id="rId59" w:anchor="_ftnref2" w:history="1">
        <w:r w:rsidRPr="005D5B0F">
          <w:rPr>
            <w:rFonts w:ascii="Barlow" w:hAnsi="Barlow"/>
            <w:color w:val="000000"/>
            <w:sz w:val="18"/>
            <w:szCs w:val="22"/>
            <w:lang w:val="fr-FR"/>
          </w:rPr>
          <w:t>[2]</w:t>
        </w:r>
      </w:hyperlink>
      <w:r w:rsidRPr="005D5B0F">
        <w:rPr>
          <w:rFonts w:ascii="Barlow" w:hAnsi="Barlow"/>
          <w:color w:val="000000"/>
          <w:sz w:val="18"/>
          <w:szCs w:val="22"/>
          <w:lang w:val="fr-FR"/>
        </w:rPr>
        <w:t xml:space="preserve"> Invitation exigée par l’UEGP lors des essais SSI.</w:t>
      </w:r>
    </w:p>
    <w:p w14:paraId="114D705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2DC4F3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8D7C9F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La méthodologie déployée par le coordonnateur pour le déroulement des OPR aura dû faire l’objet d’une note de la part du coordonnateur au plus tard à la fin de la période de préparation des travaux.</w:t>
      </w:r>
    </w:p>
    <w:p w14:paraId="496D0D6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7A748F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Des exigences plus contraignantes peuvent être fixées par les pièces du marché. La méthodologie du coordonnateur devra notamment intégrer les spécificités liées à l’objet de l’opération :</w:t>
      </w:r>
    </w:p>
    <w:p w14:paraId="67A6CF78" w14:textId="77777777" w:rsidR="00D03000" w:rsidRPr="005D5B0F" w:rsidRDefault="00D03000">
      <w:pPr>
        <w:pStyle w:val="ParagrapheIndent1"/>
        <w:spacing w:line="232" w:lineRule="exact"/>
        <w:rPr>
          <w:rFonts w:ascii="Barlow" w:hAnsi="Barlow"/>
          <w:color w:val="000000"/>
          <w:sz w:val="18"/>
          <w:szCs w:val="22"/>
          <w:lang w:val="fr-FR"/>
        </w:rPr>
      </w:pPr>
    </w:p>
    <w:p w14:paraId="0572212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Interventions en raccordement des services concessionnaires :</w:t>
      </w:r>
    </w:p>
    <w:p w14:paraId="066EF15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Commande des abonnements eau, gaz, électricité auprès de DBF</w:t>
      </w:r>
    </w:p>
    <w:p w14:paraId="692C9EF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Commande des abonnements télécoms auprès de DSI</w:t>
      </w:r>
    </w:p>
    <w:p w14:paraId="6FDA80A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Certifications et avis de commissions :</w:t>
      </w:r>
    </w:p>
    <w:p w14:paraId="2C877A1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Commission d’accessibilité</w:t>
      </w:r>
    </w:p>
    <w:p w14:paraId="646386F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Sous-commission départementale de sécurité (près UEGP)</w:t>
      </w:r>
    </w:p>
    <w:p w14:paraId="593D9DE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Test ERIS (près DSD)</w:t>
      </w:r>
    </w:p>
    <w:p w14:paraId="2BE0720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C8343B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3.Partie « paiements »</w:t>
      </w:r>
    </w:p>
    <w:p w14:paraId="32C9C72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1E91C4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Le jour « J2 » pris en référence pour cette partie varie selon les cas évoqués dans l’article 13.3.2 du CCAG Travaux :</w:t>
      </w:r>
    </w:p>
    <w:p w14:paraId="66EF6B3F" w14:textId="77777777" w:rsidR="00D03000" w:rsidRPr="005D5B0F" w:rsidRDefault="00D03000">
      <w:pPr>
        <w:pStyle w:val="ParagrapheIndent1"/>
        <w:spacing w:line="232" w:lineRule="exact"/>
        <w:rPr>
          <w:rFonts w:ascii="Barlow" w:hAnsi="Barlow"/>
          <w:color w:val="000000"/>
          <w:sz w:val="18"/>
          <w:szCs w:val="22"/>
          <w:lang w:val="fr-FR"/>
        </w:rPr>
      </w:pPr>
    </w:p>
    <w:p w14:paraId="09F22F5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Premier cas, pas de réserves : « </w:t>
      </w:r>
      <w:r w:rsidRPr="005D5B0F">
        <w:rPr>
          <w:rFonts w:ascii="Barlow" w:hAnsi="Barlow"/>
          <w:i/>
          <w:color w:val="000000"/>
          <w:sz w:val="18"/>
          <w:szCs w:val="22"/>
          <w:lang w:val="fr-FR"/>
        </w:rPr>
        <w:t xml:space="preserve">Le titulaire transmet son projet de décompte final au maître d’œuvre </w:t>
      </w:r>
      <w:r w:rsidRPr="005D5B0F">
        <w:rPr>
          <w:rFonts w:ascii="Barlow" w:hAnsi="Barlow"/>
          <w:color w:val="000000"/>
          <w:sz w:val="18"/>
          <w:szCs w:val="22"/>
          <w:lang w:val="fr-FR"/>
        </w:rPr>
        <w:t>[ou à l’ATMO – si c’est bien dans sa mission ; ce n’est pas le cas au PREJ…]</w:t>
      </w:r>
      <w:r w:rsidRPr="005D5B0F">
        <w:rPr>
          <w:rFonts w:ascii="Barlow" w:hAnsi="Barlow"/>
          <w:i/>
          <w:color w:val="000000"/>
          <w:sz w:val="18"/>
          <w:szCs w:val="22"/>
          <w:lang w:val="fr-FR"/>
        </w:rPr>
        <w:t xml:space="preserve">, par tout moyen permettant de donner une date certaine, dans le délai de quarante-cinq jours à compter de la date de notification de la décision de réception des travaux telle qu’elle est prévue à l’article 41.3 ou, en l’absence d’un telle notification, à la fin de l’un des délais de trente jours fixés aux articles 41.1.3 et 41.3 </w:t>
      </w:r>
      <w:r w:rsidRPr="005D5B0F">
        <w:rPr>
          <w:rFonts w:ascii="Barlow" w:hAnsi="Barlow"/>
          <w:color w:val="000000"/>
          <w:sz w:val="18"/>
          <w:szCs w:val="22"/>
          <w:lang w:val="fr-FR"/>
        </w:rPr>
        <w:t>[cas d’espèce, les réceptions tacites]</w:t>
      </w:r>
      <w:r w:rsidRPr="005D5B0F">
        <w:rPr>
          <w:rFonts w:ascii="Barlow" w:hAnsi="Barlow"/>
          <w:i/>
          <w:color w:val="000000"/>
          <w:sz w:val="18"/>
          <w:szCs w:val="22"/>
          <w:lang w:val="fr-FR"/>
        </w:rPr>
        <w:t>. </w:t>
      </w:r>
      <w:r w:rsidRPr="005D5B0F">
        <w:rPr>
          <w:rFonts w:ascii="Barlow" w:hAnsi="Barlow"/>
          <w:color w:val="000000"/>
          <w:sz w:val="18"/>
          <w:szCs w:val="22"/>
          <w:u w:val="single"/>
          <w:lang w:val="fr-FR"/>
        </w:rPr>
        <w:t>» J2 est donc le jour figurant sur l’AR du LRAR notifiant l’EXE6 à l’entreprise</w:t>
      </w:r>
      <w:r w:rsidRPr="005D5B0F">
        <w:rPr>
          <w:rFonts w:ascii="Barlow" w:hAnsi="Barlow"/>
          <w:color w:val="000000"/>
          <w:sz w:val="18"/>
          <w:szCs w:val="22"/>
          <w:lang w:val="fr-FR"/>
        </w:rPr>
        <w:t>.</w:t>
      </w:r>
    </w:p>
    <w:p w14:paraId="2B0F438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Deuxième cas, réception « sous réserve » : « </w:t>
      </w:r>
      <w:r w:rsidRPr="005D5B0F">
        <w:rPr>
          <w:rFonts w:ascii="Barlow" w:hAnsi="Barlow"/>
          <w:i/>
          <w:color w:val="000000"/>
          <w:sz w:val="18"/>
          <w:szCs w:val="22"/>
          <w:lang w:val="fr-FR"/>
        </w:rPr>
        <w:t>Toutefois, s’il est fait application des dispositions de l’article 41.5, la date du procès-verbal constatant l’exécution des travaux visés à cet article est substituée à la date de notification de la décision de réception des travaux comme point de départ des délais ci-dessus.</w:t>
      </w:r>
      <w:r w:rsidRPr="005D5B0F">
        <w:rPr>
          <w:rFonts w:ascii="Barlow" w:hAnsi="Barlow"/>
          <w:color w:val="000000"/>
          <w:sz w:val="18"/>
          <w:szCs w:val="22"/>
          <w:lang w:val="fr-FR"/>
        </w:rPr>
        <w:t xml:space="preserve"> » </w:t>
      </w:r>
      <w:r w:rsidRPr="005D5B0F">
        <w:rPr>
          <w:rFonts w:ascii="Barlow" w:hAnsi="Barlow"/>
          <w:color w:val="000000"/>
          <w:sz w:val="18"/>
          <w:szCs w:val="22"/>
          <w:u w:val="single"/>
          <w:lang w:val="fr-FR"/>
        </w:rPr>
        <w:t xml:space="preserve">J2 est alors la date figurant sur l’EXE4 spécifique établi par le coordonnateur relatif aux travaux réalisés </w:t>
      </w:r>
      <w:r w:rsidRPr="005D5B0F">
        <w:rPr>
          <w:rFonts w:ascii="Barlow" w:hAnsi="Barlow"/>
          <w:i/>
          <w:color w:val="000000"/>
          <w:sz w:val="18"/>
          <w:szCs w:val="22"/>
          <w:u w:val="single"/>
          <w:lang w:val="fr-FR"/>
        </w:rPr>
        <w:t>après</w:t>
      </w:r>
      <w:r w:rsidRPr="005D5B0F">
        <w:rPr>
          <w:rFonts w:ascii="Barlow" w:hAnsi="Barlow"/>
          <w:color w:val="000000"/>
          <w:sz w:val="18"/>
          <w:szCs w:val="22"/>
          <w:u w:val="single"/>
          <w:lang w:val="fr-FR"/>
        </w:rPr>
        <w:t xml:space="preserve"> la réception</w:t>
      </w:r>
      <w:r w:rsidRPr="005D5B0F">
        <w:rPr>
          <w:rFonts w:ascii="Barlow" w:hAnsi="Barlow"/>
          <w:color w:val="000000"/>
          <w:sz w:val="18"/>
          <w:szCs w:val="22"/>
          <w:lang w:val="fr-FR"/>
        </w:rPr>
        <w:t>.</w:t>
      </w:r>
    </w:p>
    <w:p w14:paraId="039F2003" w14:textId="77777777" w:rsidR="00D03000" w:rsidRPr="005D5B0F" w:rsidRDefault="00D03000">
      <w:pPr>
        <w:pStyle w:val="ParagrapheIndent1"/>
        <w:spacing w:after="80" w:line="232" w:lineRule="exact"/>
        <w:rPr>
          <w:rFonts w:ascii="Barlow" w:hAnsi="Barlow"/>
          <w:color w:val="000000"/>
          <w:sz w:val="18"/>
          <w:szCs w:val="22"/>
          <w:lang w:val="fr-FR"/>
        </w:rPr>
        <w:sectPr w:rsidR="00D03000" w:rsidRPr="005D5B0F">
          <w:footerReference w:type="default" r:id="rId60"/>
          <w:pgSz w:w="11900" w:h="16840"/>
          <w:pgMar w:top="1140" w:right="1140" w:bottom="1140" w:left="1140" w:header="1140" w:footer="1140" w:gutter="0"/>
          <w:cols w:space="708"/>
        </w:sectPr>
      </w:pPr>
    </w:p>
    <w:p w14:paraId="0A9BD7E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lastRenderedPageBreak/>
        <w:t>    •  Troisième cas, réception avec réserves « standards » : « </w:t>
      </w:r>
      <w:r w:rsidRPr="005D5B0F">
        <w:rPr>
          <w:rFonts w:ascii="Barlow" w:hAnsi="Barlow"/>
          <w:i/>
          <w:color w:val="000000"/>
          <w:sz w:val="18"/>
          <w:szCs w:val="22"/>
          <w:lang w:val="fr-FR"/>
        </w:rPr>
        <w:t>S’il est fait application des dispositions de l’article 41.6, la date de notification de la décision de réception des travaux est la date retenue comme point de départ des délais ci-dessus.</w:t>
      </w:r>
      <w:r w:rsidRPr="005D5B0F">
        <w:rPr>
          <w:rFonts w:ascii="Barlow" w:hAnsi="Barlow"/>
          <w:color w:val="000000"/>
          <w:sz w:val="18"/>
          <w:szCs w:val="22"/>
          <w:lang w:val="fr-FR"/>
        </w:rPr>
        <w:t xml:space="preserve"> » </w:t>
      </w:r>
      <w:r w:rsidRPr="005D5B0F">
        <w:rPr>
          <w:rFonts w:ascii="Barlow" w:hAnsi="Barlow"/>
          <w:color w:val="000000"/>
          <w:sz w:val="18"/>
          <w:szCs w:val="22"/>
          <w:u w:val="single"/>
          <w:lang w:val="fr-FR"/>
        </w:rPr>
        <w:t>J2 reste donc le jour figurant sur l’AR du LRAR notifiant l’EXE6 à l’entreprise, même si toutes les réserves ne sont pas levées à cette date</w:t>
      </w:r>
      <w:r w:rsidRPr="005D5B0F">
        <w:rPr>
          <w:rFonts w:ascii="Barlow" w:hAnsi="Barlow"/>
          <w:color w:val="000000"/>
          <w:sz w:val="18"/>
          <w:szCs w:val="22"/>
          <w:lang w:val="fr-FR"/>
        </w:rPr>
        <w:t>.</w:t>
      </w:r>
    </w:p>
    <w:p w14:paraId="17B57C7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8750E7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J2+45</w:t>
      </w:r>
    </w:p>
    <w:p w14:paraId="2DB8C34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l'entreprise</w:t>
      </w:r>
    </w:p>
    <w:p w14:paraId="2428185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 :</w:t>
      </w:r>
      <w:r w:rsidRPr="005D5B0F">
        <w:rPr>
          <w:rFonts w:ascii="Barlow" w:hAnsi="Barlow"/>
          <w:color w:val="000000"/>
          <w:sz w:val="18"/>
          <w:szCs w:val="22"/>
          <w:lang w:val="fr-FR"/>
        </w:rPr>
        <w:t xml:space="preserve"> Transmission du projet de décompte final au coordonnateur.</w:t>
      </w:r>
    </w:p>
    <w:p w14:paraId="3139A4A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B6DA01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7A33F8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J2+45+X</w:t>
      </w:r>
    </w:p>
    <w:p w14:paraId="1CC958E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 coordonnateur</w:t>
      </w:r>
    </w:p>
    <w:p w14:paraId="7364E34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070AFBB" w14:textId="77777777" w:rsidR="00D03000" w:rsidRPr="005D5B0F" w:rsidRDefault="00D03000">
      <w:pPr>
        <w:pStyle w:val="ParagrapheIndent1"/>
        <w:spacing w:line="232" w:lineRule="exact"/>
        <w:rPr>
          <w:rFonts w:ascii="Barlow" w:hAnsi="Barlow"/>
          <w:color w:val="000000"/>
          <w:sz w:val="18"/>
          <w:szCs w:val="22"/>
          <w:lang w:val="fr-FR"/>
        </w:rPr>
      </w:pPr>
    </w:p>
    <w:p w14:paraId="7E12599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Référence : </w:t>
      </w:r>
      <w:r w:rsidRPr="005D5B0F">
        <w:rPr>
          <w:rFonts w:ascii="Barlow" w:hAnsi="Barlow"/>
          <w:color w:val="000000"/>
          <w:sz w:val="18"/>
          <w:szCs w:val="22"/>
          <w:lang w:val="fr-FR"/>
        </w:rPr>
        <w:t>CCAG Travaux 13.3.4</w:t>
      </w:r>
    </w:p>
    <w:p w14:paraId="2104130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 :</w:t>
      </w:r>
      <w:r w:rsidRPr="005D5B0F">
        <w:rPr>
          <w:rFonts w:ascii="Barlow" w:hAnsi="Barlow"/>
          <w:color w:val="000000"/>
          <w:sz w:val="18"/>
          <w:szCs w:val="22"/>
          <w:lang w:val="fr-FR"/>
        </w:rPr>
        <w:t xml:space="preserve"> Acceptation ou rectification du projet de décompte final, qui devient le décompte final ; établissement du projet de décompte général = décompte final + état du solde + récapitulatif des acomptes mensuels ; le projet de décompte général est transmis à la DISP.</w:t>
      </w:r>
    </w:p>
    <w:p w14:paraId="345BE89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Nota : le délai de traitement du décompte général dans le marché du coordonnateur, « X ».</w:t>
      </w:r>
    </w:p>
    <w:p w14:paraId="44F7916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892B38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EFE0CF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J2+45+X+5</w:t>
      </w:r>
    </w:p>
    <w:p w14:paraId="5344788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Réalisé par le Chargé d’opération </w:t>
      </w:r>
    </w:p>
    <w:p w14:paraId="04CFFB1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 :</w:t>
      </w:r>
      <w:r w:rsidRPr="005D5B0F">
        <w:rPr>
          <w:rFonts w:ascii="Barlow" w:hAnsi="Barlow"/>
          <w:color w:val="000000"/>
          <w:sz w:val="18"/>
          <w:szCs w:val="22"/>
          <w:lang w:val="fr-FR"/>
        </w:rPr>
        <w:t xml:space="preserve"> La DISP signe le projet de décompte général, qui devient le décompte général.</w:t>
      </w:r>
    </w:p>
    <w:p w14:paraId="39DFFEA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13995C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933BAD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J2+45+X+D</w:t>
      </w:r>
    </w:p>
    <w:p w14:paraId="5094029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Référence : </w:t>
      </w:r>
      <w:r w:rsidRPr="005D5B0F">
        <w:rPr>
          <w:rFonts w:ascii="Barlow" w:hAnsi="Barlow"/>
          <w:color w:val="000000"/>
          <w:sz w:val="18"/>
          <w:szCs w:val="22"/>
          <w:lang w:val="fr-FR"/>
        </w:rPr>
        <w:t>CCAG Travaux 13.4.2</w:t>
      </w:r>
    </w:p>
    <w:p w14:paraId="5933C93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Réalisé par le Chargé d’opération </w:t>
      </w:r>
    </w:p>
    <w:p w14:paraId="32BC5BC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 :</w:t>
      </w:r>
      <w:r w:rsidRPr="005D5B0F">
        <w:rPr>
          <w:rFonts w:ascii="Barlow" w:hAnsi="Barlow"/>
          <w:color w:val="000000"/>
          <w:sz w:val="18"/>
          <w:szCs w:val="22"/>
          <w:lang w:val="fr-FR"/>
        </w:rPr>
        <w:t xml:space="preserve"> Notification du décompte général à l’entreprise avant la plus tardive de ces dates :</w:t>
      </w:r>
    </w:p>
    <w:p w14:paraId="7F1A2F6B" w14:textId="77777777" w:rsidR="00D03000" w:rsidRPr="005D5B0F" w:rsidRDefault="00D03000">
      <w:pPr>
        <w:pStyle w:val="ParagrapheIndent1"/>
        <w:spacing w:line="232" w:lineRule="exact"/>
        <w:rPr>
          <w:rFonts w:ascii="Barlow" w:hAnsi="Barlow"/>
          <w:color w:val="000000"/>
          <w:sz w:val="18"/>
          <w:szCs w:val="22"/>
          <w:lang w:val="fr-FR"/>
        </w:rPr>
      </w:pPr>
    </w:p>
    <w:p w14:paraId="2A9A105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J2+45+40 (40 jours après la remise à l’ATMO / au MOE du projet de décompte final).</w:t>
      </w:r>
    </w:p>
    <w:p w14:paraId="73708AE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J2+45+…+12 (12 jours après la parution de l’index de référence de la révision du solde).</w:t>
      </w:r>
    </w:p>
    <w:p w14:paraId="3F8CADF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2FA702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CACCA4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J2+45+X+D</w:t>
      </w:r>
    </w:p>
    <w:p w14:paraId="7BD8DE4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l'entreprise</w:t>
      </w:r>
    </w:p>
    <w:p w14:paraId="49D45DD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 :</w:t>
      </w:r>
      <w:r w:rsidRPr="005D5B0F">
        <w:rPr>
          <w:rFonts w:ascii="Barlow" w:hAnsi="Barlow"/>
          <w:color w:val="000000"/>
          <w:sz w:val="18"/>
          <w:szCs w:val="22"/>
          <w:lang w:val="fr-FR"/>
        </w:rPr>
        <w:t xml:space="preserve"> En l’absence de cette notification, mise en demeure de la DISP ; la DISP doit se conformer à la mise en demeure sous trente jours après réception de cette notification. Faute de quoi, possibilité de saisine du TA</w:t>
      </w:r>
    </w:p>
    <w:p w14:paraId="73214B0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F48861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C4DEB4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J2+45+D+45</w:t>
      </w:r>
    </w:p>
    <w:p w14:paraId="544941A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l'entreprise</w:t>
      </w:r>
    </w:p>
    <w:p w14:paraId="1968FC4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 :</w:t>
      </w:r>
      <w:r w:rsidRPr="005D5B0F">
        <w:rPr>
          <w:rFonts w:ascii="Barlow" w:hAnsi="Barlow"/>
          <w:color w:val="000000"/>
          <w:sz w:val="18"/>
          <w:szCs w:val="22"/>
          <w:lang w:val="fr-FR"/>
        </w:rPr>
        <w:t xml:space="preserve"> Envoi à la DISP, avec copie au coordonnateur, du décompte général signé, sans ou avec réserves, ou porté à connaissance des motifs de refus de signature.</w:t>
      </w:r>
    </w:p>
    <w:p w14:paraId="6BA35B1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Sans respect de ce délai, l’acceptation du décompte général est tacite.</w:t>
      </w:r>
    </w:p>
    <w:p w14:paraId="74E9F0F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S’il y a acceptation, le document devient le décompte général définitif.</w:t>
      </w:r>
    </w:p>
    <w:p w14:paraId="4DCD564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974681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1CB1DD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J2+45+D+45+30 </w:t>
      </w:r>
    </w:p>
    <w:p w14:paraId="4843A96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 Chargé d’opération</w:t>
      </w:r>
    </w:p>
    <w:p w14:paraId="66C5A88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Référence : </w:t>
      </w:r>
      <w:r w:rsidRPr="005D5B0F">
        <w:rPr>
          <w:rFonts w:ascii="Barlow" w:hAnsi="Barlow"/>
          <w:color w:val="000000"/>
          <w:sz w:val="18"/>
          <w:szCs w:val="22"/>
          <w:lang w:val="fr-FR"/>
        </w:rPr>
        <w:t>CCAG Travaux 13.4.4</w:t>
      </w:r>
    </w:p>
    <w:p w14:paraId="47DF4F6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 :</w:t>
      </w:r>
      <w:r w:rsidRPr="005D5B0F">
        <w:rPr>
          <w:rFonts w:ascii="Barlow" w:hAnsi="Barlow"/>
          <w:color w:val="000000"/>
          <w:sz w:val="18"/>
          <w:szCs w:val="22"/>
          <w:lang w:val="fr-FR"/>
        </w:rPr>
        <w:t xml:space="preserve"> S’il y a refus du décompte général ou acceptation avec réserves, paiement sous peine d’intérêts moratoires des sommes convenues.</w:t>
      </w:r>
    </w:p>
    <w:p w14:paraId="5CF5449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4855DEA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14A84AE" w14:textId="77777777" w:rsidR="00D03000" w:rsidRPr="005D5B0F" w:rsidRDefault="00D03000">
      <w:pPr>
        <w:pStyle w:val="ParagrapheIndent1"/>
        <w:spacing w:after="80" w:line="232" w:lineRule="exact"/>
        <w:rPr>
          <w:rFonts w:ascii="Barlow" w:hAnsi="Barlow"/>
          <w:color w:val="000000"/>
          <w:sz w:val="18"/>
          <w:szCs w:val="22"/>
          <w:lang w:val="fr-FR"/>
        </w:rPr>
        <w:sectPr w:rsidR="00D03000" w:rsidRPr="005D5B0F">
          <w:footerReference w:type="default" r:id="rId61"/>
          <w:pgSz w:w="11900" w:h="16840"/>
          <w:pgMar w:top="1140" w:right="1140" w:bottom="1140" w:left="1140" w:header="1140" w:footer="1140" w:gutter="0"/>
          <w:cols w:space="708"/>
        </w:sectPr>
      </w:pPr>
    </w:p>
    <w:p w14:paraId="42D0D7E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lastRenderedPageBreak/>
        <w:t xml:space="preserve">Délais théorique </w:t>
      </w:r>
      <w:r w:rsidRPr="005D5B0F">
        <w:rPr>
          <w:rFonts w:ascii="Barlow" w:hAnsi="Barlow"/>
          <w:color w:val="000000"/>
          <w:sz w:val="18"/>
          <w:szCs w:val="22"/>
          <w:lang w:val="fr-FR"/>
        </w:rPr>
        <w:t>: après J2+45+D+45+30 </w:t>
      </w:r>
    </w:p>
    <w:p w14:paraId="60F7D12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Référence : </w:t>
      </w:r>
      <w:r w:rsidRPr="005D5B0F">
        <w:rPr>
          <w:rFonts w:ascii="Barlow" w:hAnsi="Barlow"/>
          <w:color w:val="000000"/>
          <w:sz w:val="18"/>
          <w:szCs w:val="22"/>
          <w:lang w:val="fr-FR"/>
        </w:rPr>
        <w:t>CCAG Travaux 50 et suivants</w:t>
      </w:r>
    </w:p>
    <w:p w14:paraId="1E20626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 :</w:t>
      </w:r>
      <w:r w:rsidRPr="005D5B0F">
        <w:rPr>
          <w:rFonts w:ascii="Barlow" w:hAnsi="Barlow"/>
          <w:color w:val="000000"/>
          <w:sz w:val="18"/>
          <w:szCs w:val="22"/>
          <w:lang w:val="fr-FR"/>
        </w:rPr>
        <w:t xml:space="preserve"> Pour les sommes restant en discussion, la suite se traite en règlement des différends et litiges.</w:t>
      </w:r>
    </w:p>
    <w:p w14:paraId="5B6C901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EE1A24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11BF77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Nota : il est recommandé de ne faire le DGD qu’une fois les relations contractuelles achevées, à savoir à l’issue de la GPA. Une situation à 100 % peut toutefois être faite dans le mois suivant la levée de réserves.</w:t>
      </w:r>
    </w:p>
    <w:p w14:paraId="08F0FFA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08D3DD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58AC24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74B7E0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4.Partie « documents »</w:t>
      </w:r>
    </w:p>
    <w:p w14:paraId="462E856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1C1408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Dossier des ouvrages exécutés (DOE)</w:t>
      </w:r>
    </w:p>
    <w:p w14:paraId="6DD528A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Dossier de maintenance des équipements (DME)</w:t>
      </w:r>
    </w:p>
    <w:p w14:paraId="2586401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Dossier d’intervention ultérieure sur l’ouvrage (DIUO)</w:t>
      </w:r>
    </w:p>
    <w:p w14:paraId="2A5517C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Rapport final de contrôle technique (RFCT) et attestations réglementaires</w:t>
      </w:r>
    </w:p>
    <w:p w14:paraId="1D7D34D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Déclaration attestant l’achèvement et la conformité des travaux (DACT)</w:t>
      </w:r>
    </w:p>
    <w:p w14:paraId="675FC00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Rapport de vérification réglementaire après travaux (RVRAT)</w:t>
      </w:r>
    </w:p>
    <w:p w14:paraId="5F572D7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E78861A" w14:textId="77777777" w:rsidR="00D03000" w:rsidRPr="005D5B0F" w:rsidRDefault="00D03000">
      <w:pPr>
        <w:pStyle w:val="ParagrapheIndent1"/>
        <w:spacing w:line="232" w:lineRule="exact"/>
        <w:rPr>
          <w:rFonts w:ascii="Barlow" w:hAnsi="Barlow"/>
          <w:color w:val="000000"/>
          <w:sz w:val="18"/>
          <w:szCs w:val="22"/>
          <w:lang w:val="fr-FR"/>
        </w:rPr>
      </w:pPr>
    </w:p>
    <w:p w14:paraId="60BD52A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Rapport initial de contrôle périodique</w:t>
      </w:r>
    </w:p>
    <w:p w14:paraId="5A19E91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F10690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3992E0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~J-45</w:t>
      </w:r>
    </w:p>
    <w:p w14:paraId="46883E4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Réalisé par l'entreprise             </w:t>
      </w:r>
    </w:p>
    <w:p w14:paraId="73CAF5C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Référence : Par dérogation au CCAG Travaux, article 40</w:t>
      </w:r>
    </w:p>
    <w:p w14:paraId="4C448D8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 :</w:t>
      </w:r>
      <w:r w:rsidRPr="005D5B0F">
        <w:rPr>
          <w:rFonts w:ascii="Barlow" w:hAnsi="Barlow"/>
          <w:color w:val="000000"/>
          <w:sz w:val="18"/>
          <w:szCs w:val="22"/>
          <w:lang w:val="fr-FR"/>
        </w:rPr>
        <w:t xml:space="preserve"> Remise au coordonnateur du dossier des documents conformes à l’exécution :</w:t>
      </w:r>
    </w:p>
    <w:p w14:paraId="7CF6DFB0" w14:textId="77777777" w:rsidR="00D03000" w:rsidRPr="005D5B0F" w:rsidRDefault="00D03000">
      <w:pPr>
        <w:pStyle w:val="ParagrapheIndent1"/>
        <w:spacing w:line="232" w:lineRule="exact"/>
        <w:rPr>
          <w:rFonts w:ascii="Barlow" w:hAnsi="Barlow"/>
          <w:color w:val="000000"/>
          <w:sz w:val="18"/>
          <w:szCs w:val="22"/>
          <w:lang w:val="fr-FR"/>
        </w:rPr>
      </w:pPr>
    </w:p>
    <w:p w14:paraId="25F06D1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hAnsi="Barlow"/>
          <w:i/>
          <w:color w:val="000000"/>
          <w:sz w:val="18"/>
          <w:szCs w:val="22"/>
          <w:lang w:val="fr-FR"/>
        </w:rPr>
        <w:t>Plans</w:t>
      </w:r>
    </w:p>
    <w:p w14:paraId="13967C8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hAnsi="Barlow"/>
          <w:i/>
          <w:color w:val="000000"/>
          <w:sz w:val="18"/>
          <w:szCs w:val="22"/>
          <w:lang w:val="fr-FR"/>
        </w:rPr>
        <w:t>Notes de calcul</w:t>
      </w:r>
    </w:p>
    <w:p w14:paraId="0F34FB9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hAnsi="Barlow"/>
          <w:i/>
          <w:color w:val="000000"/>
          <w:sz w:val="18"/>
          <w:szCs w:val="22"/>
          <w:lang w:val="fr-FR"/>
        </w:rPr>
        <w:t>Eléments de Plan d’assurance qualité</w:t>
      </w:r>
    </w:p>
    <w:p w14:paraId="7EA4F64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hAnsi="Barlow"/>
          <w:i/>
          <w:color w:val="000000"/>
          <w:sz w:val="18"/>
          <w:szCs w:val="22"/>
          <w:lang w:val="fr-FR"/>
        </w:rPr>
        <w:t>Fiches techniques</w:t>
      </w:r>
    </w:p>
    <w:p w14:paraId="19889F2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i/>
          <w:color w:val="000000"/>
          <w:sz w:val="18"/>
          <w:szCs w:val="22"/>
          <w:lang w:val="fr-FR"/>
        </w:rPr>
        <w:t>Rapports d’essais</w:t>
      </w:r>
    </w:p>
    <w:p w14:paraId="294EEFE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455CB4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A65422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J-30</w:t>
      </w:r>
    </w:p>
    <w:p w14:paraId="19A6E12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 coordonnateur</w:t>
      </w:r>
    </w:p>
    <w:p w14:paraId="3219587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 :</w:t>
      </w:r>
      <w:r w:rsidRPr="005D5B0F">
        <w:rPr>
          <w:rFonts w:ascii="Barlow" w:hAnsi="Barlow"/>
          <w:color w:val="000000"/>
          <w:sz w:val="18"/>
          <w:szCs w:val="22"/>
          <w:lang w:val="fr-FR"/>
        </w:rPr>
        <w:t xml:space="preserve"> Avis sur la complétude du DOE</w:t>
      </w:r>
    </w:p>
    <w:p w14:paraId="11645E6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28712C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2E72E7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J-25</w:t>
      </w:r>
    </w:p>
    <w:p w14:paraId="19EE2F2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l'entreprise</w:t>
      </w:r>
    </w:p>
    <w:p w14:paraId="6192925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Tâche : </w:t>
      </w:r>
      <w:r w:rsidRPr="005D5B0F">
        <w:rPr>
          <w:rFonts w:ascii="Barlow" w:hAnsi="Barlow"/>
          <w:color w:val="000000"/>
          <w:sz w:val="18"/>
          <w:szCs w:val="22"/>
          <w:lang w:val="fr-FR"/>
        </w:rPr>
        <w:t>Transmission du DOE complété au coordonnateur, à la GD, à l’UEGP.</w:t>
      </w:r>
    </w:p>
    <w:p w14:paraId="4F0460B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5FFB2F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D8156B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J-15</w:t>
      </w:r>
    </w:p>
    <w:p w14:paraId="15E8921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 coordonnateur (+ GD)</w:t>
      </w:r>
    </w:p>
    <w:p w14:paraId="1639F7B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Tâche : </w:t>
      </w:r>
      <w:r w:rsidRPr="005D5B0F">
        <w:rPr>
          <w:rFonts w:ascii="Barlow" w:hAnsi="Barlow"/>
          <w:color w:val="000000"/>
          <w:sz w:val="18"/>
          <w:szCs w:val="22"/>
          <w:lang w:val="fr-FR"/>
        </w:rPr>
        <w:t>Avis sur le DOE complété</w:t>
      </w:r>
    </w:p>
    <w:p w14:paraId="48E1F70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i/>
          <w:color w:val="000000"/>
          <w:sz w:val="18"/>
          <w:szCs w:val="22"/>
          <w:lang w:val="fr-FR"/>
        </w:rPr>
        <w:t>Nota : dans le cas d’établissements en GD, le gestionnaire dispose de 15 jours pour effectuer ses commentaires sur le DOE complété.</w:t>
      </w:r>
    </w:p>
    <w:p w14:paraId="1FCDF06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A8C6FB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8A79B1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w:t>
      </w:r>
    </w:p>
    <w:p w14:paraId="10F4F39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Réalisé par l'entreprise </w:t>
      </w:r>
    </w:p>
    <w:p w14:paraId="2031602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Tâche : </w:t>
      </w:r>
      <w:r w:rsidRPr="005D5B0F">
        <w:rPr>
          <w:rFonts w:ascii="Barlow" w:hAnsi="Barlow"/>
          <w:color w:val="000000"/>
          <w:sz w:val="18"/>
          <w:szCs w:val="22"/>
          <w:lang w:val="fr-FR"/>
        </w:rPr>
        <w:t>Remise du DOE rectifié</w:t>
      </w:r>
      <w:r w:rsidRPr="005D5B0F">
        <w:rPr>
          <w:rFonts w:ascii="Barlow" w:hAnsi="Barlow"/>
          <w:i/>
          <w:color w:val="000000"/>
          <w:sz w:val="18"/>
          <w:szCs w:val="22"/>
          <w:lang w:val="fr-FR"/>
        </w:rPr>
        <w:t>.</w:t>
      </w:r>
    </w:p>
    <w:p w14:paraId="214203B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C957DF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E0F2C14" w14:textId="77777777" w:rsidR="00D03000" w:rsidRPr="005D5B0F" w:rsidRDefault="00D03000">
      <w:pPr>
        <w:pStyle w:val="ParagrapheIndent1"/>
        <w:spacing w:after="80" w:line="232" w:lineRule="exact"/>
        <w:rPr>
          <w:rFonts w:ascii="Barlow" w:hAnsi="Barlow"/>
          <w:color w:val="000000"/>
          <w:sz w:val="18"/>
          <w:szCs w:val="22"/>
          <w:lang w:val="fr-FR"/>
        </w:rPr>
        <w:sectPr w:rsidR="00D03000" w:rsidRPr="005D5B0F">
          <w:footerReference w:type="default" r:id="rId62"/>
          <w:pgSz w:w="11900" w:h="16840"/>
          <w:pgMar w:top="1140" w:right="1140" w:bottom="1140" w:left="1140" w:header="1140" w:footer="1140" w:gutter="0"/>
          <w:cols w:space="708"/>
        </w:sectPr>
      </w:pPr>
    </w:p>
    <w:p w14:paraId="771AB49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lastRenderedPageBreak/>
        <w:t xml:space="preserve">Délais théorique </w:t>
      </w:r>
      <w:r w:rsidRPr="005D5B0F">
        <w:rPr>
          <w:rFonts w:ascii="Barlow" w:hAnsi="Barlow"/>
          <w:color w:val="000000"/>
          <w:sz w:val="18"/>
          <w:szCs w:val="22"/>
          <w:lang w:val="fr-FR"/>
        </w:rPr>
        <w:t>:  J+5</w:t>
      </w:r>
    </w:p>
    <w:p w14:paraId="568EB69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 coordonnateur</w:t>
      </w:r>
    </w:p>
    <w:p w14:paraId="3C00498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Tâche : </w:t>
      </w:r>
      <w:r w:rsidRPr="005D5B0F">
        <w:rPr>
          <w:rFonts w:ascii="Barlow" w:hAnsi="Barlow"/>
          <w:color w:val="000000"/>
          <w:sz w:val="18"/>
          <w:szCs w:val="22"/>
          <w:lang w:val="fr-FR"/>
        </w:rPr>
        <w:t>Mention dans l’EXE5 des éléments d’appréciation restants</w:t>
      </w:r>
    </w:p>
    <w:p w14:paraId="7211852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52D089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4BAFA5A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J+15</w:t>
      </w:r>
    </w:p>
    <w:p w14:paraId="2C73E4B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Réalisé par le Chargé d’opération </w:t>
      </w:r>
    </w:p>
    <w:p w14:paraId="751A3EE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Tâche : </w:t>
      </w:r>
      <w:r w:rsidRPr="005D5B0F">
        <w:rPr>
          <w:rFonts w:ascii="Barlow" w:hAnsi="Barlow"/>
          <w:color w:val="000000"/>
          <w:sz w:val="18"/>
          <w:szCs w:val="22"/>
          <w:lang w:val="fr-FR"/>
        </w:rPr>
        <w:t>Mention dans l’EXE6 des éléments d’appréciation complémentaires (mis à jour UEGP, GD).</w:t>
      </w:r>
    </w:p>
    <w:p w14:paraId="0AEB4E5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0299BE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74EB22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~J-45</w:t>
      </w:r>
    </w:p>
    <w:p w14:paraId="011555B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l'entreprise</w:t>
      </w:r>
    </w:p>
    <w:p w14:paraId="2A8623A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Référence : Par dérogation au CCAG Travaux, article 40</w:t>
      </w:r>
    </w:p>
    <w:p w14:paraId="77126CC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Tâche : </w:t>
      </w:r>
      <w:r w:rsidRPr="005D5B0F">
        <w:rPr>
          <w:rFonts w:ascii="Barlow" w:hAnsi="Barlow"/>
          <w:color w:val="000000"/>
          <w:sz w:val="18"/>
          <w:szCs w:val="22"/>
          <w:lang w:val="fr-FR"/>
        </w:rPr>
        <w:t>Remise au coordonnateur, à l’UEGP et, ou la GD, au CSPS :</w:t>
      </w:r>
    </w:p>
    <w:p w14:paraId="18E4BD1E" w14:textId="77777777" w:rsidR="00D03000" w:rsidRPr="005D5B0F" w:rsidRDefault="00D03000">
      <w:pPr>
        <w:pStyle w:val="ParagrapheIndent1"/>
        <w:spacing w:line="232" w:lineRule="exact"/>
        <w:rPr>
          <w:rFonts w:ascii="Barlow" w:hAnsi="Barlow"/>
          <w:color w:val="000000"/>
          <w:sz w:val="18"/>
          <w:szCs w:val="22"/>
          <w:lang w:val="fr-FR"/>
        </w:rPr>
      </w:pPr>
    </w:p>
    <w:p w14:paraId="1A37F27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hAnsi="Barlow"/>
          <w:i/>
          <w:color w:val="000000"/>
          <w:sz w:val="18"/>
          <w:szCs w:val="22"/>
          <w:lang w:val="fr-FR"/>
        </w:rPr>
        <w:t xml:space="preserve">Notices de fonctionnement, </w:t>
      </w:r>
    </w:p>
    <w:p w14:paraId="6F5D1BB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hAnsi="Barlow"/>
          <w:i/>
          <w:color w:val="000000"/>
          <w:sz w:val="18"/>
          <w:szCs w:val="22"/>
          <w:lang w:val="fr-FR"/>
        </w:rPr>
        <w:t xml:space="preserve">Prescriptions de maintenance des éléments d’équipement mis en œuvre, </w:t>
      </w:r>
    </w:p>
    <w:p w14:paraId="61FD119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i/>
          <w:color w:val="000000"/>
          <w:sz w:val="18"/>
          <w:szCs w:val="22"/>
          <w:lang w:val="fr-FR"/>
        </w:rPr>
        <w:t>Conditions de garantie des fabricants attachées à ces équipements,</w:t>
      </w:r>
    </w:p>
    <w:p w14:paraId="4498030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6B8059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CBB75F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~J-45</w:t>
      </w:r>
    </w:p>
    <w:p w14:paraId="2EA8F46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Réalisé par l'entreprise </w:t>
      </w:r>
    </w:p>
    <w:p w14:paraId="22B4AFF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Tâche : </w:t>
      </w:r>
      <w:r w:rsidRPr="005D5B0F">
        <w:rPr>
          <w:rFonts w:ascii="Barlow" w:hAnsi="Barlow"/>
          <w:color w:val="000000"/>
          <w:sz w:val="18"/>
          <w:szCs w:val="22"/>
          <w:lang w:val="fr-FR"/>
        </w:rPr>
        <w:t>Remise au coordonnateur et au CSPS du cadre de DIUO</w:t>
      </w:r>
    </w:p>
    <w:p w14:paraId="08CF787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A4C352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89F2806" w14:textId="77777777" w:rsidR="00D03000" w:rsidRPr="005D5B0F" w:rsidRDefault="00D03000">
      <w:pPr>
        <w:pStyle w:val="ParagrapheIndent1"/>
        <w:spacing w:line="232" w:lineRule="exact"/>
        <w:rPr>
          <w:rFonts w:ascii="Barlow" w:hAnsi="Barlow"/>
          <w:color w:val="000000"/>
          <w:sz w:val="18"/>
          <w:szCs w:val="22"/>
          <w:lang w:val="fr-FR"/>
        </w:rPr>
      </w:pPr>
    </w:p>
    <w:p w14:paraId="0CCF63B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B3249B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J-15</w:t>
      </w:r>
    </w:p>
    <w:p w14:paraId="2342B53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 SCPS</w:t>
      </w:r>
    </w:p>
    <w:p w14:paraId="512EE09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Référence : </w:t>
      </w:r>
      <w:r w:rsidRPr="005D5B0F">
        <w:rPr>
          <w:rFonts w:ascii="Barlow" w:hAnsi="Barlow"/>
          <w:color w:val="000000"/>
          <w:sz w:val="18"/>
          <w:szCs w:val="22"/>
          <w:lang w:val="fr-FR"/>
        </w:rPr>
        <w:t>Par précision du Code du travail, article R4532-97 </w:t>
      </w:r>
    </w:p>
    <w:p w14:paraId="0E6BB48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Tâche : </w:t>
      </w:r>
      <w:r w:rsidRPr="005D5B0F">
        <w:rPr>
          <w:rFonts w:ascii="Barlow" w:hAnsi="Barlow"/>
          <w:color w:val="000000"/>
          <w:sz w:val="18"/>
          <w:szCs w:val="22"/>
          <w:lang w:val="fr-FR"/>
        </w:rPr>
        <w:t xml:space="preserve">Remise du DIUO </w:t>
      </w:r>
      <w:r w:rsidRPr="005D5B0F">
        <w:rPr>
          <w:rFonts w:ascii="Barlow" w:hAnsi="Barlow"/>
          <w:color w:val="000000"/>
          <w:sz w:val="18"/>
          <w:szCs w:val="22"/>
          <w:u w:val="single"/>
          <w:lang w:val="fr-FR"/>
        </w:rPr>
        <w:t>par le CSPS.</w:t>
      </w:r>
    </w:p>
    <w:p w14:paraId="54F8D86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9921CC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5674E8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~J-30</w:t>
      </w:r>
    </w:p>
    <w:p w14:paraId="073C15B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Réalisé par l'entreprise </w:t>
      </w:r>
    </w:p>
    <w:p w14:paraId="2718E4D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Référence : </w:t>
      </w:r>
      <w:r w:rsidRPr="005D5B0F">
        <w:rPr>
          <w:rFonts w:ascii="Barlow" w:hAnsi="Barlow"/>
          <w:color w:val="000000"/>
          <w:sz w:val="18"/>
          <w:szCs w:val="22"/>
          <w:lang w:val="fr-FR"/>
        </w:rPr>
        <w:t>Par précision à l’article 4.2.5.2 de la norme NF P03-100 relative au contrôle technique</w:t>
      </w:r>
      <w:r w:rsidRPr="005D5B0F">
        <w:rPr>
          <w:rFonts w:ascii="Barlow" w:hAnsi="Barlow"/>
          <w:b/>
          <w:color w:val="000000"/>
          <w:sz w:val="18"/>
          <w:szCs w:val="22"/>
          <w:lang w:val="fr-FR"/>
        </w:rPr>
        <w:t xml:space="preserve"> Tâche : </w:t>
      </w:r>
      <w:r w:rsidRPr="005D5B0F">
        <w:rPr>
          <w:rFonts w:ascii="Barlow" w:hAnsi="Barlow"/>
          <w:color w:val="000000"/>
          <w:sz w:val="18"/>
          <w:szCs w:val="22"/>
          <w:lang w:val="fr-FR"/>
        </w:rPr>
        <w:t xml:space="preserve">Remise à la DISP </w:t>
      </w:r>
      <w:r w:rsidRPr="005D5B0F">
        <w:rPr>
          <w:rFonts w:ascii="Barlow" w:hAnsi="Barlow"/>
          <w:color w:val="000000"/>
          <w:sz w:val="18"/>
          <w:szCs w:val="22"/>
          <w:u w:val="single"/>
          <w:lang w:val="fr-FR"/>
        </w:rPr>
        <w:t>par le Contrôleur technique</w:t>
      </w:r>
    </w:p>
    <w:p w14:paraId="010F04A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831AB7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48BF4A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w:t>
      </w:r>
    </w:p>
    <w:p w14:paraId="6835C31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 Contrôleur technique</w:t>
      </w:r>
    </w:p>
    <w:p w14:paraId="718974E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Tâche : </w:t>
      </w:r>
      <w:r w:rsidRPr="005D5B0F">
        <w:rPr>
          <w:rFonts w:ascii="Barlow" w:hAnsi="Barlow"/>
          <w:color w:val="000000"/>
          <w:sz w:val="18"/>
          <w:szCs w:val="22"/>
          <w:lang w:val="fr-FR"/>
        </w:rPr>
        <w:t>Pour les attestations réglementaires obligatoires selon l’objet de l’ouvrage (VIEL, parasismique et paracyclonique, thermique, accessibilité, acoustique) ; selon dispositions du contrat du contrôleur technique.</w:t>
      </w:r>
    </w:p>
    <w:p w14:paraId="4156F3A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FCDFB7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C3443F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J-15</w:t>
      </w:r>
    </w:p>
    <w:p w14:paraId="5C1F543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Réalisé par l'entreprise </w:t>
      </w:r>
    </w:p>
    <w:p w14:paraId="38EF59E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Tâche : </w:t>
      </w:r>
      <w:r w:rsidRPr="005D5B0F">
        <w:rPr>
          <w:rFonts w:ascii="Barlow" w:hAnsi="Barlow"/>
          <w:color w:val="000000"/>
          <w:sz w:val="18"/>
          <w:szCs w:val="22"/>
          <w:lang w:val="fr-FR"/>
        </w:rPr>
        <w:t>Réponse et traitement des observations</w:t>
      </w:r>
    </w:p>
    <w:p w14:paraId="515930D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5B4535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1EF291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J+30</w:t>
      </w:r>
    </w:p>
    <w:p w14:paraId="5F095A4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Réalisé par le Chargé d’opération </w:t>
      </w:r>
    </w:p>
    <w:p w14:paraId="04D97C1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 :</w:t>
      </w:r>
      <w:r w:rsidRPr="005D5B0F">
        <w:rPr>
          <w:rFonts w:ascii="Barlow" w:hAnsi="Barlow"/>
          <w:color w:val="000000"/>
          <w:sz w:val="18"/>
          <w:szCs w:val="22"/>
          <w:lang w:val="fr-FR"/>
        </w:rPr>
        <w:t xml:space="preserve"> Transmission à la SCDS</w:t>
      </w:r>
      <w:hyperlink r:id="rId63" w:anchor="_ftn1" w:history="1">
        <w:r w:rsidRPr="005D5B0F">
          <w:rPr>
            <w:rFonts w:ascii="Barlow" w:hAnsi="Barlow"/>
            <w:color w:val="000000"/>
            <w:sz w:val="18"/>
            <w:szCs w:val="22"/>
            <w:lang w:val="fr-FR"/>
          </w:rPr>
          <w:t>[1]</w:t>
        </w:r>
      </w:hyperlink>
    </w:p>
    <w:p w14:paraId="2679279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0F1758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A37489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J+30</w:t>
      </w:r>
    </w:p>
    <w:p w14:paraId="55E87C55" w14:textId="77777777" w:rsidR="00D03000" w:rsidRPr="005D5B0F" w:rsidRDefault="00D03000">
      <w:pPr>
        <w:pStyle w:val="ParagrapheIndent1"/>
        <w:spacing w:after="80" w:line="232" w:lineRule="exact"/>
        <w:rPr>
          <w:rFonts w:ascii="Barlow" w:hAnsi="Barlow"/>
          <w:color w:val="000000"/>
          <w:sz w:val="18"/>
          <w:szCs w:val="22"/>
          <w:lang w:val="fr-FR"/>
        </w:rPr>
        <w:sectPr w:rsidR="00D03000" w:rsidRPr="005D5B0F">
          <w:footerReference w:type="default" r:id="rId64"/>
          <w:pgSz w:w="11900" w:h="16840"/>
          <w:pgMar w:top="1140" w:right="1140" w:bottom="1140" w:left="1140" w:header="1140" w:footer="1140" w:gutter="0"/>
          <w:cols w:space="708"/>
        </w:sectPr>
      </w:pPr>
    </w:p>
    <w:p w14:paraId="52F69A8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lastRenderedPageBreak/>
        <w:t xml:space="preserve">Réalisé par le Chargé d’opération et l'entreprise </w:t>
      </w:r>
    </w:p>
    <w:p w14:paraId="5993EC9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Tâche : </w:t>
      </w:r>
      <w:r w:rsidRPr="005D5B0F">
        <w:rPr>
          <w:rFonts w:ascii="Barlow" w:hAnsi="Barlow"/>
          <w:color w:val="000000"/>
          <w:sz w:val="18"/>
          <w:szCs w:val="22"/>
          <w:lang w:val="fr-FR"/>
        </w:rPr>
        <w:t>Envoi du cerfa 13408-03 aux services instructeurs</w:t>
      </w:r>
    </w:p>
    <w:p w14:paraId="1AE9114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A48031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7AB7BB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J-15</w:t>
      </w:r>
    </w:p>
    <w:p w14:paraId="48B53C8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 Contrôleur technique</w:t>
      </w:r>
    </w:p>
    <w:p w14:paraId="6BE09B6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Référence : </w:t>
      </w:r>
      <w:r w:rsidRPr="005D5B0F">
        <w:rPr>
          <w:rFonts w:ascii="Barlow" w:hAnsi="Barlow"/>
          <w:color w:val="000000"/>
          <w:sz w:val="18"/>
          <w:szCs w:val="22"/>
          <w:lang w:val="fr-FR"/>
        </w:rPr>
        <w:t>Par précision à l’article 4.2.5.2 de la norme NF P03-100 relative au contrôle technique</w:t>
      </w:r>
    </w:p>
    <w:p w14:paraId="22B5ADE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 :</w:t>
      </w:r>
      <w:r w:rsidRPr="005D5B0F">
        <w:rPr>
          <w:rFonts w:ascii="Barlow" w:hAnsi="Barlow"/>
          <w:color w:val="000000"/>
          <w:sz w:val="18"/>
          <w:szCs w:val="22"/>
          <w:lang w:val="fr-FR"/>
        </w:rPr>
        <w:t xml:space="preserve"> Remise à la DISP </w:t>
      </w:r>
      <w:r w:rsidRPr="005D5B0F">
        <w:rPr>
          <w:rFonts w:ascii="Barlow" w:hAnsi="Barlow"/>
          <w:color w:val="000000"/>
          <w:sz w:val="18"/>
          <w:szCs w:val="22"/>
          <w:u w:val="single"/>
          <w:lang w:val="fr-FR"/>
        </w:rPr>
        <w:t>par le Contrôleur technique</w:t>
      </w:r>
    </w:p>
    <w:p w14:paraId="2EDC824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C7DD89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2EA348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J+30</w:t>
      </w:r>
    </w:p>
    <w:p w14:paraId="4DEDF09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Réalisé par le Chargé d’opération </w:t>
      </w:r>
    </w:p>
    <w:p w14:paraId="3C32B62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Référence : </w:t>
      </w:r>
    </w:p>
    <w:p w14:paraId="0081E67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 :</w:t>
      </w:r>
      <w:r w:rsidRPr="005D5B0F">
        <w:rPr>
          <w:rFonts w:ascii="Barlow" w:hAnsi="Barlow"/>
          <w:color w:val="000000"/>
          <w:sz w:val="18"/>
          <w:szCs w:val="22"/>
          <w:lang w:val="fr-FR"/>
        </w:rPr>
        <w:t xml:space="preserve"> Transmission à l’UEGP et, ou à la GD</w:t>
      </w:r>
    </w:p>
    <w:p w14:paraId="1272E18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C420B3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CB65F1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J-30</w:t>
      </w:r>
    </w:p>
    <w:p w14:paraId="2B6BE15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 coordonnateur</w:t>
      </w:r>
    </w:p>
    <w:p w14:paraId="64B149A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 :</w:t>
      </w:r>
      <w:r w:rsidRPr="005D5B0F">
        <w:rPr>
          <w:rFonts w:ascii="Barlow" w:hAnsi="Barlow"/>
          <w:color w:val="000000"/>
          <w:sz w:val="18"/>
          <w:szCs w:val="22"/>
          <w:lang w:val="fr-FR"/>
        </w:rPr>
        <w:t xml:space="preserve"> Passage du contrôleur périodique</w:t>
      </w:r>
    </w:p>
    <w:p w14:paraId="0062A31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316AD7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80AD7A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Délais théorique </w:t>
      </w:r>
      <w:r w:rsidRPr="005D5B0F">
        <w:rPr>
          <w:rFonts w:ascii="Barlow" w:hAnsi="Barlow"/>
          <w:color w:val="000000"/>
          <w:sz w:val="18"/>
          <w:szCs w:val="22"/>
          <w:lang w:val="fr-FR"/>
        </w:rPr>
        <w:t>:  J-10</w:t>
      </w:r>
    </w:p>
    <w:p w14:paraId="5300D75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Réalisé par le contrôleur</w:t>
      </w:r>
    </w:p>
    <w:p w14:paraId="6252408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 :</w:t>
      </w:r>
      <w:r w:rsidRPr="005D5B0F">
        <w:rPr>
          <w:rFonts w:ascii="Barlow" w:hAnsi="Barlow"/>
          <w:color w:val="000000"/>
          <w:sz w:val="18"/>
          <w:szCs w:val="22"/>
          <w:lang w:val="fr-FR"/>
        </w:rPr>
        <w:t xml:space="preserve"> Remise du rapport par le contrôleur périodique</w:t>
      </w:r>
    </w:p>
    <w:p w14:paraId="08827B0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0B651F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D7296A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Les documents remis pour le DOE et le DME respectent le formalisme édicté à l’annexe « cadre des documents remis à la fin d’exécution », éventuellement précisé par les pièces du marché.</w:t>
      </w:r>
    </w:p>
    <w:p w14:paraId="700AEB3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DEEC00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Nota : le délai d’examen des DOE, DME, DIUO doit être précisé dans le marché du coordonnateur. Ces </w:t>
      </w:r>
    </w:p>
    <w:p w14:paraId="7B49899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4F310102" w14:textId="77777777" w:rsidR="00D03000" w:rsidRPr="005D5B0F" w:rsidRDefault="00D03000">
      <w:pPr>
        <w:pStyle w:val="ParagrapheIndent1"/>
        <w:spacing w:line="232" w:lineRule="exact"/>
        <w:rPr>
          <w:rFonts w:ascii="Barlow" w:hAnsi="Barlow"/>
          <w:color w:val="000000"/>
          <w:sz w:val="18"/>
          <w:szCs w:val="22"/>
          <w:lang w:val="fr-FR"/>
        </w:rPr>
      </w:pPr>
    </w:p>
    <w:p w14:paraId="260093C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délais pourront être plus exigeants qui ceux mentionnés dans le présent document.</w:t>
      </w:r>
    </w:p>
    <w:p w14:paraId="7F31076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Les délais de remise des DIUO, RFCT et RVRAT doivent être précisés dans les marchés respectifs du CSPS et du CT. Ces délais pourront être plus exigeants qui ceux mentionnés dans le présent document.</w:t>
      </w:r>
    </w:p>
    <w:p w14:paraId="16F63F1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E911BED" w14:textId="53C74181" w:rsidR="00D03000" w:rsidRPr="005D5B0F" w:rsidRDefault="00000000" w:rsidP="00701F8C">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FE922F9" w14:textId="77777777" w:rsidR="00D03000" w:rsidRPr="005D5B0F" w:rsidRDefault="00D03000">
      <w:pPr>
        <w:pStyle w:val="ParagrapheIndent1"/>
        <w:spacing w:line="232" w:lineRule="exact"/>
        <w:rPr>
          <w:rFonts w:ascii="Barlow" w:hAnsi="Barlow"/>
          <w:color w:val="000000"/>
          <w:sz w:val="18"/>
          <w:szCs w:val="22"/>
          <w:lang w:val="fr-FR"/>
        </w:rPr>
      </w:pPr>
    </w:p>
    <w:p w14:paraId="7DEF760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69101DA" w14:textId="77777777" w:rsidR="00D03000" w:rsidRPr="005D5B0F" w:rsidRDefault="00000000">
      <w:pPr>
        <w:pStyle w:val="ParagrapheIndent1"/>
        <w:spacing w:line="232" w:lineRule="exact"/>
        <w:rPr>
          <w:rFonts w:ascii="Barlow" w:hAnsi="Barlow"/>
          <w:color w:val="000000"/>
          <w:sz w:val="18"/>
          <w:szCs w:val="22"/>
          <w:lang w:val="fr-FR"/>
        </w:rPr>
      </w:pPr>
      <w:hyperlink r:id="rId65" w:anchor="_ftnref1" w:history="1">
        <w:r w:rsidRPr="005D5B0F">
          <w:rPr>
            <w:rFonts w:ascii="Barlow" w:hAnsi="Barlow"/>
            <w:color w:val="000000"/>
            <w:sz w:val="18"/>
            <w:szCs w:val="22"/>
            <w:lang w:val="fr-FR"/>
          </w:rPr>
          <w:t>[3]</w:t>
        </w:r>
      </w:hyperlink>
      <w:r w:rsidRPr="005D5B0F">
        <w:rPr>
          <w:rFonts w:ascii="Barlow" w:hAnsi="Barlow"/>
          <w:color w:val="000000"/>
          <w:sz w:val="18"/>
          <w:szCs w:val="22"/>
          <w:lang w:val="fr-FR"/>
        </w:rPr>
        <w:t xml:space="preserve"> NOTA : ce document vient boucler le cycle entamé lors de la diffusion à la SCDS de la notice incendie, pendant les études APD.</w:t>
      </w:r>
    </w:p>
    <w:p w14:paraId="6400F15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336AA9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33A0CA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503972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5.Annexe 1 – Liste prévisionnelle des documents constitutifs du DOE</w:t>
      </w:r>
    </w:p>
    <w:p w14:paraId="05CA165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4C7244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Pour faciliter les recherches de documents, ceux-ci seront regroupés dans cinq « sous-dossiers DOE » :</w:t>
      </w:r>
    </w:p>
    <w:p w14:paraId="56C68AA2" w14:textId="77777777" w:rsidR="00D03000" w:rsidRPr="005D5B0F" w:rsidRDefault="00D03000">
      <w:pPr>
        <w:pStyle w:val="ParagrapheIndent1"/>
        <w:spacing w:line="232" w:lineRule="exact"/>
        <w:rPr>
          <w:rFonts w:ascii="Barlow" w:hAnsi="Barlow"/>
          <w:color w:val="000000"/>
          <w:sz w:val="18"/>
          <w:szCs w:val="22"/>
          <w:lang w:val="fr-FR"/>
        </w:rPr>
      </w:pPr>
    </w:p>
    <w:p w14:paraId="19C14B7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Organisation générale ;</w:t>
      </w:r>
    </w:p>
    <w:p w14:paraId="2778A2D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Structures ;</w:t>
      </w:r>
    </w:p>
    <w:p w14:paraId="5A0BFC0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Technique : classement par lot (et par sous-ensemble selon demande du gestionnaire) ;</w:t>
      </w:r>
    </w:p>
    <w:p w14:paraId="18D178C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Sécurité ;</w:t>
      </w:r>
    </w:p>
    <w:p w14:paraId="3713666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Utilisation, exploitation et maintenance.</w:t>
      </w:r>
    </w:p>
    <w:p w14:paraId="7E4B42E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8532D9B" w14:textId="77777777" w:rsidR="00D03000" w:rsidRPr="005D5B0F" w:rsidRDefault="00D03000">
      <w:pPr>
        <w:pStyle w:val="ParagrapheIndent1"/>
        <w:spacing w:after="80" w:line="232" w:lineRule="exact"/>
        <w:rPr>
          <w:rFonts w:ascii="Barlow" w:hAnsi="Barlow"/>
          <w:color w:val="000000"/>
          <w:sz w:val="18"/>
          <w:szCs w:val="22"/>
          <w:lang w:val="fr-FR"/>
        </w:rPr>
        <w:sectPr w:rsidR="00D03000" w:rsidRPr="005D5B0F">
          <w:footerReference w:type="default" r:id="rId66"/>
          <w:pgSz w:w="11900" w:h="16840"/>
          <w:pgMar w:top="1140" w:right="1140" w:bottom="1140" w:left="1140" w:header="1140" w:footer="1140" w:gutter="0"/>
          <w:cols w:space="708"/>
        </w:sectPr>
      </w:pPr>
    </w:p>
    <w:p w14:paraId="1A094CE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lastRenderedPageBreak/>
        <w:t>Un bordereau récapitulant toutes les pièces du dossier est établi par le coordonnateur.</w:t>
      </w:r>
    </w:p>
    <w:p w14:paraId="71D9141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FE470B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Les documents DWG seront conformes à la charte graphique de l’UEGP.</w:t>
      </w:r>
    </w:p>
    <w:p w14:paraId="69C5563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289D3E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C93F14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1.1A - Sous dossier "ORGANISATION GENERALE"</w:t>
      </w:r>
    </w:p>
    <w:p w14:paraId="229D1EBF" w14:textId="77777777" w:rsidR="00D03000" w:rsidRPr="005D5B0F" w:rsidRDefault="00D03000">
      <w:pPr>
        <w:pStyle w:val="ParagrapheIndent1"/>
        <w:spacing w:line="232" w:lineRule="exact"/>
        <w:rPr>
          <w:rFonts w:ascii="Barlow" w:hAnsi="Barlow"/>
          <w:color w:val="000000"/>
          <w:sz w:val="18"/>
          <w:szCs w:val="22"/>
          <w:lang w:val="fr-FR"/>
        </w:rPr>
      </w:pPr>
    </w:p>
    <w:p w14:paraId="00B13DF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Plan de masse format A4 ou A3 au format informatique DWG (modifiable ultérieurement) et PDF (figé) ;</w:t>
      </w:r>
    </w:p>
    <w:p w14:paraId="2AA2BF2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Plans de distribution des locaux non cotés, avec repérage de chaque local et indication de sa fonction, l'objectif étant de pouvoir disposer d'un ensemble fonctionnel cohérent (service par exemple) sous format A4 ou A3, échelle à adapter selon taille du bâtiment ;</w:t>
      </w:r>
    </w:p>
    <w:p w14:paraId="408C7BF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Le détail des surfaces (SU, SHON, SHOB) ;</w:t>
      </w:r>
    </w:p>
    <w:p w14:paraId="687C593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Planches photos (prises aux étapes importantes du chantier) ;</w:t>
      </w:r>
    </w:p>
    <w:p w14:paraId="0577176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44C9996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50E7C6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1.2B - Sous dossier "STRUCTURES"</w:t>
      </w:r>
    </w:p>
    <w:p w14:paraId="17C7448D" w14:textId="77777777" w:rsidR="00D03000" w:rsidRPr="005D5B0F" w:rsidRDefault="00D03000">
      <w:pPr>
        <w:pStyle w:val="ParagrapheIndent1"/>
        <w:spacing w:line="232" w:lineRule="exact"/>
        <w:rPr>
          <w:rFonts w:ascii="Barlow" w:hAnsi="Barlow"/>
          <w:color w:val="000000"/>
          <w:sz w:val="18"/>
          <w:szCs w:val="22"/>
          <w:lang w:val="fr-FR"/>
        </w:rPr>
      </w:pPr>
    </w:p>
    <w:p w14:paraId="529D937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Rapport des études de sol ;</w:t>
      </w:r>
    </w:p>
    <w:p w14:paraId="022FFA1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Plans et notes de calcul des structures, des fondations ;</w:t>
      </w:r>
    </w:p>
    <w:p w14:paraId="059998A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Note synthétique donnant les surcharges admissibles de plancher ;</w:t>
      </w:r>
    </w:p>
    <w:p w14:paraId="7082DC4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Recommandations en vue des précautions à prendre pour les percements, scellements, etc. ;</w:t>
      </w:r>
    </w:p>
    <w:p w14:paraId="674A29F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Le PV des épreuves béton ;</w:t>
      </w:r>
    </w:p>
    <w:p w14:paraId="2338E38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Spécificités liées aux structures préfabriquées, précontraintes…</w:t>
      </w:r>
    </w:p>
    <w:p w14:paraId="587DF3C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2FF1B6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FCAF1A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1.3C - Sous dossier "TECHNIQUE"</w:t>
      </w:r>
    </w:p>
    <w:p w14:paraId="67A61040" w14:textId="77777777" w:rsidR="00D03000" w:rsidRPr="005D5B0F" w:rsidRDefault="00D03000">
      <w:pPr>
        <w:pStyle w:val="ParagrapheIndent1"/>
        <w:spacing w:line="232" w:lineRule="exact"/>
        <w:rPr>
          <w:rFonts w:ascii="Barlow" w:hAnsi="Barlow"/>
          <w:color w:val="000000"/>
          <w:sz w:val="18"/>
          <w:szCs w:val="22"/>
          <w:lang w:val="fr-FR"/>
        </w:rPr>
      </w:pPr>
    </w:p>
    <w:p w14:paraId="68CA4D0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Documents écrits :</w:t>
      </w:r>
    </w:p>
    <w:p w14:paraId="33F8EC7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Notices descriptives, de fonctionnement et d’entretien des divers éléments de la construction (menuiseries extérieures et intérieures, cloisons, revêtements de sols et murs, installations techniques, etc.) ;</w:t>
      </w:r>
    </w:p>
    <w:p w14:paraId="6F94678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Les notes de calculs ayant permis la détermination des caractéristiques de l'installation, des équipements et du matériels installer ;</w:t>
      </w:r>
    </w:p>
    <w:p w14:paraId="2B55494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Synthèse de l’étude thermique ;</w:t>
      </w:r>
    </w:p>
    <w:p w14:paraId="01E9773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  </w:t>
      </w:r>
      <w:hyperlink r:id="rId67" w:anchor="_blank" w:history="1">
        <w:r w:rsidRPr="005D5B0F">
          <w:rPr>
            <w:rFonts w:ascii="Barlow" w:hAnsi="Barlow"/>
            <w:color w:val="000000"/>
            <w:sz w:val="18"/>
            <w:szCs w:val="22"/>
            <w:lang w:val="fr-FR"/>
          </w:rPr>
          <w:t>Diagnostic de performance énergétique</w:t>
        </w:r>
      </w:hyperlink>
      <w:r w:rsidRPr="005D5B0F">
        <w:rPr>
          <w:rFonts w:ascii="Barlow" w:hAnsi="Barlow"/>
          <w:color w:val="000000"/>
          <w:sz w:val="18"/>
          <w:szCs w:val="22"/>
          <w:lang w:val="fr-FR"/>
        </w:rPr>
        <w:t xml:space="preserve"> ;</w:t>
      </w:r>
    </w:p>
    <w:p w14:paraId="748F894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4192D5F2" w14:textId="77777777" w:rsidR="00D03000" w:rsidRPr="005D5B0F" w:rsidRDefault="00D03000">
      <w:pPr>
        <w:pStyle w:val="ParagrapheIndent1"/>
        <w:spacing w:line="232" w:lineRule="exact"/>
        <w:rPr>
          <w:rFonts w:ascii="Barlow" w:hAnsi="Barlow"/>
          <w:color w:val="000000"/>
          <w:sz w:val="18"/>
          <w:szCs w:val="22"/>
          <w:lang w:val="fr-FR"/>
        </w:rPr>
      </w:pPr>
    </w:p>
    <w:p w14:paraId="39266B4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Les procès-verbaux (PV) des divers certificats de garantie des appareils et matériels ;</w:t>
      </w:r>
    </w:p>
    <w:p w14:paraId="11EE256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Les PV de mise en service et des essais in situ des installations techniques ;</w:t>
      </w:r>
    </w:p>
    <w:p w14:paraId="781E03D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Les observations ou réserves relevées par le constructeur à la mise en route avec les levées de réserves ;</w:t>
      </w:r>
    </w:p>
    <w:p w14:paraId="328608A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Les garanties des constructeurs et fournisseurs affichant clairement les durées et les conditions ;</w:t>
      </w:r>
    </w:p>
    <w:p w14:paraId="5B06B55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Les divers certificats d'essais des appareils et matériels ;</w:t>
      </w:r>
    </w:p>
    <w:p w14:paraId="2B67160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Les PV de classement ou label des différents matériaux ;</w:t>
      </w:r>
    </w:p>
    <w:p w14:paraId="2CC410F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L’inventaire exhaustif des matériels installés, indiquant clairement le nombre, la localisation, la date de mise en service, la puissance, sa durée de vie prévisible, sa dénomination (voir chapitre 6 du présent) ;</w:t>
      </w:r>
    </w:p>
    <w:p w14:paraId="78CA823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DPGF coût de toutes les pièces ou matériels installées ;</w:t>
      </w:r>
    </w:p>
    <w:p w14:paraId="0BF2F05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La liste des pièces de rechange (de première urgence) avec leurs références (pour approvisionnement) ;</w:t>
      </w:r>
    </w:p>
    <w:p w14:paraId="01FC256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Une note synthétique donnant les puissances électriques ;</w:t>
      </w:r>
    </w:p>
    <w:p w14:paraId="4132F54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Les codes sources informatiques des différents programmes de gestions (régulation, GTB, GTC…) ;</w:t>
      </w:r>
    </w:p>
    <w:p w14:paraId="5AF83BA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Les codes et mots de passes de chaque étape de fonctionnement des matériels (utilisateur, installateur, programmeur, constructeur…)</w:t>
      </w:r>
    </w:p>
    <w:p w14:paraId="0015292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Plans ou schémas au format informatique DWG (modifiable ultérieurement) et PDF (figé pour une date donnée) :</w:t>
      </w:r>
    </w:p>
    <w:p w14:paraId="46D8421D" w14:textId="77777777" w:rsidR="00D03000" w:rsidRPr="005D5B0F" w:rsidRDefault="00D03000">
      <w:pPr>
        <w:pStyle w:val="ParagrapheIndent1"/>
        <w:spacing w:after="80" w:line="232" w:lineRule="exact"/>
        <w:rPr>
          <w:rFonts w:ascii="Barlow" w:hAnsi="Barlow"/>
          <w:color w:val="000000"/>
          <w:sz w:val="18"/>
          <w:szCs w:val="22"/>
          <w:lang w:val="fr-FR"/>
        </w:rPr>
        <w:sectPr w:rsidR="00D03000" w:rsidRPr="005D5B0F">
          <w:footerReference w:type="default" r:id="rId68"/>
          <w:pgSz w:w="11900" w:h="16840"/>
          <w:pgMar w:top="1140" w:right="1140" w:bottom="1140" w:left="1140" w:header="1140" w:footer="1140" w:gutter="0"/>
          <w:cols w:space="708"/>
        </w:sectPr>
      </w:pPr>
    </w:p>
    <w:p w14:paraId="716D2BE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lastRenderedPageBreak/>
        <w:t>    •  Plan de masse (échelle 1/100ème 1/200ème)</w:t>
      </w:r>
    </w:p>
    <w:p w14:paraId="043AFEF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Plans topographiques et de récolements VRD (échelle 1/100ème 1/200ème) avec un géoréférencement des réseaux enterrés ;</w:t>
      </w:r>
    </w:p>
    <w:p w14:paraId="6653F15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Plans architecte mis à jour (échelle 1/50ème) conforme à l'exécution et complété de données permettant la gestion patrimoniale du bien (surfaces, utilisation des locaux, numérotation) ;</w:t>
      </w:r>
    </w:p>
    <w:p w14:paraId="3D5F805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Plans comme construits de tous les niveaux, y compris plan de masse, extérieurs, toiture, terrasses,</w:t>
      </w:r>
    </w:p>
    <w:p w14:paraId="13CC21C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Plans de repérage et de calepinage des ouvrages de second œuvre,</w:t>
      </w:r>
    </w:p>
    <w:p w14:paraId="1938159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Coupes et détails de second-œuvre à grande échelle avec définition des interfaces entre composants et corps d'état,</w:t>
      </w:r>
    </w:p>
    <w:p w14:paraId="17A16DA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Coupes et détails d'interfaces architecture et technique à grande échelle avec définition des limites de prestations,</w:t>
      </w:r>
    </w:p>
    <w:p w14:paraId="26F8FFD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Coupes et détails architecturaux (structure/étanchéité ; structure/façade; structure/extérieurs; structure/second-œuvre).</w:t>
      </w:r>
    </w:p>
    <w:p w14:paraId="397C3A0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Elévations de toutes les façades et pignons</w:t>
      </w:r>
    </w:p>
    <w:p w14:paraId="6DCA93E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Fondations</w:t>
      </w:r>
    </w:p>
    <w:p w14:paraId="0F98E6B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Structure (coffrage et ferraillage)</w:t>
      </w:r>
    </w:p>
    <w:p w14:paraId="77D73C8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Charpente</w:t>
      </w:r>
    </w:p>
    <w:p w14:paraId="1739657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Plan de chaque niveau précisant la nature des planchers et les charges admissibles</w:t>
      </w:r>
    </w:p>
    <w:p w14:paraId="0FF6C4C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Vues en plans de chaque niveau y compris les sous-sols et les vides sanitaires,</w:t>
      </w:r>
    </w:p>
    <w:p w14:paraId="08E7B66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Coupes du bâtiment (au moins une coupe transversale et une coupe longitudinale), etc.</w:t>
      </w:r>
    </w:p>
    <w:p w14:paraId="3C4D320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Toiture y compris accès, façades, les toitures terrasses.</w:t>
      </w:r>
    </w:p>
    <w:p w14:paraId="78863C7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Le cheminement des réseaux</w:t>
      </w:r>
    </w:p>
    <w:p w14:paraId="50CAAB5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La nature et caractéristiques dimensionnelles des réseaux (dimensions, matériaux, calorifuges…)</w:t>
      </w:r>
    </w:p>
    <w:p w14:paraId="0A1B600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L’implantation des équipements et ouvrages de production, raccordements sur réseaux extérieurs, organes d’isolement…</w:t>
      </w:r>
    </w:p>
    <w:p w14:paraId="573EB97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Pour les bâtiments :</w:t>
      </w:r>
    </w:p>
    <w:p w14:paraId="1C5DDF6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Concernant la totalité des réseaux, et présentés sur fond de plan d'architecte, ils préciseront :</w:t>
      </w:r>
    </w:p>
    <w:p w14:paraId="5851203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Plans de détail et coupes au 1/50ème ;</w:t>
      </w:r>
    </w:p>
    <w:p w14:paraId="3B4E43C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Vues "en éclaté" si nécessaire pour les assemblages complexes ;</w:t>
      </w:r>
    </w:p>
    <w:p w14:paraId="448B536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Localisation des trappes d'accès aux toitures, combles, vide sanitaire, faux plafonds, etc. ;</w:t>
      </w:r>
    </w:p>
    <w:p w14:paraId="300A968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Schémas de principe des installations, schéma électrique et plans des installations techniques (mise à jour si modification de l'installation) avec une nomenclature exhaustive des équipements installés ou conservés faisant partie de l'installation ;</w:t>
      </w:r>
    </w:p>
    <w:p w14:paraId="213D1D7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  Plans du </w:t>
      </w:r>
      <w:hyperlink r:id="rId69" w:anchor="_blank" w:history="1">
        <w:r w:rsidRPr="005D5B0F">
          <w:rPr>
            <w:rFonts w:ascii="Barlow" w:hAnsi="Barlow"/>
            <w:color w:val="000000"/>
            <w:sz w:val="18"/>
            <w:szCs w:val="22"/>
            <w:lang w:val="fr-FR"/>
          </w:rPr>
          <w:t>gros œuvre</w:t>
        </w:r>
      </w:hyperlink>
      <w:r w:rsidRPr="005D5B0F">
        <w:rPr>
          <w:rFonts w:ascii="Barlow" w:hAnsi="Barlow"/>
          <w:color w:val="000000"/>
          <w:sz w:val="18"/>
          <w:szCs w:val="22"/>
          <w:lang w:val="fr-FR"/>
        </w:rPr>
        <w:t xml:space="preserve"> et du </w:t>
      </w:r>
      <w:hyperlink r:id="rId70" w:anchor="_blank" w:history="1">
        <w:r w:rsidRPr="005D5B0F">
          <w:rPr>
            <w:rFonts w:ascii="Barlow" w:hAnsi="Barlow"/>
            <w:color w:val="000000"/>
            <w:sz w:val="18"/>
            <w:szCs w:val="22"/>
            <w:lang w:val="fr-FR"/>
          </w:rPr>
          <w:t>génie civil</w:t>
        </w:r>
      </w:hyperlink>
    </w:p>
    <w:p w14:paraId="40A0646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Plans des réseaux intérieurs</w:t>
      </w:r>
    </w:p>
    <w:p w14:paraId="64398FA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Nomenclature exhaustive des équipements ;</w:t>
      </w:r>
    </w:p>
    <w:p w14:paraId="0F48BC4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46BDBF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Le tableau de nomenclature doit permettre d'inventorier tous les équipements importants de l'ouvrage afin de disposer d'informations probantes pour toutes les opérations de maintenance et de contrôles. Cette nomenclature doit notamment comporter les éléments suivants :</w:t>
      </w:r>
    </w:p>
    <w:p w14:paraId="68E35DD6" w14:textId="77777777" w:rsidR="00D03000" w:rsidRPr="005D5B0F" w:rsidRDefault="00D03000">
      <w:pPr>
        <w:pStyle w:val="ParagrapheIndent1"/>
        <w:spacing w:line="232" w:lineRule="exact"/>
        <w:rPr>
          <w:rFonts w:ascii="Barlow" w:hAnsi="Barlow"/>
          <w:color w:val="000000"/>
          <w:sz w:val="18"/>
          <w:szCs w:val="22"/>
          <w:lang w:val="fr-FR"/>
        </w:rPr>
      </w:pPr>
    </w:p>
    <w:p w14:paraId="7593CE5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Désignation de l'équipement</w:t>
      </w:r>
    </w:p>
    <w:p w14:paraId="42605D5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5E8A141" w14:textId="77777777" w:rsidR="00D03000" w:rsidRPr="005D5B0F" w:rsidRDefault="00D03000">
      <w:pPr>
        <w:pStyle w:val="ParagrapheIndent1"/>
        <w:spacing w:line="232" w:lineRule="exact"/>
        <w:rPr>
          <w:rFonts w:ascii="Barlow" w:hAnsi="Barlow"/>
          <w:color w:val="000000"/>
          <w:sz w:val="18"/>
          <w:szCs w:val="22"/>
          <w:lang w:val="fr-FR"/>
        </w:rPr>
      </w:pPr>
    </w:p>
    <w:p w14:paraId="487EF04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Nombre d'équipements</w:t>
      </w:r>
    </w:p>
    <w:p w14:paraId="48D4164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Localisation</w:t>
      </w:r>
    </w:p>
    <w:p w14:paraId="0B6776C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Constructeur, Marque</w:t>
      </w:r>
    </w:p>
    <w:p w14:paraId="1B43EFE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Référence</w:t>
      </w:r>
    </w:p>
    <w:p w14:paraId="1858562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Caractéristiques principales (puissance, débit...)</w:t>
      </w:r>
    </w:p>
    <w:p w14:paraId="0FEED89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8F7BCF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319651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1.4D – Sous-dossier "SECURITE"</w:t>
      </w:r>
    </w:p>
    <w:p w14:paraId="7046F106" w14:textId="77777777" w:rsidR="00D03000" w:rsidRPr="005D5B0F" w:rsidRDefault="00D03000">
      <w:pPr>
        <w:pStyle w:val="ParagrapheIndent1"/>
        <w:spacing w:line="232" w:lineRule="exact"/>
        <w:rPr>
          <w:rFonts w:ascii="Barlow" w:hAnsi="Barlow"/>
          <w:color w:val="000000"/>
          <w:sz w:val="18"/>
          <w:szCs w:val="22"/>
          <w:lang w:val="fr-FR"/>
        </w:rPr>
      </w:pPr>
    </w:p>
    <w:p w14:paraId="6C9967B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Sécurité contre les risques d'incendie et de panique :</w:t>
      </w:r>
    </w:p>
    <w:p w14:paraId="542BDC8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Plan d'évacuation des locaux ;</w:t>
      </w:r>
    </w:p>
    <w:p w14:paraId="31B7D7D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Positionnement des places et cheminement des personnes à mobilité réduite ;</w:t>
      </w:r>
    </w:p>
    <w:p w14:paraId="74DF76A4" w14:textId="77777777" w:rsidR="00D03000" w:rsidRPr="005D5B0F" w:rsidRDefault="00000000">
      <w:pPr>
        <w:pStyle w:val="ParagrapheIndent1"/>
        <w:spacing w:after="80" w:line="232" w:lineRule="exact"/>
        <w:rPr>
          <w:rFonts w:ascii="Barlow" w:hAnsi="Barlow"/>
          <w:color w:val="000000"/>
          <w:sz w:val="18"/>
          <w:szCs w:val="22"/>
          <w:lang w:val="fr-FR"/>
        </w:rPr>
        <w:sectPr w:rsidR="00D03000" w:rsidRPr="005D5B0F">
          <w:footerReference w:type="default" r:id="rId71"/>
          <w:pgSz w:w="11900" w:h="16840"/>
          <w:pgMar w:top="1140" w:right="1140" w:bottom="1140" w:left="1140" w:header="1140" w:footer="1140" w:gutter="0"/>
          <w:cols w:space="708"/>
        </w:sectPr>
      </w:pPr>
      <w:r w:rsidRPr="005D5B0F">
        <w:rPr>
          <w:rFonts w:ascii="Barlow" w:hAnsi="Barlow"/>
          <w:color w:val="000000"/>
          <w:sz w:val="18"/>
          <w:szCs w:val="22"/>
          <w:lang w:val="fr-FR"/>
        </w:rPr>
        <w:t xml:space="preserve">            •  Localisation des cloisons et portes coupe-feu (CF) et pare-flammes (PF) avec leur position </w:t>
      </w:r>
    </w:p>
    <w:p w14:paraId="3BD76C3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lastRenderedPageBreak/>
        <w:t>normale ouverte ou fermée ;</w:t>
      </w:r>
    </w:p>
    <w:p w14:paraId="526020F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Plans des dispositifs d'évacuation des fumées ;</w:t>
      </w:r>
    </w:p>
    <w:p w14:paraId="4CDDCED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Plans des dispositifs de lutte contre l'incendie (extincteurs, poteaux incendie, RIA, colonnes sèches…)</w:t>
      </w:r>
    </w:p>
    <w:p w14:paraId="7455EF6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Plans du réseau desservant les robinets d'incendie armés (RIA), bouches d'incendie, colonnes sèches ;</w:t>
      </w:r>
    </w:p>
    <w:p w14:paraId="1FCDB9E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Localisation des dispositifs de coupure instantanée de l'alimentation électrique et de gaz des appareils utilisant une source d'énergie (ventilation, ascenseurs, etc.) ;</w:t>
      </w:r>
    </w:p>
    <w:p w14:paraId="3260AB7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Alarmes, blocs lumineux de sécurité, etc. avec plan de localisation, consignes d'entretien et d'utilisation ;</w:t>
      </w:r>
    </w:p>
    <w:p w14:paraId="419E5C4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Plans des peintures intumescentes à renouveler périodiquement, avec les caractéristiques des peintures intumescentes avec :</w:t>
      </w:r>
    </w:p>
    <w:p w14:paraId="7345FEA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La température critique forfaitaire ou calculée des éléments à traiter, selon norme NF P 92-702 (Eurocode 3),</w:t>
      </w:r>
    </w:p>
    <w:p w14:paraId="5F47531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Leur temps de stabilité au feu (degré R30 à R120),</w:t>
      </w:r>
    </w:p>
    <w:p w14:paraId="4E4B6DF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La préparation de surface effectuée en fonction du support,</w:t>
      </w:r>
    </w:p>
    <w:p w14:paraId="3EC5DFE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La nature et l'épaisseur du primaire,</w:t>
      </w:r>
    </w:p>
    <w:p w14:paraId="482AF4C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L’épaisseur de peinture intumescente appliquée en fonction de la nature des différents profils de fer constituant la structure (leur section en particulier),</w:t>
      </w:r>
    </w:p>
    <w:p w14:paraId="32FD9D6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Une garantie anticorrosion du système (OHGPI)</w:t>
      </w:r>
    </w:p>
    <w:p w14:paraId="468B94B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Le PV fabricant sur l'efficacité du produit.</w:t>
      </w:r>
    </w:p>
    <w:p w14:paraId="73D406D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Les procès-verbaux de caractérisation où figurent les abaques définissant les épaisseurs de produit nécessaires en fonction des durées de stabilité au feu conforme à la Qualification 6133 « Peinture industrielle »</w:t>
      </w:r>
    </w:p>
    <w:p w14:paraId="28175D5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Donnant les degrés CF et PF des portes, cloisons, vitrages, etc. (pour tous les matériaux mis en œuvre) ;</w:t>
      </w:r>
    </w:p>
    <w:p w14:paraId="2363C5F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Schéma de fixation des éléments de faux plafonds ;</w:t>
      </w:r>
    </w:p>
    <w:p w14:paraId="45AE70E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Positionnement des clapets CF des installations de ventilation ;</w:t>
      </w:r>
    </w:p>
    <w:p w14:paraId="502DC4B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Prescriptions concernant la remise en gaz après coupure ;</w:t>
      </w:r>
    </w:p>
    <w:p w14:paraId="06DFFA1F" w14:textId="77777777" w:rsidR="00D03000" w:rsidRPr="005D5B0F" w:rsidRDefault="00D03000">
      <w:pPr>
        <w:pStyle w:val="ParagrapheIndent1"/>
        <w:spacing w:line="232" w:lineRule="exact"/>
        <w:rPr>
          <w:rFonts w:ascii="Barlow" w:hAnsi="Barlow"/>
          <w:color w:val="000000"/>
          <w:sz w:val="18"/>
          <w:szCs w:val="22"/>
          <w:lang w:val="fr-FR"/>
        </w:rPr>
      </w:pPr>
    </w:p>
    <w:p w14:paraId="598B2AB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Sécurité et protection des de la santé de travailleurs intervenant ultérieurement sur l’ouvrage :</w:t>
      </w:r>
    </w:p>
    <w:p w14:paraId="4AF3665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Constats d'évacuation et de traitement des déchets,</w:t>
      </w:r>
    </w:p>
    <w:p w14:paraId="76A9A44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Rapport final du contrôleur technique</w:t>
      </w:r>
    </w:p>
    <w:p w14:paraId="650FB94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VIEL</w:t>
      </w:r>
    </w:p>
    <w:p w14:paraId="27443E0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00B51F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Cette partie est constituée des éléments complémentaires nécessaires au coordonnateur SPS pour constituer le Dossier obligatoire d’Intervention Ultérieure sur l’Ouvrage (DIUO). Elle est établie selon ses instructions.</w:t>
      </w:r>
    </w:p>
    <w:p w14:paraId="4D54C4B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480B01E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9552AE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1.5E - Dossier d'Utilisation, d'Exploitation et de Maintenance (DUEM)</w:t>
      </w:r>
    </w:p>
    <w:p w14:paraId="035C936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Ce dossier est destiné aux utilisateurs et au gestionnaire de l’ouvrage, pour leur transmettre la connaissance, tant du fonctionnement des bâtiments, que celle déjà accumulée sur la conduite de leur exploitation-maintenance pour satisfaire et conserver la qualité d’usage précisée dans le programme. Il sera constitué comme un outil pratique, indépendant et à usage quotidien.</w:t>
      </w:r>
    </w:p>
    <w:p w14:paraId="1190817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Il sera principalement établi à partir des documents du DOE.</w:t>
      </w:r>
    </w:p>
    <w:p w14:paraId="6FC33C9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La présentation proposée devra faciliter son appropriation et sa mise à jour permanente par le gestionnaire. Elle pourra s’inspirer du cadre suivant :</w:t>
      </w:r>
    </w:p>
    <w:p w14:paraId="2FF7896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465FF317" w14:textId="77777777" w:rsidR="00D03000" w:rsidRPr="005D5B0F" w:rsidRDefault="00D03000">
      <w:pPr>
        <w:pStyle w:val="ParagrapheIndent1"/>
        <w:spacing w:line="232" w:lineRule="exact"/>
        <w:rPr>
          <w:rFonts w:ascii="Barlow" w:hAnsi="Barlow"/>
          <w:color w:val="000000"/>
          <w:sz w:val="18"/>
          <w:szCs w:val="22"/>
          <w:lang w:val="fr-FR"/>
        </w:rPr>
      </w:pPr>
    </w:p>
    <w:p w14:paraId="69FD80AF" w14:textId="77777777" w:rsidR="00D03000" w:rsidRPr="005D5B0F" w:rsidRDefault="00D03000">
      <w:pPr>
        <w:pStyle w:val="ParagrapheIndent1"/>
        <w:spacing w:line="232" w:lineRule="exact"/>
        <w:rPr>
          <w:rFonts w:ascii="Barlow" w:hAnsi="Barlow"/>
          <w:color w:val="000000"/>
          <w:sz w:val="18"/>
          <w:szCs w:val="22"/>
          <w:lang w:val="fr-FR"/>
        </w:rPr>
      </w:pPr>
    </w:p>
    <w:p w14:paraId="3D3EB6C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1. RENSEIGNEMENTS GENERAUX ET COORDONNEES</w:t>
      </w:r>
    </w:p>
    <w:p w14:paraId="29F6DE2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1.1. L’établissement</w:t>
      </w:r>
    </w:p>
    <w:p w14:paraId="7EB4C97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1.2. Les acteurs de la construction</w:t>
      </w:r>
    </w:p>
    <w:p w14:paraId="78A2CC6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1.3. Les mainteneurs, exploitants et fournisseurs</w:t>
      </w:r>
    </w:p>
    <w:p w14:paraId="1887646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2. OUVRAGES ET EQUIPEMENTS</w:t>
      </w:r>
    </w:p>
    <w:p w14:paraId="1D23A20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2.1. Documents disponibles dans le DOE</w:t>
      </w:r>
    </w:p>
    <w:p w14:paraId="7B0CB65E" w14:textId="77777777" w:rsidR="00D03000" w:rsidRPr="005D5B0F" w:rsidRDefault="00D03000">
      <w:pPr>
        <w:pStyle w:val="ParagrapheIndent1"/>
        <w:spacing w:after="80" w:line="232" w:lineRule="exact"/>
        <w:rPr>
          <w:rFonts w:ascii="Barlow" w:hAnsi="Barlow"/>
          <w:color w:val="000000"/>
          <w:sz w:val="18"/>
          <w:szCs w:val="22"/>
          <w:lang w:val="fr-FR"/>
        </w:rPr>
        <w:sectPr w:rsidR="00D03000" w:rsidRPr="005D5B0F">
          <w:footerReference w:type="default" r:id="rId72"/>
          <w:pgSz w:w="11900" w:h="16840"/>
          <w:pgMar w:top="1140" w:right="1140" w:bottom="1140" w:left="1140" w:header="1140" w:footer="1140" w:gutter="0"/>
          <w:cols w:space="708"/>
        </w:sectPr>
      </w:pPr>
    </w:p>
    <w:p w14:paraId="31BD38B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lastRenderedPageBreak/>
        <w:t>    •  2.2. Nomenclature des équipements</w:t>
      </w:r>
    </w:p>
    <w:p w14:paraId="4334EAF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2.3. Plans de repérage</w:t>
      </w:r>
    </w:p>
    <w:p w14:paraId="6025F71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2.4. Notices et schémas de fonctionnement des installations</w:t>
      </w:r>
    </w:p>
    <w:p w14:paraId="2B84270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3.1. Conditions d’utilisation</w:t>
      </w:r>
    </w:p>
    <w:p w14:paraId="07D95DC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3.2. Organisation de l’exploitation - maintenance</w:t>
      </w:r>
    </w:p>
    <w:p w14:paraId="38EF844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3.3. Contrats (proposition ?) d’exploitation et de maintenance (gamme de maintenance)</w:t>
      </w:r>
    </w:p>
    <w:p w14:paraId="57B210E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3.4. Entretien des autres constituants principaux</w:t>
      </w:r>
    </w:p>
    <w:p w14:paraId="653F2C7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4.1. Sécurité et protection de la santé des utilisateurs</w:t>
      </w:r>
    </w:p>
    <w:p w14:paraId="439A5E3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4.2. Sécurité contre les risques d’incendie et de panique</w:t>
      </w:r>
    </w:p>
    <w:p w14:paraId="141D8DF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4.3. Sécurité et protection de la santé des travailleurs intervenant sur l’ouvrage (cf. DIUO)</w:t>
      </w:r>
    </w:p>
    <w:p w14:paraId="4CDD289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3. UTILISATION, EXPLOITATION ET MAINTENANCE</w:t>
      </w:r>
    </w:p>
    <w:p w14:paraId="5B6AB7C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4. SECURITE - SANTE</w:t>
      </w:r>
    </w:p>
    <w:p w14:paraId="2818B9A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5. SUIVI DES OPERATIONS ET DES COUTS</w:t>
      </w:r>
    </w:p>
    <w:p w14:paraId="579771F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7FC0E4F" w14:textId="77777777" w:rsidR="00D03000" w:rsidRPr="005D5B0F" w:rsidRDefault="00D03000">
      <w:pPr>
        <w:pStyle w:val="ParagrapheIndent1"/>
        <w:spacing w:line="232" w:lineRule="exact"/>
        <w:rPr>
          <w:rFonts w:ascii="Barlow" w:hAnsi="Barlow"/>
          <w:color w:val="000000"/>
          <w:sz w:val="18"/>
          <w:szCs w:val="22"/>
          <w:lang w:val="fr-FR"/>
        </w:rPr>
      </w:pPr>
    </w:p>
    <w:p w14:paraId="4BBDD70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Notices et gammes de maintenance</w:t>
      </w:r>
    </w:p>
    <w:p w14:paraId="4CEED15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Ces notices ont pour but de donner tous les renseignements techniques nécessaires pour assurer les maintenances préventive et corrective.</w:t>
      </w:r>
    </w:p>
    <w:p w14:paraId="00E2512D" w14:textId="77777777" w:rsidR="00D03000" w:rsidRPr="005D5B0F" w:rsidRDefault="00D03000">
      <w:pPr>
        <w:pStyle w:val="ParagrapheIndent1"/>
        <w:spacing w:line="232" w:lineRule="exact"/>
        <w:rPr>
          <w:rFonts w:ascii="Barlow" w:hAnsi="Barlow"/>
          <w:color w:val="000000"/>
          <w:sz w:val="18"/>
          <w:szCs w:val="22"/>
          <w:lang w:val="fr-FR"/>
        </w:rPr>
      </w:pPr>
    </w:p>
    <w:p w14:paraId="0550D8E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Dispositions standards</w:t>
      </w:r>
    </w:p>
    <w:p w14:paraId="099E008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Le prestataire fournira la notice de maintenance « constructeur » conforme à la référence de l’équipement installé. En l’absence de notice « constructeur » adéquate, il veillera à rédiger le document attendu.</w:t>
      </w:r>
    </w:p>
    <w:p w14:paraId="0D87A5AF" w14:textId="77777777" w:rsidR="00D03000" w:rsidRPr="005D5B0F" w:rsidRDefault="00D03000">
      <w:pPr>
        <w:pStyle w:val="ParagrapheIndent1"/>
        <w:spacing w:line="232" w:lineRule="exact"/>
        <w:rPr>
          <w:rFonts w:ascii="Barlow" w:hAnsi="Barlow"/>
          <w:color w:val="000000"/>
          <w:sz w:val="18"/>
          <w:szCs w:val="22"/>
          <w:lang w:val="fr-FR"/>
        </w:rPr>
      </w:pPr>
    </w:p>
    <w:p w14:paraId="27EBE9D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Contenu attendu des notices de maintenance</w:t>
      </w:r>
    </w:p>
    <w:p w14:paraId="2077260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Généralités</w:t>
      </w:r>
    </w:p>
    <w:p w14:paraId="15FAA3D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Il sera établi une notice par équipement. Les différentes notices seront clairement séparées afin d'être rapidement identifiables. Chaque notice comportera tout ou partie des éléments suivants :</w:t>
      </w:r>
    </w:p>
    <w:p w14:paraId="4B6D11CA" w14:textId="77777777" w:rsidR="00D03000" w:rsidRPr="005D5B0F" w:rsidRDefault="00D03000">
      <w:pPr>
        <w:pStyle w:val="ParagrapheIndent1"/>
        <w:spacing w:line="232" w:lineRule="exact"/>
        <w:rPr>
          <w:rFonts w:ascii="Barlow" w:hAnsi="Barlow"/>
          <w:color w:val="000000"/>
          <w:sz w:val="18"/>
          <w:szCs w:val="22"/>
          <w:lang w:val="fr-FR"/>
        </w:rPr>
      </w:pPr>
    </w:p>
    <w:p w14:paraId="325052E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Une page de garde où figurera en particulier le nom de l'équipement concerné et la référence constructeur</w:t>
      </w:r>
    </w:p>
    <w:p w14:paraId="4E8A3CD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Les conditions de garantie du matériel par le fabricant et/ou l'installateur</w:t>
      </w:r>
    </w:p>
    <w:p w14:paraId="284CEFC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La gamme de maintenance présentée sous forme de tableau où figureront les éléments suivants :</w:t>
      </w:r>
    </w:p>
    <w:p w14:paraId="2A977FC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Nature de l'opération de maintenance (Graissage, Réglage, Remplacement de pièces...)</w:t>
      </w:r>
    </w:p>
    <w:p w14:paraId="110EEBD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Périodicité de l'intervention :</w:t>
      </w:r>
    </w:p>
    <w:p w14:paraId="047B319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H : Hebdomadaire</w:t>
      </w:r>
    </w:p>
    <w:p w14:paraId="052A191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M : mensuelle</w:t>
      </w:r>
    </w:p>
    <w:p w14:paraId="3B1159C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T : trimestrielle</w:t>
      </w:r>
    </w:p>
    <w:p w14:paraId="23ADF9A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S : semestrielle</w:t>
      </w:r>
    </w:p>
    <w:p w14:paraId="644ED3F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A : annuelle</w:t>
      </w:r>
    </w:p>
    <w:p w14:paraId="3F262D8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X : à déterminer par une annotation dans la colonne "Observations".</w:t>
      </w:r>
    </w:p>
    <w:p w14:paraId="36AC7CF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Niveau de référence par rapport à la norme NF FDX 60 000 (1 à 4)</w:t>
      </w:r>
    </w:p>
    <w:p w14:paraId="1243C88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Observations et référence éventuelle à une procédure explicitée</w:t>
      </w:r>
    </w:p>
    <w:p w14:paraId="4D71D6D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Procédures particulières</w:t>
      </w:r>
    </w:p>
    <w:p w14:paraId="234BB51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En cas de mode opératoire particulier, on établira une fiche procédure où figureront les renseignements suivants :</w:t>
      </w:r>
    </w:p>
    <w:p w14:paraId="2A7036E3" w14:textId="77777777" w:rsidR="00D03000" w:rsidRPr="005D5B0F" w:rsidRDefault="00D03000">
      <w:pPr>
        <w:pStyle w:val="ParagrapheIndent1"/>
        <w:spacing w:line="232" w:lineRule="exact"/>
        <w:rPr>
          <w:rFonts w:ascii="Barlow" w:hAnsi="Barlow"/>
          <w:color w:val="000000"/>
          <w:sz w:val="18"/>
          <w:szCs w:val="22"/>
          <w:lang w:val="fr-FR"/>
        </w:rPr>
      </w:pPr>
    </w:p>
    <w:p w14:paraId="2DF6670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Titre et numéro d'identification de la procédure</w:t>
      </w:r>
    </w:p>
    <w:p w14:paraId="60DB32B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Description détaillée de la procédure avec schémas (insister sur les précautions à prendre afin d'effectuer en toute sécurité l'intervention)</w:t>
      </w:r>
    </w:p>
    <w:p w14:paraId="5436432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Fiche de démontage-remontage avec schémas</w:t>
      </w:r>
    </w:p>
    <w:p w14:paraId="40BB9F8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Données numériques éventuellement nécessaires à l'exécution de réglages mécaniques ou électriques : tolérances, jeux, couples de serrage, cotes à respecter...</w:t>
      </w:r>
    </w:p>
    <w:p w14:paraId="78E43F9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  Liste des contrôles et essais à effectuer : succession des opérations, dispositions à prendre si les </w:t>
      </w:r>
    </w:p>
    <w:p w14:paraId="676817C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F656000" w14:textId="77777777" w:rsidR="00D03000" w:rsidRPr="005D5B0F" w:rsidRDefault="00D03000">
      <w:pPr>
        <w:pStyle w:val="ParagrapheIndent1"/>
        <w:spacing w:line="232" w:lineRule="exact"/>
        <w:rPr>
          <w:rFonts w:ascii="Barlow" w:hAnsi="Barlow"/>
          <w:color w:val="000000"/>
          <w:sz w:val="18"/>
          <w:szCs w:val="22"/>
          <w:lang w:val="fr-FR"/>
        </w:rPr>
      </w:pPr>
    </w:p>
    <w:p w14:paraId="0F209BA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performances exigées ne sont pas atteintes.</w:t>
      </w:r>
    </w:p>
    <w:p w14:paraId="70FFD2E5" w14:textId="77777777" w:rsidR="00D03000" w:rsidRPr="005D5B0F" w:rsidRDefault="00D03000">
      <w:pPr>
        <w:pStyle w:val="ParagrapheIndent1"/>
        <w:spacing w:after="80" w:line="232" w:lineRule="exact"/>
        <w:rPr>
          <w:rFonts w:ascii="Barlow" w:hAnsi="Barlow"/>
          <w:color w:val="000000"/>
          <w:sz w:val="18"/>
          <w:szCs w:val="22"/>
          <w:lang w:val="fr-FR"/>
        </w:rPr>
        <w:sectPr w:rsidR="00D03000" w:rsidRPr="005D5B0F">
          <w:footerReference w:type="default" r:id="rId73"/>
          <w:pgSz w:w="11900" w:h="16840"/>
          <w:pgMar w:top="1140" w:right="1140" w:bottom="1140" w:left="1140" w:header="1140" w:footer="1140" w:gutter="0"/>
          <w:cols w:space="708"/>
        </w:sectPr>
      </w:pPr>
    </w:p>
    <w:p w14:paraId="214A7FBF" w14:textId="77777777" w:rsidR="00D03000" w:rsidRPr="005D5B0F" w:rsidRDefault="00D03000">
      <w:pPr>
        <w:pStyle w:val="ParagrapheIndent1"/>
        <w:spacing w:line="232" w:lineRule="exact"/>
        <w:rPr>
          <w:rFonts w:ascii="Barlow" w:hAnsi="Barlow"/>
          <w:color w:val="000000"/>
          <w:sz w:val="18"/>
          <w:szCs w:val="22"/>
          <w:lang w:val="fr-FR"/>
        </w:rPr>
      </w:pPr>
    </w:p>
    <w:p w14:paraId="4213931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Notice complémentaire de maintenance</w:t>
      </w:r>
    </w:p>
    <w:p w14:paraId="03FE7E8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Le coordinateur SPS (ou le maître d'œuvre par défaut) a obligation d'établir conformément à l'article R.4532-95 du Code du travail un dossier rassemblant toutes les données de nature à faciliter la prévention des risques lors d'interventions ultérieures sur l'ouvrage, le Dossier d'Intervention Ultérieure sur l'Ouvrage (D.I.U.O.)</w:t>
      </w:r>
    </w:p>
    <w:p w14:paraId="554891C0" w14:textId="77777777" w:rsidR="00D03000" w:rsidRPr="005D5B0F" w:rsidRDefault="00D03000">
      <w:pPr>
        <w:pStyle w:val="ParagrapheIndent1"/>
        <w:spacing w:line="232" w:lineRule="exact"/>
        <w:rPr>
          <w:rFonts w:ascii="Barlow" w:hAnsi="Barlow"/>
          <w:color w:val="000000"/>
          <w:sz w:val="18"/>
          <w:szCs w:val="22"/>
          <w:lang w:val="fr-FR"/>
        </w:rPr>
      </w:pPr>
    </w:p>
    <w:p w14:paraId="5C0C5FF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Objet de la notice complémentaire</w:t>
      </w:r>
    </w:p>
    <w:p w14:paraId="61CB8D0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La notice complémentaire vise à fournir les éléments complémentaires qui avec les notices de fonctionnement et de maintenance, permettront de constituer le DIUO.</w:t>
      </w:r>
    </w:p>
    <w:p w14:paraId="58EE4C1D" w14:textId="77777777" w:rsidR="00D03000" w:rsidRPr="005D5B0F" w:rsidRDefault="00D03000">
      <w:pPr>
        <w:pStyle w:val="ParagrapheIndent1"/>
        <w:spacing w:line="232" w:lineRule="exact"/>
        <w:rPr>
          <w:rFonts w:ascii="Barlow" w:hAnsi="Barlow"/>
          <w:color w:val="000000"/>
          <w:sz w:val="18"/>
          <w:szCs w:val="22"/>
          <w:lang w:val="fr-FR"/>
        </w:rPr>
      </w:pPr>
    </w:p>
    <w:p w14:paraId="48EAD71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  Destination des exemplaires</w:t>
      </w:r>
    </w:p>
    <w:p w14:paraId="74497B8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En complément de la diffusion normale des éléments de Dossier des ouvrages exécutés, un exemplaire papier et informatique de cette notice est à fournir au coordonnateur SPS.</w:t>
      </w:r>
    </w:p>
    <w:p w14:paraId="4215719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4BB29B1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DF3E1C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0283EE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30291B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1.Annexe 2 – Forme du DME exigée par l’UEGP</w:t>
      </w:r>
    </w:p>
    <w:p w14:paraId="649DEDB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9B5F24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Outre les demandes listées à l’article 4 et précisées par les pièces particulières du marché, l’UEGP demande la transmission sous la forme suivante du DME.</w:t>
      </w:r>
    </w:p>
    <w:p w14:paraId="741B80D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E2B11D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u w:val="single"/>
          <w:lang w:val="fr-FR"/>
        </w:rPr>
        <w:t>Le format Excel modifiable est exigé. Un modèle Excel est disponible, il devra comporter les éléments ci-dessous sou forme de tableau :</w:t>
      </w:r>
    </w:p>
    <w:p w14:paraId="355885D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012E13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Le Système</w:t>
      </w:r>
    </w:p>
    <w:p w14:paraId="0F57EF7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La Désignation du matériel </w:t>
      </w:r>
    </w:p>
    <w:p w14:paraId="3B89E62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La Marque</w:t>
      </w:r>
    </w:p>
    <w:p w14:paraId="344EEB5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Le Type</w:t>
      </w:r>
    </w:p>
    <w:p w14:paraId="52A7308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La Référence et, ou version</w:t>
      </w:r>
    </w:p>
    <w:p w14:paraId="72FDDFF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La Caractéristiques spécifiques minimales</w:t>
      </w:r>
    </w:p>
    <w:p w14:paraId="1087068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Le Prix marché</w:t>
      </w:r>
    </w:p>
    <w:p w14:paraId="2711B75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DB45A9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u w:val="single"/>
          <w:lang w:val="fr-FR"/>
        </w:rPr>
        <w:t>Puis:</w:t>
      </w:r>
    </w:p>
    <w:p w14:paraId="3B03B9E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8FFC08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Le Nombre</w:t>
      </w:r>
    </w:p>
    <w:p w14:paraId="268A3E0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La Localisation</w:t>
      </w:r>
    </w:p>
    <w:p w14:paraId="20799E5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La Puissance</w:t>
      </w:r>
    </w:p>
    <w:p w14:paraId="74BBE0E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La Date de réception</w:t>
      </w:r>
    </w:p>
    <w:p w14:paraId="66B0807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La Durée de vie prévisible</w:t>
      </w:r>
    </w:p>
    <w:p w14:paraId="1C3E5BF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La Fin de garantie légale ou constructeur</w:t>
      </w:r>
    </w:p>
    <w:p w14:paraId="1F5B8FD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L'Installateur</w:t>
      </w:r>
    </w:p>
    <w:p w14:paraId="16A9F4E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Les Observations</w:t>
      </w:r>
    </w:p>
    <w:p w14:paraId="1125654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2AA944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u w:val="single"/>
          <w:lang w:val="fr-FR"/>
        </w:rPr>
        <w:t>Ainsi que :</w:t>
      </w:r>
    </w:p>
    <w:p w14:paraId="450758E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45EBAD4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La Périodicité de maintenance:</w:t>
      </w:r>
    </w:p>
    <w:p w14:paraId="7D64531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Hebdomadaire </w:t>
      </w:r>
    </w:p>
    <w:p w14:paraId="0CD382D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Mensuelle</w:t>
      </w:r>
    </w:p>
    <w:p w14:paraId="294EB5C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Trimestrielle</w:t>
      </w:r>
    </w:p>
    <w:p w14:paraId="4BA0D7C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Semestrielle</w:t>
      </w:r>
    </w:p>
    <w:p w14:paraId="7481EAF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Annuelle </w:t>
      </w:r>
    </w:p>
    <w:p w14:paraId="3720F0F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Autre</w:t>
      </w:r>
    </w:p>
    <w:p w14:paraId="05C9BDC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Commentaires</w:t>
      </w:r>
    </w:p>
    <w:p w14:paraId="27833B8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08FDD5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w:t>
      </w:r>
    </w:p>
    <w:p w14:paraId="5A2B6C5B" w14:textId="77777777" w:rsidR="00D03000" w:rsidRPr="005D5B0F" w:rsidRDefault="00D03000">
      <w:pPr>
        <w:pStyle w:val="ParagrapheIndent1"/>
        <w:spacing w:after="80" w:line="232" w:lineRule="exact"/>
        <w:rPr>
          <w:rFonts w:ascii="Barlow" w:hAnsi="Barlow"/>
          <w:color w:val="000000"/>
          <w:sz w:val="18"/>
          <w:szCs w:val="22"/>
          <w:lang w:val="fr-FR"/>
        </w:rPr>
        <w:sectPr w:rsidR="00D03000" w:rsidRPr="005D5B0F">
          <w:footerReference w:type="default" r:id="rId74"/>
          <w:pgSz w:w="11900" w:h="16840"/>
          <w:pgMar w:top="1140" w:right="1140" w:bottom="1140" w:left="1140" w:header="1140" w:footer="1140" w:gutter="0"/>
          <w:cols w:space="708"/>
        </w:sectPr>
      </w:pPr>
    </w:p>
    <w:p w14:paraId="4EE8D4C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lastRenderedPageBreak/>
        <w:t> </w:t>
      </w:r>
    </w:p>
    <w:p w14:paraId="5537711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4AFB66C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7.Annexe 3 – Identité des intervenants</w:t>
      </w:r>
    </w:p>
    <w:p w14:paraId="29A3138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030C1BC" w14:textId="77777777" w:rsidR="00D03000" w:rsidRPr="005D5B0F" w:rsidRDefault="00D03000">
      <w:pPr>
        <w:pStyle w:val="ParagrapheIndent1"/>
        <w:spacing w:line="232" w:lineRule="exact"/>
        <w:rPr>
          <w:rFonts w:ascii="Barlow" w:hAnsi="Barlow"/>
          <w:color w:val="000000"/>
          <w:sz w:val="18"/>
          <w:szCs w:val="22"/>
          <w:lang w:val="fr-FR"/>
        </w:rPr>
      </w:pPr>
    </w:p>
    <w:p w14:paraId="1985432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86D302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FDD99A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u w:val="single"/>
          <w:lang w:val="fr-FR"/>
        </w:rPr>
        <w:t>Le format Excel modifiable est exigé, il devra comporter les éléments ci-dessous sou forme de tableau :</w:t>
      </w:r>
    </w:p>
    <w:p w14:paraId="735D09D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3504DE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                     Acteur 1 : Chargé d’opération   /   Acteur 2 : Coordonnateur chargé des </w:t>
      </w:r>
    </w:p>
    <w:p w14:paraId="4AC9A96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opérations de réception</w:t>
      </w:r>
    </w:p>
    <w:p w14:paraId="3574B26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Société     /                                                         /</w:t>
      </w:r>
    </w:p>
    <w:p w14:paraId="58EC048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Identité    /                                                         /</w:t>
      </w:r>
    </w:p>
    <w:p w14:paraId="7176D8A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Cachet     /                                                         /</w:t>
      </w:r>
    </w:p>
    <w:p w14:paraId="77636E0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Signature /                                                         /</w:t>
      </w:r>
    </w:p>
    <w:p w14:paraId="3C8165F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4B30FFE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31D63EF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339B7B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Fait à</w:t>
      </w:r>
    </w:p>
    <w:p w14:paraId="5848926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324A35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Le</w:t>
      </w:r>
    </w:p>
    <w:p w14:paraId="5F9AA34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4A77E6C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4DDAC1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7720175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252B6F5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8.Annexe 4 – Adaptation de la répartition des tâches</w:t>
      </w:r>
    </w:p>
    <w:p w14:paraId="0E5B529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607D547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 xml:space="preserve">Article </w:t>
      </w:r>
    </w:p>
    <w:p w14:paraId="431DFD4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Tâche concernée</w:t>
      </w:r>
    </w:p>
    <w:p w14:paraId="708A281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Référence</w:t>
      </w:r>
    </w:p>
    <w:p w14:paraId="7F2FF28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Chargé d’opération ou Coordonnateur ou Entreprise</w:t>
      </w:r>
    </w:p>
    <w:p w14:paraId="6D77597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16AF136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558817A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Fait à</w:t>
      </w:r>
    </w:p>
    <w:p w14:paraId="6101501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w:t>
      </w:r>
    </w:p>
    <w:p w14:paraId="0A697E8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Le</w:t>
      </w:r>
    </w:p>
    <w:p w14:paraId="0C28FA63" w14:textId="77777777" w:rsidR="00D03000" w:rsidRPr="005D5B0F" w:rsidRDefault="00000000">
      <w:pPr>
        <w:pStyle w:val="ParagrapheIndent1"/>
        <w:spacing w:after="240" w:line="232" w:lineRule="exact"/>
        <w:rPr>
          <w:rFonts w:ascii="Barlow" w:hAnsi="Barlow"/>
          <w:color w:val="000000"/>
          <w:sz w:val="18"/>
          <w:szCs w:val="22"/>
          <w:lang w:val="fr-FR"/>
        </w:rPr>
      </w:pPr>
      <w:r w:rsidRPr="005D5B0F">
        <w:rPr>
          <w:rFonts w:ascii="Barlow" w:hAnsi="Barlow"/>
          <w:color w:val="000000"/>
          <w:sz w:val="18"/>
          <w:szCs w:val="22"/>
          <w:lang w:val="fr-FR"/>
        </w:rPr>
        <w:t> </w:t>
      </w:r>
    </w:p>
    <w:p w14:paraId="1B1A518D"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124" w:name="ArtL1_NA41"/>
      <w:bookmarkStart w:id="125" w:name="_Toc256000062"/>
      <w:bookmarkEnd w:id="124"/>
      <w:r w:rsidRPr="005D5B0F">
        <w:rPr>
          <w:rFonts w:ascii="Barlow" w:eastAsia="Trebuchet MS" w:hAnsi="Barlow" w:cs="Trebuchet MS"/>
          <w:color w:val="FFFFFF"/>
          <w:sz w:val="24"/>
          <w:szCs w:val="28"/>
          <w:lang w:val="fr-FR"/>
        </w:rPr>
        <w:t>21 - ANNEXE B (Charte graphique DAO 2025)</w:t>
      </w:r>
      <w:bookmarkEnd w:id="125"/>
    </w:p>
    <w:p w14:paraId="5BB760CB"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25092C0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ANNEXE (B) </w:t>
      </w:r>
    </w:p>
    <w:p w14:paraId="6BEAF20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Charte graphique DAO Version Mars 2025</w:t>
      </w:r>
      <w:r w:rsidRPr="005D5B0F">
        <w:rPr>
          <w:rFonts w:ascii="Barlow" w:hAnsi="Barlow"/>
          <w:color w:val="000000"/>
          <w:sz w:val="18"/>
          <w:szCs w:val="22"/>
          <w:lang w:val="fr-FR"/>
        </w:rPr>
        <w:t>  </w:t>
      </w:r>
    </w:p>
    <w:p w14:paraId="2F54603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Table des matières</w:t>
      </w:r>
    </w:p>
    <w:p w14:paraId="52FD190B" w14:textId="77777777" w:rsidR="00D03000" w:rsidRPr="005D5B0F" w:rsidRDefault="00000000">
      <w:pPr>
        <w:pStyle w:val="ParagrapheIndent1"/>
        <w:spacing w:line="232" w:lineRule="exact"/>
        <w:rPr>
          <w:rFonts w:ascii="Barlow" w:hAnsi="Barlow"/>
          <w:color w:val="000000"/>
          <w:sz w:val="18"/>
          <w:szCs w:val="22"/>
          <w:lang w:val="fr-FR"/>
        </w:rPr>
      </w:pPr>
      <w:hyperlink w:anchor="_Toc193183564" w:history="1">
        <w:r w:rsidRPr="005D5B0F">
          <w:rPr>
            <w:rFonts w:ascii="Barlow" w:hAnsi="Barlow"/>
            <w:color w:val="0000FF"/>
            <w:sz w:val="18"/>
            <w:szCs w:val="22"/>
            <w:lang w:val="fr-FR"/>
          </w:rPr>
          <w:t>Objectif et champ d’application de la charte</w:t>
        </w:r>
      </w:hyperlink>
      <w:hyperlink w:anchor="_Toc193183565" w:history="1">
        <w:r w:rsidRPr="005D5B0F">
          <w:rPr>
            <w:rFonts w:ascii="Barlow" w:hAnsi="Barlow"/>
            <w:color w:val="0000FF"/>
            <w:sz w:val="18"/>
            <w:szCs w:val="22"/>
            <w:lang w:val="fr-FR"/>
          </w:rPr>
          <w:t>Logiciel DAO</w:t>
        </w:r>
      </w:hyperlink>
      <w:hyperlink w:anchor="_Toc193183566" w:history="1">
        <w:r w:rsidRPr="005D5B0F">
          <w:rPr>
            <w:rFonts w:ascii="Barlow" w:hAnsi="Barlow"/>
            <w:color w:val="0000FF"/>
            <w:sz w:val="18"/>
            <w:szCs w:val="22"/>
            <w:lang w:val="fr-FR"/>
          </w:rPr>
          <w:t>Droits d’auteur des données</w:t>
        </w:r>
      </w:hyperlink>
      <w:hyperlink w:anchor="_Toc193183567" w:history="1">
        <w:r w:rsidRPr="005D5B0F">
          <w:rPr>
            <w:rFonts w:ascii="Barlow" w:hAnsi="Barlow"/>
            <w:color w:val="0000FF"/>
            <w:sz w:val="18"/>
            <w:szCs w:val="22"/>
            <w:lang w:val="fr-FR"/>
          </w:rPr>
          <w:t>Confidentialité des données</w:t>
        </w:r>
      </w:hyperlink>
      <w:hyperlink w:anchor="_Toc193183568" w:history="1">
        <w:r w:rsidRPr="005D5B0F">
          <w:rPr>
            <w:rFonts w:ascii="Barlow" w:hAnsi="Barlow"/>
            <w:color w:val="0000FF"/>
            <w:sz w:val="18"/>
            <w:szCs w:val="22"/>
            <w:lang w:val="fr-FR"/>
          </w:rPr>
          <w:t>Contenu des données</w:t>
        </w:r>
      </w:hyperlink>
      <w:hyperlink w:anchor="_Toc193183569" w:history="1">
        <w:r w:rsidRPr="005D5B0F">
          <w:rPr>
            <w:rFonts w:ascii="Barlow" w:hAnsi="Barlow"/>
            <w:color w:val="0000FF"/>
            <w:sz w:val="18"/>
            <w:szCs w:val="22"/>
            <w:lang w:val="fr-FR"/>
          </w:rPr>
          <w:t>Système de coordonnées</w:t>
        </w:r>
      </w:hyperlink>
      <w:hyperlink w:anchor="_Toc193183570" w:history="1">
        <w:r w:rsidRPr="005D5B0F">
          <w:rPr>
            <w:rFonts w:ascii="Barlow" w:hAnsi="Barlow"/>
            <w:color w:val="0000FF"/>
            <w:sz w:val="18"/>
            <w:szCs w:val="22"/>
            <w:lang w:val="fr-FR"/>
          </w:rPr>
          <w:t>Références externes</w:t>
        </w:r>
      </w:hyperlink>
      <w:hyperlink w:anchor="_Toc193183571" w:history="1">
        <w:r w:rsidRPr="005D5B0F">
          <w:rPr>
            <w:rFonts w:ascii="Barlow" w:hAnsi="Barlow"/>
            <w:color w:val="0000FF"/>
            <w:sz w:val="18"/>
            <w:szCs w:val="22"/>
            <w:lang w:val="fr-FR"/>
          </w:rPr>
          <w:t>Calques</w:t>
        </w:r>
      </w:hyperlink>
      <w:hyperlink w:anchor="_Toc193183572" w:history="1">
        <w:r w:rsidRPr="005D5B0F">
          <w:rPr>
            <w:rFonts w:ascii="Barlow" w:hAnsi="Barlow"/>
            <w:color w:val="0000FF"/>
            <w:sz w:val="18"/>
            <w:szCs w:val="22"/>
            <w:lang w:val="fr-FR"/>
          </w:rPr>
          <w:t>Blocs</w:t>
        </w:r>
      </w:hyperlink>
      <w:hyperlink w:anchor="_Toc193183573" w:history="1">
        <w:r w:rsidRPr="005D5B0F">
          <w:rPr>
            <w:rFonts w:ascii="Barlow" w:hAnsi="Barlow"/>
            <w:color w:val="0000FF"/>
            <w:sz w:val="18"/>
            <w:szCs w:val="22"/>
            <w:lang w:val="fr-FR"/>
          </w:rPr>
          <w:t>Police</w:t>
        </w:r>
      </w:hyperlink>
      <w:hyperlink w:anchor="_Toc193183574" w:history="1">
        <w:r w:rsidRPr="005D5B0F">
          <w:rPr>
            <w:rFonts w:ascii="Barlow" w:hAnsi="Barlow"/>
            <w:color w:val="0000FF"/>
            <w:sz w:val="18"/>
            <w:szCs w:val="22"/>
            <w:lang w:val="fr-FR"/>
          </w:rPr>
          <w:t>Unité du dessin</w:t>
        </w:r>
      </w:hyperlink>
      <w:hyperlink w:anchor="_Toc193183575" w:history="1">
        <w:r w:rsidRPr="005D5B0F">
          <w:rPr>
            <w:rFonts w:ascii="Barlow" w:hAnsi="Barlow"/>
            <w:color w:val="0000FF"/>
            <w:sz w:val="18"/>
            <w:szCs w:val="22"/>
            <w:lang w:val="fr-FR"/>
          </w:rPr>
          <w:t>Contours surfaciques</w:t>
        </w:r>
      </w:hyperlink>
      <w:hyperlink w:anchor="_Toc193183576" w:history="1">
        <w:r w:rsidRPr="005D5B0F">
          <w:rPr>
            <w:rFonts w:ascii="Barlow" w:hAnsi="Barlow"/>
            <w:color w:val="0000FF"/>
            <w:sz w:val="18"/>
            <w:szCs w:val="22"/>
            <w:lang w:val="fr-FR"/>
          </w:rPr>
          <w:t>Hachures</w:t>
        </w:r>
      </w:hyperlink>
      <w:hyperlink w:anchor="_Toc193183577" w:history="1">
        <w:r w:rsidRPr="005D5B0F">
          <w:rPr>
            <w:rFonts w:ascii="Barlow" w:hAnsi="Barlow"/>
            <w:color w:val="0000FF"/>
            <w:sz w:val="18"/>
            <w:szCs w:val="22"/>
            <w:lang w:val="fr-FR"/>
          </w:rPr>
          <w:t>Cotations</w:t>
        </w:r>
      </w:hyperlink>
      <w:hyperlink w:anchor="_Toc193183578" w:history="1">
        <w:r w:rsidRPr="005D5B0F">
          <w:rPr>
            <w:rFonts w:ascii="Barlow" w:hAnsi="Barlow"/>
            <w:color w:val="0000FF"/>
            <w:sz w:val="18"/>
            <w:szCs w:val="22"/>
            <w:lang w:val="fr-FR"/>
          </w:rPr>
          <w:t>Présentations</w:t>
        </w:r>
      </w:hyperlink>
    </w:p>
    <w:p w14:paraId="52B691C3" w14:textId="77777777" w:rsidR="00D03000" w:rsidRPr="005D5B0F" w:rsidRDefault="00D03000">
      <w:pPr>
        <w:pStyle w:val="ParagrapheIndent1"/>
        <w:spacing w:line="232" w:lineRule="exact"/>
        <w:rPr>
          <w:rFonts w:ascii="Barlow" w:hAnsi="Barlow"/>
          <w:color w:val="000000"/>
          <w:sz w:val="18"/>
          <w:szCs w:val="22"/>
          <w:lang w:val="fr-FR"/>
        </w:rPr>
      </w:pPr>
    </w:p>
    <w:p w14:paraId="4102CCB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Objectif et champ d’application de la charte</w:t>
      </w:r>
      <w:r w:rsidRPr="005D5B0F">
        <w:rPr>
          <w:rFonts w:ascii="Barlow" w:hAnsi="Barlow"/>
          <w:color w:val="1F497D"/>
          <w:sz w:val="18"/>
          <w:szCs w:val="22"/>
          <w:lang w:val="fr-FR"/>
        </w:rPr>
        <w:t>La présente charte graphique a pour objectif d’uniformiser l’exécution des dessins assistés par ordinateur (DAO). Elle permet de définir les règles techniques nécessaires à l’échange et à l’exploitation des données entre la DISP et ses prestataires. La charte fait partie intégrante des marchés et contrats passés avec les prestataires.La charte s’applique de manière générale à tout plan livré dans sa version numérique ou son édition en PDF.</w:t>
      </w:r>
    </w:p>
    <w:p w14:paraId="23747162" w14:textId="77777777" w:rsidR="00D03000" w:rsidRPr="005D5B0F" w:rsidRDefault="00000000">
      <w:pPr>
        <w:pStyle w:val="ParagrapheIndent1"/>
        <w:spacing w:after="60" w:line="232" w:lineRule="exact"/>
        <w:rPr>
          <w:rFonts w:ascii="Barlow" w:hAnsi="Barlow"/>
          <w:color w:val="1F497D"/>
          <w:sz w:val="18"/>
          <w:szCs w:val="22"/>
          <w:lang w:val="fr-FR"/>
        </w:rPr>
        <w:sectPr w:rsidR="00D03000" w:rsidRPr="005D5B0F">
          <w:footerReference w:type="default" r:id="rId75"/>
          <w:pgSz w:w="11900" w:h="16840"/>
          <w:pgMar w:top="1140" w:right="1140" w:bottom="1140" w:left="1140" w:header="1140" w:footer="1140" w:gutter="0"/>
          <w:cols w:space="708"/>
        </w:sectPr>
      </w:pPr>
      <w:r w:rsidRPr="005D5B0F">
        <w:rPr>
          <w:rFonts w:ascii="Barlow" w:hAnsi="Barlow"/>
          <w:b/>
          <w:color w:val="000000"/>
          <w:sz w:val="18"/>
          <w:szCs w:val="22"/>
          <w:lang w:val="fr-FR"/>
        </w:rPr>
        <w:t>Logiciel DAO</w:t>
      </w:r>
      <w:r w:rsidRPr="005D5B0F">
        <w:rPr>
          <w:rFonts w:ascii="Barlow" w:hAnsi="Barlow"/>
          <w:color w:val="1F497D"/>
          <w:sz w:val="18"/>
          <w:szCs w:val="22"/>
          <w:lang w:val="fr-FR"/>
        </w:rPr>
        <w:t xml:space="preserve">Le logiciel utilisé par la DISP est Autocad (Autodesk) dans sa version 2025. Seules les versions équivalentes ou antérieures sont acceptées.A défaut de fichier au format DWG, le format DXF est accepté dans la mesure où les éléments de dessin sont conformes à la présente charte. Avant toute transmission à la DISP de fichier au format DWG, une vérification aura été faite concernant sa compatibilité avec </w:t>
      </w:r>
    </w:p>
    <w:p w14:paraId="452E7B7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lastRenderedPageBreak/>
        <w:t xml:space="preserve">AUTOCAD. Par exemple, les éléments dessinés dans des blocs doivent être stables, même s’ils ont été créés avec un autre logiciel. </w:t>
      </w:r>
    </w:p>
    <w:p w14:paraId="23436D4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Droits d’auteur des données</w:t>
      </w:r>
      <w:r w:rsidRPr="005D5B0F">
        <w:rPr>
          <w:rFonts w:ascii="Barlow" w:hAnsi="Barlow"/>
          <w:color w:val="1F497D"/>
          <w:sz w:val="18"/>
          <w:szCs w:val="22"/>
          <w:lang w:val="fr-FR"/>
        </w:rPr>
        <w:t>Le prestataire transmet la propriété des données DAO lors de la remise des documents. La DISP est alors libre d’utiliser les données en lecture, modification et / ou diffusion.</w:t>
      </w:r>
    </w:p>
    <w:p w14:paraId="6CC42FF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Confidentialité des données</w:t>
      </w:r>
      <w:r w:rsidRPr="005D5B0F">
        <w:rPr>
          <w:rFonts w:ascii="Barlow" w:hAnsi="Barlow"/>
          <w:color w:val="1F497D"/>
          <w:sz w:val="18"/>
          <w:szCs w:val="22"/>
          <w:lang w:val="fr-FR"/>
        </w:rPr>
        <w:t xml:space="preserve">Le prestataire s’engage à garder strictement confidentiels, à ne pas publier, à ne pas divulguer à des tiers, les plans qu’il aura eu à traiter ou à réaliser. Toute demande de diffusion devra avoir été validée par le Département des affaires immobilières de la DISP de Lyon et accompagnée de la signature d’un engagement de confidentialité. </w:t>
      </w:r>
    </w:p>
    <w:p w14:paraId="3D70AAD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Contenu des données</w:t>
      </w:r>
      <w:r w:rsidRPr="005D5B0F">
        <w:rPr>
          <w:rFonts w:ascii="Barlow" w:hAnsi="Barlow"/>
          <w:color w:val="1F497D"/>
          <w:sz w:val="18"/>
          <w:szCs w:val="22"/>
          <w:lang w:val="fr-FR"/>
        </w:rPr>
        <w:t>Les plans intérieurs des bâtiments sont établis par niveau (un fichier par niveau), sur lequel est représenté l’ensemble des bâtiments, en tenant compte, s’il y a lieu, du dénivelé. Les plans des façades et des coupes sont établis dans des fichiers distincts. Les plans intérieurs sont réalisés en privilégiant l’orientation des bâtiments et non l’orientation nord. L’orientation nord doit être indiquée sur les plans sous forme d’une flèche simple estampillée « N » ou d’une rose des vents. Elle appartiendra à un calque dédié. Elle sera présente sur tous les plans en vue de dessus (masse, niveau, bâtiment, zoom, …). Le SCU général (par défaut) est conservé.Les dessins comportant des nuages de révision sont considérés comme des plans d’exécution et seront par conséquent refusés pour la mise à jour des plans existants ou pour l’archivage.</w:t>
      </w:r>
    </w:p>
    <w:p w14:paraId="2655BB1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Système de coordonnées</w:t>
      </w:r>
      <w:r w:rsidRPr="005D5B0F">
        <w:rPr>
          <w:rFonts w:ascii="Barlow" w:hAnsi="Barlow"/>
          <w:color w:val="1F497D"/>
          <w:sz w:val="18"/>
          <w:szCs w:val="22"/>
          <w:lang w:val="fr-FR"/>
        </w:rPr>
        <w:t xml:space="preserve">Le nivellement est rattaché au niveau général français (NGF) et aux coordonnées Lambert 93.Le NGF et le niveau 0 du site, sont précisés sur tous les plans de masse et de coupe. </w:t>
      </w:r>
    </w:p>
    <w:p w14:paraId="41F8214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Références externes</w:t>
      </w:r>
      <w:r w:rsidRPr="005D5B0F">
        <w:rPr>
          <w:rFonts w:ascii="Barlow" w:hAnsi="Barlow"/>
          <w:color w:val="1F497D"/>
          <w:sz w:val="18"/>
          <w:szCs w:val="22"/>
          <w:lang w:val="fr-FR"/>
        </w:rPr>
        <w:t xml:space="preserve">Toutes les entités doivent être présentes sur le même plan. La liaison vers des références externes (Xref) est interdite. </w:t>
      </w:r>
    </w:p>
    <w:p w14:paraId="672251A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Calques</w:t>
      </w:r>
      <w:r w:rsidRPr="005D5B0F">
        <w:rPr>
          <w:rFonts w:ascii="Barlow" w:hAnsi="Barlow"/>
          <w:color w:val="1F497D"/>
          <w:sz w:val="18"/>
          <w:szCs w:val="22"/>
          <w:lang w:val="fr-FR"/>
        </w:rPr>
        <w:t xml:space="preserve">Le nom des calques n’est pas imposé mais il doit être explicite et de taille raisonnable (exemple à proscrire : « A-xxx-EXE-SOP-18-01-ENS-TN-PT-0002-FSIT-AME-poste de relevag »). Un même calque doit regrouper des éléments de dessin de même nature (ex : cotation, texte, axes, polylignes), et des objets de même nature ou appartenant à un corps de métier ou un ouvrage distinct.Concernant des surfaces à identifier, les zones et leurs textes associés sont présentés dans 2 calques distincts (ex : ZONE_PEP_SURF et ZONE_PEP_TXT) </w:t>
      </w:r>
    </w:p>
    <w:p w14:paraId="2AA4375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u w:val="single"/>
          <w:lang w:val="fr-FR"/>
        </w:rPr>
        <w:t>Exemples d’éléments par calque et de nom associé</w:t>
      </w:r>
      <w:r w:rsidRPr="005D5B0F">
        <w:rPr>
          <w:rFonts w:ascii="Barlow" w:hAnsi="Barlow"/>
          <w:color w:val="1F497D"/>
          <w:sz w:val="18"/>
          <w:szCs w:val="22"/>
          <w:lang w:val="fr-FR"/>
        </w:rPr>
        <w:t xml:space="preserve"> : </w:t>
      </w:r>
    </w:p>
    <w:p w14:paraId="78EC924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Eléments</w:t>
      </w:r>
    </w:p>
    <w:p w14:paraId="26B456B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Noms de calque possibles</w:t>
      </w:r>
    </w:p>
    <w:p w14:paraId="6F6F17F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Mur porteur (ou mur de refend)</w:t>
      </w:r>
    </w:p>
    <w:p w14:paraId="13F78A7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 GO » ou « GO_MUR »</w:t>
      </w:r>
    </w:p>
    <w:p w14:paraId="1A87DD5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Cloison intérieure</w:t>
      </w:r>
    </w:p>
    <w:p w14:paraId="6943DC0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 SO_CLOISON » ou « CLOISONS_INT »</w:t>
      </w:r>
    </w:p>
    <w:p w14:paraId="6B5BD41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 xml:space="preserve">Menuiserie extérieure / intérieure </w:t>
      </w:r>
    </w:p>
    <w:p w14:paraId="3CE3C23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 MEXT » / « MINT »</w:t>
      </w:r>
    </w:p>
    <w:p w14:paraId="089E34E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 xml:space="preserve">Réseaux EU / EP / ECS </w:t>
      </w:r>
    </w:p>
    <w:p w14:paraId="3860975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 xml:space="preserve">(calques séparés) « EU » – « EP » – « ECS » </w:t>
      </w:r>
    </w:p>
    <w:p w14:paraId="6C9A2C5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 xml:space="preserve">Douches – WC – lavabos </w:t>
      </w:r>
    </w:p>
    <w:p w14:paraId="71A3A94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 SANITAIRE »</w:t>
      </w:r>
    </w:p>
    <w:p w14:paraId="2EA1A79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 xml:space="preserve">Table – armoire </w:t>
      </w:r>
    </w:p>
    <w:p w14:paraId="0AA7188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 xml:space="preserve">« MOBILIER » </w:t>
      </w:r>
    </w:p>
    <w:p w14:paraId="4764061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 xml:space="preserve">Matériel de restauration collective (sauteuse, four, …) </w:t>
      </w:r>
    </w:p>
    <w:p w14:paraId="634AC2E0"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 xml:space="preserve">« MRC » </w:t>
      </w:r>
    </w:p>
    <w:p w14:paraId="4622E46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 xml:space="preserve">Gaine ou local technique </w:t>
      </w:r>
    </w:p>
    <w:p w14:paraId="43A0A21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 xml:space="preserve">« GT » ou « LT » </w:t>
      </w:r>
    </w:p>
    <w:p w14:paraId="0476934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 xml:space="preserve">Orientation Nord ou rose des vents </w:t>
      </w:r>
    </w:p>
    <w:p w14:paraId="53FC3B7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 ORIENTATION » ou « NORD »</w:t>
      </w:r>
    </w:p>
    <w:p w14:paraId="0E81508B" w14:textId="77777777" w:rsidR="00D03000" w:rsidRPr="005D5B0F" w:rsidRDefault="00D03000">
      <w:pPr>
        <w:pStyle w:val="ParagrapheIndent1"/>
        <w:spacing w:line="232" w:lineRule="exact"/>
        <w:rPr>
          <w:rFonts w:ascii="Barlow" w:hAnsi="Barlow"/>
          <w:color w:val="000000"/>
          <w:sz w:val="18"/>
          <w:szCs w:val="22"/>
          <w:lang w:val="fr-FR"/>
        </w:rPr>
      </w:pPr>
    </w:p>
    <w:p w14:paraId="11FBACF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Par principe, le calque « 0 » ne comporte aucun élément ou objet.</w:t>
      </w:r>
    </w:p>
    <w:p w14:paraId="7F26D8E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Les propriétés générales de chaque élément ou objet (couleur, épaisseur, type…) sont définies sur son calque. De sorte que dans le dessin, les propriétés doivent indiquer « DuCalque ».</w:t>
      </w:r>
    </w:p>
    <w:p w14:paraId="105C85C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Blocs</w:t>
      </w:r>
      <w:r w:rsidRPr="005D5B0F">
        <w:rPr>
          <w:rFonts w:ascii="Barlow" w:hAnsi="Barlow"/>
          <w:color w:val="1F497D"/>
          <w:sz w:val="18"/>
          <w:szCs w:val="22"/>
          <w:lang w:val="fr-FR"/>
        </w:rPr>
        <w:t xml:space="preserve">Les éléments de type sanitaire, menuiserie, armoire électrique, mobilier fixe ou mobile… et plus largement tout équipement technique sont dessinés sous forme de blocs. Tout autre élément du plan (mur, toit, cheminement, délimitation d’espace vert, …) est dessiné dans l’objet. Les blocs sont créés à l’échelle 1, sur le calque 0 et de couleur « DuCalque ».Les blocs rattachés au dessin sont transmis (commande « eTransmit »). </w:t>
      </w:r>
    </w:p>
    <w:p w14:paraId="48847450" w14:textId="77777777" w:rsidR="00D03000" w:rsidRPr="005D5B0F" w:rsidRDefault="00D03000">
      <w:pPr>
        <w:pStyle w:val="ParagrapheIndent1"/>
        <w:spacing w:after="80" w:line="232" w:lineRule="exact"/>
        <w:rPr>
          <w:rFonts w:ascii="Barlow" w:hAnsi="Barlow"/>
          <w:color w:val="000000"/>
          <w:sz w:val="18"/>
          <w:szCs w:val="22"/>
          <w:lang w:val="fr-FR"/>
        </w:rPr>
        <w:sectPr w:rsidR="00D03000" w:rsidRPr="005D5B0F">
          <w:footerReference w:type="default" r:id="rId76"/>
          <w:pgSz w:w="11900" w:h="16840"/>
          <w:pgMar w:top="1140" w:right="1140" w:bottom="1140" w:left="1140" w:header="1140" w:footer="1140" w:gutter="0"/>
          <w:cols w:space="708"/>
        </w:sectPr>
      </w:pPr>
    </w:p>
    <w:p w14:paraId="1C6EFF2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lastRenderedPageBreak/>
        <w:t>Police</w:t>
      </w:r>
      <w:r w:rsidRPr="005D5B0F">
        <w:rPr>
          <w:rFonts w:ascii="Barlow" w:hAnsi="Barlow"/>
          <w:color w:val="1F497D"/>
          <w:sz w:val="18"/>
          <w:szCs w:val="22"/>
          <w:lang w:val="fr-FR"/>
        </w:rPr>
        <w:t xml:space="preserve">La police standard est « True Type Arial ». La taille de la police est adaptée à sa lisibilité des textes et des cotations en fonction de la taille de la feuille de présentation choisi (A4 à A0). </w:t>
      </w:r>
    </w:p>
    <w:p w14:paraId="69401A3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Unité du dessin</w:t>
      </w:r>
      <w:r w:rsidRPr="005D5B0F">
        <w:rPr>
          <w:rFonts w:ascii="Barlow" w:hAnsi="Barlow"/>
          <w:color w:val="1F497D"/>
          <w:sz w:val="18"/>
          <w:szCs w:val="22"/>
          <w:lang w:val="fr-FR"/>
        </w:rPr>
        <w:t xml:space="preserve">Le relevé topographique ou le plan de masse se dessine en </w:t>
      </w:r>
      <w:r w:rsidRPr="005D5B0F">
        <w:rPr>
          <w:rFonts w:ascii="Barlow" w:hAnsi="Barlow"/>
          <w:b/>
          <w:color w:val="1F497D"/>
          <w:sz w:val="18"/>
          <w:szCs w:val="22"/>
          <w:lang w:val="fr-FR"/>
        </w:rPr>
        <w:t>mètre</w:t>
      </w:r>
      <w:r w:rsidRPr="005D5B0F">
        <w:rPr>
          <w:rFonts w:ascii="Barlow" w:hAnsi="Barlow"/>
          <w:color w:val="1F497D"/>
          <w:sz w:val="18"/>
          <w:szCs w:val="22"/>
          <w:lang w:val="fr-FR"/>
        </w:rPr>
        <w:t xml:space="preserve"> de sorte que 1 m = 1 unité.Le relevé intérieur ou plan par niveau se dessine en </w:t>
      </w:r>
      <w:r w:rsidRPr="005D5B0F">
        <w:rPr>
          <w:rFonts w:ascii="Barlow" w:hAnsi="Barlow"/>
          <w:b/>
          <w:color w:val="1F497D"/>
          <w:sz w:val="18"/>
          <w:szCs w:val="22"/>
          <w:lang w:val="fr-FR"/>
        </w:rPr>
        <w:t>centimètre</w:t>
      </w:r>
      <w:r w:rsidRPr="005D5B0F">
        <w:rPr>
          <w:rFonts w:ascii="Barlow" w:hAnsi="Barlow"/>
          <w:color w:val="1F497D"/>
          <w:sz w:val="18"/>
          <w:szCs w:val="22"/>
          <w:lang w:val="fr-FR"/>
        </w:rPr>
        <w:t xml:space="preserve"> de sorte que 1 m = 100 unités (ou 1 cm = 1 unité).Les surfaces sont en </w:t>
      </w:r>
      <w:r w:rsidRPr="005D5B0F">
        <w:rPr>
          <w:rFonts w:ascii="Barlow" w:hAnsi="Barlow"/>
          <w:b/>
          <w:color w:val="1F497D"/>
          <w:sz w:val="18"/>
          <w:szCs w:val="22"/>
          <w:lang w:val="fr-FR"/>
        </w:rPr>
        <w:t>m²</w:t>
      </w:r>
      <w:r w:rsidRPr="005D5B0F">
        <w:rPr>
          <w:rFonts w:ascii="Barlow" w:hAnsi="Barlow"/>
          <w:color w:val="1F497D"/>
          <w:sz w:val="18"/>
          <w:szCs w:val="22"/>
          <w:lang w:val="fr-FR"/>
        </w:rPr>
        <w:t>. L’échelle d’insertion de l’unité de dessin doit être « sans unité ».</w:t>
      </w:r>
    </w:p>
    <w:p w14:paraId="5B3AAB0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Contours surfaciques</w:t>
      </w:r>
      <w:r w:rsidRPr="005D5B0F">
        <w:rPr>
          <w:rFonts w:ascii="Barlow" w:hAnsi="Barlow"/>
          <w:color w:val="1F497D"/>
          <w:sz w:val="18"/>
          <w:szCs w:val="22"/>
          <w:lang w:val="fr-FR"/>
        </w:rPr>
        <w:t xml:space="preserve">Les contours surfaciques des locaux modifiés ou créés sont imposés. Ils correspondent à la SUB et sont délimités par une polyligne fermée. La fonction « région » est interdite. Pour une zone fonctionnelle définie de l’établissement (ex : PEP, MAF, QMH, …), il doit y avoir un calque de contours surfaciques et un calque pour les textes associés (ex : ZONE_PEP_SURF et ZONE_PEP_TXT). </w:t>
      </w:r>
    </w:p>
    <w:p w14:paraId="74BF75A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Hachures</w:t>
      </w:r>
      <w:r w:rsidRPr="005D5B0F">
        <w:rPr>
          <w:rFonts w:ascii="Barlow" w:hAnsi="Barlow"/>
          <w:color w:val="1F497D"/>
          <w:sz w:val="18"/>
          <w:szCs w:val="22"/>
          <w:lang w:val="fr-FR"/>
        </w:rPr>
        <w:t xml:space="preserve">Les hachurages sont interdits. </w:t>
      </w:r>
    </w:p>
    <w:p w14:paraId="70120A5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Cotations</w:t>
      </w:r>
      <w:r w:rsidRPr="005D5B0F">
        <w:rPr>
          <w:rFonts w:ascii="Barlow" w:hAnsi="Barlow"/>
          <w:color w:val="1F497D"/>
          <w:sz w:val="18"/>
          <w:szCs w:val="22"/>
          <w:lang w:val="fr-FR"/>
        </w:rPr>
        <w:t xml:space="preserve">La cotation des locaux et bâtiments neufs ou rénovés sont obligatoires. Le degré de précision de ces cotations est à préciser au contrat. </w:t>
      </w:r>
    </w:p>
    <w:p w14:paraId="7F22C68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b/>
          <w:color w:val="000000"/>
          <w:sz w:val="18"/>
          <w:szCs w:val="22"/>
          <w:lang w:val="fr-FR"/>
        </w:rPr>
        <w:t>Présentations</w:t>
      </w:r>
      <w:r w:rsidRPr="005D5B0F">
        <w:rPr>
          <w:rFonts w:ascii="Barlow" w:hAnsi="Barlow"/>
          <w:color w:val="1F497D"/>
          <w:sz w:val="18"/>
          <w:szCs w:val="22"/>
          <w:lang w:val="fr-FR"/>
        </w:rPr>
        <w:t xml:space="preserve">Le cartouche appartient à l’espace papier et non à l’espace objet. Il sera rattaché au calque « PRESENTATION ». Un modèle de bloc pourra être fourni sur demande. Les informations minimales à trouver dans le cartouche sont les suivantes : </w:t>
      </w:r>
    </w:p>
    <w:p w14:paraId="742701AE" w14:textId="77777777" w:rsidR="00D03000" w:rsidRPr="005D5B0F" w:rsidRDefault="00D03000">
      <w:pPr>
        <w:pStyle w:val="ParagrapheIndent1"/>
        <w:spacing w:line="232" w:lineRule="exact"/>
        <w:rPr>
          <w:rFonts w:ascii="Barlow" w:hAnsi="Barlow"/>
          <w:color w:val="000000"/>
          <w:sz w:val="18"/>
          <w:szCs w:val="22"/>
          <w:lang w:val="fr-FR"/>
        </w:rPr>
      </w:pPr>
    </w:p>
    <w:p w14:paraId="17786BEC"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hAnsi="Barlow"/>
          <w:color w:val="1F497D"/>
          <w:sz w:val="18"/>
          <w:szCs w:val="22"/>
          <w:lang w:val="fr-FR"/>
        </w:rPr>
        <w:t xml:space="preserve">Nom du site ; </w:t>
      </w:r>
    </w:p>
    <w:p w14:paraId="01D0EC0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hAnsi="Barlow"/>
          <w:color w:val="1F497D"/>
          <w:sz w:val="18"/>
          <w:szCs w:val="22"/>
          <w:lang w:val="fr-FR"/>
        </w:rPr>
        <w:t>Titre de vue : plan de masse, plan de niveau, bâtiment X. S’il s’agit d’une modification ou rénovation : mettre le titre de la modification ou rénovation (ex : implantation de vidéo-surveillance, aménagement d’unité sanitaire, …) ; </w:t>
      </w:r>
    </w:p>
    <w:p w14:paraId="46FB208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hAnsi="Barlow"/>
          <w:color w:val="1F497D"/>
          <w:sz w:val="18"/>
          <w:szCs w:val="22"/>
          <w:lang w:val="fr-FR"/>
        </w:rPr>
        <w:t xml:space="preserve">Niveau considéré : PdM ou MS (plan de masse), Rxx (plans de niveaux), COM (combles), VS ( vide sanitaire), COU (coupes) et FAC (façades) ; </w:t>
      </w:r>
    </w:p>
    <w:p w14:paraId="2B1BDB6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hAnsi="Barlow"/>
          <w:color w:val="1F497D"/>
          <w:sz w:val="18"/>
          <w:szCs w:val="22"/>
          <w:lang w:val="fr-FR"/>
        </w:rPr>
        <w:t xml:space="preserve">Echelle ; </w:t>
      </w:r>
    </w:p>
    <w:p w14:paraId="66BCA84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xml:space="preserve">    •  </w:t>
      </w:r>
      <w:r w:rsidRPr="005D5B0F">
        <w:rPr>
          <w:rFonts w:ascii="Barlow" w:hAnsi="Barlow"/>
          <w:color w:val="1F497D"/>
          <w:sz w:val="18"/>
          <w:szCs w:val="22"/>
          <w:lang w:val="fr-FR"/>
        </w:rPr>
        <w:t xml:space="preserve">Date de mise à jour. </w:t>
      </w:r>
    </w:p>
    <w:p w14:paraId="6E91806A" w14:textId="77777777" w:rsidR="00D03000" w:rsidRPr="005D5B0F" w:rsidRDefault="00D03000">
      <w:pPr>
        <w:pStyle w:val="ParagrapheIndent1"/>
        <w:spacing w:line="232" w:lineRule="exact"/>
        <w:rPr>
          <w:rFonts w:ascii="Barlow" w:hAnsi="Barlow"/>
          <w:color w:val="000000"/>
          <w:sz w:val="18"/>
          <w:szCs w:val="22"/>
          <w:lang w:val="fr-FR"/>
        </w:rPr>
      </w:pPr>
    </w:p>
    <w:p w14:paraId="5EF858A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 xml:space="preserve">Chaque présentation de bâtiment, de coupe ou de façade est repérée sur un plan d’ensemble en vue de dessus, inséré en vignette. </w:t>
      </w:r>
    </w:p>
    <w:p w14:paraId="786E8331"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1F497D"/>
          <w:sz w:val="18"/>
          <w:szCs w:val="22"/>
          <w:lang w:val="fr-FR"/>
        </w:rPr>
        <w:t xml:space="preserve">La marge extérieure du cadre de mise en plan est centrée horizontalement et verticalement, et doit permettre une impression directe PDF, traceur ou imprimante. La valeur de marge se situe donc entre 0.8 et 1.5 cm. </w:t>
      </w:r>
    </w:p>
    <w:p w14:paraId="42ABDE4B" w14:textId="77777777" w:rsidR="00D03000" w:rsidRPr="005D5B0F" w:rsidRDefault="00000000">
      <w:pPr>
        <w:pStyle w:val="ParagrapheIndent1"/>
        <w:spacing w:after="240" w:line="232" w:lineRule="exact"/>
        <w:rPr>
          <w:rFonts w:ascii="Barlow" w:hAnsi="Barlow"/>
          <w:color w:val="000000"/>
          <w:sz w:val="18"/>
          <w:szCs w:val="22"/>
          <w:lang w:val="fr-FR"/>
        </w:rPr>
      </w:pPr>
      <w:r w:rsidRPr="005D5B0F">
        <w:rPr>
          <w:rFonts w:ascii="Barlow" w:hAnsi="Barlow"/>
          <w:color w:val="000000"/>
          <w:sz w:val="18"/>
          <w:szCs w:val="22"/>
          <w:lang w:val="fr-FR"/>
        </w:rPr>
        <w:t> </w:t>
      </w:r>
    </w:p>
    <w:p w14:paraId="567BC7E0" w14:textId="77777777" w:rsidR="00D03000" w:rsidRPr="005D5B0F" w:rsidRDefault="00000000">
      <w:pPr>
        <w:pStyle w:val="Titre1"/>
        <w:shd w:val="clear" w:color="FD2456" w:fill="FD2456"/>
        <w:rPr>
          <w:rFonts w:ascii="Barlow" w:eastAsia="Trebuchet MS" w:hAnsi="Barlow" w:cs="Trebuchet MS"/>
          <w:color w:val="FFFFFF"/>
          <w:sz w:val="24"/>
          <w:szCs w:val="28"/>
          <w:lang w:val="fr-FR"/>
        </w:rPr>
      </w:pPr>
      <w:bookmarkStart w:id="126" w:name="ArtL1_NA42"/>
      <w:bookmarkStart w:id="127" w:name="_Toc256000063"/>
      <w:bookmarkEnd w:id="126"/>
      <w:r w:rsidRPr="005D5B0F">
        <w:rPr>
          <w:rFonts w:ascii="Barlow" w:eastAsia="Trebuchet MS" w:hAnsi="Barlow" w:cs="Trebuchet MS"/>
          <w:color w:val="FFFFFF"/>
          <w:sz w:val="24"/>
          <w:szCs w:val="28"/>
          <w:lang w:val="fr-FR"/>
        </w:rPr>
        <w:t>22 - Clause incitative label RFAR</w:t>
      </w:r>
      <w:bookmarkEnd w:id="127"/>
    </w:p>
    <w:p w14:paraId="65AFB40A"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209AD16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Promotion de la démarche de labellisation RFAR « relations fournisseurs et achats responsables »</w:t>
      </w:r>
    </w:p>
    <w:p w14:paraId="6E603A3A" w14:textId="77777777" w:rsidR="00D03000" w:rsidRPr="005D5B0F" w:rsidRDefault="00D03000">
      <w:pPr>
        <w:pStyle w:val="ParagrapheIndent1"/>
        <w:spacing w:line="232" w:lineRule="exact"/>
        <w:rPr>
          <w:rFonts w:ascii="Barlow" w:hAnsi="Barlow"/>
          <w:color w:val="000000"/>
          <w:sz w:val="18"/>
          <w:szCs w:val="22"/>
          <w:lang w:val="fr-FR"/>
        </w:rPr>
      </w:pPr>
    </w:p>
    <w:p w14:paraId="7CA6ACCA"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Le ministère de la Justice a été labellisé « Relations fournisseurs et achats Responsables » le 10 décembre 2024.</w:t>
      </w:r>
    </w:p>
    <w:p w14:paraId="213FCCFA" w14:textId="77777777" w:rsidR="00D03000" w:rsidRPr="005D5B0F" w:rsidRDefault="00D03000">
      <w:pPr>
        <w:pStyle w:val="ParagrapheIndent1"/>
        <w:spacing w:line="232" w:lineRule="exact"/>
        <w:rPr>
          <w:rFonts w:ascii="Barlow" w:hAnsi="Barlow"/>
          <w:color w:val="000000"/>
          <w:sz w:val="18"/>
          <w:szCs w:val="22"/>
          <w:lang w:val="fr-FR"/>
        </w:rPr>
      </w:pPr>
    </w:p>
    <w:p w14:paraId="27A75595"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Par conséquent, le ministère souhaite continuer à améliorer sa relation avec ses fournisseurs en :</w:t>
      </w:r>
    </w:p>
    <w:p w14:paraId="598B08E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mettant en place des conditions favorables au développement de relation équilibrée ;</w:t>
      </w:r>
    </w:p>
    <w:p w14:paraId="45E13C3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veillant aux intérêts des fournisseurs et sous-traitants ;</w:t>
      </w:r>
    </w:p>
    <w:p w14:paraId="6CD0E47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valorisant la démarche d’écoute de la voix des fournisseurs.</w:t>
      </w:r>
    </w:p>
    <w:p w14:paraId="24D8E606" w14:textId="77777777" w:rsidR="00D03000" w:rsidRPr="005D5B0F" w:rsidRDefault="00D03000">
      <w:pPr>
        <w:pStyle w:val="ParagrapheIndent1"/>
        <w:spacing w:line="232" w:lineRule="exact"/>
        <w:rPr>
          <w:rFonts w:ascii="Barlow" w:hAnsi="Barlow"/>
          <w:color w:val="000000"/>
          <w:sz w:val="18"/>
          <w:szCs w:val="22"/>
          <w:lang w:val="fr-FR"/>
        </w:rPr>
      </w:pPr>
    </w:p>
    <w:p w14:paraId="2FFD2A5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Et encourage ses fournisseurs à :</w:t>
      </w:r>
    </w:p>
    <w:p w14:paraId="1E4EA50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mettre en place une démarche d’amélioration continue en matière de RSE et valoriser les évolutions en cours de marché ;</w:t>
      </w:r>
    </w:p>
    <w:p w14:paraId="4A1E9BD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construire un projet fédérateur transversal et de transformation autour d’une politique achats responsables, en y associant l’ensemble des directions concernées ;</w:t>
      </w:r>
    </w:p>
    <w:p w14:paraId="134D892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développer les bonnes pratiques achats responsables dans l’ensemble de la chaîne d’approvisionnement ;</w:t>
      </w:r>
    </w:p>
    <w:p w14:paraId="2094902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à s’engager dans un parcours d’achats responsables en signant la Charte RFAR et oeuvrer à l’obtention du Label RFAR.</w:t>
      </w:r>
    </w:p>
    <w:p w14:paraId="7E6A742A" w14:textId="77777777" w:rsidR="00D03000" w:rsidRPr="005D5B0F" w:rsidRDefault="00D03000">
      <w:pPr>
        <w:pStyle w:val="ParagrapheIndent1"/>
        <w:spacing w:line="232" w:lineRule="exact"/>
        <w:rPr>
          <w:rFonts w:ascii="Barlow" w:hAnsi="Barlow"/>
          <w:color w:val="000000"/>
          <w:sz w:val="18"/>
          <w:szCs w:val="22"/>
          <w:lang w:val="fr-FR"/>
        </w:rPr>
      </w:pPr>
    </w:p>
    <w:p w14:paraId="54F76D3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À cet effet, le titulaire s'engage à informer le ministère de toute démarche entreprise en la matière, et notamment :</w:t>
      </w:r>
    </w:p>
    <w:p w14:paraId="3325977F"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la signature de la Charte « Relations fournisseurs et achats responsables »,</w:t>
      </w:r>
    </w:p>
    <w:p w14:paraId="4431A5AC" w14:textId="77777777" w:rsidR="00D03000" w:rsidRPr="005D5B0F" w:rsidRDefault="00D03000">
      <w:pPr>
        <w:pStyle w:val="ParagrapheIndent1"/>
        <w:spacing w:after="80" w:line="232" w:lineRule="exact"/>
        <w:rPr>
          <w:rFonts w:ascii="Barlow" w:hAnsi="Barlow"/>
          <w:color w:val="000000"/>
          <w:sz w:val="18"/>
          <w:szCs w:val="22"/>
          <w:lang w:val="fr-FR"/>
        </w:rPr>
        <w:sectPr w:rsidR="00D03000" w:rsidRPr="005D5B0F">
          <w:footerReference w:type="default" r:id="rId77"/>
          <w:pgSz w:w="11900" w:h="16840"/>
          <w:pgMar w:top="1140" w:right="1140" w:bottom="1140" w:left="1140" w:header="1140" w:footer="1140" w:gutter="0"/>
          <w:cols w:space="708"/>
        </w:sectPr>
      </w:pPr>
    </w:p>
    <w:p w14:paraId="3FAD9CB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lastRenderedPageBreak/>
        <w:t>- l’obtention du Label « Relations fournisseurs et achats responsables » (RFAR), et/ou toute norme ou tout label équivalent.</w:t>
      </w:r>
    </w:p>
    <w:p w14:paraId="0261DB2C" w14:textId="77777777" w:rsidR="00D03000" w:rsidRPr="005D5B0F" w:rsidRDefault="00D03000">
      <w:pPr>
        <w:pStyle w:val="ParagrapheIndent1"/>
        <w:spacing w:line="232" w:lineRule="exact"/>
        <w:rPr>
          <w:rFonts w:ascii="Barlow" w:hAnsi="Barlow"/>
          <w:color w:val="000000"/>
          <w:sz w:val="18"/>
          <w:szCs w:val="22"/>
          <w:lang w:val="fr-FR"/>
        </w:rPr>
      </w:pPr>
    </w:p>
    <w:p w14:paraId="7F21CD6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Le Médiateur des entreprises et le Conseil national des achats (CNA) se proposent de vous accompagner dans cette démarche.</w:t>
      </w:r>
    </w:p>
    <w:p w14:paraId="4ED2890B" w14:textId="77777777" w:rsidR="00D03000" w:rsidRPr="005D5B0F" w:rsidRDefault="00000000">
      <w:pPr>
        <w:pStyle w:val="ParagrapheIndent1"/>
        <w:spacing w:after="240" w:line="232" w:lineRule="exact"/>
        <w:rPr>
          <w:rFonts w:ascii="Barlow" w:hAnsi="Barlow"/>
          <w:color w:val="000000"/>
          <w:sz w:val="18"/>
          <w:szCs w:val="22"/>
          <w:lang w:val="fr-FR"/>
        </w:rPr>
      </w:pPr>
      <w:r w:rsidRPr="005D5B0F">
        <w:rPr>
          <w:rFonts w:ascii="Barlow" w:hAnsi="Barlow"/>
          <w:color w:val="000000"/>
          <w:sz w:val="18"/>
          <w:szCs w:val="22"/>
          <w:lang w:val="fr-FR"/>
        </w:rPr>
        <w:t>Pour toute information, consultez le site internet : https://www.economie.gouv.fr/mediateur-des-entreprises</w:t>
      </w:r>
    </w:p>
    <w:p w14:paraId="7DE04F79" w14:textId="77777777" w:rsidR="00D03000" w:rsidRPr="005D5B0F" w:rsidRDefault="00000000">
      <w:pPr>
        <w:pStyle w:val="Titre1"/>
        <w:shd w:val="clear" w:color="FD2456" w:fill="FD2456"/>
        <w:spacing w:line="325" w:lineRule="exact"/>
        <w:rPr>
          <w:rFonts w:ascii="Barlow" w:eastAsia="Trebuchet MS" w:hAnsi="Barlow" w:cs="Trebuchet MS"/>
          <w:color w:val="FFFFFF"/>
          <w:sz w:val="24"/>
          <w:szCs w:val="28"/>
          <w:lang w:val="fr-FR"/>
        </w:rPr>
      </w:pPr>
      <w:bookmarkStart w:id="128" w:name="ArtL1_NA43"/>
      <w:bookmarkStart w:id="129" w:name="_Toc256000064"/>
      <w:bookmarkEnd w:id="128"/>
      <w:r w:rsidRPr="005D5B0F">
        <w:rPr>
          <w:rFonts w:ascii="Barlow" w:eastAsia="Trebuchet MS" w:hAnsi="Barlow" w:cs="Trebuchet MS"/>
          <w:color w:val="FFFFFF"/>
          <w:sz w:val="24"/>
          <w:szCs w:val="28"/>
          <w:lang w:val="fr-FR"/>
        </w:rPr>
        <w:t>23 - Clause relative au recours au médiateur interne relations fournisseurs</w:t>
      </w:r>
      <w:bookmarkEnd w:id="129"/>
    </w:p>
    <w:p w14:paraId="2155C50D" w14:textId="77777777" w:rsidR="00D03000" w:rsidRPr="005D5B0F" w:rsidRDefault="00000000">
      <w:pPr>
        <w:spacing w:line="60" w:lineRule="exact"/>
        <w:rPr>
          <w:rFonts w:ascii="Barlow" w:hAnsi="Barlow"/>
          <w:sz w:val="4"/>
          <w:szCs w:val="22"/>
        </w:rPr>
      </w:pPr>
      <w:r w:rsidRPr="005D5B0F">
        <w:rPr>
          <w:rFonts w:ascii="Barlow" w:hAnsi="Barlow"/>
          <w:sz w:val="22"/>
          <w:szCs w:val="22"/>
        </w:rPr>
        <w:t xml:space="preserve"> </w:t>
      </w:r>
    </w:p>
    <w:p w14:paraId="7275535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Différends</w:t>
      </w:r>
    </w:p>
    <w:p w14:paraId="1A0C4093" w14:textId="77777777" w:rsidR="00D03000" w:rsidRPr="005D5B0F" w:rsidRDefault="00D03000">
      <w:pPr>
        <w:pStyle w:val="ParagrapheIndent1"/>
        <w:spacing w:line="232" w:lineRule="exact"/>
        <w:rPr>
          <w:rFonts w:ascii="Barlow" w:hAnsi="Barlow"/>
          <w:color w:val="000000"/>
          <w:sz w:val="18"/>
          <w:szCs w:val="22"/>
          <w:lang w:val="fr-FR"/>
        </w:rPr>
      </w:pPr>
    </w:p>
    <w:p w14:paraId="631611C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Le présent marché est conclu et est exécuté de bonne foi par les parties qui s’engagent à examiner ensemble, dans le plus grand esprit de concertation, tout différend qui pourrait survenir relatif à son existence, son interprétation ou à son exécution.</w:t>
      </w:r>
    </w:p>
    <w:p w14:paraId="60B5F3D6" w14:textId="77777777" w:rsidR="00D03000" w:rsidRPr="005D5B0F" w:rsidRDefault="00D03000">
      <w:pPr>
        <w:pStyle w:val="ParagrapheIndent1"/>
        <w:spacing w:line="232" w:lineRule="exact"/>
        <w:rPr>
          <w:rFonts w:ascii="Barlow" w:hAnsi="Barlow"/>
          <w:color w:val="000000"/>
          <w:sz w:val="18"/>
          <w:szCs w:val="22"/>
          <w:lang w:val="fr-FR"/>
        </w:rPr>
      </w:pPr>
    </w:p>
    <w:p w14:paraId="3F58371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L’acheteur et le titulaire s’efforcent de régler à l’amiable ou le recours à la médiation dans la résolution de tout différend éventuel relatif à l’interprétation des stipulations du présent contrat ou à l’exécution des prestations.</w:t>
      </w:r>
    </w:p>
    <w:p w14:paraId="3645C80B" w14:textId="77777777" w:rsidR="00D03000" w:rsidRPr="005D5B0F" w:rsidRDefault="00D03000">
      <w:pPr>
        <w:pStyle w:val="ParagrapheIndent1"/>
        <w:spacing w:line="232" w:lineRule="exact"/>
        <w:rPr>
          <w:rFonts w:ascii="Barlow" w:hAnsi="Barlow"/>
          <w:color w:val="000000"/>
          <w:sz w:val="18"/>
          <w:szCs w:val="22"/>
          <w:lang w:val="fr-FR"/>
        </w:rPr>
      </w:pPr>
    </w:p>
    <w:p w14:paraId="2E18164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1/ Principes communs au règlement amiable des différends</w:t>
      </w:r>
    </w:p>
    <w:p w14:paraId="6D1C6CAD" w14:textId="77777777" w:rsidR="00D03000" w:rsidRPr="005D5B0F" w:rsidRDefault="00D03000">
      <w:pPr>
        <w:pStyle w:val="ParagrapheIndent1"/>
        <w:spacing w:line="232" w:lineRule="exact"/>
        <w:rPr>
          <w:rFonts w:ascii="Barlow" w:hAnsi="Barlow"/>
          <w:color w:val="000000"/>
          <w:sz w:val="18"/>
          <w:szCs w:val="22"/>
          <w:lang w:val="fr-FR"/>
        </w:rPr>
      </w:pPr>
    </w:p>
    <w:p w14:paraId="7682077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Rappels quant aux modalités alternatives au règlement des différends</w:t>
      </w:r>
    </w:p>
    <w:p w14:paraId="7565E36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La médiation ou la conciliation par le Comité consultatif de règlement amiable des différends relatifs aux marchés publics sont des processus de règlement permettant aux parties de trouver un accord à l'amiable sans procédure judiciaire classique. Leur recours vise notamment à favoriser une solution rapide et pérenne aux problèmes rencontrés, et participe à l’objectif de préserver la relation future du ministère avec ses fournisseurs.</w:t>
      </w:r>
    </w:p>
    <w:p w14:paraId="60D1F202" w14:textId="77777777" w:rsidR="00D03000" w:rsidRPr="005D5B0F" w:rsidRDefault="00D03000">
      <w:pPr>
        <w:pStyle w:val="ParagrapheIndent1"/>
        <w:spacing w:line="232" w:lineRule="exact"/>
        <w:rPr>
          <w:rFonts w:ascii="Barlow" w:hAnsi="Barlow"/>
          <w:color w:val="000000"/>
          <w:sz w:val="18"/>
          <w:szCs w:val="22"/>
          <w:lang w:val="fr-FR"/>
        </w:rPr>
      </w:pPr>
    </w:p>
    <w:p w14:paraId="713E1FD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À ce titre, chaque partie reste libre de quitter à tout moment le processus.</w:t>
      </w:r>
    </w:p>
    <w:p w14:paraId="7758C1F6" w14:textId="77777777" w:rsidR="00D03000" w:rsidRPr="005D5B0F" w:rsidRDefault="00D03000">
      <w:pPr>
        <w:pStyle w:val="ParagrapheIndent1"/>
        <w:spacing w:line="232" w:lineRule="exact"/>
        <w:rPr>
          <w:rFonts w:ascii="Barlow" w:hAnsi="Barlow"/>
          <w:color w:val="000000"/>
          <w:sz w:val="18"/>
          <w:szCs w:val="22"/>
          <w:lang w:val="fr-FR"/>
        </w:rPr>
      </w:pPr>
    </w:p>
    <w:p w14:paraId="2315FD6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Dans l’hypothèse où le différend n’aurait pas trouvé de solution acceptable pour les deux parties, il appartiendra à la plus diligente d’entre elles, si elle s’y croit fondée, de saisir la juridiction compétente du litige en cause.</w:t>
      </w:r>
    </w:p>
    <w:p w14:paraId="1DA7BFE0" w14:textId="77777777" w:rsidR="00D03000" w:rsidRPr="005D5B0F" w:rsidRDefault="00D03000">
      <w:pPr>
        <w:pStyle w:val="ParagrapheIndent1"/>
        <w:spacing w:line="232" w:lineRule="exact"/>
        <w:rPr>
          <w:rFonts w:ascii="Barlow" w:hAnsi="Barlow"/>
          <w:color w:val="000000"/>
          <w:sz w:val="18"/>
          <w:szCs w:val="22"/>
          <w:lang w:val="fr-FR"/>
        </w:rPr>
      </w:pPr>
    </w:p>
    <w:p w14:paraId="4778AB3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Suspension des délais de recours contentieux et de prescriptions Conformément au code de justice administrative, les délais de recours contentieux sont interrompus et les prescriptions sont suspendues à compter de la date d’acceptation des deux parties indiquées dans le courriel d’ouverture qui leur est envoyé par le médiateur ou de la date de saisine du Comité consultatif du règlement amiable des différends relatifs aux marchés publics.</w:t>
      </w:r>
    </w:p>
    <w:p w14:paraId="7B4D820B" w14:textId="77777777" w:rsidR="00D03000" w:rsidRPr="005D5B0F" w:rsidRDefault="00D03000">
      <w:pPr>
        <w:pStyle w:val="ParagrapheIndent1"/>
        <w:spacing w:line="232" w:lineRule="exact"/>
        <w:rPr>
          <w:rFonts w:ascii="Barlow" w:hAnsi="Barlow"/>
          <w:color w:val="000000"/>
          <w:sz w:val="18"/>
          <w:szCs w:val="22"/>
          <w:lang w:val="fr-FR"/>
        </w:rPr>
      </w:pPr>
    </w:p>
    <w:p w14:paraId="6782E61E"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Ces démarches interrompent les délais de recours contentieux jusqu'à la notification de la décision prise après la tentative de règlement amiable, ou de la constatation de l'échec de la démarche.</w:t>
      </w:r>
    </w:p>
    <w:p w14:paraId="23C2EBFC" w14:textId="77777777" w:rsidR="00D03000" w:rsidRPr="005D5B0F" w:rsidRDefault="00D03000">
      <w:pPr>
        <w:pStyle w:val="ParagrapheIndent1"/>
        <w:spacing w:line="232" w:lineRule="exact"/>
        <w:rPr>
          <w:rFonts w:ascii="Barlow" w:hAnsi="Barlow"/>
          <w:color w:val="000000"/>
          <w:sz w:val="18"/>
          <w:szCs w:val="22"/>
          <w:lang w:val="fr-FR"/>
        </w:rPr>
      </w:pPr>
    </w:p>
    <w:p w14:paraId="07E3E948"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 Confidentialité</w:t>
      </w:r>
    </w:p>
    <w:p w14:paraId="4D79349D"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Sauf accord des parties, et exceptions prévues par le code de la justice administrative, la médiation ou la conciliation par le Comité sont soumises au principe de confidentialité. Ce principe vise à favoriser les échanges via la libération de la parole, l’émergence de nouvelles idées ou la clarification de situations.</w:t>
      </w:r>
    </w:p>
    <w:p w14:paraId="3DE4537C" w14:textId="77777777" w:rsidR="00D03000" w:rsidRPr="005D5B0F" w:rsidRDefault="00D03000">
      <w:pPr>
        <w:pStyle w:val="ParagrapheIndent1"/>
        <w:spacing w:line="232" w:lineRule="exact"/>
        <w:rPr>
          <w:rFonts w:ascii="Barlow" w:hAnsi="Barlow"/>
          <w:color w:val="000000"/>
          <w:sz w:val="18"/>
          <w:szCs w:val="22"/>
          <w:lang w:val="fr-FR"/>
        </w:rPr>
      </w:pPr>
    </w:p>
    <w:p w14:paraId="7B639DD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Aussi, les constatations et les déclarations des parties recueillies dans le cadre du règlement amiable doivent rester confidentielles.</w:t>
      </w:r>
    </w:p>
    <w:p w14:paraId="37AAA96E" w14:textId="77777777" w:rsidR="00D03000" w:rsidRPr="005D5B0F" w:rsidRDefault="00D03000">
      <w:pPr>
        <w:pStyle w:val="ParagrapheIndent1"/>
        <w:spacing w:line="232" w:lineRule="exact"/>
        <w:rPr>
          <w:rFonts w:ascii="Barlow" w:hAnsi="Barlow"/>
          <w:color w:val="000000"/>
          <w:sz w:val="18"/>
          <w:szCs w:val="22"/>
          <w:lang w:val="fr-FR"/>
        </w:rPr>
      </w:pPr>
    </w:p>
    <w:p w14:paraId="2932AB84"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Ce principe de confidentialité ne s’applique pas aux pièces, documents et déclarations qui sont connus des parties et préexistent à la démarche, sans préjudice des mentions de protection qui peuvent les concerner.</w:t>
      </w:r>
    </w:p>
    <w:p w14:paraId="17EAB688" w14:textId="77777777" w:rsidR="00D03000" w:rsidRPr="005D5B0F" w:rsidRDefault="00D03000">
      <w:pPr>
        <w:pStyle w:val="ParagrapheIndent1"/>
        <w:spacing w:line="232" w:lineRule="exact"/>
        <w:rPr>
          <w:rFonts w:ascii="Barlow" w:hAnsi="Barlow"/>
          <w:color w:val="000000"/>
          <w:sz w:val="18"/>
          <w:szCs w:val="22"/>
          <w:lang w:val="fr-FR"/>
        </w:rPr>
        <w:sectPr w:rsidR="00D03000" w:rsidRPr="005D5B0F">
          <w:footerReference w:type="default" r:id="rId78"/>
          <w:pgSz w:w="11900" w:h="16840"/>
          <w:pgMar w:top="1140" w:right="1140" w:bottom="1140" w:left="1140" w:header="1140" w:footer="1140" w:gutter="0"/>
          <w:cols w:space="708"/>
        </w:sectPr>
      </w:pPr>
    </w:p>
    <w:p w14:paraId="22692F23"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lastRenderedPageBreak/>
        <w:t>2/ Possibilité de recourir à la médiation pour le règlement des différends</w:t>
      </w:r>
    </w:p>
    <w:p w14:paraId="3842203E" w14:textId="77777777" w:rsidR="00D03000" w:rsidRPr="005D5B0F" w:rsidRDefault="00D03000">
      <w:pPr>
        <w:pStyle w:val="ParagrapheIndent1"/>
        <w:spacing w:line="232" w:lineRule="exact"/>
        <w:rPr>
          <w:rFonts w:ascii="Barlow" w:hAnsi="Barlow"/>
          <w:color w:val="000000"/>
          <w:sz w:val="18"/>
          <w:szCs w:val="22"/>
          <w:lang w:val="fr-FR"/>
        </w:rPr>
      </w:pPr>
    </w:p>
    <w:p w14:paraId="5BDBABC9"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Lorsque l'acheteur et le titulaire ne parviennent pas à régler le différend à l'issue d'une procédure de réclamation, ils privilégient, avant toute saisine de la juridiction compétente, le recours à la conciliation ou à la médiation. Le Médiateur interne « relations fournisseurs », dont l'indépendance est garantie par le fait qu'il n'intervient dans aucune phase de la commande publique, peut être saisi par mail à l’adresse suivante :</w:t>
      </w:r>
    </w:p>
    <w:p w14:paraId="155A1FE1" w14:textId="77777777" w:rsidR="00D03000" w:rsidRPr="005D5B0F" w:rsidRDefault="00D03000">
      <w:pPr>
        <w:pStyle w:val="ParagrapheIndent1"/>
        <w:spacing w:line="232" w:lineRule="exact"/>
        <w:rPr>
          <w:rFonts w:ascii="Barlow" w:hAnsi="Barlow"/>
          <w:color w:val="000000"/>
          <w:sz w:val="18"/>
          <w:szCs w:val="22"/>
          <w:lang w:val="fr-FR"/>
        </w:rPr>
      </w:pPr>
    </w:p>
    <w:p w14:paraId="3D85B6C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mediateur-fournisseurs@justice.gouv.fr</w:t>
      </w:r>
    </w:p>
    <w:p w14:paraId="4DC0F6E9" w14:textId="77777777" w:rsidR="00D03000" w:rsidRPr="005D5B0F" w:rsidRDefault="00D03000">
      <w:pPr>
        <w:pStyle w:val="ParagrapheIndent1"/>
        <w:spacing w:line="232" w:lineRule="exact"/>
        <w:rPr>
          <w:rFonts w:ascii="Barlow" w:hAnsi="Barlow"/>
          <w:color w:val="000000"/>
          <w:sz w:val="18"/>
          <w:szCs w:val="22"/>
          <w:lang w:val="fr-FR"/>
        </w:rPr>
      </w:pPr>
    </w:p>
    <w:p w14:paraId="7ECD1897"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ou par courrier recommandé avec avis de réception à l’attention de:</w:t>
      </w:r>
    </w:p>
    <w:p w14:paraId="1D3551C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Monsieur le Médiateur interne « relations fournisseurs »</w:t>
      </w:r>
    </w:p>
    <w:p w14:paraId="218F92AB"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13 place Vendôme</w:t>
      </w:r>
    </w:p>
    <w:p w14:paraId="1BFA6D42"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75042 Paris Cedex 01</w:t>
      </w:r>
    </w:p>
    <w:p w14:paraId="713E4D39" w14:textId="77777777" w:rsidR="00D03000" w:rsidRPr="005D5B0F" w:rsidRDefault="00D03000">
      <w:pPr>
        <w:pStyle w:val="ParagrapheIndent1"/>
        <w:spacing w:line="232" w:lineRule="exact"/>
        <w:rPr>
          <w:rFonts w:ascii="Barlow" w:hAnsi="Barlow"/>
          <w:color w:val="000000"/>
          <w:sz w:val="18"/>
          <w:szCs w:val="22"/>
          <w:lang w:val="fr-FR"/>
        </w:rPr>
      </w:pPr>
    </w:p>
    <w:p w14:paraId="7E257226" w14:textId="77777777" w:rsidR="00D03000" w:rsidRPr="005D5B0F" w:rsidRDefault="00000000">
      <w:pPr>
        <w:pStyle w:val="ParagrapheIndent1"/>
        <w:spacing w:line="232" w:lineRule="exact"/>
        <w:rPr>
          <w:rFonts w:ascii="Barlow" w:hAnsi="Barlow"/>
          <w:color w:val="000000"/>
          <w:sz w:val="18"/>
          <w:szCs w:val="22"/>
          <w:lang w:val="fr-FR"/>
        </w:rPr>
      </w:pPr>
      <w:r w:rsidRPr="005D5B0F">
        <w:rPr>
          <w:rFonts w:ascii="Barlow" w:hAnsi="Barlow"/>
          <w:color w:val="000000"/>
          <w:sz w:val="18"/>
          <w:szCs w:val="22"/>
          <w:lang w:val="fr-FR"/>
        </w:rPr>
        <w:t>Par ailleurs, le Médiateur interne « relations fournisseurs » peut être consulté par téléphone au 06 77 62 09 60.</w:t>
      </w:r>
    </w:p>
    <w:sectPr w:rsidR="00D03000" w:rsidRPr="005D5B0F">
      <w:footerReference w:type="default" r:id="rId79"/>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7D50197" w14:textId="77777777" w:rsidR="00DB7CA6" w:rsidRDefault="00DB7CA6">
      <w:r>
        <w:separator/>
      </w:r>
    </w:p>
  </w:endnote>
  <w:endnote w:type="continuationSeparator" w:id="0">
    <w:p w14:paraId="015E2222" w14:textId="77777777" w:rsidR="00DB7CA6" w:rsidRDefault="00DB7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Barlow">
    <w:panose1 w:val="00000500000000000000"/>
    <w:charset w:val="4D"/>
    <w:family w:val="auto"/>
    <w:pitch w:val="variable"/>
    <w:sig w:usb0="20000007" w:usb1="00000000" w:usb2="00000000" w:usb3="00000000" w:csb0="00000193" w:csb1="00000000"/>
  </w:font>
  <w:font w:name="Marianne">
    <w:altName w:val="Cambria"/>
    <w:panose1 w:val="020B0604020202020204"/>
    <w:charset w:val="00"/>
    <w:family w:val="auto"/>
    <w:pitch w:val="variable"/>
    <w:sig w:usb0="0000000F" w:usb1="00000000" w:usb2="00000000" w:usb3="00000000" w:csb0="00000003"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AB3E56" w14:textId="77777777" w:rsidR="00701F8C" w:rsidRDefault="00701F8C">
    <w:pPr>
      <w:pStyle w:val="Pieddepag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25F158"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1E6A233D" w14:textId="77777777">
      <w:trPr>
        <w:trHeight w:val="245"/>
      </w:trPr>
      <w:tc>
        <w:tcPr>
          <w:tcW w:w="5220" w:type="dxa"/>
          <w:tcMar>
            <w:top w:w="0" w:type="dxa"/>
            <w:left w:w="0" w:type="dxa"/>
            <w:bottom w:w="0" w:type="dxa"/>
            <w:right w:w="0" w:type="dxa"/>
          </w:tcMar>
          <w:vAlign w:val="center"/>
        </w:tcPr>
        <w:p w14:paraId="7FA881AD"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7E83B956"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9DA5883"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3F2AC871" w14:textId="77777777">
      <w:trPr>
        <w:trHeight w:val="245"/>
      </w:trPr>
      <w:tc>
        <w:tcPr>
          <w:tcW w:w="5220" w:type="dxa"/>
          <w:tcMar>
            <w:top w:w="0" w:type="dxa"/>
            <w:left w:w="0" w:type="dxa"/>
            <w:bottom w:w="0" w:type="dxa"/>
            <w:right w:w="0" w:type="dxa"/>
          </w:tcMar>
          <w:vAlign w:val="center"/>
        </w:tcPr>
        <w:p w14:paraId="18824CEB"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59CD971B"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1561D7"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3DC964F4" w14:textId="77777777">
      <w:trPr>
        <w:trHeight w:val="245"/>
      </w:trPr>
      <w:tc>
        <w:tcPr>
          <w:tcW w:w="5220" w:type="dxa"/>
          <w:tcMar>
            <w:top w:w="0" w:type="dxa"/>
            <w:left w:w="0" w:type="dxa"/>
            <w:bottom w:w="0" w:type="dxa"/>
            <w:right w:w="0" w:type="dxa"/>
          </w:tcMar>
          <w:vAlign w:val="center"/>
        </w:tcPr>
        <w:p w14:paraId="605743EE"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0ED5DE9A"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437507"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5376098F" w14:textId="77777777">
      <w:trPr>
        <w:trHeight w:val="245"/>
      </w:trPr>
      <w:tc>
        <w:tcPr>
          <w:tcW w:w="5220" w:type="dxa"/>
          <w:tcMar>
            <w:top w:w="0" w:type="dxa"/>
            <w:left w:w="0" w:type="dxa"/>
            <w:bottom w:w="0" w:type="dxa"/>
            <w:right w:w="0" w:type="dxa"/>
          </w:tcMar>
          <w:vAlign w:val="center"/>
        </w:tcPr>
        <w:p w14:paraId="33ED57CC"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334E072D"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44F26F4"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33DDB034" w14:textId="77777777">
      <w:trPr>
        <w:trHeight w:val="245"/>
      </w:trPr>
      <w:tc>
        <w:tcPr>
          <w:tcW w:w="5220" w:type="dxa"/>
          <w:tcMar>
            <w:top w:w="0" w:type="dxa"/>
            <w:left w:w="0" w:type="dxa"/>
            <w:bottom w:w="0" w:type="dxa"/>
            <w:right w:w="0" w:type="dxa"/>
          </w:tcMar>
          <w:vAlign w:val="center"/>
        </w:tcPr>
        <w:p w14:paraId="1B964645"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6F1280A2"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2790437"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5789CE80" w14:textId="77777777">
      <w:trPr>
        <w:trHeight w:val="245"/>
      </w:trPr>
      <w:tc>
        <w:tcPr>
          <w:tcW w:w="5220" w:type="dxa"/>
          <w:tcMar>
            <w:top w:w="0" w:type="dxa"/>
            <w:left w:w="0" w:type="dxa"/>
            <w:bottom w:w="0" w:type="dxa"/>
            <w:right w:w="0" w:type="dxa"/>
          </w:tcMar>
          <w:vAlign w:val="center"/>
        </w:tcPr>
        <w:p w14:paraId="67A38107"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0699DB96"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2E1CE02"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24AF2EB5" w14:textId="77777777">
      <w:trPr>
        <w:trHeight w:val="245"/>
      </w:trPr>
      <w:tc>
        <w:tcPr>
          <w:tcW w:w="5220" w:type="dxa"/>
          <w:tcMar>
            <w:top w:w="0" w:type="dxa"/>
            <w:left w:w="0" w:type="dxa"/>
            <w:bottom w:w="0" w:type="dxa"/>
            <w:right w:w="0" w:type="dxa"/>
          </w:tcMar>
          <w:vAlign w:val="center"/>
        </w:tcPr>
        <w:p w14:paraId="0BA8FBE5"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6CD43982"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9E145C1"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52B08FFE" w14:textId="77777777">
      <w:trPr>
        <w:trHeight w:val="245"/>
      </w:trPr>
      <w:tc>
        <w:tcPr>
          <w:tcW w:w="5220" w:type="dxa"/>
          <w:tcMar>
            <w:top w:w="0" w:type="dxa"/>
            <w:left w:w="0" w:type="dxa"/>
            <w:bottom w:w="0" w:type="dxa"/>
            <w:right w:w="0" w:type="dxa"/>
          </w:tcMar>
          <w:vAlign w:val="center"/>
        </w:tcPr>
        <w:p w14:paraId="323DE916"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0C23C105"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D88F34"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1129A9D2" w14:textId="77777777">
      <w:trPr>
        <w:trHeight w:val="245"/>
      </w:trPr>
      <w:tc>
        <w:tcPr>
          <w:tcW w:w="5220" w:type="dxa"/>
          <w:tcMar>
            <w:top w:w="0" w:type="dxa"/>
            <w:left w:w="0" w:type="dxa"/>
            <w:bottom w:w="0" w:type="dxa"/>
            <w:right w:w="0" w:type="dxa"/>
          </w:tcMar>
          <w:vAlign w:val="center"/>
        </w:tcPr>
        <w:p w14:paraId="48FA6441"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48E4EB74"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9A5714C"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5F6282D9" w14:textId="77777777">
      <w:trPr>
        <w:trHeight w:val="245"/>
      </w:trPr>
      <w:tc>
        <w:tcPr>
          <w:tcW w:w="5220" w:type="dxa"/>
          <w:tcMar>
            <w:top w:w="0" w:type="dxa"/>
            <w:left w:w="0" w:type="dxa"/>
            <w:bottom w:w="0" w:type="dxa"/>
            <w:right w:w="0" w:type="dxa"/>
          </w:tcMar>
          <w:vAlign w:val="center"/>
        </w:tcPr>
        <w:p w14:paraId="3AF862A7"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65ED65AD"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F6C7CE9" w14:textId="77777777" w:rsidR="00701F8C" w:rsidRDefault="00701F8C">
    <w:pPr>
      <w:pStyle w:val="Pieddepage0"/>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CD17C5"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288EF401" w14:textId="77777777">
      <w:trPr>
        <w:trHeight w:val="245"/>
      </w:trPr>
      <w:tc>
        <w:tcPr>
          <w:tcW w:w="5220" w:type="dxa"/>
          <w:tcMar>
            <w:top w:w="0" w:type="dxa"/>
            <w:left w:w="0" w:type="dxa"/>
            <w:bottom w:w="0" w:type="dxa"/>
            <w:right w:w="0" w:type="dxa"/>
          </w:tcMar>
          <w:vAlign w:val="center"/>
        </w:tcPr>
        <w:p w14:paraId="7215C03F"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477D2F5E"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12F463"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25053FF1" w14:textId="77777777">
      <w:trPr>
        <w:trHeight w:val="245"/>
      </w:trPr>
      <w:tc>
        <w:tcPr>
          <w:tcW w:w="5220" w:type="dxa"/>
          <w:tcMar>
            <w:top w:w="0" w:type="dxa"/>
            <w:left w:w="0" w:type="dxa"/>
            <w:bottom w:w="0" w:type="dxa"/>
            <w:right w:w="0" w:type="dxa"/>
          </w:tcMar>
          <w:vAlign w:val="center"/>
        </w:tcPr>
        <w:p w14:paraId="1A3649FE"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2FC14873"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D8668A"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403C2261" w14:textId="77777777">
      <w:trPr>
        <w:trHeight w:val="245"/>
      </w:trPr>
      <w:tc>
        <w:tcPr>
          <w:tcW w:w="5220" w:type="dxa"/>
          <w:tcMar>
            <w:top w:w="0" w:type="dxa"/>
            <w:left w:w="0" w:type="dxa"/>
            <w:bottom w:w="0" w:type="dxa"/>
            <w:right w:w="0" w:type="dxa"/>
          </w:tcMar>
          <w:vAlign w:val="center"/>
        </w:tcPr>
        <w:p w14:paraId="3EE295F9"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15A04322"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47EDFC"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4C4E51D5" w14:textId="77777777">
      <w:trPr>
        <w:trHeight w:val="245"/>
      </w:trPr>
      <w:tc>
        <w:tcPr>
          <w:tcW w:w="5220" w:type="dxa"/>
          <w:tcMar>
            <w:top w:w="0" w:type="dxa"/>
            <w:left w:w="0" w:type="dxa"/>
            <w:bottom w:w="0" w:type="dxa"/>
            <w:right w:w="0" w:type="dxa"/>
          </w:tcMar>
          <w:vAlign w:val="center"/>
        </w:tcPr>
        <w:p w14:paraId="2381A887"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402AFD90"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406742"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1908B9C1" w14:textId="77777777">
      <w:trPr>
        <w:trHeight w:val="245"/>
      </w:trPr>
      <w:tc>
        <w:tcPr>
          <w:tcW w:w="5220" w:type="dxa"/>
          <w:tcMar>
            <w:top w:w="0" w:type="dxa"/>
            <w:left w:w="0" w:type="dxa"/>
            <w:bottom w:w="0" w:type="dxa"/>
            <w:right w:w="0" w:type="dxa"/>
          </w:tcMar>
          <w:vAlign w:val="center"/>
        </w:tcPr>
        <w:p w14:paraId="46C628F7"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3B1E6B57"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696710"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34AFC94A" w14:textId="77777777">
      <w:trPr>
        <w:trHeight w:val="245"/>
      </w:trPr>
      <w:tc>
        <w:tcPr>
          <w:tcW w:w="5220" w:type="dxa"/>
          <w:tcMar>
            <w:top w:w="0" w:type="dxa"/>
            <w:left w:w="0" w:type="dxa"/>
            <w:bottom w:w="0" w:type="dxa"/>
            <w:right w:w="0" w:type="dxa"/>
          </w:tcMar>
          <w:vAlign w:val="center"/>
        </w:tcPr>
        <w:p w14:paraId="48A3C061"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4D1834D6"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2FCB0D"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6B4899CD" w14:textId="77777777">
      <w:trPr>
        <w:trHeight w:val="245"/>
      </w:trPr>
      <w:tc>
        <w:tcPr>
          <w:tcW w:w="5220" w:type="dxa"/>
          <w:tcMar>
            <w:top w:w="0" w:type="dxa"/>
            <w:left w:w="0" w:type="dxa"/>
            <w:bottom w:w="0" w:type="dxa"/>
            <w:right w:w="0" w:type="dxa"/>
          </w:tcMar>
          <w:vAlign w:val="center"/>
        </w:tcPr>
        <w:p w14:paraId="368D607B"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68BB0F58"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3C67229"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44B4F9A3" w14:textId="77777777">
      <w:trPr>
        <w:trHeight w:val="245"/>
      </w:trPr>
      <w:tc>
        <w:tcPr>
          <w:tcW w:w="5220" w:type="dxa"/>
          <w:tcMar>
            <w:top w:w="0" w:type="dxa"/>
            <w:left w:w="0" w:type="dxa"/>
            <w:bottom w:w="0" w:type="dxa"/>
            <w:right w:w="0" w:type="dxa"/>
          </w:tcMar>
          <w:vAlign w:val="center"/>
        </w:tcPr>
        <w:p w14:paraId="1F1681FD"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3D857A63"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4FEF788"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1ABB6BEB" w14:textId="77777777">
      <w:trPr>
        <w:trHeight w:val="245"/>
      </w:trPr>
      <w:tc>
        <w:tcPr>
          <w:tcW w:w="5220" w:type="dxa"/>
          <w:tcMar>
            <w:top w:w="0" w:type="dxa"/>
            <w:left w:w="0" w:type="dxa"/>
            <w:bottom w:w="0" w:type="dxa"/>
            <w:right w:w="0" w:type="dxa"/>
          </w:tcMar>
          <w:vAlign w:val="center"/>
        </w:tcPr>
        <w:p w14:paraId="546B0E85"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2A18F6A9"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AB44B0"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7F0AACA8" w14:textId="77777777">
      <w:trPr>
        <w:trHeight w:val="245"/>
      </w:trPr>
      <w:tc>
        <w:tcPr>
          <w:tcW w:w="5220" w:type="dxa"/>
          <w:tcMar>
            <w:top w:w="0" w:type="dxa"/>
            <w:left w:w="0" w:type="dxa"/>
            <w:bottom w:w="0" w:type="dxa"/>
            <w:right w:w="0" w:type="dxa"/>
          </w:tcMar>
          <w:vAlign w:val="center"/>
        </w:tcPr>
        <w:p w14:paraId="1076DF05"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3B567671"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E71936C" w14:textId="77777777" w:rsidR="00701F8C" w:rsidRDefault="00701F8C">
    <w:pPr>
      <w:pStyle w:val="Pieddepage0"/>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B1C38C"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69CE5614" w14:textId="77777777">
      <w:trPr>
        <w:trHeight w:val="245"/>
      </w:trPr>
      <w:tc>
        <w:tcPr>
          <w:tcW w:w="5220" w:type="dxa"/>
          <w:tcMar>
            <w:top w:w="0" w:type="dxa"/>
            <w:left w:w="0" w:type="dxa"/>
            <w:bottom w:w="0" w:type="dxa"/>
            <w:right w:w="0" w:type="dxa"/>
          </w:tcMar>
          <w:vAlign w:val="center"/>
        </w:tcPr>
        <w:p w14:paraId="5FA79D89"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3C537C24"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6D8018"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0A9AD5A0" w14:textId="77777777">
      <w:trPr>
        <w:trHeight w:val="245"/>
      </w:trPr>
      <w:tc>
        <w:tcPr>
          <w:tcW w:w="5220" w:type="dxa"/>
          <w:tcMar>
            <w:top w:w="0" w:type="dxa"/>
            <w:left w:w="0" w:type="dxa"/>
            <w:bottom w:w="0" w:type="dxa"/>
            <w:right w:w="0" w:type="dxa"/>
          </w:tcMar>
          <w:vAlign w:val="center"/>
        </w:tcPr>
        <w:p w14:paraId="40D7F867"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38615F89"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99A7D39"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4B112DE6" w14:textId="77777777">
      <w:trPr>
        <w:trHeight w:val="245"/>
      </w:trPr>
      <w:tc>
        <w:tcPr>
          <w:tcW w:w="5220" w:type="dxa"/>
          <w:tcMar>
            <w:top w:w="0" w:type="dxa"/>
            <w:left w:w="0" w:type="dxa"/>
            <w:bottom w:w="0" w:type="dxa"/>
            <w:right w:w="0" w:type="dxa"/>
          </w:tcMar>
          <w:vAlign w:val="center"/>
        </w:tcPr>
        <w:p w14:paraId="36C2EA2B"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6E9E5433"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4DF2128"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23D206AC" w14:textId="77777777">
      <w:trPr>
        <w:trHeight w:val="245"/>
      </w:trPr>
      <w:tc>
        <w:tcPr>
          <w:tcW w:w="5220" w:type="dxa"/>
          <w:tcMar>
            <w:top w:w="0" w:type="dxa"/>
            <w:left w:w="0" w:type="dxa"/>
            <w:bottom w:w="0" w:type="dxa"/>
            <w:right w:w="0" w:type="dxa"/>
          </w:tcMar>
          <w:vAlign w:val="center"/>
        </w:tcPr>
        <w:p w14:paraId="6F07BD3E"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16F3D8D4"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9A3D570"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5D357E08" w14:textId="77777777">
      <w:trPr>
        <w:trHeight w:val="245"/>
      </w:trPr>
      <w:tc>
        <w:tcPr>
          <w:tcW w:w="5220" w:type="dxa"/>
          <w:tcMar>
            <w:top w:w="0" w:type="dxa"/>
            <w:left w:w="0" w:type="dxa"/>
            <w:bottom w:w="0" w:type="dxa"/>
            <w:right w:w="0" w:type="dxa"/>
          </w:tcMar>
          <w:vAlign w:val="center"/>
        </w:tcPr>
        <w:p w14:paraId="7D401A14"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1F355CCA"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C624DF"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4D9BB53D" w14:textId="77777777">
      <w:trPr>
        <w:trHeight w:val="245"/>
      </w:trPr>
      <w:tc>
        <w:tcPr>
          <w:tcW w:w="5220" w:type="dxa"/>
          <w:tcMar>
            <w:top w:w="0" w:type="dxa"/>
            <w:left w:w="0" w:type="dxa"/>
            <w:bottom w:w="0" w:type="dxa"/>
            <w:right w:w="0" w:type="dxa"/>
          </w:tcMar>
          <w:vAlign w:val="center"/>
        </w:tcPr>
        <w:p w14:paraId="24815807"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111AD64B"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B00BDF6"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2E875963" w14:textId="77777777">
      <w:trPr>
        <w:trHeight w:val="245"/>
      </w:trPr>
      <w:tc>
        <w:tcPr>
          <w:tcW w:w="5220" w:type="dxa"/>
          <w:tcMar>
            <w:top w:w="0" w:type="dxa"/>
            <w:left w:w="0" w:type="dxa"/>
            <w:bottom w:w="0" w:type="dxa"/>
            <w:right w:w="0" w:type="dxa"/>
          </w:tcMar>
          <w:vAlign w:val="center"/>
        </w:tcPr>
        <w:p w14:paraId="368431AD"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0872933E"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11BCD2"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2EF5F382" w14:textId="77777777">
      <w:trPr>
        <w:trHeight w:val="245"/>
      </w:trPr>
      <w:tc>
        <w:tcPr>
          <w:tcW w:w="5220" w:type="dxa"/>
          <w:tcMar>
            <w:top w:w="0" w:type="dxa"/>
            <w:left w:w="0" w:type="dxa"/>
            <w:bottom w:w="0" w:type="dxa"/>
            <w:right w:w="0" w:type="dxa"/>
          </w:tcMar>
          <w:vAlign w:val="center"/>
        </w:tcPr>
        <w:p w14:paraId="4585A52C"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331E5D81"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3580C0"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0A684402" w14:textId="77777777">
      <w:trPr>
        <w:trHeight w:val="245"/>
      </w:trPr>
      <w:tc>
        <w:tcPr>
          <w:tcW w:w="5220" w:type="dxa"/>
          <w:tcMar>
            <w:top w:w="0" w:type="dxa"/>
            <w:left w:w="0" w:type="dxa"/>
            <w:bottom w:w="0" w:type="dxa"/>
            <w:right w:w="0" w:type="dxa"/>
          </w:tcMar>
          <w:vAlign w:val="center"/>
        </w:tcPr>
        <w:p w14:paraId="0D9916FA"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45132466"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2C1A8A"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7AB4AFA2" w14:textId="77777777">
      <w:trPr>
        <w:trHeight w:val="245"/>
      </w:trPr>
      <w:tc>
        <w:tcPr>
          <w:tcW w:w="5220" w:type="dxa"/>
          <w:tcMar>
            <w:top w:w="0" w:type="dxa"/>
            <w:left w:w="0" w:type="dxa"/>
            <w:bottom w:w="0" w:type="dxa"/>
            <w:right w:w="0" w:type="dxa"/>
          </w:tcMar>
          <w:vAlign w:val="center"/>
        </w:tcPr>
        <w:p w14:paraId="3103098F"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5C927C3A"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CA48EBC"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2646D20D" w14:textId="77777777">
      <w:trPr>
        <w:trHeight w:val="245"/>
      </w:trPr>
      <w:tc>
        <w:tcPr>
          <w:tcW w:w="5220" w:type="dxa"/>
          <w:tcMar>
            <w:top w:w="0" w:type="dxa"/>
            <w:left w:w="0" w:type="dxa"/>
            <w:bottom w:w="0" w:type="dxa"/>
            <w:right w:w="0" w:type="dxa"/>
          </w:tcMar>
          <w:vAlign w:val="center"/>
        </w:tcPr>
        <w:p w14:paraId="60049910"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2B70ED28"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5A34D2B" w14:textId="77777777" w:rsidR="00D03000" w:rsidRDefault="00D03000">
    <w:pPr>
      <w:spacing w:line="240" w:lineRule="exact"/>
    </w:pPr>
  </w:p>
  <w:tbl>
    <w:tblPr>
      <w:tblW w:w="0" w:type="auto"/>
      <w:tblLayout w:type="fixed"/>
      <w:tblLook w:val="04A0" w:firstRow="1" w:lastRow="0" w:firstColumn="1" w:lastColumn="0" w:noHBand="0" w:noVBand="1"/>
    </w:tblPr>
    <w:tblGrid>
      <w:gridCol w:w="5220"/>
      <w:gridCol w:w="4400"/>
    </w:tblGrid>
    <w:tr w:rsidR="00D03000" w14:paraId="5CE3EF0F" w14:textId="77777777">
      <w:trPr>
        <w:trHeight w:val="245"/>
      </w:trPr>
      <w:tc>
        <w:tcPr>
          <w:tcW w:w="5220" w:type="dxa"/>
          <w:tcMar>
            <w:top w:w="0" w:type="dxa"/>
            <w:left w:w="0" w:type="dxa"/>
            <w:bottom w:w="0" w:type="dxa"/>
            <w:right w:w="0" w:type="dxa"/>
          </w:tcMar>
          <w:vAlign w:val="center"/>
        </w:tcPr>
        <w:p w14:paraId="04D435B4" w14:textId="77777777" w:rsidR="00D03000" w:rsidRDefault="00000000">
          <w:pPr>
            <w:pStyle w:val="PiedDePage"/>
            <w:rPr>
              <w:color w:val="000000"/>
              <w:lang w:val="fr-FR"/>
            </w:rPr>
          </w:pPr>
          <w:r>
            <w:rPr>
              <w:color w:val="000000"/>
              <w:lang w:val="fr-FR"/>
            </w:rPr>
            <w:t>Consultation n°: 26DAI0020</w:t>
          </w:r>
        </w:p>
      </w:tc>
      <w:tc>
        <w:tcPr>
          <w:tcW w:w="4400" w:type="dxa"/>
          <w:tcMar>
            <w:top w:w="0" w:type="dxa"/>
            <w:left w:w="0" w:type="dxa"/>
            <w:bottom w:w="0" w:type="dxa"/>
            <w:right w:w="0" w:type="dxa"/>
          </w:tcMar>
          <w:vAlign w:val="center"/>
        </w:tcPr>
        <w:p w14:paraId="5C1CEE04" w14:textId="77777777" w:rsidR="00D03000"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47</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BA3A3B2" w14:textId="77777777" w:rsidR="00DB7CA6" w:rsidRDefault="00DB7CA6">
      <w:r>
        <w:separator/>
      </w:r>
    </w:p>
  </w:footnote>
  <w:footnote w:type="continuationSeparator" w:id="0">
    <w:p w14:paraId="133AF1AE" w14:textId="77777777" w:rsidR="00DB7CA6" w:rsidRDefault="00DB7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E83E89D" w14:textId="77777777" w:rsidR="00701F8C" w:rsidRDefault="00701F8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163DE2D" w14:textId="77777777" w:rsidR="00701F8C" w:rsidRDefault="00701F8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C5A307" w14:textId="77777777" w:rsidR="00701F8C" w:rsidRDefault="00701F8C">
    <w:pPr>
      <w:pStyle w:val="En-tte"/>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03000"/>
    <w:rsid w:val="00110DA2"/>
    <w:rsid w:val="003D2BDC"/>
    <w:rsid w:val="005D5B0F"/>
    <w:rsid w:val="00701F8C"/>
    <w:rsid w:val="00D03000"/>
    <w:rsid w:val="00DB7C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0393D5"/>
  <w15:docId w15:val="{13F3FE86-FD7B-BA44-929A-7C15CE3EE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paragraph" w:styleId="Titre3">
    <w:name w:val="heading 3"/>
    <w:basedOn w:val="Normal"/>
    <w:next w:val="Normal"/>
    <w:qFormat/>
    <w:rsid w:val="00EF7B96"/>
    <w:pPr>
      <w:keepNext/>
      <w:spacing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ParagrapheIndent3">
    <w:name w:val="ParagrapheIndent3"/>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TM3">
    <w:name w:val="toc 3"/>
    <w:basedOn w:val="Normal"/>
    <w:next w:val="Normal"/>
    <w:autoRedefine/>
    <w:uiPriority w:val="39"/>
    <w:rsid w:val="00805BCE"/>
    <w:pPr>
      <w:ind w:left="480"/>
    </w:pPr>
  </w:style>
  <w:style w:type="character" w:customStyle="1" w:styleId="Titre2Car">
    <w:name w:val="Titre 2 Car"/>
    <w:basedOn w:val="Policepardfaut"/>
    <w:link w:val="Titre2"/>
    <w:rsid w:val="00701F8C"/>
    <w:rPr>
      <w:rFonts w:ascii="Arial" w:hAnsi="Arial" w:cs="Arial"/>
      <w:b/>
      <w:bCs/>
      <w:i/>
      <w:iCs/>
      <w:sz w:val="28"/>
      <w:szCs w:val="28"/>
    </w:rPr>
  </w:style>
  <w:style w:type="paragraph" w:styleId="En-tte">
    <w:name w:val="header"/>
    <w:basedOn w:val="Normal"/>
    <w:link w:val="En-tteCar"/>
    <w:rsid w:val="00701F8C"/>
    <w:pPr>
      <w:tabs>
        <w:tab w:val="center" w:pos="4536"/>
        <w:tab w:val="right" w:pos="9072"/>
      </w:tabs>
    </w:pPr>
  </w:style>
  <w:style w:type="character" w:customStyle="1" w:styleId="En-tteCar">
    <w:name w:val="En-tête Car"/>
    <w:basedOn w:val="Policepardfaut"/>
    <w:link w:val="En-tte"/>
    <w:rsid w:val="00701F8C"/>
    <w:rPr>
      <w:sz w:val="24"/>
      <w:szCs w:val="24"/>
    </w:rPr>
  </w:style>
  <w:style w:type="paragraph" w:styleId="Pieddepage0">
    <w:name w:val="footer"/>
    <w:basedOn w:val="Normal"/>
    <w:link w:val="PieddepageCar"/>
    <w:rsid w:val="00701F8C"/>
    <w:pPr>
      <w:tabs>
        <w:tab w:val="center" w:pos="4536"/>
        <w:tab w:val="right" w:pos="9072"/>
      </w:tabs>
    </w:pPr>
  </w:style>
  <w:style w:type="character" w:customStyle="1" w:styleId="PieddepageCar">
    <w:name w:val="Pied de page Car"/>
    <w:basedOn w:val="Policepardfaut"/>
    <w:link w:val="Pieddepage0"/>
    <w:rsid w:val="00701F8C"/>
    <w:rPr>
      <w:sz w:val="24"/>
      <w:szCs w:val="24"/>
    </w:rPr>
  </w:style>
  <w:style w:type="paragraph" w:styleId="Rvision">
    <w:name w:val="Revision"/>
    <w:hidden/>
    <w:uiPriority w:val="99"/>
    <w:semiHidden/>
    <w:rsid w:val="003D2BD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communaute.chorus-pro.gouv.fr/emetteur-de-factures-electroniques/" TargetMode="External"/><Relationship Id="rId21" Type="http://schemas.openxmlformats.org/officeDocument/2006/relationships/image" Target="media/image10.png"/><Relationship Id="rId42" Type="http://schemas.openxmlformats.org/officeDocument/2006/relationships/hyperlink" Target="https://app.marcoweb.fr/Marco/pages/param/clauses/suiviClauses.seam?activeEditModeRequest=false&amp;setupController=false" TargetMode="External"/><Relationship Id="rId47" Type="http://schemas.openxmlformats.org/officeDocument/2006/relationships/hyperlink" Target="https://app.marcoweb.fr/Marco/pages/param/clauses/suiviClauses.seam?activeEditModeRequest=false&amp;setupController=false" TargetMode="External"/><Relationship Id="rId63" Type="http://schemas.openxmlformats.org/officeDocument/2006/relationships/hyperlink" Target="https://app.marcoweb.fr/Marco/pages/param/clauses/suiviClauses.seam?activeEditModeRequest=false&amp;setupController=false" TargetMode="External"/><Relationship Id="rId68" Type="http://schemas.openxmlformats.org/officeDocument/2006/relationships/footer" Target="footer26.xml"/><Relationship Id="rId84" Type="http://schemas.openxmlformats.org/officeDocument/2006/relationships/customXml" Target="../customXml/item3.xml"/><Relationship Id="rId16" Type="http://schemas.openxmlformats.org/officeDocument/2006/relationships/image" Target="media/image5.png"/><Relationship Id="rId11" Type="http://schemas.openxmlformats.org/officeDocument/2006/relationships/header" Target="header3.xml"/><Relationship Id="rId32" Type="http://schemas.openxmlformats.org/officeDocument/2006/relationships/footer" Target="footer12.xml"/><Relationship Id="rId37" Type="http://schemas.openxmlformats.org/officeDocument/2006/relationships/footer" Target="footer15.xml"/><Relationship Id="rId53" Type="http://schemas.openxmlformats.org/officeDocument/2006/relationships/footer" Target="footer18.xml"/><Relationship Id="rId58" Type="http://schemas.openxmlformats.org/officeDocument/2006/relationships/hyperlink" Target="https://app.marcoweb.fr/Marco/pages/param/clauses/suiviClauses.seam?activeEditModeRequest=false&amp;setupController=false" TargetMode="External"/><Relationship Id="rId74" Type="http://schemas.openxmlformats.org/officeDocument/2006/relationships/footer" Target="footer30.xml"/><Relationship Id="rId79" Type="http://schemas.openxmlformats.org/officeDocument/2006/relationships/footer" Target="footer35.xml"/><Relationship Id="rId5" Type="http://schemas.openxmlformats.org/officeDocument/2006/relationships/endnotes" Target="endnotes.xml"/><Relationship Id="rId61" Type="http://schemas.openxmlformats.org/officeDocument/2006/relationships/footer" Target="footer22.xml"/><Relationship Id="rId82" Type="http://schemas.openxmlformats.org/officeDocument/2006/relationships/customXml" Target="../customXml/item1.xml"/><Relationship Id="rId19" Type="http://schemas.openxmlformats.org/officeDocument/2006/relationships/image" Target="media/image8.png"/><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7.xml"/><Relationship Id="rId30" Type="http://schemas.openxmlformats.org/officeDocument/2006/relationships/footer" Target="footer10.xml"/><Relationship Id="rId35" Type="http://schemas.openxmlformats.org/officeDocument/2006/relationships/footer" Target="footer14.xml"/><Relationship Id="rId43" Type="http://schemas.openxmlformats.org/officeDocument/2006/relationships/hyperlink" Target="https://app.marcoweb.fr/Marco/pages/param/clauses/suiviClauses.seam?activeEditModeRequest=false&amp;setupController=false" TargetMode="External"/><Relationship Id="rId48" Type="http://schemas.openxmlformats.org/officeDocument/2006/relationships/hyperlink" Target="https://app.marcoweb.fr/Marco/pages/param/clauses/suiviClauses.seam?activeEditModeRequest=false&amp;setupController=false" TargetMode="External"/><Relationship Id="rId56" Type="http://schemas.openxmlformats.org/officeDocument/2006/relationships/footer" Target="footer19.xml"/><Relationship Id="rId64" Type="http://schemas.openxmlformats.org/officeDocument/2006/relationships/footer" Target="footer24.xml"/><Relationship Id="rId69" Type="http://schemas.openxmlformats.org/officeDocument/2006/relationships/hyperlink" Target="http://fr.wikipedia.org/wiki/Gros_%C5%93uvre" TargetMode="External"/><Relationship Id="rId77" Type="http://schemas.openxmlformats.org/officeDocument/2006/relationships/footer" Target="footer33.xml"/><Relationship Id="rId8" Type="http://schemas.openxmlformats.org/officeDocument/2006/relationships/header" Target="header2.xml"/><Relationship Id="rId51" Type="http://schemas.openxmlformats.org/officeDocument/2006/relationships/hyperlink" Target="https://app.marcoweb.fr/Marco/pages/param/clauses/suiviClauses.seam?activeEditModeRequest=false&amp;setupController=false" TargetMode="External"/><Relationship Id="rId72" Type="http://schemas.openxmlformats.org/officeDocument/2006/relationships/footer" Target="footer28.xml"/><Relationship Id="rId80"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image" Target="media/image6.png"/><Relationship Id="rId25" Type="http://schemas.openxmlformats.org/officeDocument/2006/relationships/footer" Target="footer6.xml"/><Relationship Id="rId33" Type="http://schemas.openxmlformats.org/officeDocument/2006/relationships/footer" Target="footer13.xml"/><Relationship Id="rId38" Type="http://schemas.openxmlformats.org/officeDocument/2006/relationships/footer" Target="footer16.xml"/><Relationship Id="rId46" Type="http://schemas.openxmlformats.org/officeDocument/2006/relationships/hyperlink" Target="https://app.marcoweb.fr/Marco/pages/param/clauses/suiviClauses.seam?activeEditModeRequest=false&amp;setupController=false" TargetMode="External"/><Relationship Id="rId59" Type="http://schemas.openxmlformats.org/officeDocument/2006/relationships/hyperlink" Target="https://app.marcoweb.fr/Marco/pages/param/clauses/suiviClauses.seam?activeEditModeRequest=false&amp;setupController=false" TargetMode="External"/><Relationship Id="rId67" Type="http://schemas.openxmlformats.org/officeDocument/2006/relationships/hyperlink" Target="http://fr.wikipedia.org/wiki/Diagnostic_de_performance_%C3%A9nerg%C3%A9tique" TargetMode="External"/><Relationship Id="rId20" Type="http://schemas.openxmlformats.org/officeDocument/2006/relationships/image" Target="media/image9.png"/><Relationship Id="rId41" Type="http://schemas.openxmlformats.org/officeDocument/2006/relationships/hyperlink" Target="https://app.marcoweb.fr/Marco/pages/param/clauses/suiviClauses.seam?activeEditModeRequest=false&amp;setupController=false" TargetMode="External"/><Relationship Id="rId54" Type="http://schemas.openxmlformats.org/officeDocument/2006/relationships/hyperlink" Target="https://app.marcoweb.fr/Marco/pages/param/clauses/suiviClauses.seam?activeEditModeRequest=false&amp;setupController=false" TargetMode="External"/><Relationship Id="rId62" Type="http://schemas.openxmlformats.org/officeDocument/2006/relationships/footer" Target="footer23.xml"/><Relationship Id="rId70" Type="http://schemas.openxmlformats.org/officeDocument/2006/relationships/hyperlink" Target="http://fr.wikipedia.org/wiki/G%C3%A9nie_civil" TargetMode="External"/><Relationship Id="rId75" Type="http://schemas.openxmlformats.org/officeDocument/2006/relationships/footer" Target="footer31.xml"/><Relationship Id="rId83"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image" Target="media/image4.png"/><Relationship Id="rId23" Type="http://schemas.openxmlformats.org/officeDocument/2006/relationships/footer" Target="footer4.xml"/><Relationship Id="rId28" Type="http://schemas.openxmlformats.org/officeDocument/2006/relationships/footer" Target="footer8.xml"/><Relationship Id="rId36" Type="http://schemas.openxmlformats.org/officeDocument/2006/relationships/hyperlink" Target="mailto:mediateur-fournisseurs@justice.gouv.fr" TargetMode="External"/><Relationship Id="rId49" Type="http://schemas.openxmlformats.org/officeDocument/2006/relationships/hyperlink" Target="https://app.marcoweb.fr/Marco/pages/param/clauses/suiviClauses.seam?activeEditModeRequest=false&amp;setupController=false" TargetMode="External"/><Relationship Id="rId57" Type="http://schemas.openxmlformats.org/officeDocument/2006/relationships/footer" Target="footer20.xml"/><Relationship Id="rId10" Type="http://schemas.openxmlformats.org/officeDocument/2006/relationships/footer" Target="footer2.xml"/><Relationship Id="rId31" Type="http://schemas.openxmlformats.org/officeDocument/2006/relationships/footer" Target="footer11.xml"/><Relationship Id="rId44" Type="http://schemas.openxmlformats.org/officeDocument/2006/relationships/hyperlink" Target="https://app.marcoweb.fr/Marco/pages/param/clauses/suiviClauses.seam?activeEditModeRequest=false&amp;setupController=false" TargetMode="External"/><Relationship Id="rId52" Type="http://schemas.openxmlformats.org/officeDocument/2006/relationships/hyperlink" Target="https://app.marcoweb.fr/Marco/pages/param/clauses/suiviClauses.seam?activeEditModeRequest=false&amp;setupController=false" TargetMode="External"/><Relationship Id="rId60" Type="http://schemas.openxmlformats.org/officeDocument/2006/relationships/footer" Target="footer21.xml"/><Relationship Id="rId65" Type="http://schemas.openxmlformats.org/officeDocument/2006/relationships/hyperlink" Target="https://app.marcoweb.fr/Marco/pages/param/clauses/suiviClauses.seam?activeEditModeRequest=false&amp;setupController=false" TargetMode="External"/><Relationship Id="rId73" Type="http://schemas.openxmlformats.org/officeDocument/2006/relationships/footer" Target="footer29.xml"/><Relationship Id="rId78" Type="http://schemas.openxmlformats.org/officeDocument/2006/relationships/footer" Target="footer34.xml"/><Relationship Id="rId8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image" Target="media/image7.png"/><Relationship Id="rId39" Type="http://schemas.openxmlformats.org/officeDocument/2006/relationships/footer" Target="footer17.xml"/><Relationship Id="rId34" Type="http://schemas.openxmlformats.org/officeDocument/2006/relationships/hyperlink" Target="http://www.rfar.fr" TargetMode="External"/><Relationship Id="rId50" Type="http://schemas.openxmlformats.org/officeDocument/2006/relationships/hyperlink" Target="https://app.marcoweb.fr/Marco/pages/param/clauses/suiviClauses.seam?activeEditModeRequest=false&amp;setupController=false" TargetMode="External"/><Relationship Id="rId55" Type="http://schemas.openxmlformats.org/officeDocument/2006/relationships/hyperlink" Target="https://app.marcoweb.fr/Marco/pages/param/clauses/suiviClauses.seam?activeEditModeRequest=false&amp;setupController=false" TargetMode="External"/><Relationship Id="rId76" Type="http://schemas.openxmlformats.org/officeDocument/2006/relationships/footer" Target="footer32.xml"/><Relationship Id="rId7" Type="http://schemas.openxmlformats.org/officeDocument/2006/relationships/header" Target="header1.xml"/><Relationship Id="rId71" Type="http://schemas.openxmlformats.org/officeDocument/2006/relationships/footer" Target="footer27.xml"/><Relationship Id="rId2" Type="http://schemas.openxmlformats.org/officeDocument/2006/relationships/settings" Target="settings.xml"/><Relationship Id="rId29" Type="http://schemas.openxmlformats.org/officeDocument/2006/relationships/footer" Target="footer9.xml"/><Relationship Id="rId24" Type="http://schemas.openxmlformats.org/officeDocument/2006/relationships/footer" Target="footer5.xml"/><Relationship Id="rId40" Type="http://schemas.openxmlformats.org/officeDocument/2006/relationships/hyperlink" Target="https://app.marcoweb.fr/Marco/pages/param/clauses/suiviClauses.seam?activeEditModeRequest=false&amp;setupController=false" TargetMode="External"/><Relationship Id="rId45" Type="http://schemas.openxmlformats.org/officeDocument/2006/relationships/hyperlink" Target="https://app.marcoweb.fr/Marco/pages/param/clauses/suiviClauses.seam?activeEditModeRequest=false&amp;setupController=false" TargetMode="External"/><Relationship Id="rId66" Type="http://schemas.openxmlformats.org/officeDocument/2006/relationships/footer" Target="foot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BAD6845-B84D-0641-9EAA-3636476CCA7B}">
  <we:reference id="WA200010453" version="1.0.0.1" store="Omex" storeType="OMEX"/>
  <we:alternateReferences>
    <we:reference id="WA200010453" version="1.0.0.1" store="WA200010453" storeType="OMEX"/>
  </we:alternateReferences>
  <we:properties>
    <we:property name="claude.fileId" value="&quot;a2b46ffb-d766-42dc-a2dd-6b9f4c01746c&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9C40E4FDC5D643A241FC9A6A66113D" ma:contentTypeVersion="13" ma:contentTypeDescription="Crée un document." ma:contentTypeScope="" ma:versionID="217e8bc85fad5e4aee4dcc4e66f7e5b2">
  <xsd:schema xmlns:xsd="http://www.w3.org/2001/XMLSchema" xmlns:xs="http://www.w3.org/2001/XMLSchema" xmlns:p="http://schemas.microsoft.com/office/2006/metadata/properties" xmlns:ns2="b4e1f672-7b36-44a3-9ca7-8ea57d173aa2" xmlns:ns3="22784faa-bbee-4ed1-ae0d-0f2bcc4a1f45" targetNamespace="http://schemas.microsoft.com/office/2006/metadata/properties" ma:root="true" ma:fieldsID="baff3cceedfab48b1d03926d9d14b2a9" ns2:_="" ns3:_="">
    <xsd:import namespace="b4e1f672-7b36-44a3-9ca7-8ea57d173aa2"/>
    <xsd:import namespace="22784faa-bbee-4ed1-ae0d-0f2bcc4a1f4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e1f672-7b36-44a3-9ca7-8ea57d173a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488243b5-e503-4a21-9060-2e13627b7bf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784faa-bbee-4ed1-ae0d-0f2bcc4a1f4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4fa55a5-a429-4321-baa5-962f7efc2515}" ma:internalName="TaxCatchAll" ma:showField="CatchAllData" ma:web="22784faa-bbee-4ed1-ae0d-0f2bcc4a1f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784faa-bbee-4ed1-ae0d-0f2bcc4a1f45" xsi:nil="true"/>
    <lcf76f155ced4ddcb4097134ff3c332f xmlns="b4e1f672-7b36-44a3-9ca7-8ea57d173a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0DAF70-1DE7-4BEF-9551-DCEE68298AA3}"/>
</file>

<file path=customXml/itemProps2.xml><?xml version="1.0" encoding="utf-8"?>
<ds:datastoreItem xmlns:ds="http://schemas.openxmlformats.org/officeDocument/2006/customXml" ds:itemID="{EF6B1AB7-717A-469C-AFDA-D48D9B024478}"/>
</file>

<file path=customXml/itemProps3.xml><?xml version="1.0" encoding="utf-8"?>
<ds:datastoreItem xmlns:ds="http://schemas.openxmlformats.org/officeDocument/2006/customXml" ds:itemID="{5688D010-E92F-4BE1-9629-6C83A81B40AC}"/>
</file>

<file path=docProps/app.xml><?xml version="1.0" encoding="utf-8"?>
<Properties xmlns="http://schemas.openxmlformats.org/officeDocument/2006/extended-properties" xmlns:vt="http://schemas.openxmlformats.org/officeDocument/2006/docPropsVTypes">
  <Template>Normal.dotm</Template>
  <TotalTime>25</TotalTime>
  <Pages>39</Pages>
  <Words>14142</Words>
  <Characters>82874</Characters>
  <Application>Microsoft Office Word</Application>
  <DocSecurity>0</DocSecurity>
  <Lines>1404</Lines>
  <Paragraphs>866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Flavien DELIMARD</cp:lastModifiedBy>
  <cp:revision>4</cp:revision>
  <cp:lastPrinted>2026-06-26T08:54:00Z</cp:lastPrinted>
  <dcterms:created xsi:type="dcterms:W3CDTF">2026-06-26T08:19:00Z</dcterms:created>
  <dcterms:modified xsi:type="dcterms:W3CDTF">2026-06-26T09:54:00Z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0x010100989C40E4FDC5D643A241FC9A6A66113D</vt:lpwstr>
  </property>
</Properties>
</file>