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6F4" w:rsidRDefault="00A4462F" w:rsidP="00A4462F">
      <w:pPr>
        <w:jc w:val="center"/>
      </w:pPr>
      <w:r>
        <w:t>Règlement de la consultation</w:t>
      </w:r>
      <w:bookmarkStart w:id="0" w:name="_GoBack"/>
      <w:bookmarkEnd w:id="0"/>
    </w:p>
    <w:sectPr w:rsidR="00627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2F"/>
    <w:rsid w:val="006276F4"/>
    <w:rsid w:val="00A4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D446"/>
  <w15:chartTrackingRefBased/>
  <w15:docId w15:val="{56587B4B-361A-498F-9536-AC7C7E41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des Armées</Company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POIDEVIN Alexandre SA CN MINDEF</dc:creator>
  <cp:keywords/>
  <dc:description/>
  <cp:lastModifiedBy>POIDEVIN Alexandre SA CN MINDEF</cp:lastModifiedBy>
  <cp:revision>1</cp:revision>
  <dcterms:created xsi:type="dcterms:W3CDTF">2026-06-25T12:44:00Z</dcterms:created>
  <dcterms:modified xsi:type="dcterms:W3CDTF">2026-06-25T12:47:00Z</dcterms:modified>
</cp:coreProperties>
</file>