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FC023" w14:textId="77777777" w:rsidR="004D080B" w:rsidRDefault="004D080B"/>
    <w:p w14:paraId="19CAC1EE" w14:textId="77777777" w:rsidR="004D080B" w:rsidRDefault="004D080B"/>
    <w:p w14:paraId="127E7851" w14:textId="77777777" w:rsidR="004D080B" w:rsidRDefault="004D080B"/>
    <w:p w14:paraId="18DA7F63" w14:textId="77777777" w:rsidR="004D080B" w:rsidRDefault="004D080B"/>
    <w:p w14:paraId="1155C924" w14:textId="7C59717E" w:rsidR="004C1A2B" w:rsidRPr="00A25D8A" w:rsidRDefault="00A06126" w:rsidP="00D75E7A">
      <w:pPr>
        <w:pStyle w:val="ATIHSous-titredurapport"/>
        <w:ind w:left="1701"/>
      </w:pPr>
      <w:r w:rsidRPr="00A25D8A">
        <w:t>Règlement de consultation</w:t>
      </w:r>
    </w:p>
    <w:p w14:paraId="0B0FCAB9" w14:textId="2F52807D" w:rsidR="004D080B" w:rsidRPr="00A25D8A" w:rsidRDefault="00692440" w:rsidP="00D75E7A">
      <w:pPr>
        <w:pStyle w:val="ATIHSous-titredurapport"/>
        <w:ind w:left="1701"/>
      </w:pPr>
      <w:r w:rsidRPr="00A25D8A">
        <w:t>Procédure n°</w:t>
      </w:r>
      <w:r w:rsidR="00D75E7A" w:rsidRPr="00A25D8A">
        <w:t>2026-2603067001</w:t>
      </w:r>
    </w:p>
    <w:p w14:paraId="77E0DF77" w14:textId="77777777" w:rsidR="004C1A2B" w:rsidRPr="00A25D8A" w:rsidRDefault="004C1A2B" w:rsidP="004C1A2B"/>
    <w:p w14:paraId="08E9C448" w14:textId="77777777" w:rsidR="00692440" w:rsidRPr="00A25D8A" w:rsidRDefault="00692440" w:rsidP="00692440"/>
    <w:p w14:paraId="0B1BAEF0" w14:textId="77777777" w:rsidR="004C1A2B" w:rsidRPr="00A25D8A" w:rsidRDefault="004C1A2B" w:rsidP="00692440"/>
    <w:p w14:paraId="0F0B13A5" w14:textId="77777777" w:rsidR="00D75E7A" w:rsidRPr="00A25D8A" w:rsidRDefault="00D75E7A" w:rsidP="00D75E7A">
      <w:pPr>
        <w:pStyle w:val="ATIHTitreRapport"/>
        <w:ind w:left="1701" w:right="-6"/>
        <w:rPr>
          <w:color w:val="2B3BB2"/>
        </w:rPr>
      </w:pPr>
      <w:r w:rsidRPr="00A25D8A">
        <w:rPr>
          <w:color w:val="2B3BB2"/>
        </w:rPr>
        <w:t>Mise à disposition d’assistants(es) de gestion, de secrétaires intérimaires pour l’ATIH</w:t>
      </w:r>
    </w:p>
    <w:p w14:paraId="30AEBB02" w14:textId="77777777" w:rsidR="004D080B" w:rsidRPr="00A25D8A" w:rsidRDefault="004D080B" w:rsidP="004D080B"/>
    <w:p w14:paraId="3A48FC77" w14:textId="546DD074" w:rsidR="004D080B" w:rsidRPr="00A25D8A" w:rsidRDefault="004D080B" w:rsidP="004D080B"/>
    <w:p w14:paraId="1D0A38AD" w14:textId="77777777" w:rsidR="004D080B" w:rsidRPr="00A25D8A" w:rsidRDefault="004D080B" w:rsidP="004D080B"/>
    <w:p w14:paraId="2C2CF75A" w14:textId="77777777" w:rsidR="00343829" w:rsidRPr="00A25D8A" w:rsidRDefault="00343829" w:rsidP="004D080B"/>
    <w:p w14:paraId="5419FB81" w14:textId="77777777" w:rsidR="00343829" w:rsidRPr="00A25D8A" w:rsidRDefault="00343829" w:rsidP="004D080B"/>
    <w:p w14:paraId="017B34F0" w14:textId="0DFA5E6D" w:rsidR="003B3D3D" w:rsidRPr="00A25D8A" w:rsidRDefault="003B3D3D" w:rsidP="003B3D3D">
      <w:pPr>
        <w:ind w:left="1276"/>
        <w:jc w:val="center"/>
        <w:rPr>
          <w:rFonts w:cs="Arial"/>
          <w:b/>
          <w:color w:val="FF0000"/>
          <w:sz w:val="28"/>
          <w:szCs w:val="28"/>
        </w:rPr>
      </w:pPr>
      <w:r w:rsidRPr="00A25D8A">
        <w:rPr>
          <w:rFonts w:cstheme="minorHAnsi"/>
          <w:b/>
          <w:bCs/>
          <w:color w:val="2B3BB2" w:themeColor="accent1"/>
          <w:sz w:val="28"/>
          <w:szCs w:val="28"/>
        </w:rPr>
        <w:t xml:space="preserve">Date limite de remise des offres : </w:t>
      </w:r>
      <w:r w:rsidR="00233C40">
        <w:rPr>
          <w:rFonts w:cstheme="minorHAnsi"/>
          <w:b/>
          <w:bCs/>
          <w:color w:val="FF0000"/>
          <w:sz w:val="28"/>
          <w:szCs w:val="28"/>
        </w:rPr>
        <w:t>14 mai</w:t>
      </w:r>
      <w:r w:rsidR="00C4732A" w:rsidRPr="00A25D8A">
        <w:rPr>
          <w:rFonts w:cstheme="minorHAnsi"/>
          <w:b/>
          <w:bCs/>
          <w:color w:val="FF0000"/>
          <w:sz w:val="28"/>
          <w:szCs w:val="28"/>
        </w:rPr>
        <w:t xml:space="preserve"> 2026</w:t>
      </w:r>
      <w:r w:rsidRPr="00A25D8A">
        <w:rPr>
          <w:rFonts w:cs="Arial"/>
          <w:b/>
          <w:color w:val="FF0000"/>
          <w:sz w:val="28"/>
          <w:szCs w:val="28"/>
        </w:rPr>
        <w:t xml:space="preserve"> à 12h00 (heure de Paris)</w:t>
      </w:r>
    </w:p>
    <w:p w14:paraId="03D26C78" w14:textId="77777777" w:rsidR="00343829" w:rsidRPr="00A25D8A" w:rsidRDefault="00343829" w:rsidP="004D080B"/>
    <w:p w14:paraId="3A97DA96" w14:textId="77777777" w:rsidR="00343829" w:rsidRPr="00A25D8A" w:rsidRDefault="00343829" w:rsidP="004D080B"/>
    <w:p w14:paraId="6EA97FA9" w14:textId="77777777" w:rsidR="00343829" w:rsidRPr="00A25D8A" w:rsidRDefault="00343829" w:rsidP="004D080B"/>
    <w:p w14:paraId="7793680F" w14:textId="77777777" w:rsidR="00AC795A" w:rsidRPr="00A25D8A" w:rsidRDefault="00AC795A" w:rsidP="004D080B"/>
    <w:p w14:paraId="6D0BF66A" w14:textId="77777777" w:rsidR="00AC795A" w:rsidRPr="00A25D8A" w:rsidRDefault="00AC795A" w:rsidP="004D080B"/>
    <w:p w14:paraId="7EF94128" w14:textId="77777777" w:rsidR="00AC795A" w:rsidRPr="00A25D8A" w:rsidRDefault="00AC795A" w:rsidP="004D080B"/>
    <w:p w14:paraId="3B459717" w14:textId="77777777" w:rsidR="004C1A2B" w:rsidRPr="00A25D8A" w:rsidRDefault="004C1A2B" w:rsidP="004D080B">
      <w:pPr>
        <w:sectPr w:rsidR="004C1A2B" w:rsidRPr="00A25D8A" w:rsidSect="004C1A2B">
          <w:headerReference w:type="default" r:id="rId8"/>
          <w:footerReference w:type="default" r:id="rId9"/>
          <w:headerReference w:type="first" r:id="rId10"/>
          <w:footerReference w:type="first" r:id="rId11"/>
          <w:pgSz w:w="11900" w:h="16840"/>
          <w:pgMar w:top="1417" w:right="1417" w:bottom="1417" w:left="1417" w:header="708" w:footer="708" w:gutter="0"/>
          <w:cols w:space="708"/>
          <w:titlePg/>
          <w:docGrid w:linePitch="360"/>
        </w:sectPr>
      </w:pPr>
    </w:p>
    <w:p w14:paraId="2DF32398" w14:textId="77777777" w:rsidR="004D080B" w:rsidRPr="00A25D8A" w:rsidRDefault="004D080B" w:rsidP="00AA1949">
      <w:pPr>
        <w:pStyle w:val="ATIHSommaireTitreparties"/>
      </w:pPr>
      <w:bookmarkStart w:id="0" w:name="Sommaire"/>
      <w:bookmarkEnd w:id="0"/>
      <w:r w:rsidRPr="00A25D8A">
        <w:lastRenderedPageBreak/>
        <w:t>S</w:t>
      </w:r>
      <w:r w:rsidR="00CF3029" w:rsidRPr="00A25D8A">
        <w:t>ommaire</w:t>
      </w:r>
    </w:p>
    <w:p w14:paraId="63A93E95" w14:textId="77777777" w:rsidR="004D080B" w:rsidRPr="00A25D8A" w:rsidRDefault="004D080B" w:rsidP="004D080B"/>
    <w:p w14:paraId="62948F95" w14:textId="3A32A271" w:rsidR="00CD59EC" w:rsidRDefault="00AA1949">
      <w:pPr>
        <w:pStyle w:val="TM1"/>
        <w:rPr>
          <w:rFonts w:eastAsiaTheme="minorEastAsia" w:cstheme="minorBidi"/>
          <w:b w:val="0"/>
          <w:color w:val="auto"/>
          <w:sz w:val="24"/>
          <w:szCs w:val="24"/>
          <w:lang w:eastAsia="fr-FR"/>
        </w:rPr>
      </w:pPr>
      <w:r w:rsidRPr="00A25D8A">
        <w:rPr>
          <w:caps/>
        </w:rPr>
        <w:fldChar w:fldCharType="begin"/>
      </w:r>
      <w:r w:rsidRPr="00A25D8A">
        <w:instrText xml:space="preserve"> TOC \o "1-3" \h \z \t "Sommaire / Titre parties;1" </w:instrText>
      </w:r>
      <w:r w:rsidRPr="00A25D8A">
        <w:rPr>
          <w:caps/>
        </w:rPr>
        <w:fldChar w:fldCharType="separate"/>
      </w:r>
      <w:hyperlink w:anchor="_Toc226031837" w:history="1">
        <w:r w:rsidR="00CD59EC" w:rsidRPr="004212D9">
          <w:rPr>
            <w:rStyle w:val="Lienhypertexte"/>
          </w:rPr>
          <w:t>1.</w:t>
        </w:r>
        <w:r w:rsidR="00CD59EC">
          <w:rPr>
            <w:rFonts w:eastAsiaTheme="minorEastAsia" w:cstheme="minorBidi"/>
            <w:b w:val="0"/>
            <w:color w:val="auto"/>
            <w:sz w:val="24"/>
            <w:szCs w:val="24"/>
            <w:lang w:eastAsia="fr-FR"/>
          </w:rPr>
          <w:tab/>
        </w:r>
        <w:r w:rsidR="00CD59EC" w:rsidRPr="004212D9">
          <w:rPr>
            <w:rStyle w:val="Lienhypertexte"/>
          </w:rPr>
          <w:t>Dispositions générales</w:t>
        </w:r>
        <w:r w:rsidR="00CD59EC">
          <w:rPr>
            <w:webHidden/>
          </w:rPr>
          <w:tab/>
        </w:r>
        <w:r w:rsidR="00CD59EC">
          <w:rPr>
            <w:webHidden/>
          </w:rPr>
          <w:fldChar w:fldCharType="begin"/>
        </w:r>
        <w:r w:rsidR="00CD59EC">
          <w:rPr>
            <w:webHidden/>
          </w:rPr>
          <w:instrText xml:space="preserve"> PAGEREF _Toc226031837 \h </w:instrText>
        </w:r>
        <w:r w:rsidR="00CD59EC">
          <w:rPr>
            <w:webHidden/>
          </w:rPr>
        </w:r>
        <w:r w:rsidR="00CD59EC">
          <w:rPr>
            <w:webHidden/>
          </w:rPr>
          <w:fldChar w:fldCharType="separate"/>
        </w:r>
        <w:r w:rsidR="00CD59EC">
          <w:rPr>
            <w:webHidden/>
          </w:rPr>
          <w:t>4</w:t>
        </w:r>
        <w:r w:rsidR="00CD59EC">
          <w:rPr>
            <w:webHidden/>
          </w:rPr>
          <w:fldChar w:fldCharType="end"/>
        </w:r>
      </w:hyperlink>
    </w:p>
    <w:p w14:paraId="7855284F" w14:textId="4F48B650" w:rsidR="00CD59EC" w:rsidRDefault="00CD59EC">
      <w:pPr>
        <w:pStyle w:val="TM2"/>
        <w:rPr>
          <w:rFonts w:eastAsiaTheme="minorEastAsia" w:cstheme="minorBidi"/>
          <w:b w:val="0"/>
          <w:bCs w:val="0"/>
          <w:color w:val="auto"/>
          <w:sz w:val="24"/>
          <w:lang w:eastAsia="fr-FR"/>
        </w:rPr>
      </w:pPr>
      <w:hyperlink w:anchor="_Toc226031838" w:history="1">
        <w:r w:rsidRPr="004212D9">
          <w:rPr>
            <w:rStyle w:val="Lienhypertexte"/>
          </w:rPr>
          <w:t>1.1</w:t>
        </w:r>
        <w:r>
          <w:rPr>
            <w:rFonts w:eastAsiaTheme="minorEastAsia" w:cstheme="minorBidi"/>
            <w:b w:val="0"/>
            <w:bCs w:val="0"/>
            <w:color w:val="auto"/>
            <w:sz w:val="24"/>
            <w:lang w:eastAsia="fr-FR"/>
          </w:rPr>
          <w:tab/>
        </w:r>
        <w:r w:rsidRPr="004212D9">
          <w:rPr>
            <w:rStyle w:val="Lienhypertexte"/>
          </w:rPr>
          <w:t>Objet de la consultation</w:t>
        </w:r>
        <w:r>
          <w:rPr>
            <w:webHidden/>
          </w:rPr>
          <w:tab/>
        </w:r>
        <w:r>
          <w:rPr>
            <w:webHidden/>
          </w:rPr>
          <w:fldChar w:fldCharType="begin"/>
        </w:r>
        <w:r>
          <w:rPr>
            <w:webHidden/>
          </w:rPr>
          <w:instrText xml:space="preserve"> PAGEREF _Toc226031838 \h </w:instrText>
        </w:r>
        <w:r>
          <w:rPr>
            <w:webHidden/>
          </w:rPr>
        </w:r>
        <w:r>
          <w:rPr>
            <w:webHidden/>
          </w:rPr>
          <w:fldChar w:fldCharType="separate"/>
        </w:r>
        <w:r>
          <w:rPr>
            <w:webHidden/>
          </w:rPr>
          <w:t>4</w:t>
        </w:r>
        <w:r>
          <w:rPr>
            <w:webHidden/>
          </w:rPr>
          <w:fldChar w:fldCharType="end"/>
        </w:r>
      </w:hyperlink>
    </w:p>
    <w:p w14:paraId="75F84F17" w14:textId="5DCF782C" w:rsidR="00CD59EC" w:rsidRDefault="00CD59EC">
      <w:pPr>
        <w:pStyle w:val="TM2"/>
        <w:rPr>
          <w:rFonts w:eastAsiaTheme="minorEastAsia" w:cstheme="minorBidi"/>
          <w:b w:val="0"/>
          <w:bCs w:val="0"/>
          <w:color w:val="auto"/>
          <w:sz w:val="24"/>
          <w:lang w:eastAsia="fr-FR"/>
        </w:rPr>
      </w:pPr>
      <w:hyperlink w:anchor="_Toc226031839" w:history="1">
        <w:r w:rsidRPr="004212D9">
          <w:rPr>
            <w:rStyle w:val="Lienhypertexte"/>
          </w:rPr>
          <w:t>1.2</w:t>
        </w:r>
        <w:r>
          <w:rPr>
            <w:rFonts w:eastAsiaTheme="minorEastAsia" w:cstheme="minorBidi"/>
            <w:b w:val="0"/>
            <w:bCs w:val="0"/>
            <w:color w:val="auto"/>
            <w:sz w:val="24"/>
            <w:lang w:eastAsia="fr-FR"/>
          </w:rPr>
          <w:tab/>
        </w:r>
        <w:r w:rsidRPr="004212D9">
          <w:rPr>
            <w:rStyle w:val="Lienhypertexte"/>
          </w:rPr>
          <w:t>Décomposition en lots ou en tranches</w:t>
        </w:r>
        <w:r>
          <w:rPr>
            <w:webHidden/>
          </w:rPr>
          <w:tab/>
        </w:r>
        <w:r>
          <w:rPr>
            <w:webHidden/>
          </w:rPr>
          <w:fldChar w:fldCharType="begin"/>
        </w:r>
        <w:r>
          <w:rPr>
            <w:webHidden/>
          </w:rPr>
          <w:instrText xml:space="preserve"> PAGEREF _Toc226031839 \h </w:instrText>
        </w:r>
        <w:r>
          <w:rPr>
            <w:webHidden/>
          </w:rPr>
        </w:r>
        <w:r>
          <w:rPr>
            <w:webHidden/>
          </w:rPr>
          <w:fldChar w:fldCharType="separate"/>
        </w:r>
        <w:r>
          <w:rPr>
            <w:webHidden/>
          </w:rPr>
          <w:t>4</w:t>
        </w:r>
        <w:r>
          <w:rPr>
            <w:webHidden/>
          </w:rPr>
          <w:fldChar w:fldCharType="end"/>
        </w:r>
      </w:hyperlink>
    </w:p>
    <w:p w14:paraId="51FF10E0" w14:textId="30BBE719" w:rsidR="00CD59EC" w:rsidRDefault="00CD59EC">
      <w:pPr>
        <w:pStyle w:val="TM2"/>
        <w:rPr>
          <w:rFonts w:eastAsiaTheme="minorEastAsia" w:cstheme="minorBidi"/>
          <w:b w:val="0"/>
          <w:bCs w:val="0"/>
          <w:color w:val="auto"/>
          <w:sz w:val="24"/>
          <w:lang w:eastAsia="fr-FR"/>
        </w:rPr>
      </w:pPr>
      <w:hyperlink w:anchor="_Toc226031840" w:history="1">
        <w:r w:rsidRPr="004212D9">
          <w:rPr>
            <w:rStyle w:val="Lienhypertexte"/>
          </w:rPr>
          <w:t>1.3</w:t>
        </w:r>
        <w:r>
          <w:rPr>
            <w:rFonts w:eastAsiaTheme="minorEastAsia" w:cstheme="minorBidi"/>
            <w:b w:val="0"/>
            <w:bCs w:val="0"/>
            <w:color w:val="auto"/>
            <w:sz w:val="24"/>
            <w:lang w:eastAsia="fr-FR"/>
          </w:rPr>
          <w:tab/>
        </w:r>
        <w:r w:rsidRPr="004212D9">
          <w:rPr>
            <w:rStyle w:val="Lienhypertexte"/>
          </w:rPr>
          <w:t>Durée du marché</w:t>
        </w:r>
        <w:r>
          <w:rPr>
            <w:webHidden/>
          </w:rPr>
          <w:tab/>
        </w:r>
        <w:r>
          <w:rPr>
            <w:webHidden/>
          </w:rPr>
          <w:fldChar w:fldCharType="begin"/>
        </w:r>
        <w:r>
          <w:rPr>
            <w:webHidden/>
          </w:rPr>
          <w:instrText xml:space="preserve"> PAGEREF _Toc226031840 \h </w:instrText>
        </w:r>
        <w:r>
          <w:rPr>
            <w:webHidden/>
          </w:rPr>
        </w:r>
        <w:r>
          <w:rPr>
            <w:webHidden/>
          </w:rPr>
          <w:fldChar w:fldCharType="separate"/>
        </w:r>
        <w:r>
          <w:rPr>
            <w:webHidden/>
          </w:rPr>
          <w:t>4</w:t>
        </w:r>
        <w:r>
          <w:rPr>
            <w:webHidden/>
          </w:rPr>
          <w:fldChar w:fldCharType="end"/>
        </w:r>
      </w:hyperlink>
    </w:p>
    <w:p w14:paraId="41375464" w14:textId="3DD7BB07" w:rsidR="00CD59EC" w:rsidRDefault="00CD59EC">
      <w:pPr>
        <w:pStyle w:val="TM2"/>
        <w:rPr>
          <w:rFonts w:eastAsiaTheme="minorEastAsia" w:cstheme="minorBidi"/>
          <w:b w:val="0"/>
          <w:bCs w:val="0"/>
          <w:color w:val="auto"/>
          <w:sz w:val="24"/>
          <w:lang w:eastAsia="fr-FR"/>
        </w:rPr>
      </w:pPr>
      <w:hyperlink w:anchor="_Toc226031841" w:history="1">
        <w:r w:rsidRPr="004212D9">
          <w:rPr>
            <w:rStyle w:val="Lienhypertexte"/>
          </w:rPr>
          <w:t>1.4</w:t>
        </w:r>
        <w:r>
          <w:rPr>
            <w:rFonts w:eastAsiaTheme="minorEastAsia" w:cstheme="minorBidi"/>
            <w:b w:val="0"/>
            <w:bCs w:val="0"/>
            <w:color w:val="auto"/>
            <w:sz w:val="24"/>
            <w:lang w:eastAsia="fr-FR"/>
          </w:rPr>
          <w:tab/>
        </w:r>
        <w:r w:rsidRPr="004212D9">
          <w:rPr>
            <w:rStyle w:val="Lienhypertexte"/>
          </w:rPr>
          <w:t>Forme du marché</w:t>
        </w:r>
        <w:r>
          <w:rPr>
            <w:webHidden/>
          </w:rPr>
          <w:tab/>
        </w:r>
        <w:r>
          <w:rPr>
            <w:webHidden/>
          </w:rPr>
          <w:fldChar w:fldCharType="begin"/>
        </w:r>
        <w:r>
          <w:rPr>
            <w:webHidden/>
          </w:rPr>
          <w:instrText xml:space="preserve"> PAGEREF _Toc226031841 \h </w:instrText>
        </w:r>
        <w:r>
          <w:rPr>
            <w:webHidden/>
          </w:rPr>
        </w:r>
        <w:r>
          <w:rPr>
            <w:webHidden/>
          </w:rPr>
          <w:fldChar w:fldCharType="separate"/>
        </w:r>
        <w:r>
          <w:rPr>
            <w:webHidden/>
          </w:rPr>
          <w:t>4</w:t>
        </w:r>
        <w:r>
          <w:rPr>
            <w:webHidden/>
          </w:rPr>
          <w:fldChar w:fldCharType="end"/>
        </w:r>
      </w:hyperlink>
    </w:p>
    <w:p w14:paraId="02AD5334" w14:textId="5510C10D" w:rsidR="00CD59EC" w:rsidRDefault="00CD59EC">
      <w:pPr>
        <w:pStyle w:val="TM2"/>
        <w:rPr>
          <w:rFonts w:eastAsiaTheme="minorEastAsia" w:cstheme="minorBidi"/>
          <w:b w:val="0"/>
          <w:bCs w:val="0"/>
          <w:color w:val="auto"/>
          <w:sz w:val="24"/>
          <w:lang w:eastAsia="fr-FR"/>
        </w:rPr>
      </w:pPr>
      <w:hyperlink w:anchor="_Toc226031842" w:history="1">
        <w:r w:rsidRPr="004212D9">
          <w:rPr>
            <w:rStyle w:val="Lienhypertexte"/>
          </w:rPr>
          <w:t>1.5</w:t>
        </w:r>
        <w:r>
          <w:rPr>
            <w:rFonts w:eastAsiaTheme="minorEastAsia" w:cstheme="minorBidi"/>
            <w:b w:val="0"/>
            <w:bCs w:val="0"/>
            <w:color w:val="auto"/>
            <w:sz w:val="24"/>
            <w:lang w:eastAsia="fr-FR"/>
          </w:rPr>
          <w:tab/>
        </w:r>
        <w:r w:rsidRPr="004212D9">
          <w:rPr>
            <w:rStyle w:val="Lienhypertexte"/>
          </w:rPr>
          <w:t>Montants du marché</w:t>
        </w:r>
        <w:r>
          <w:rPr>
            <w:webHidden/>
          </w:rPr>
          <w:tab/>
        </w:r>
        <w:r>
          <w:rPr>
            <w:webHidden/>
          </w:rPr>
          <w:fldChar w:fldCharType="begin"/>
        </w:r>
        <w:r>
          <w:rPr>
            <w:webHidden/>
          </w:rPr>
          <w:instrText xml:space="preserve"> PAGEREF _Toc226031842 \h </w:instrText>
        </w:r>
        <w:r>
          <w:rPr>
            <w:webHidden/>
          </w:rPr>
        </w:r>
        <w:r>
          <w:rPr>
            <w:webHidden/>
          </w:rPr>
          <w:fldChar w:fldCharType="separate"/>
        </w:r>
        <w:r>
          <w:rPr>
            <w:webHidden/>
          </w:rPr>
          <w:t>4</w:t>
        </w:r>
        <w:r>
          <w:rPr>
            <w:webHidden/>
          </w:rPr>
          <w:fldChar w:fldCharType="end"/>
        </w:r>
      </w:hyperlink>
    </w:p>
    <w:p w14:paraId="4E5DA152" w14:textId="4C9F6641" w:rsidR="00CD59EC" w:rsidRDefault="00CD59EC">
      <w:pPr>
        <w:pStyle w:val="TM1"/>
        <w:rPr>
          <w:rFonts w:eastAsiaTheme="minorEastAsia" w:cstheme="minorBidi"/>
          <w:b w:val="0"/>
          <w:color w:val="auto"/>
          <w:sz w:val="24"/>
          <w:szCs w:val="24"/>
          <w:lang w:eastAsia="fr-FR"/>
        </w:rPr>
      </w:pPr>
      <w:hyperlink w:anchor="_Toc226031843" w:history="1">
        <w:r w:rsidRPr="004212D9">
          <w:rPr>
            <w:rStyle w:val="Lienhypertexte"/>
          </w:rPr>
          <w:t>2.</w:t>
        </w:r>
        <w:r>
          <w:rPr>
            <w:rFonts w:eastAsiaTheme="minorEastAsia" w:cstheme="minorBidi"/>
            <w:b w:val="0"/>
            <w:color w:val="auto"/>
            <w:sz w:val="24"/>
            <w:szCs w:val="24"/>
            <w:lang w:eastAsia="fr-FR"/>
          </w:rPr>
          <w:tab/>
        </w:r>
        <w:r w:rsidRPr="004212D9">
          <w:rPr>
            <w:rStyle w:val="Lienhypertexte"/>
          </w:rPr>
          <w:t>Déroulement de la procédure</w:t>
        </w:r>
        <w:r>
          <w:rPr>
            <w:webHidden/>
          </w:rPr>
          <w:tab/>
        </w:r>
        <w:r>
          <w:rPr>
            <w:webHidden/>
          </w:rPr>
          <w:fldChar w:fldCharType="begin"/>
        </w:r>
        <w:r>
          <w:rPr>
            <w:webHidden/>
          </w:rPr>
          <w:instrText xml:space="preserve"> PAGEREF _Toc226031843 \h </w:instrText>
        </w:r>
        <w:r>
          <w:rPr>
            <w:webHidden/>
          </w:rPr>
        </w:r>
        <w:r>
          <w:rPr>
            <w:webHidden/>
          </w:rPr>
          <w:fldChar w:fldCharType="separate"/>
        </w:r>
        <w:r>
          <w:rPr>
            <w:webHidden/>
          </w:rPr>
          <w:t>5</w:t>
        </w:r>
        <w:r>
          <w:rPr>
            <w:webHidden/>
          </w:rPr>
          <w:fldChar w:fldCharType="end"/>
        </w:r>
      </w:hyperlink>
    </w:p>
    <w:p w14:paraId="79029FCE" w14:textId="40FB04BD" w:rsidR="00CD59EC" w:rsidRDefault="00CD59EC">
      <w:pPr>
        <w:pStyle w:val="TM2"/>
        <w:rPr>
          <w:rFonts w:eastAsiaTheme="minorEastAsia" w:cstheme="minorBidi"/>
          <w:b w:val="0"/>
          <w:bCs w:val="0"/>
          <w:color w:val="auto"/>
          <w:sz w:val="24"/>
          <w:lang w:eastAsia="fr-FR"/>
        </w:rPr>
      </w:pPr>
      <w:hyperlink w:anchor="_Toc226031844" w:history="1">
        <w:r w:rsidRPr="004212D9">
          <w:rPr>
            <w:rStyle w:val="Lienhypertexte"/>
          </w:rPr>
          <w:t>2.1</w:t>
        </w:r>
        <w:r>
          <w:rPr>
            <w:rFonts w:eastAsiaTheme="minorEastAsia" w:cstheme="minorBidi"/>
            <w:b w:val="0"/>
            <w:bCs w:val="0"/>
            <w:color w:val="auto"/>
            <w:sz w:val="24"/>
            <w:lang w:eastAsia="fr-FR"/>
          </w:rPr>
          <w:tab/>
        </w:r>
        <w:r w:rsidRPr="004212D9">
          <w:rPr>
            <w:rStyle w:val="Lienhypertexte"/>
          </w:rPr>
          <w:t>Procédure</w:t>
        </w:r>
        <w:r>
          <w:rPr>
            <w:webHidden/>
          </w:rPr>
          <w:tab/>
        </w:r>
        <w:r>
          <w:rPr>
            <w:webHidden/>
          </w:rPr>
          <w:fldChar w:fldCharType="begin"/>
        </w:r>
        <w:r>
          <w:rPr>
            <w:webHidden/>
          </w:rPr>
          <w:instrText xml:space="preserve"> PAGEREF _Toc226031844 \h </w:instrText>
        </w:r>
        <w:r>
          <w:rPr>
            <w:webHidden/>
          </w:rPr>
        </w:r>
        <w:r>
          <w:rPr>
            <w:webHidden/>
          </w:rPr>
          <w:fldChar w:fldCharType="separate"/>
        </w:r>
        <w:r>
          <w:rPr>
            <w:webHidden/>
          </w:rPr>
          <w:t>5</w:t>
        </w:r>
        <w:r>
          <w:rPr>
            <w:webHidden/>
          </w:rPr>
          <w:fldChar w:fldCharType="end"/>
        </w:r>
      </w:hyperlink>
    </w:p>
    <w:p w14:paraId="74B98A95" w14:textId="6AA6C926" w:rsidR="00CD59EC" w:rsidRDefault="00CD59EC">
      <w:pPr>
        <w:pStyle w:val="TM2"/>
        <w:rPr>
          <w:rFonts w:eastAsiaTheme="minorEastAsia" w:cstheme="minorBidi"/>
          <w:b w:val="0"/>
          <w:bCs w:val="0"/>
          <w:color w:val="auto"/>
          <w:sz w:val="24"/>
          <w:lang w:eastAsia="fr-FR"/>
        </w:rPr>
      </w:pPr>
      <w:hyperlink w:anchor="_Toc226031845" w:history="1">
        <w:r w:rsidRPr="004212D9">
          <w:rPr>
            <w:rStyle w:val="Lienhypertexte"/>
          </w:rPr>
          <w:t>2.2</w:t>
        </w:r>
        <w:r>
          <w:rPr>
            <w:rFonts w:eastAsiaTheme="minorEastAsia" w:cstheme="minorBidi"/>
            <w:b w:val="0"/>
            <w:bCs w:val="0"/>
            <w:color w:val="auto"/>
            <w:sz w:val="24"/>
            <w:lang w:eastAsia="fr-FR"/>
          </w:rPr>
          <w:tab/>
        </w:r>
        <w:r w:rsidRPr="004212D9">
          <w:rPr>
            <w:rStyle w:val="Lienhypertexte"/>
          </w:rPr>
          <w:t>Variantes</w:t>
        </w:r>
        <w:r>
          <w:rPr>
            <w:webHidden/>
          </w:rPr>
          <w:tab/>
        </w:r>
        <w:r>
          <w:rPr>
            <w:webHidden/>
          </w:rPr>
          <w:fldChar w:fldCharType="begin"/>
        </w:r>
        <w:r>
          <w:rPr>
            <w:webHidden/>
          </w:rPr>
          <w:instrText xml:space="preserve"> PAGEREF _Toc226031845 \h </w:instrText>
        </w:r>
        <w:r>
          <w:rPr>
            <w:webHidden/>
          </w:rPr>
        </w:r>
        <w:r>
          <w:rPr>
            <w:webHidden/>
          </w:rPr>
          <w:fldChar w:fldCharType="separate"/>
        </w:r>
        <w:r>
          <w:rPr>
            <w:webHidden/>
          </w:rPr>
          <w:t>5</w:t>
        </w:r>
        <w:r>
          <w:rPr>
            <w:webHidden/>
          </w:rPr>
          <w:fldChar w:fldCharType="end"/>
        </w:r>
      </w:hyperlink>
    </w:p>
    <w:p w14:paraId="0D0673F0" w14:textId="0CD92232" w:rsidR="00CD59EC" w:rsidRDefault="00CD59EC">
      <w:pPr>
        <w:pStyle w:val="TM2"/>
        <w:rPr>
          <w:rFonts w:eastAsiaTheme="minorEastAsia" w:cstheme="minorBidi"/>
          <w:b w:val="0"/>
          <w:bCs w:val="0"/>
          <w:color w:val="auto"/>
          <w:sz w:val="24"/>
          <w:lang w:eastAsia="fr-FR"/>
        </w:rPr>
      </w:pPr>
      <w:hyperlink w:anchor="_Toc226031846" w:history="1">
        <w:r w:rsidRPr="004212D9">
          <w:rPr>
            <w:rStyle w:val="Lienhypertexte"/>
          </w:rPr>
          <w:t>2.3</w:t>
        </w:r>
        <w:r>
          <w:rPr>
            <w:rFonts w:eastAsiaTheme="minorEastAsia" w:cstheme="minorBidi"/>
            <w:b w:val="0"/>
            <w:bCs w:val="0"/>
            <w:color w:val="auto"/>
            <w:sz w:val="24"/>
            <w:lang w:eastAsia="fr-FR"/>
          </w:rPr>
          <w:tab/>
        </w:r>
        <w:r w:rsidRPr="004212D9">
          <w:rPr>
            <w:rStyle w:val="Lienhypertexte"/>
          </w:rPr>
          <w:t>Avenants et marchés complémentaires</w:t>
        </w:r>
        <w:r>
          <w:rPr>
            <w:webHidden/>
          </w:rPr>
          <w:tab/>
        </w:r>
        <w:r>
          <w:rPr>
            <w:webHidden/>
          </w:rPr>
          <w:fldChar w:fldCharType="begin"/>
        </w:r>
        <w:r>
          <w:rPr>
            <w:webHidden/>
          </w:rPr>
          <w:instrText xml:space="preserve"> PAGEREF _Toc226031846 \h </w:instrText>
        </w:r>
        <w:r>
          <w:rPr>
            <w:webHidden/>
          </w:rPr>
        </w:r>
        <w:r>
          <w:rPr>
            <w:webHidden/>
          </w:rPr>
          <w:fldChar w:fldCharType="separate"/>
        </w:r>
        <w:r>
          <w:rPr>
            <w:webHidden/>
          </w:rPr>
          <w:t>5</w:t>
        </w:r>
        <w:r>
          <w:rPr>
            <w:webHidden/>
          </w:rPr>
          <w:fldChar w:fldCharType="end"/>
        </w:r>
      </w:hyperlink>
    </w:p>
    <w:p w14:paraId="4B9A70C4" w14:textId="350610DA" w:rsidR="00CD59EC" w:rsidRDefault="00CD59EC">
      <w:pPr>
        <w:pStyle w:val="TM2"/>
        <w:rPr>
          <w:rFonts w:eastAsiaTheme="minorEastAsia" w:cstheme="minorBidi"/>
          <w:b w:val="0"/>
          <w:bCs w:val="0"/>
          <w:color w:val="auto"/>
          <w:sz w:val="24"/>
          <w:lang w:eastAsia="fr-FR"/>
        </w:rPr>
      </w:pPr>
      <w:hyperlink w:anchor="_Toc226031847" w:history="1">
        <w:r w:rsidRPr="004212D9">
          <w:rPr>
            <w:rStyle w:val="Lienhypertexte"/>
          </w:rPr>
          <w:t>2.4</w:t>
        </w:r>
        <w:r>
          <w:rPr>
            <w:rFonts w:eastAsiaTheme="minorEastAsia" w:cstheme="minorBidi"/>
            <w:b w:val="0"/>
            <w:bCs w:val="0"/>
            <w:color w:val="auto"/>
            <w:sz w:val="24"/>
            <w:lang w:eastAsia="fr-FR"/>
          </w:rPr>
          <w:tab/>
        </w:r>
        <w:r w:rsidRPr="004212D9">
          <w:rPr>
            <w:rStyle w:val="Lienhypertexte"/>
          </w:rPr>
          <w:t>Forme juridique des groupements</w:t>
        </w:r>
        <w:r>
          <w:rPr>
            <w:webHidden/>
          </w:rPr>
          <w:tab/>
        </w:r>
        <w:r>
          <w:rPr>
            <w:webHidden/>
          </w:rPr>
          <w:fldChar w:fldCharType="begin"/>
        </w:r>
        <w:r>
          <w:rPr>
            <w:webHidden/>
          </w:rPr>
          <w:instrText xml:space="preserve"> PAGEREF _Toc226031847 \h </w:instrText>
        </w:r>
        <w:r>
          <w:rPr>
            <w:webHidden/>
          </w:rPr>
        </w:r>
        <w:r>
          <w:rPr>
            <w:webHidden/>
          </w:rPr>
          <w:fldChar w:fldCharType="separate"/>
        </w:r>
        <w:r>
          <w:rPr>
            <w:webHidden/>
          </w:rPr>
          <w:t>5</w:t>
        </w:r>
        <w:r>
          <w:rPr>
            <w:webHidden/>
          </w:rPr>
          <w:fldChar w:fldCharType="end"/>
        </w:r>
      </w:hyperlink>
    </w:p>
    <w:p w14:paraId="7EE4D9FA" w14:textId="47301FB8" w:rsidR="00CD59EC" w:rsidRDefault="00CD59EC">
      <w:pPr>
        <w:pStyle w:val="TM2"/>
        <w:rPr>
          <w:rFonts w:eastAsiaTheme="minorEastAsia" w:cstheme="minorBidi"/>
          <w:b w:val="0"/>
          <w:bCs w:val="0"/>
          <w:color w:val="auto"/>
          <w:sz w:val="24"/>
          <w:lang w:eastAsia="fr-FR"/>
        </w:rPr>
      </w:pPr>
      <w:hyperlink w:anchor="_Toc226031848" w:history="1">
        <w:r w:rsidRPr="004212D9">
          <w:rPr>
            <w:rStyle w:val="Lienhypertexte"/>
          </w:rPr>
          <w:t>2.5</w:t>
        </w:r>
        <w:r>
          <w:rPr>
            <w:rFonts w:eastAsiaTheme="minorEastAsia" w:cstheme="minorBidi"/>
            <w:b w:val="0"/>
            <w:bCs w:val="0"/>
            <w:color w:val="auto"/>
            <w:sz w:val="24"/>
            <w:lang w:eastAsia="fr-FR"/>
          </w:rPr>
          <w:tab/>
        </w:r>
        <w:r w:rsidRPr="004212D9">
          <w:rPr>
            <w:rStyle w:val="Lienhypertexte"/>
          </w:rPr>
          <w:t>Cautionnement et garanties exigées</w:t>
        </w:r>
        <w:r>
          <w:rPr>
            <w:webHidden/>
          </w:rPr>
          <w:tab/>
        </w:r>
        <w:r>
          <w:rPr>
            <w:webHidden/>
          </w:rPr>
          <w:fldChar w:fldCharType="begin"/>
        </w:r>
        <w:r>
          <w:rPr>
            <w:webHidden/>
          </w:rPr>
          <w:instrText xml:space="preserve"> PAGEREF _Toc226031848 \h </w:instrText>
        </w:r>
        <w:r>
          <w:rPr>
            <w:webHidden/>
          </w:rPr>
        </w:r>
        <w:r>
          <w:rPr>
            <w:webHidden/>
          </w:rPr>
          <w:fldChar w:fldCharType="separate"/>
        </w:r>
        <w:r>
          <w:rPr>
            <w:webHidden/>
          </w:rPr>
          <w:t>5</w:t>
        </w:r>
        <w:r>
          <w:rPr>
            <w:webHidden/>
          </w:rPr>
          <w:fldChar w:fldCharType="end"/>
        </w:r>
      </w:hyperlink>
    </w:p>
    <w:p w14:paraId="2C8B56AA" w14:textId="06F0EE16" w:rsidR="00CD59EC" w:rsidRDefault="00CD59EC">
      <w:pPr>
        <w:pStyle w:val="TM2"/>
        <w:rPr>
          <w:rFonts w:eastAsiaTheme="minorEastAsia" w:cstheme="minorBidi"/>
          <w:b w:val="0"/>
          <w:bCs w:val="0"/>
          <w:color w:val="auto"/>
          <w:sz w:val="24"/>
          <w:lang w:eastAsia="fr-FR"/>
        </w:rPr>
      </w:pPr>
      <w:hyperlink w:anchor="_Toc226031849" w:history="1">
        <w:r w:rsidRPr="004212D9">
          <w:rPr>
            <w:rStyle w:val="Lienhypertexte"/>
          </w:rPr>
          <w:t>2.6</w:t>
        </w:r>
        <w:r>
          <w:rPr>
            <w:rFonts w:eastAsiaTheme="minorEastAsia" w:cstheme="minorBidi"/>
            <w:b w:val="0"/>
            <w:bCs w:val="0"/>
            <w:color w:val="auto"/>
            <w:sz w:val="24"/>
            <w:lang w:eastAsia="fr-FR"/>
          </w:rPr>
          <w:tab/>
        </w:r>
        <w:r w:rsidRPr="004212D9">
          <w:rPr>
            <w:rStyle w:val="Lienhypertexte"/>
          </w:rPr>
          <w:t>Sous-traitance</w:t>
        </w:r>
        <w:r>
          <w:rPr>
            <w:webHidden/>
          </w:rPr>
          <w:tab/>
        </w:r>
        <w:r>
          <w:rPr>
            <w:webHidden/>
          </w:rPr>
          <w:fldChar w:fldCharType="begin"/>
        </w:r>
        <w:r>
          <w:rPr>
            <w:webHidden/>
          </w:rPr>
          <w:instrText xml:space="preserve"> PAGEREF _Toc226031849 \h </w:instrText>
        </w:r>
        <w:r>
          <w:rPr>
            <w:webHidden/>
          </w:rPr>
        </w:r>
        <w:r>
          <w:rPr>
            <w:webHidden/>
          </w:rPr>
          <w:fldChar w:fldCharType="separate"/>
        </w:r>
        <w:r>
          <w:rPr>
            <w:webHidden/>
          </w:rPr>
          <w:t>6</w:t>
        </w:r>
        <w:r>
          <w:rPr>
            <w:webHidden/>
          </w:rPr>
          <w:fldChar w:fldCharType="end"/>
        </w:r>
      </w:hyperlink>
    </w:p>
    <w:p w14:paraId="7888818F" w14:textId="32228B5D" w:rsidR="00CD59EC" w:rsidRDefault="00CD59EC">
      <w:pPr>
        <w:pStyle w:val="TM1"/>
        <w:rPr>
          <w:rFonts w:eastAsiaTheme="minorEastAsia" w:cstheme="minorBidi"/>
          <w:b w:val="0"/>
          <w:color w:val="auto"/>
          <w:sz w:val="24"/>
          <w:szCs w:val="24"/>
          <w:lang w:eastAsia="fr-FR"/>
        </w:rPr>
      </w:pPr>
      <w:hyperlink w:anchor="_Toc226031850" w:history="1">
        <w:r w:rsidRPr="004212D9">
          <w:rPr>
            <w:rStyle w:val="Lienhypertexte"/>
          </w:rPr>
          <w:t>3.</w:t>
        </w:r>
        <w:r>
          <w:rPr>
            <w:rFonts w:eastAsiaTheme="minorEastAsia" w:cstheme="minorBidi"/>
            <w:b w:val="0"/>
            <w:color w:val="auto"/>
            <w:sz w:val="24"/>
            <w:szCs w:val="24"/>
            <w:lang w:eastAsia="fr-FR"/>
          </w:rPr>
          <w:tab/>
        </w:r>
        <w:r w:rsidRPr="004212D9">
          <w:rPr>
            <w:rStyle w:val="Lienhypertexte"/>
          </w:rPr>
          <w:t>Dossier de consultation</w:t>
        </w:r>
        <w:r>
          <w:rPr>
            <w:webHidden/>
          </w:rPr>
          <w:tab/>
        </w:r>
        <w:r>
          <w:rPr>
            <w:webHidden/>
          </w:rPr>
          <w:fldChar w:fldCharType="begin"/>
        </w:r>
        <w:r>
          <w:rPr>
            <w:webHidden/>
          </w:rPr>
          <w:instrText xml:space="preserve"> PAGEREF _Toc226031850 \h </w:instrText>
        </w:r>
        <w:r>
          <w:rPr>
            <w:webHidden/>
          </w:rPr>
        </w:r>
        <w:r>
          <w:rPr>
            <w:webHidden/>
          </w:rPr>
          <w:fldChar w:fldCharType="separate"/>
        </w:r>
        <w:r>
          <w:rPr>
            <w:webHidden/>
          </w:rPr>
          <w:t>6</w:t>
        </w:r>
        <w:r>
          <w:rPr>
            <w:webHidden/>
          </w:rPr>
          <w:fldChar w:fldCharType="end"/>
        </w:r>
      </w:hyperlink>
    </w:p>
    <w:p w14:paraId="27DF47EE" w14:textId="015CC953" w:rsidR="00CD59EC" w:rsidRDefault="00CD59EC">
      <w:pPr>
        <w:pStyle w:val="TM2"/>
        <w:rPr>
          <w:rFonts w:eastAsiaTheme="minorEastAsia" w:cstheme="minorBidi"/>
          <w:b w:val="0"/>
          <w:bCs w:val="0"/>
          <w:color w:val="auto"/>
          <w:sz w:val="24"/>
          <w:lang w:eastAsia="fr-FR"/>
        </w:rPr>
      </w:pPr>
      <w:hyperlink w:anchor="_Toc226031851" w:history="1">
        <w:r w:rsidRPr="004212D9">
          <w:rPr>
            <w:rStyle w:val="Lienhypertexte"/>
          </w:rPr>
          <w:t>3.1</w:t>
        </w:r>
        <w:r>
          <w:rPr>
            <w:rFonts w:eastAsiaTheme="minorEastAsia" w:cstheme="minorBidi"/>
            <w:b w:val="0"/>
            <w:bCs w:val="0"/>
            <w:color w:val="auto"/>
            <w:sz w:val="24"/>
            <w:lang w:eastAsia="fr-FR"/>
          </w:rPr>
          <w:tab/>
        </w:r>
        <w:r w:rsidRPr="004212D9">
          <w:rPr>
            <w:rStyle w:val="Lienhypertexte"/>
          </w:rPr>
          <w:t>Composition du dossier de consultation</w:t>
        </w:r>
        <w:r>
          <w:rPr>
            <w:webHidden/>
          </w:rPr>
          <w:tab/>
        </w:r>
        <w:r>
          <w:rPr>
            <w:webHidden/>
          </w:rPr>
          <w:fldChar w:fldCharType="begin"/>
        </w:r>
        <w:r>
          <w:rPr>
            <w:webHidden/>
          </w:rPr>
          <w:instrText xml:space="preserve"> PAGEREF _Toc226031851 \h </w:instrText>
        </w:r>
        <w:r>
          <w:rPr>
            <w:webHidden/>
          </w:rPr>
        </w:r>
        <w:r>
          <w:rPr>
            <w:webHidden/>
          </w:rPr>
          <w:fldChar w:fldCharType="separate"/>
        </w:r>
        <w:r>
          <w:rPr>
            <w:webHidden/>
          </w:rPr>
          <w:t>6</w:t>
        </w:r>
        <w:r>
          <w:rPr>
            <w:webHidden/>
          </w:rPr>
          <w:fldChar w:fldCharType="end"/>
        </w:r>
      </w:hyperlink>
    </w:p>
    <w:p w14:paraId="3BD74E67" w14:textId="3960E706" w:rsidR="00CD59EC" w:rsidRDefault="00CD59EC">
      <w:pPr>
        <w:pStyle w:val="TM2"/>
        <w:rPr>
          <w:rFonts w:eastAsiaTheme="minorEastAsia" w:cstheme="minorBidi"/>
          <w:b w:val="0"/>
          <w:bCs w:val="0"/>
          <w:color w:val="auto"/>
          <w:sz w:val="24"/>
          <w:lang w:eastAsia="fr-FR"/>
        </w:rPr>
      </w:pPr>
      <w:hyperlink w:anchor="_Toc226031852" w:history="1">
        <w:r w:rsidRPr="004212D9">
          <w:rPr>
            <w:rStyle w:val="Lienhypertexte"/>
          </w:rPr>
          <w:t>3.2</w:t>
        </w:r>
        <w:r>
          <w:rPr>
            <w:rFonts w:eastAsiaTheme="minorEastAsia" w:cstheme="minorBidi"/>
            <w:b w:val="0"/>
            <w:bCs w:val="0"/>
            <w:color w:val="auto"/>
            <w:sz w:val="24"/>
            <w:lang w:eastAsia="fr-FR"/>
          </w:rPr>
          <w:tab/>
        </w:r>
        <w:r w:rsidRPr="004212D9">
          <w:rPr>
            <w:rStyle w:val="Lienhypertexte"/>
          </w:rPr>
          <w:t>Modalités d’obtention du dossier de consultation : Retrait électronique du dossier de consultation</w:t>
        </w:r>
        <w:r>
          <w:rPr>
            <w:webHidden/>
          </w:rPr>
          <w:tab/>
        </w:r>
        <w:r>
          <w:rPr>
            <w:webHidden/>
          </w:rPr>
          <w:fldChar w:fldCharType="begin"/>
        </w:r>
        <w:r>
          <w:rPr>
            <w:webHidden/>
          </w:rPr>
          <w:instrText xml:space="preserve"> PAGEREF _Toc226031852 \h </w:instrText>
        </w:r>
        <w:r>
          <w:rPr>
            <w:webHidden/>
          </w:rPr>
        </w:r>
        <w:r>
          <w:rPr>
            <w:webHidden/>
          </w:rPr>
          <w:fldChar w:fldCharType="separate"/>
        </w:r>
        <w:r>
          <w:rPr>
            <w:webHidden/>
          </w:rPr>
          <w:t>7</w:t>
        </w:r>
        <w:r>
          <w:rPr>
            <w:webHidden/>
          </w:rPr>
          <w:fldChar w:fldCharType="end"/>
        </w:r>
      </w:hyperlink>
    </w:p>
    <w:p w14:paraId="4DE79032" w14:textId="66A8F8F7" w:rsidR="00CD59EC" w:rsidRDefault="00CD59EC">
      <w:pPr>
        <w:pStyle w:val="TM2"/>
        <w:rPr>
          <w:rFonts w:eastAsiaTheme="minorEastAsia" w:cstheme="minorBidi"/>
          <w:b w:val="0"/>
          <w:bCs w:val="0"/>
          <w:color w:val="auto"/>
          <w:sz w:val="24"/>
          <w:lang w:eastAsia="fr-FR"/>
        </w:rPr>
      </w:pPr>
      <w:hyperlink w:anchor="_Toc226031853" w:history="1">
        <w:r w:rsidRPr="004212D9">
          <w:rPr>
            <w:rStyle w:val="Lienhypertexte"/>
          </w:rPr>
          <w:t>3.3</w:t>
        </w:r>
        <w:r>
          <w:rPr>
            <w:rFonts w:eastAsiaTheme="minorEastAsia" w:cstheme="minorBidi"/>
            <w:b w:val="0"/>
            <w:bCs w:val="0"/>
            <w:color w:val="auto"/>
            <w:sz w:val="24"/>
            <w:lang w:eastAsia="fr-FR"/>
          </w:rPr>
          <w:tab/>
        </w:r>
        <w:r w:rsidRPr="004212D9">
          <w:rPr>
            <w:rStyle w:val="Lienhypertexte"/>
          </w:rPr>
          <w:t>Modification de détails du dossier de consultation</w:t>
        </w:r>
        <w:r>
          <w:rPr>
            <w:webHidden/>
          </w:rPr>
          <w:tab/>
        </w:r>
        <w:r>
          <w:rPr>
            <w:webHidden/>
          </w:rPr>
          <w:fldChar w:fldCharType="begin"/>
        </w:r>
        <w:r>
          <w:rPr>
            <w:webHidden/>
          </w:rPr>
          <w:instrText xml:space="preserve"> PAGEREF _Toc226031853 \h </w:instrText>
        </w:r>
        <w:r>
          <w:rPr>
            <w:webHidden/>
          </w:rPr>
        </w:r>
        <w:r>
          <w:rPr>
            <w:webHidden/>
          </w:rPr>
          <w:fldChar w:fldCharType="separate"/>
        </w:r>
        <w:r>
          <w:rPr>
            <w:webHidden/>
          </w:rPr>
          <w:t>7</w:t>
        </w:r>
        <w:r>
          <w:rPr>
            <w:webHidden/>
          </w:rPr>
          <w:fldChar w:fldCharType="end"/>
        </w:r>
      </w:hyperlink>
    </w:p>
    <w:p w14:paraId="4793B2A5" w14:textId="48546B3B" w:rsidR="00CD59EC" w:rsidRDefault="00CD59EC">
      <w:pPr>
        <w:pStyle w:val="TM1"/>
        <w:rPr>
          <w:rFonts w:eastAsiaTheme="minorEastAsia" w:cstheme="minorBidi"/>
          <w:b w:val="0"/>
          <w:color w:val="auto"/>
          <w:sz w:val="24"/>
          <w:szCs w:val="24"/>
          <w:lang w:eastAsia="fr-FR"/>
        </w:rPr>
      </w:pPr>
      <w:hyperlink w:anchor="_Toc226031854" w:history="1">
        <w:r w:rsidRPr="004212D9">
          <w:rPr>
            <w:rStyle w:val="Lienhypertexte"/>
          </w:rPr>
          <w:t>4.</w:t>
        </w:r>
        <w:r>
          <w:rPr>
            <w:rFonts w:eastAsiaTheme="minorEastAsia" w:cstheme="minorBidi"/>
            <w:b w:val="0"/>
            <w:color w:val="auto"/>
            <w:sz w:val="24"/>
            <w:szCs w:val="24"/>
            <w:lang w:eastAsia="fr-FR"/>
          </w:rPr>
          <w:tab/>
        </w:r>
        <w:r w:rsidRPr="004212D9">
          <w:rPr>
            <w:rStyle w:val="Lienhypertexte"/>
          </w:rPr>
          <w:t>Contenu des offres</w:t>
        </w:r>
        <w:r>
          <w:rPr>
            <w:webHidden/>
          </w:rPr>
          <w:tab/>
        </w:r>
        <w:r>
          <w:rPr>
            <w:webHidden/>
          </w:rPr>
          <w:fldChar w:fldCharType="begin"/>
        </w:r>
        <w:r>
          <w:rPr>
            <w:webHidden/>
          </w:rPr>
          <w:instrText xml:space="preserve"> PAGEREF _Toc226031854 \h </w:instrText>
        </w:r>
        <w:r>
          <w:rPr>
            <w:webHidden/>
          </w:rPr>
        </w:r>
        <w:r>
          <w:rPr>
            <w:webHidden/>
          </w:rPr>
          <w:fldChar w:fldCharType="separate"/>
        </w:r>
        <w:r>
          <w:rPr>
            <w:webHidden/>
          </w:rPr>
          <w:t>7</w:t>
        </w:r>
        <w:r>
          <w:rPr>
            <w:webHidden/>
          </w:rPr>
          <w:fldChar w:fldCharType="end"/>
        </w:r>
      </w:hyperlink>
    </w:p>
    <w:p w14:paraId="08392DAD" w14:textId="1EA206CA" w:rsidR="00CD59EC" w:rsidRDefault="00CD59EC">
      <w:pPr>
        <w:pStyle w:val="TM2"/>
        <w:rPr>
          <w:rFonts w:eastAsiaTheme="minorEastAsia" w:cstheme="minorBidi"/>
          <w:b w:val="0"/>
          <w:bCs w:val="0"/>
          <w:color w:val="auto"/>
          <w:sz w:val="24"/>
          <w:lang w:eastAsia="fr-FR"/>
        </w:rPr>
      </w:pPr>
      <w:hyperlink w:anchor="_Toc226031855" w:history="1">
        <w:r w:rsidRPr="004212D9">
          <w:rPr>
            <w:rStyle w:val="Lienhypertexte"/>
          </w:rPr>
          <w:t>4.1</w:t>
        </w:r>
        <w:r>
          <w:rPr>
            <w:rFonts w:eastAsiaTheme="minorEastAsia" w:cstheme="minorBidi"/>
            <w:b w:val="0"/>
            <w:bCs w:val="0"/>
            <w:color w:val="auto"/>
            <w:sz w:val="24"/>
            <w:lang w:eastAsia="fr-FR"/>
          </w:rPr>
          <w:tab/>
        </w:r>
        <w:r w:rsidRPr="004212D9">
          <w:rPr>
            <w:rStyle w:val="Lienhypertexte"/>
          </w:rPr>
          <w:t>Contenu du dossier de candidature</w:t>
        </w:r>
        <w:r>
          <w:rPr>
            <w:webHidden/>
          </w:rPr>
          <w:tab/>
        </w:r>
        <w:r>
          <w:rPr>
            <w:webHidden/>
          </w:rPr>
          <w:fldChar w:fldCharType="begin"/>
        </w:r>
        <w:r>
          <w:rPr>
            <w:webHidden/>
          </w:rPr>
          <w:instrText xml:space="preserve"> PAGEREF _Toc226031855 \h </w:instrText>
        </w:r>
        <w:r>
          <w:rPr>
            <w:webHidden/>
          </w:rPr>
        </w:r>
        <w:r>
          <w:rPr>
            <w:webHidden/>
          </w:rPr>
          <w:fldChar w:fldCharType="separate"/>
        </w:r>
        <w:r>
          <w:rPr>
            <w:webHidden/>
          </w:rPr>
          <w:t>7</w:t>
        </w:r>
        <w:r>
          <w:rPr>
            <w:webHidden/>
          </w:rPr>
          <w:fldChar w:fldCharType="end"/>
        </w:r>
      </w:hyperlink>
    </w:p>
    <w:p w14:paraId="1499EF23" w14:textId="04CDA317" w:rsidR="00CD59EC" w:rsidRDefault="00CD59EC">
      <w:pPr>
        <w:pStyle w:val="TM2"/>
        <w:rPr>
          <w:rFonts w:eastAsiaTheme="minorEastAsia" w:cstheme="minorBidi"/>
          <w:b w:val="0"/>
          <w:bCs w:val="0"/>
          <w:color w:val="auto"/>
          <w:sz w:val="24"/>
          <w:lang w:eastAsia="fr-FR"/>
        </w:rPr>
      </w:pPr>
      <w:hyperlink w:anchor="_Toc226031856" w:history="1">
        <w:r w:rsidRPr="004212D9">
          <w:rPr>
            <w:rStyle w:val="Lienhypertexte"/>
          </w:rPr>
          <w:t>4.2</w:t>
        </w:r>
        <w:r>
          <w:rPr>
            <w:rFonts w:eastAsiaTheme="minorEastAsia" w:cstheme="minorBidi"/>
            <w:b w:val="0"/>
            <w:bCs w:val="0"/>
            <w:color w:val="auto"/>
            <w:sz w:val="24"/>
            <w:lang w:eastAsia="fr-FR"/>
          </w:rPr>
          <w:tab/>
        </w:r>
        <w:r w:rsidRPr="004212D9">
          <w:rPr>
            <w:rStyle w:val="Lienhypertexte"/>
          </w:rPr>
          <w:t>Contenu du dossier d’offre</w:t>
        </w:r>
        <w:r>
          <w:rPr>
            <w:webHidden/>
          </w:rPr>
          <w:tab/>
        </w:r>
        <w:r>
          <w:rPr>
            <w:webHidden/>
          </w:rPr>
          <w:fldChar w:fldCharType="begin"/>
        </w:r>
        <w:r>
          <w:rPr>
            <w:webHidden/>
          </w:rPr>
          <w:instrText xml:space="preserve"> PAGEREF _Toc226031856 \h </w:instrText>
        </w:r>
        <w:r>
          <w:rPr>
            <w:webHidden/>
          </w:rPr>
        </w:r>
        <w:r>
          <w:rPr>
            <w:webHidden/>
          </w:rPr>
          <w:fldChar w:fldCharType="separate"/>
        </w:r>
        <w:r>
          <w:rPr>
            <w:webHidden/>
          </w:rPr>
          <w:t>9</w:t>
        </w:r>
        <w:r>
          <w:rPr>
            <w:webHidden/>
          </w:rPr>
          <w:fldChar w:fldCharType="end"/>
        </w:r>
      </w:hyperlink>
    </w:p>
    <w:p w14:paraId="7077C869" w14:textId="0B7C1039" w:rsidR="00CD59EC" w:rsidRDefault="00CD59EC">
      <w:pPr>
        <w:pStyle w:val="TM1"/>
        <w:rPr>
          <w:rFonts w:eastAsiaTheme="minorEastAsia" w:cstheme="minorBidi"/>
          <w:b w:val="0"/>
          <w:color w:val="auto"/>
          <w:sz w:val="24"/>
          <w:szCs w:val="24"/>
          <w:lang w:eastAsia="fr-FR"/>
        </w:rPr>
      </w:pPr>
      <w:hyperlink w:anchor="_Toc226031857" w:history="1">
        <w:r w:rsidRPr="004212D9">
          <w:rPr>
            <w:rStyle w:val="Lienhypertexte"/>
          </w:rPr>
          <w:t>5.</w:t>
        </w:r>
        <w:r>
          <w:rPr>
            <w:rFonts w:eastAsiaTheme="minorEastAsia" w:cstheme="minorBidi"/>
            <w:b w:val="0"/>
            <w:color w:val="auto"/>
            <w:sz w:val="24"/>
            <w:szCs w:val="24"/>
            <w:lang w:eastAsia="fr-FR"/>
          </w:rPr>
          <w:tab/>
        </w:r>
        <w:r w:rsidRPr="004212D9">
          <w:rPr>
            <w:rStyle w:val="Lienhypertexte"/>
          </w:rPr>
          <w:t>Transmission des candidatures et des offres</w:t>
        </w:r>
        <w:r>
          <w:rPr>
            <w:webHidden/>
          </w:rPr>
          <w:tab/>
        </w:r>
        <w:r>
          <w:rPr>
            <w:webHidden/>
          </w:rPr>
          <w:fldChar w:fldCharType="begin"/>
        </w:r>
        <w:r>
          <w:rPr>
            <w:webHidden/>
          </w:rPr>
          <w:instrText xml:space="preserve"> PAGEREF _Toc226031857 \h </w:instrText>
        </w:r>
        <w:r>
          <w:rPr>
            <w:webHidden/>
          </w:rPr>
        </w:r>
        <w:r>
          <w:rPr>
            <w:webHidden/>
          </w:rPr>
          <w:fldChar w:fldCharType="separate"/>
        </w:r>
        <w:r>
          <w:rPr>
            <w:webHidden/>
          </w:rPr>
          <w:t>10</w:t>
        </w:r>
        <w:r>
          <w:rPr>
            <w:webHidden/>
          </w:rPr>
          <w:fldChar w:fldCharType="end"/>
        </w:r>
      </w:hyperlink>
    </w:p>
    <w:p w14:paraId="3E5054E9" w14:textId="274E9AB1" w:rsidR="00CD59EC" w:rsidRDefault="00CD59EC">
      <w:pPr>
        <w:pStyle w:val="TM2"/>
        <w:rPr>
          <w:rFonts w:eastAsiaTheme="minorEastAsia" w:cstheme="minorBidi"/>
          <w:b w:val="0"/>
          <w:bCs w:val="0"/>
          <w:color w:val="auto"/>
          <w:sz w:val="24"/>
          <w:lang w:eastAsia="fr-FR"/>
        </w:rPr>
      </w:pPr>
      <w:hyperlink w:anchor="_Toc226031858" w:history="1">
        <w:r w:rsidRPr="004212D9">
          <w:rPr>
            <w:rStyle w:val="Lienhypertexte"/>
          </w:rPr>
          <w:t>5.1</w:t>
        </w:r>
        <w:r>
          <w:rPr>
            <w:rFonts w:eastAsiaTheme="minorEastAsia" w:cstheme="minorBidi"/>
            <w:b w:val="0"/>
            <w:bCs w:val="0"/>
            <w:color w:val="auto"/>
            <w:sz w:val="24"/>
            <w:lang w:eastAsia="fr-FR"/>
          </w:rPr>
          <w:tab/>
        </w:r>
        <w:r w:rsidRPr="004212D9">
          <w:rPr>
            <w:rStyle w:val="Lienhypertexte"/>
          </w:rPr>
          <w:t>Remise des plis par voir électronique</w:t>
        </w:r>
        <w:r>
          <w:rPr>
            <w:webHidden/>
          </w:rPr>
          <w:tab/>
        </w:r>
        <w:r>
          <w:rPr>
            <w:webHidden/>
          </w:rPr>
          <w:fldChar w:fldCharType="begin"/>
        </w:r>
        <w:r>
          <w:rPr>
            <w:webHidden/>
          </w:rPr>
          <w:instrText xml:space="preserve"> PAGEREF _Toc226031858 \h </w:instrText>
        </w:r>
        <w:r>
          <w:rPr>
            <w:webHidden/>
          </w:rPr>
        </w:r>
        <w:r>
          <w:rPr>
            <w:webHidden/>
          </w:rPr>
          <w:fldChar w:fldCharType="separate"/>
        </w:r>
        <w:r>
          <w:rPr>
            <w:webHidden/>
          </w:rPr>
          <w:t>10</w:t>
        </w:r>
        <w:r>
          <w:rPr>
            <w:webHidden/>
          </w:rPr>
          <w:fldChar w:fldCharType="end"/>
        </w:r>
      </w:hyperlink>
    </w:p>
    <w:p w14:paraId="2AD656B9" w14:textId="1B14803C" w:rsidR="00CD59EC" w:rsidRDefault="00CD59EC">
      <w:pPr>
        <w:pStyle w:val="TM3"/>
        <w:rPr>
          <w:rFonts w:eastAsiaTheme="minorEastAsia" w:cstheme="minorBidi"/>
          <w:sz w:val="24"/>
          <w:lang w:eastAsia="fr-FR"/>
        </w:rPr>
      </w:pPr>
      <w:hyperlink w:anchor="_Toc226031859" w:history="1">
        <w:r w:rsidRPr="004212D9">
          <w:rPr>
            <w:rStyle w:val="Lienhypertexte"/>
          </w:rPr>
          <w:t>5.1.1</w:t>
        </w:r>
        <w:r>
          <w:rPr>
            <w:rFonts w:eastAsiaTheme="minorEastAsia" w:cstheme="minorBidi"/>
            <w:sz w:val="24"/>
            <w:lang w:eastAsia="fr-FR"/>
          </w:rPr>
          <w:tab/>
        </w:r>
        <w:r w:rsidRPr="004212D9">
          <w:rPr>
            <w:rStyle w:val="Lienhypertexte"/>
          </w:rPr>
          <w:t>Site pour dépôt des offres</w:t>
        </w:r>
        <w:r>
          <w:rPr>
            <w:webHidden/>
          </w:rPr>
          <w:tab/>
        </w:r>
        <w:r>
          <w:rPr>
            <w:webHidden/>
          </w:rPr>
          <w:fldChar w:fldCharType="begin"/>
        </w:r>
        <w:r>
          <w:rPr>
            <w:webHidden/>
          </w:rPr>
          <w:instrText xml:space="preserve"> PAGEREF _Toc226031859 \h </w:instrText>
        </w:r>
        <w:r>
          <w:rPr>
            <w:webHidden/>
          </w:rPr>
        </w:r>
        <w:r>
          <w:rPr>
            <w:webHidden/>
          </w:rPr>
          <w:fldChar w:fldCharType="separate"/>
        </w:r>
        <w:r>
          <w:rPr>
            <w:webHidden/>
          </w:rPr>
          <w:t>10</w:t>
        </w:r>
        <w:r>
          <w:rPr>
            <w:webHidden/>
          </w:rPr>
          <w:fldChar w:fldCharType="end"/>
        </w:r>
      </w:hyperlink>
    </w:p>
    <w:p w14:paraId="7BC9B625" w14:textId="130D371E" w:rsidR="00CD59EC" w:rsidRDefault="00CD59EC">
      <w:pPr>
        <w:pStyle w:val="TM3"/>
        <w:rPr>
          <w:rFonts w:eastAsiaTheme="minorEastAsia" w:cstheme="minorBidi"/>
          <w:sz w:val="24"/>
          <w:lang w:eastAsia="fr-FR"/>
        </w:rPr>
      </w:pPr>
      <w:hyperlink w:anchor="_Toc226031860" w:history="1">
        <w:r w:rsidRPr="004212D9">
          <w:rPr>
            <w:rStyle w:val="Lienhypertexte"/>
          </w:rPr>
          <w:t>5.1.2</w:t>
        </w:r>
        <w:r>
          <w:rPr>
            <w:rFonts w:eastAsiaTheme="minorEastAsia" w:cstheme="minorBidi"/>
            <w:sz w:val="24"/>
            <w:lang w:eastAsia="fr-FR"/>
          </w:rPr>
          <w:tab/>
        </w:r>
        <w:r w:rsidRPr="004212D9">
          <w:rPr>
            <w:rStyle w:val="Lienhypertexte"/>
          </w:rPr>
          <w:t>La signature des documents</w:t>
        </w:r>
        <w:r>
          <w:rPr>
            <w:webHidden/>
          </w:rPr>
          <w:tab/>
        </w:r>
        <w:r>
          <w:rPr>
            <w:webHidden/>
          </w:rPr>
          <w:fldChar w:fldCharType="begin"/>
        </w:r>
        <w:r>
          <w:rPr>
            <w:webHidden/>
          </w:rPr>
          <w:instrText xml:space="preserve"> PAGEREF _Toc226031860 \h </w:instrText>
        </w:r>
        <w:r>
          <w:rPr>
            <w:webHidden/>
          </w:rPr>
        </w:r>
        <w:r>
          <w:rPr>
            <w:webHidden/>
          </w:rPr>
          <w:fldChar w:fldCharType="separate"/>
        </w:r>
        <w:r>
          <w:rPr>
            <w:webHidden/>
          </w:rPr>
          <w:t>11</w:t>
        </w:r>
        <w:r>
          <w:rPr>
            <w:webHidden/>
          </w:rPr>
          <w:fldChar w:fldCharType="end"/>
        </w:r>
      </w:hyperlink>
    </w:p>
    <w:p w14:paraId="045D9977" w14:textId="3F487BF5" w:rsidR="00CD59EC" w:rsidRDefault="00CD59EC">
      <w:pPr>
        <w:pStyle w:val="TM3"/>
        <w:rPr>
          <w:rFonts w:eastAsiaTheme="minorEastAsia" w:cstheme="minorBidi"/>
          <w:sz w:val="24"/>
          <w:lang w:eastAsia="fr-FR"/>
        </w:rPr>
      </w:pPr>
      <w:hyperlink w:anchor="_Toc226031861" w:history="1">
        <w:r w:rsidRPr="004212D9">
          <w:rPr>
            <w:rStyle w:val="Lienhypertexte"/>
          </w:rPr>
          <w:t>5.1.3</w:t>
        </w:r>
        <w:r>
          <w:rPr>
            <w:rFonts w:eastAsiaTheme="minorEastAsia" w:cstheme="minorBidi"/>
            <w:sz w:val="24"/>
            <w:lang w:eastAsia="fr-FR"/>
          </w:rPr>
          <w:tab/>
        </w:r>
        <w:r w:rsidRPr="004212D9">
          <w:rPr>
            <w:rStyle w:val="Lienhypertexte"/>
          </w:rPr>
          <w:t>Références horaires utilisées</w:t>
        </w:r>
        <w:r>
          <w:rPr>
            <w:webHidden/>
          </w:rPr>
          <w:tab/>
        </w:r>
        <w:r>
          <w:rPr>
            <w:webHidden/>
          </w:rPr>
          <w:fldChar w:fldCharType="begin"/>
        </w:r>
        <w:r>
          <w:rPr>
            <w:webHidden/>
          </w:rPr>
          <w:instrText xml:space="preserve"> PAGEREF _Toc226031861 \h </w:instrText>
        </w:r>
        <w:r>
          <w:rPr>
            <w:webHidden/>
          </w:rPr>
        </w:r>
        <w:r>
          <w:rPr>
            <w:webHidden/>
          </w:rPr>
          <w:fldChar w:fldCharType="separate"/>
        </w:r>
        <w:r>
          <w:rPr>
            <w:webHidden/>
          </w:rPr>
          <w:t>12</w:t>
        </w:r>
        <w:r>
          <w:rPr>
            <w:webHidden/>
          </w:rPr>
          <w:fldChar w:fldCharType="end"/>
        </w:r>
      </w:hyperlink>
    </w:p>
    <w:p w14:paraId="15D50CA0" w14:textId="517979CB" w:rsidR="00CD59EC" w:rsidRDefault="00CD59EC">
      <w:pPr>
        <w:pStyle w:val="TM3"/>
        <w:rPr>
          <w:rFonts w:eastAsiaTheme="minorEastAsia" w:cstheme="minorBidi"/>
          <w:sz w:val="24"/>
          <w:lang w:eastAsia="fr-FR"/>
        </w:rPr>
      </w:pPr>
      <w:hyperlink w:anchor="_Toc226031862" w:history="1">
        <w:r w:rsidRPr="004212D9">
          <w:rPr>
            <w:rStyle w:val="Lienhypertexte"/>
          </w:rPr>
          <w:t>5.1.4</w:t>
        </w:r>
        <w:r>
          <w:rPr>
            <w:rFonts w:eastAsiaTheme="minorEastAsia" w:cstheme="minorBidi"/>
            <w:sz w:val="24"/>
            <w:lang w:eastAsia="fr-FR"/>
          </w:rPr>
          <w:tab/>
        </w:r>
        <w:r w:rsidRPr="004212D9">
          <w:rPr>
            <w:rStyle w:val="Lienhypertexte"/>
          </w:rPr>
          <w:t>Accès au réseau et signature</w:t>
        </w:r>
        <w:r>
          <w:rPr>
            <w:webHidden/>
          </w:rPr>
          <w:tab/>
        </w:r>
        <w:r>
          <w:rPr>
            <w:webHidden/>
          </w:rPr>
          <w:fldChar w:fldCharType="begin"/>
        </w:r>
        <w:r>
          <w:rPr>
            <w:webHidden/>
          </w:rPr>
          <w:instrText xml:space="preserve"> PAGEREF _Toc226031862 \h </w:instrText>
        </w:r>
        <w:r>
          <w:rPr>
            <w:webHidden/>
          </w:rPr>
        </w:r>
        <w:r>
          <w:rPr>
            <w:webHidden/>
          </w:rPr>
          <w:fldChar w:fldCharType="separate"/>
        </w:r>
        <w:r>
          <w:rPr>
            <w:webHidden/>
          </w:rPr>
          <w:t>12</w:t>
        </w:r>
        <w:r>
          <w:rPr>
            <w:webHidden/>
          </w:rPr>
          <w:fldChar w:fldCharType="end"/>
        </w:r>
      </w:hyperlink>
    </w:p>
    <w:p w14:paraId="295217EA" w14:textId="536CA28F" w:rsidR="00CD59EC" w:rsidRDefault="00CD59EC">
      <w:pPr>
        <w:pStyle w:val="TM2"/>
        <w:rPr>
          <w:rFonts w:eastAsiaTheme="minorEastAsia" w:cstheme="minorBidi"/>
          <w:b w:val="0"/>
          <w:bCs w:val="0"/>
          <w:color w:val="auto"/>
          <w:sz w:val="24"/>
          <w:lang w:eastAsia="fr-FR"/>
        </w:rPr>
      </w:pPr>
      <w:hyperlink w:anchor="_Toc226031863" w:history="1">
        <w:r w:rsidRPr="004212D9">
          <w:rPr>
            <w:rStyle w:val="Lienhypertexte"/>
          </w:rPr>
          <w:t>5.2</w:t>
        </w:r>
        <w:r>
          <w:rPr>
            <w:rFonts w:eastAsiaTheme="minorEastAsia" w:cstheme="minorBidi"/>
            <w:b w:val="0"/>
            <w:bCs w:val="0"/>
            <w:color w:val="auto"/>
            <w:sz w:val="24"/>
            <w:lang w:eastAsia="fr-FR"/>
          </w:rPr>
          <w:tab/>
        </w:r>
        <w:r w:rsidRPr="004212D9">
          <w:rPr>
            <w:rStyle w:val="Lienhypertexte"/>
          </w:rPr>
          <w:t>Remise d’une copie de sauvegarde</w:t>
        </w:r>
        <w:r>
          <w:rPr>
            <w:webHidden/>
          </w:rPr>
          <w:tab/>
        </w:r>
        <w:r>
          <w:rPr>
            <w:webHidden/>
          </w:rPr>
          <w:fldChar w:fldCharType="begin"/>
        </w:r>
        <w:r>
          <w:rPr>
            <w:webHidden/>
          </w:rPr>
          <w:instrText xml:space="preserve"> PAGEREF _Toc226031863 \h </w:instrText>
        </w:r>
        <w:r>
          <w:rPr>
            <w:webHidden/>
          </w:rPr>
        </w:r>
        <w:r>
          <w:rPr>
            <w:webHidden/>
          </w:rPr>
          <w:fldChar w:fldCharType="separate"/>
        </w:r>
        <w:r>
          <w:rPr>
            <w:webHidden/>
          </w:rPr>
          <w:t>13</w:t>
        </w:r>
        <w:r>
          <w:rPr>
            <w:webHidden/>
          </w:rPr>
          <w:fldChar w:fldCharType="end"/>
        </w:r>
      </w:hyperlink>
    </w:p>
    <w:p w14:paraId="4D6C31EA" w14:textId="22BCE9A3" w:rsidR="00CD59EC" w:rsidRDefault="00CD59EC">
      <w:pPr>
        <w:pStyle w:val="TM1"/>
        <w:rPr>
          <w:rFonts w:eastAsiaTheme="minorEastAsia" w:cstheme="minorBidi"/>
          <w:b w:val="0"/>
          <w:color w:val="auto"/>
          <w:sz w:val="24"/>
          <w:szCs w:val="24"/>
          <w:lang w:eastAsia="fr-FR"/>
        </w:rPr>
      </w:pPr>
      <w:hyperlink w:anchor="_Toc226031864" w:history="1">
        <w:r w:rsidRPr="004212D9">
          <w:rPr>
            <w:rStyle w:val="Lienhypertexte"/>
          </w:rPr>
          <w:t>6.</w:t>
        </w:r>
        <w:r>
          <w:rPr>
            <w:rFonts w:eastAsiaTheme="minorEastAsia" w:cstheme="minorBidi"/>
            <w:b w:val="0"/>
            <w:color w:val="auto"/>
            <w:sz w:val="24"/>
            <w:szCs w:val="24"/>
            <w:lang w:eastAsia="fr-FR"/>
          </w:rPr>
          <w:tab/>
        </w:r>
        <w:r w:rsidRPr="004212D9">
          <w:rPr>
            <w:rStyle w:val="Lienhypertexte"/>
          </w:rPr>
          <w:t>Jugement des candidatures et des offres</w:t>
        </w:r>
        <w:r>
          <w:rPr>
            <w:webHidden/>
          </w:rPr>
          <w:tab/>
        </w:r>
        <w:r>
          <w:rPr>
            <w:webHidden/>
          </w:rPr>
          <w:fldChar w:fldCharType="begin"/>
        </w:r>
        <w:r>
          <w:rPr>
            <w:webHidden/>
          </w:rPr>
          <w:instrText xml:space="preserve"> PAGEREF _Toc226031864 \h </w:instrText>
        </w:r>
        <w:r>
          <w:rPr>
            <w:webHidden/>
          </w:rPr>
        </w:r>
        <w:r>
          <w:rPr>
            <w:webHidden/>
          </w:rPr>
          <w:fldChar w:fldCharType="separate"/>
        </w:r>
        <w:r>
          <w:rPr>
            <w:webHidden/>
          </w:rPr>
          <w:t>14</w:t>
        </w:r>
        <w:r>
          <w:rPr>
            <w:webHidden/>
          </w:rPr>
          <w:fldChar w:fldCharType="end"/>
        </w:r>
      </w:hyperlink>
    </w:p>
    <w:p w14:paraId="4AC3C9E7" w14:textId="1411770E" w:rsidR="00CD59EC" w:rsidRDefault="00CD59EC">
      <w:pPr>
        <w:pStyle w:val="TM2"/>
        <w:rPr>
          <w:rFonts w:eastAsiaTheme="minorEastAsia" w:cstheme="minorBidi"/>
          <w:b w:val="0"/>
          <w:bCs w:val="0"/>
          <w:color w:val="auto"/>
          <w:sz w:val="24"/>
          <w:lang w:eastAsia="fr-FR"/>
        </w:rPr>
      </w:pPr>
      <w:hyperlink w:anchor="_Toc226031865" w:history="1">
        <w:r w:rsidRPr="004212D9">
          <w:rPr>
            <w:rStyle w:val="Lienhypertexte"/>
          </w:rPr>
          <w:t>6.1</w:t>
        </w:r>
        <w:r>
          <w:rPr>
            <w:rFonts w:eastAsiaTheme="minorEastAsia" w:cstheme="minorBidi"/>
            <w:b w:val="0"/>
            <w:bCs w:val="0"/>
            <w:color w:val="auto"/>
            <w:sz w:val="24"/>
            <w:lang w:eastAsia="fr-FR"/>
          </w:rPr>
          <w:tab/>
        </w:r>
        <w:r w:rsidRPr="004212D9">
          <w:rPr>
            <w:rStyle w:val="Lienhypertexte"/>
          </w:rPr>
          <w:t>Candidatures</w:t>
        </w:r>
        <w:r>
          <w:rPr>
            <w:webHidden/>
          </w:rPr>
          <w:tab/>
        </w:r>
        <w:r>
          <w:rPr>
            <w:webHidden/>
          </w:rPr>
          <w:fldChar w:fldCharType="begin"/>
        </w:r>
        <w:r>
          <w:rPr>
            <w:webHidden/>
          </w:rPr>
          <w:instrText xml:space="preserve"> PAGEREF _Toc226031865 \h </w:instrText>
        </w:r>
        <w:r>
          <w:rPr>
            <w:webHidden/>
          </w:rPr>
        </w:r>
        <w:r>
          <w:rPr>
            <w:webHidden/>
          </w:rPr>
          <w:fldChar w:fldCharType="separate"/>
        </w:r>
        <w:r>
          <w:rPr>
            <w:webHidden/>
          </w:rPr>
          <w:t>14</w:t>
        </w:r>
        <w:r>
          <w:rPr>
            <w:webHidden/>
          </w:rPr>
          <w:fldChar w:fldCharType="end"/>
        </w:r>
      </w:hyperlink>
    </w:p>
    <w:p w14:paraId="54259256" w14:textId="145E4E54" w:rsidR="00CD59EC" w:rsidRDefault="00CD59EC">
      <w:pPr>
        <w:pStyle w:val="TM2"/>
        <w:rPr>
          <w:rFonts w:eastAsiaTheme="minorEastAsia" w:cstheme="minorBidi"/>
          <w:b w:val="0"/>
          <w:bCs w:val="0"/>
          <w:color w:val="auto"/>
          <w:sz w:val="24"/>
          <w:lang w:eastAsia="fr-FR"/>
        </w:rPr>
      </w:pPr>
      <w:hyperlink w:anchor="_Toc226031866" w:history="1">
        <w:r w:rsidRPr="004212D9">
          <w:rPr>
            <w:rStyle w:val="Lienhypertexte"/>
          </w:rPr>
          <w:t>6.2</w:t>
        </w:r>
        <w:r>
          <w:rPr>
            <w:rFonts w:eastAsiaTheme="minorEastAsia" w:cstheme="minorBidi"/>
            <w:b w:val="0"/>
            <w:bCs w:val="0"/>
            <w:color w:val="auto"/>
            <w:sz w:val="24"/>
            <w:lang w:eastAsia="fr-FR"/>
          </w:rPr>
          <w:tab/>
        </w:r>
        <w:r w:rsidRPr="004212D9">
          <w:rPr>
            <w:rStyle w:val="Lienhypertexte"/>
          </w:rPr>
          <w:t>Offres</w:t>
        </w:r>
        <w:r>
          <w:rPr>
            <w:webHidden/>
          </w:rPr>
          <w:tab/>
        </w:r>
        <w:r>
          <w:rPr>
            <w:webHidden/>
          </w:rPr>
          <w:fldChar w:fldCharType="begin"/>
        </w:r>
        <w:r>
          <w:rPr>
            <w:webHidden/>
          </w:rPr>
          <w:instrText xml:space="preserve"> PAGEREF _Toc226031866 \h </w:instrText>
        </w:r>
        <w:r>
          <w:rPr>
            <w:webHidden/>
          </w:rPr>
        </w:r>
        <w:r>
          <w:rPr>
            <w:webHidden/>
          </w:rPr>
          <w:fldChar w:fldCharType="separate"/>
        </w:r>
        <w:r>
          <w:rPr>
            <w:webHidden/>
          </w:rPr>
          <w:t>14</w:t>
        </w:r>
        <w:r>
          <w:rPr>
            <w:webHidden/>
          </w:rPr>
          <w:fldChar w:fldCharType="end"/>
        </w:r>
      </w:hyperlink>
    </w:p>
    <w:p w14:paraId="406BCAE7" w14:textId="05049780" w:rsidR="00CD59EC" w:rsidRDefault="00CD59EC">
      <w:pPr>
        <w:pStyle w:val="TM2"/>
        <w:rPr>
          <w:rFonts w:eastAsiaTheme="minorEastAsia" w:cstheme="minorBidi"/>
          <w:b w:val="0"/>
          <w:bCs w:val="0"/>
          <w:color w:val="auto"/>
          <w:sz w:val="24"/>
          <w:lang w:eastAsia="fr-FR"/>
        </w:rPr>
      </w:pPr>
      <w:hyperlink w:anchor="_Toc226031867" w:history="1">
        <w:r w:rsidRPr="004212D9">
          <w:rPr>
            <w:rStyle w:val="Lienhypertexte"/>
          </w:rPr>
          <w:t>6.3</w:t>
        </w:r>
        <w:r>
          <w:rPr>
            <w:rFonts w:eastAsiaTheme="minorEastAsia" w:cstheme="minorBidi"/>
            <w:b w:val="0"/>
            <w:bCs w:val="0"/>
            <w:color w:val="auto"/>
            <w:sz w:val="24"/>
            <w:lang w:eastAsia="fr-FR"/>
          </w:rPr>
          <w:tab/>
        </w:r>
        <w:r w:rsidRPr="004212D9">
          <w:rPr>
            <w:rStyle w:val="Lienhypertexte"/>
          </w:rPr>
          <w:t>Négociation</w:t>
        </w:r>
        <w:r>
          <w:rPr>
            <w:webHidden/>
          </w:rPr>
          <w:tab/>
        </w:r>
        <w:r>
          <w:rPr>
            <w:webHidden/>
          </w:rPr>
          <w:fldChar w:fldCharType="begin"/>
        </w:r>
        <w:r>
          <w:rPr>
            <w:webHidden/>
          </w:rPr>
          <w:instrText xml:space="preserve"> PAGEREF _Toc226031867 \h </w:instrText>
        </w:r>
        <w:r>
          <w:rPr>
            <w:webHidden/>
          </w:rPr>
        </w:r>
        <w:r>
          <w:rPr>
            <w:webHidden/>
          </w:rPr>
          <w:fldChar w:fldCharType="separate"/>
        </w:r>
        <w:r>
          <w:rPr>
            <w:webHidden/>
          </w:rPr>
          <w:t>16</w:t>
        </w:r>
        <w:r>
          <w:rPr>
            <w:webHidden/>
          </w:rPr>
          <w:fldChar w:fldCharType="end"/>
        </w:r>
      </w:hyperlink>
    </w:p>
    <w:p w14:paraId="0253DBB6" w14:textId="2D346C26" w:rsidR="00CD59EC" w:rsidRDefault="00CD59EC">
      <w:pPr>
        <w:pStyle w:val="TM2"/>
        <w:rPr>
          <w:rFonts w:eastAsiaTheme="minorEastAsia" w:cstheme="minorBidi"/>
          <w:b w:val="0"/>
          <w:bCs w:val="0"/>
          <w:color w:val="auto"/>
          <w:sz w:val="24"/>
          <w:lang w:eastAsia="fr-FR"/>
        </w:rPr>
      </w:pPr>
      <w:hyperlink w:anchor="_Toc226031868" w:history="1">
        <w:r w:rsidRPr="004212D9">
          <w:rPr>
            <w:rStyle w:val="Lienhypertexte"/>
          </w:rPr>
          <w:t>6.4</w:t>
        </w:r>
        <w:r>
          <w:rPr>
            <w:rFonts w:eastAsiaTheme="minorEastAsia" w:cstheme="minorBidi"/>
            <w:b w:val="0"/>
            <w:bCs w:val="0"/>
            <w:color w:val="auto"/>
            <w:sz w:val="24"/>
            <w:lang w:eastAsia="fr-FR"/>
          </w:rPr>
          <w:tab/>
        </w:r>
        <w:r w:rsidRPr="004212D9">
          <w:rPr>
            <w:rStyle w:val="Lienhypertexte"/>
          </w:rPr>
          <w:t>Choix de l’attributaire</w:t>
        </w:r>
        <w:r>
          <w:rPr>
            <w:webHidden/>
          </w:rPr>
          <w:tab/>
        </w:r>
        <w:r>
          <w:rPr>
            <w:webHidden/>
          </w:rPr>
          <w:fldChar w:fldCharType="begin"/>
        </w:r>
        <w:r>
          <w:rPr>
            <w:webHidden/>
          </w:rPr>
          <w:instrText xml:space="preserve"> PAGEREF _Toc226031868 \h </w:instrText>
        </w:r>
        <w:r>
          <w:rPr>
            <w:webHidden/>
          </w:rPr>
        </w:r>
        <w:r>
          <w:rPr>
            <w:webHidden/>
          </w:rPr>
          <w:fldChar w:fldCharType="separate"/>
        </w:r>
        <w:r>
          <w:rPr>
            <w:webHidden/>
          </w:rPr>
          <w:t>17</w:t>
        </w:r>
        <w:r>
          <w:rPr>
            <w:webHidden/>
          </w:rPr>
          <w:fldChar w:fldCharType="end"/>
        </w:r>
      </w:hyperlink>
    </w:p>
    <w:p w14:paraId="662075C9" w14:textId="7334570B" w:rsidR="00CD59EC" w:rsidRDefault="00CD59EC">
      <w:pPr>
        <w:pStyle w:val="TM2"/>
        <w:rPr>
          <w:rFonts w:eastAsiaTheme="minorEastAsia" w:cstheme="minorBidi"/>
          <w:b w:val="0"/>
          <w:bCs w:val="0"/>
          <w:color w:val="auto"/>
          <w:sz w:val="24"/>
          <w:lang w:eastAsia="fr-FR"/>
        </w:rPr>
      </w:pPr>
      <w:hyperlink w:anchor="_Toc226031869" w:history="1">
        <w:r w:rsidRPr="004212D9">
          <w:rPr>
            <w:rStyle w:val="Lienhypertexte"/>
          </w:rPr>
          <w:t>6.5</w:t>
        </w:r>
        <w:r>
          <w:rPr>
            <w:rFonts w:eastAsiaTheme="minorEastAsia" w:cstheme="minorBidi"/>
            <w:b w:val="0"/>
            <w:bCs w:val="0"/>
            <w:color w:val="auto"/>
            <w:sz w:val="24"/>
            <w:lang w:eastAsia="fr-FR"/>
          </w:rPr>
          <w:tab/>
        </w:r>
        <w:r w:rsidRPr="004212D9">
          <w:rPr>
            <w:rStyle w:val="Lienhypertexte"/>
          </w:rPr>
          <w:t>Déclaration de sans suite</w:t>
        </w:r>
        <w:r>
          <w:rPr>
            <w:webHidden/>
          </w:rPr>
          <w:tab/>
        </w:r>
        <w:r>
          <w:rPr>
            <w:webHidden/>
          </w:rPr>
          <w:fldChar w:fldCharType="begin"/>
        </w:r>
        <w:r>
          <w:rPr>
            <w:webHidden/>
          </w:rPr>
          <w:instrText xml:space="preserve"> PAGEREF _Toc226031869 \h </w:instrText>
        </w:r>
        <w:r>
          <w:rPr>
            <w:webHidden/>
          </w:rPr>
        </w:r>
        <w:r>
          <w:rPr>
            <w:webHidden/>
          </w:rPr>
          <w:fldChar w:fldCharType="separate"/>
        </w:r>
        <w:r>
          <w:rPr>
            <w:webHidden/>
          </w:rPr>
          <w:t>17</w:t>
        </w:r>
        <w:r>
          <w:rPr>
            <w:webHidden/>
          </w:rPr>
          <w:fldChar w:fldCharType="end"/>
        </w:r>
      </w:hyperlink>
    </w:p>
    <w:p w14:paraId="0653815C" w14:textId="1BBD461B" w:rsidR="00CD59EC" w:rsidRDefault="00CD59EC">
      <w:pPr>
        <w:pStyle w:val="TM1"/>
        <w:rPr>
          <w:rFonts w:eastAsiaTheme="minorEastAsia" w:cstheme="minorBidi"/>
          <w:b w:val="0"/>
          <w:color w:val="auto"/>
          <w:sz w:val="24"/>
          <w:szCs w:val="24"/>
          <w:lang w:eastAsia="fr-FR"/>
        </w:rPr>
      </w:pPr>
      <w:hyperlink w:anchor="_Toc226031870" w:history="1">
        <w:r w:rsidRPr="004212D9">
          <w:rPr>
            <w:rStyle w:val="Lienhypertexte"/>
          </w:rPr>
          <w:t>7.</w:t>
        </w:r>
        <w:r>
          <w:rPr>
            <w:rFonts w:eastAsiaTheme="minorEastAsia" w:cstheme="minorBidi"/>
            <w:b w:val="0"/>
            <w:color w:val="auto"/>
            <w:sz w:val="24"/>
            <w:szCs w:val="24"/>
            <w:lang w:eastAsia="fr-FR"/>
          </w:rPr>
          <w:tab/>
        </w:r>
        <w:r w:rsidRPr="004212D9">
          <w:rPr>
            <w:rStyle w:val="Lienhypertexte"/>
          </w:rPr>
          <w:t>Lieux d’exécution</w:t>
        </w:r>
        <w:r>
          <w:rPr>
            <w:webHidden/>
          </w:rPr>
          <w:tab/>
        </w:r>
        <w:r>
          <w:rPr>
            <w:webHidden/>
          </w:rPr>
          <w:fldChar w:fldCharType="begin"/>
        </w:r>
        <w:r>
          <w:rPr>
            <w:webHidden/>
          </w:rPr>
          <w:instrText xml:space="preserve"> PAGEREF _Toc226031870 \h </w:instrText>
        </w:r>
        <w:r>
          <w:rPr>
            <w:webHidden/>
          </w:rPr>
        </w:r>
        <w:r>
          <w:rPr>
            <w:webHidden/>
          </w:rPr>
          <w:fldChar w:fldCharType="separate"/>
        </w:r>
        <w:r>
          <w:rPr>
            <w:webHidden/>
          </w:rPr>
          <w:t>18</w:t>
        </w:r>
        <w:r>
          <w:rPr>
            <w:webHidden/>
          </w:rPr>
          <w:fldChar w:fldCharType="end"/>
        </w:r>
      </w:hyperlink>
    </w:p>
    <w:p w14:paraId="4C9648AA" w14:textId="2A66BFFA" w:rsidR="00CD59EC" w:rsidRDefault="00CD59EC">
      <w:pPr>
        <w:pStyle w:val="TM1"/>
        <w:rPr>
          <w:rFonts w:eastAsiaTheme="minorEastAsia" w:cstheme="minorBidi"/>
          <w:b w:val="0"/>
          <w:color w:val="auto"/>
          <w:sz w:val="24"/>
          <w:szCs w:val="24"/>
          <w:lang w:eastAsia="fr-FR"/>
        </w:rPr>
      </w:pPr>
      <w:hyperlink w:anchor="_Toc226031871" w:history="1">
        <w:r w:rsidRPr="004212D9">
          <w:rPr>
            <w:rStyle w:val="Lienhypertexte"/>
          </w:rPr>
          <w:t>8.</w:t>
        </w:r>
        <w:r>
          <w:rPr>
            <w:rFonts w:eastAsiaTheme="minorEastAsia" w:cstheme="minorBidi"/>
            <w:b w:val="0"/>
            <w:color w:val="auto"/>
            <w:sz w:val="24"/>
            <w:szCs w:val="24"/>
            <w:lang w:eastAsia="fr-FR"/>
          </w:rPr>
          <w:tab/>
        </w:r>
        <w:r w:rsidRPr="004212D9">
          <w:rPr>
            <w:rStyle w:val="Lienhypertexte"/>
          </w:rPr>
          <w:t>Durée de validité des offres</w:t>
        </w:r>
        <w:r>
          <w:rPr>
            <w:webHidden/>
          </w:rPr>
          <w:tab/>
        </w:r>
        <w:r>
          <w:rPr>
            <w:webHidden/>
          </w:rPr>
          <w:fldChar w:fldCharType="begin"/>
        </w:r>
        <w:r>
          <w:rPr>
            <w:webHidden/>
          </w:rPr>
          <w:instrText xml:space="preserve"> PAGEREF _Toc226031871 \h </w:instrText>
        </w:r>
        <w:r>
          <w:rPr>
            <w:webHidden/>
          </w:rPr>
        </w:r>
        <w:r>
          <w:rPr>
            <w:webHidden/>
          </w:rPr>
          <w:fldChar w:fldCharType="separate"/>
        </w:r>
        <w:r>
          <w:rPr>
            <w:webHidden/>
          </w:rPr>
          <w:t>18</w:t>
        </w:r>
        <w:r>
          <w:rPr>
            <w:webHidden/>
          </w:rPr>
          <w:fldChar w:fldCharType="end"/>
        </w:r>
      </w:hyperlink>
    </w:p>
    <w:p w14:paraId="3C6E7BF9" w14:textId="1AC58E87" w:rsidR="00CD59EC" w:rsidRDefault="00CD59EC">
      <w:pPr>
        <w:pStyle w:val="TM1"/>
        <w:rPr>
          <w:rFonts w:eastAsiaTheme="minorEastAsia" w:cstheme="minorBidi"/>
          <w:b w:val="0"/>
          <w:color w:val="auto"/>
          <w:sz w:val="24"/>
          <w:szCs w:val="24"/>
          <w:lang w:eastAsia="fr-FR"/>
        </w:rPr>
      </w:pPr>
      <w:hyperlink w:anchor="_Toc226031872" w:history="1">
        <w:r w:rsidRPr="004212D9">
          <w:rPr>
            <w:rStyle w:val="Lienhypertexte"/>
          </w:rPr>
          <w:t>9.</w:t>
        </w:r>
        <w:r>
          <w:rPr>
            <w:rFonts w:eastAsiaTheme="minorEastAsia" w:cstheme="minorBidi"/>
            <w:b w:val="0"/>
            <w:color w:val="auto"/>
            <w:sz w:val="24"/>
            <w:szCs w:val="24"/>
            <w:lang w:eastAsia="fr-FR"/>
          </w:rPr>
          <w:tab/>
        </w:r>
        <w:r w:rsidRPr="004212D9">
          <w:rPr>
            <w:rStyle w:val="Lienhypertexte"/>
          </w:rPr>
          <w:t>Modalités de financement et de paiement</w:t>
        </w:r>
        <w:r>
          <w:rPr>
            <w:webHidden/>
          </w:rPr>
          <w:tab/>
        </w:r>
        <w:r>
          <w:rPr>
            <w:webHidden/>
          </w:rPr>
          <w:fldChar w:fldCharType="begin"/>
        </w:r>
        <w:r>
          <w:rPr>
            <w:webHidden/>
          </w:rPr>
          <w:instrText xml:space="preserve"> PAGEREF _Toc226031872 \h </w:instrText>
        </w:r>
        <w:r>
          <w:rPr>
            <w:webHidden/>
          </w:rPr>
        </w:r>
        <w:r>
          <w:rPr>
            <w:webHidden/>
          </w:rPr>
          <w:fldChar w:fldCharType="separate"/>
        </w:r>
        <w:r>
          <w:rPr>
            <w:webHidden/>
          </w:rPr>
          <w:t>18</w:t>
        </w:r>
        <w:r>
          <w:rPr>
            <w:webHidden/>
          </w:rPr>
          <w:fldChar w:fldCharType="end"/>
        </w:r>
      </w:hyperlink>
    </w:p>
    <w:p w14:paraId="7596CD9B" w14:textId="2A88D20D" w:rsidR="00CD59EC" w:rsidRDefault="00CD59EC">
      <w:pPr>
        <w:pStyle w:val="TM1"/>
        <w:rPr>
          <w:rFonts w:eastAsiaTheme="minorEastAsia" w:cstheme="minorBidi"/>
          <w:b w:val="0"/>
          <w:color w:val="auto"/>
          <w:sz w:val="24"/>
          <w:szCs w:val="24"/>
          <w:lang w:eastAsia="fr-FR"/>
        </w:rPr>
      </w:pPr>
      <w:hyperlink w:anchor="_Toc226031873" w:history="1">
        <w:r w:rsidRPr="004212D9">
          <w:rPr>
            <w:rStyle w:val="Lienhypertexte"/>
          </w:rPr>
          <w:t>10.</w:t>
        </w:r>
        <w:r>
          <w:rPr>
            <w:rFonts w:eastAsiaTheme="minorEastAsia" w:cstheme="minorBidi"/>
            <w:b w:val="0"/>
            <w:color w:val="auto"/>
            <w:sz w:val="24"/>
            <w:szCs w:val="24"/>
            <w:lang w:eastAsia="fr-FR"/>
          </w:rPr>
          <w:tab/>
        </w:r>
        <w:r w:rsidRPr="004212D9">
          <w:rPr>
            <w:rStyle w:val="Lienhypertexte"/>
          </w:rPr>
          <w:t>Avance</w:t>
        </w:r>
        <w:r>
          <w:rPr>
            <w:webHidden/>
          </w:rPr>
          <w:tab/>
        </w:r>
        <w:r>
          <w:rPr>
            <w:webHidden/>
          </w:rPr>
          <w:fldChar w:fldCharType="begin"/>
        </w:r>
        <w:r>
          <w:rPr>
            <w:webHidden/>
          </w:rPr>
          <w:instrText xml:space="preserve"> PAGEREF _Toc226031873 \h </w:instrText>
        </w:r>
        <w:r>
          <w:rPr>
            <w:webHidden/>
          </w:rPr>
        </w:r>
        <w:r>
          <w:rPr>
            <w:webHidden/>
          </w:rPr>
          <w:fldChar w:fldCharType="separate"/>
        </w:r>
        <w:r>
          <w:rPr>
            <w:webHidden/>
          </w:rPr>
          <w:t>18</w:t>
        </w:r>
        <w:r>
          <w:rPr>
            <w:webHidden/>
          </w:rPr>
          <w:fldChar w:fldCharType="end"/>
        </w:r>
      </w:hyperlink>
    </w:p>
    <w:p w14:paraId="355A9E75" w14:textId="34AC6D3E" w:rsidR="00CD59EC" w:rsidRDefault="00CD59EC">
      <w:pPr>
        <w:pStyle w:val="TM1"/>
        <w:rPr>
          <w:rFonts w:eastAsiaTheme="minorEastAsia" w:cstheme="minorBidi"/>
          <w:b w:val="0"/>
          <w:color w:val="auto"/>
          <w:sz w:val="24"/>
          <w:szCs w:val="24"/>
          <w:lang w:eastAsia="fr-FR"/>
        </w:rPr>
      </w:pPr>
      <w:hyperlink w:anchor="_Toc226031874" w:history="1">
        <w:r w:rsidRPr="004212D9">
          <w:rPr>
            <w:rStyle w:val="Lienhypertexte"/>
          </w:rPr>
          <w:t>11.</w:t>
        </w:r>
        <w:r>
          <w:rPr>
            <w:rFonts w:eastAsiaTheme="minorEastAsia" w:cstheme="minorBidi"/>
            <w:b w:val="0"/>
            <w:color w:val="auto"/>
            <w:sz w:val="24"/>
            <w:szCs w:val="24"/>
            <w:lang w:eastAsia="fr-FR"/>
          </w:rPr>
          <w:tab/>
        </w:r>
        <w:r w:rsidRPr="004212D9">
          <w:rPr>
            <w:rStyle w:val="Lienhypertexte"/>
          </w:rPr>
          <w:t>Renseignements complémentaires</w:t>
        </w:r>
        <w:r>
          <w:rPr>
            <w:webHidden/>
          </w:rPr>
          <w:tab/>
        </w:r>
        <w:r>
          <w:rPr>
            <w:webHidden/>
          </w:rPr>
          <w:fldChar w:fldCharType="begin"/>
        </w:r>
        <w:r>
          <w:rPr>
            <w:webHidden/>
          </w:rPr>
          <w:instrText xml:space="preserve"> PAGEREF _Toc226031874 \h </w:instrText>
        </w:r>
        <w:r>
          <w:rPr>
            <w:webHidden/>
          </w:rPr>
        </w:r>
        <w:r>
          <w:rPr>
            <w:webHidden/>
          </w:rPr>
          <w:fldChar w:fldCharType="separate"/>
        </w:r>
        <w:r>
          <w:rPr>
            <w:webHidden/>
          </w:rPr>
          <w:t>18</w:t>
        </w:r>
        <w:r>
          <w:rPr>
            <w:webHidden/>
          </w:rPr>
          <w:fldChar w:fldCharType="end"/>
        </w:r>
      </w:hyperlink>
    </w:p>
    <w:p w14:paraId="061D50F6" w14:textId="707DBEC0" w:rsidR="004C1A2B" w:rsidRPr="00A25D8A" w:rsidRDefault="00AA1949" w:rsidP="004D080B">
      <w:r w:rsidRPr="00A25D8A">
        <w:rPr>
          <w:rFonts w:cs="Times New Roman (Corps CS)"/>
          <w:noProof/>
          <w:color w:val="FF5A64" w:themeColor="text2"/>
          <w:szCs w:val="20"/>
        </w:rPr>
        <w:fldChar w:fldCharType="end"/>
      </w:r>
    </w:p>
    <w:p w14:paraId="2DB7A93D" w14:textId="77777777" w:rsidR="004C1A2B" w:rsidRPr="00A25D8A" w:rsidRDefault="004C1A2B" w:rsidP="004D080B">
      <w:pPr>
        <w:sectPr w:rsidR="004C1A2B" w:rsidRPr="00A25D8A" w:rsidSect="002C38AE">
          <w:headerReference w:type="default" r:id="rId12"/>
          <w:pgSz w:w="11900" w:h="16840"/>
          <w:pgMar w:top="1417" w:right="1417" w:bottom="1417" w:left="1417" w:header="708" w:footer="708" w:gutter="0"/>
          <w:cols w:space="708"/>
          <w:docGrid w:linePitch="360"/>
        </w:sectPr>
      </w:pPr>
    </w:p>
    <w:p w14:paraId="0F35F625" w14:textId="267AE63C" w:rsidR="00B56167" w:rsidRPr="00A25D8A" w:rsidRDefault="00F91063" w:rsidP="00B56167">
      <w:pPr>
        <w:pStyle w:val="Titre1"/>
      </w:pPr>
      <w:bookmarkStart w:id="1" w:name="_Toc226031837"/>
      <w:r w:rsidRPr="00A25D8A">
        <w:lastRenderedPageBreak/>
        <w:t>Dispositions générales</w:t>
      </w:r>
      <w:bookmarkEnd w:id="1"/>
    </w:p>
    <w:p w14:paraId="2430A709" w14:textId="70A58BF6" w:rsidR="00B56167" w:rsidRPr="00A25D8A" w:rsidRDefault="00F91063" w:rsidP="00B56167">
      <w:pPr>
        <w:pStyle w:val="Titre2"/>
      </w:pPr>
      <w:bookmarkStart w:id="2" w:name="_Toc226031838"/>
      <w:r w:rsidRPr="00A25D8A">
        <w:t xml:space="preserve">Objet </w:t>
      </w:r>
      <w:r w:rsidR="00A06126" w:rsidRPr="00A25D8A">
        <w:t>de la consultation</w:t>
      </w:r>
      <w:bookmarkEnd w:id="2"/>
    </w:p>
    <w:p w14:paraId="0D0542C3" w14:textId="4AB323CF" w:rsidR="00907C1E" w:rsidRPr="00A25D8A" w:rsidRDefault="001F2DAC" w:rsidP="00907C1E">
      <w:pPr>
        <w:rPr>
          <w:rFonts w:cs="Arial"/>
        </w:rPr>
      </w:pPr>
      <w:bookmarkStart w:id="3" w:name="_Hlk204948684"/>
      <w:r w:rsidRPr="00A25D8A">
        <w:t xml:space="preserve">La présente consultation est relative à la passation d’un marché public </w:t>
      </w:r>
      <w:bookmarkEnd w:id="3"/>
      <w:r w:rsidR="00D75E7A" w:rsidRPr="00A25D8A">
        <w:t>relatif à des prestations de mise à disposition temporaire d’assistant(es) de gestion et de secrétaires pour les besoins occasionnels de l’Agence Technique de l’Information sur l’Hospitalisation (ATIH).</w:t>
      </w:r>
      <w:r w:rsidR="00907C1E" w:rsidRPr="00A25D8A">
        <w:rPr>
          <w:rFonts w:cs="Arial"/>
        </w:rPr>
        <w:t xml:space="preserve"> </w:t>
      </w:r>
    </w:p>
    <w:p w14:paraId="07BDC318" w14:textId="77777777" w:rsidR="003B3D3D" w:rsidRPr="00A25D8A" w:rsidRDefault="003B3D3D" w:rsidP="00B56167"/>
    <w:p w14:paraId="1609D674" w14:textId="0AC2FF8B" w:rsidR="00A06126" w:rsidRPr="00EB25C7" w:rsidRDefault="001F2DAC" w:rsidP="00A06126">
      <w:pPr>
        <w:rPr>
          <w:bCs/>
        </w:rPr>
      </w:pPr>
      <w:r w:rsidRPr="00A25D8A">
        <w:rPr>
          <w:bCs/>
        </w:rPr>
        <w:t>Le détail des prestations attendues figure dans le Cahier des Clauses Techniques Particulières (CCTP)</w:t>
      </w:r>
      <w:r w:rsidRPr="00A25D8A">
        <w:t>.</w:t>
      </w:r>
    </w:p>
    <w:p w14:paraId="1CA72F91" w14:textId="245DBF61" w:rsidR="00B56167" w:rsidRPr="00A25D8A" w:rsidRDefault="003B3D3D" w:rsidP="00B56167">
      <w:pPr>
        <w:pStyle w:val="Titre2"/>
      </w:pPr>
      <w:bookmarkStart w:id="4" w:name="_Toc226031839"/>
      <w:r w:rsidRPr="00A25D8A">
        <w:t>Décomposition en lots ou en tranches</w:t>
      </w:r>
      <w:bookmarkEnd w:id="4"/>
    </w:p>
    <w:p w14:paraId="50C28B88" w14:textId="75D23F33" w:rsidR="003B3D3D" w:rsidRPr="00A25D8A" w:rsidRDefault="003B3D3D" w:rsidP="003B3D3D">
      <w:r w:rsidRPr="00A25D8A">
        <w:t>Le marché n’est décompos</w:t>
      </w:r>
      <w:r w:rsidR="001C317F" w:rsidRPr="00A25D8A">
        <w:t>é ni en lots ni en tranches.</w:t>
      </w:r>
    </w:p>
    <w:p w14:paraId="526FAE68" w14:textId="18825DD5" w:rsidR="003B3D3D" w:rsidRPr="00A25D8A" w:rsidRDefault="001C317F" w:rsidP="003B3D3D">
      <w:pPr>
        <w:pStyle w:val="Titre2"/>
      </w:pPr>
      <w:bookmarkStart w:id="5" w:name="_Toc226031840"/>
      <w:r w:rsidRPr="00A25D8A">
        <w:t>Durée</w:t>
      </w:r>
      <w:r w:rsidR="003B3D3D" w:rsidRPr="00A25D8A">
        <w:t xml:space="preserve"> du marché</w:t>
      </w:r>
      <w:bookmarkEnd w:id="5"/>
    </w:p>
    <w:p w14:paraId="7517BB90" w14:textId="17266203" w:rsidR="00C41CA0" w:rsidRPr="00A25D8A" w:rsidRDefault="00C41CA0" w:rsidP="00C41CA0">
      <w:pPr>
        <w:spacing w:line="240" w:lineRule="auto"/>
        <w:rPr>
          <w:rFonts w:ascii="Arial" w:eastAsia="Times New Roman" w:hAnsi="Arial" w:cs="Arial"/>
          <w:szCs w:val="20"/>
        </w:rPr>
      </w:pPr>
      <w:r w:rsidRPr="00A25D8A">
        <w:t xml:space="preserve">Le marché est conclu </w:t>
      </w:r>
      <w:r w:rsidRPr="00A25D8A">
        <w:rPr>
          <w:rFonts w:ascii="Arial" w:eastAsia="Times New Roman" w:hAnsi="Arial" w:cs="Arial"/>
          <w:szCs w:val="20"/>
        </w:rPr>
        <w:t>pour une durée initiale d’un an à compter du 1</w:t>
      </w:r>
      <w:r w:rsidRPr="00A25D8A">
        <w:rPr>
          <w:rFonts w:ascii="Arial" w:eastAsia="Times New Roman" w:hAnsi="Arial" w:cs="Arial"/>
          <w:szCs w:val="20"/>
          <w:vertAlign w:val="superscript"/>
        </w:rPr>
        <w:t>er</w:t>
      </w:r>
      <w:r w:rsidRPr="00A25D8A">
        <w:rPr>
          <w:rFonts w:ascii="Arial" w:eastAsia="Times New Roman" w:hAnsi="Arial" w:cs="Arial"/>
          <w:szCs w:val="20"/>
        </w:rPr>
        <w:t xml:space="preserve"> </w:t>
      </w:r>
      <w:r w:rsidR="00D75E7A" w:rsidRPr="00A25D8A">
        <w:rPr>
          <w:rFonts w:ascii="Arial" w:eastAsia="Times New Roman" w:hAnsi="Arial" w:cs="Arial"/>
          <w:szCs w:val="20"/>
        </w:rPr>
        <w:t>septembre</w:t>
      </w:r>
      <w:r w:rsidRPr="00A25D8A">
        <w:rPr>
          <w:rFonts w:ascii="Arial" w:eastAsia="Times New Roman" w:hAnsi="Arial" w:cs="Arial"/>
          <w:szCs w:val="20"/>
        </w:rPr>
        <w:t xml:space="preserve"> 2026, ou de sa date de notification si cette dernière est postérieure. </w:t>
      </w:r>
    </w:p>
    <w:p w14:paraId="3E63FD50" w14:textId="77777777" w:rsidR="00907C1E" w:rsidRPr="00A25D8A" w:rsidRDefault="00907C1E" w:rsidP="00907C1E">
      <w:pPr>
        <w:spacing w:line="240" w:lineRule="auto"/>
        <w:rPr>
          <w:rFonts w:ascii="Arial" w:eastAsia="Times New Roman" w:hAnsi="Arial" w:cs="Arial"/>
          <w:szCs w:val="20"/>
        </w:rPr>
      </w:pPr>
    </w:p>
    <w:p w14:paraId="5A4AD10C" w14:textId="0A3E08DA" w:rsidR="00907C1E" w:rsidRPr="00A25D8A" w:rsidRDefault="00907C1E" w:rsidP="00907C1E">
      <w:pPr>
        <w:rPr>
          <w:rFonts w:cs="Arial"/>
        </w:rPr>
      </w:pPr>
      <w:r w:rsidRPr="00A25D8A">
        <w:rPr>
          <w:rFonts w:ascii="Arial" w:eastAsia="Times New Roman" w:hAnsi="Arial" w:cs="Arial"/>
          <w:szCs w:val="20"/>
        </w:rPr>
        <w:t xml:space="preserve">Il </w:t>
      </w:r>
      <w:r w:rsidRPr="00A25D8A">
        <w:rPr>
          <w:rFonts w:cs="Arial"/>
        </w:rPr>
        <w:t xml:space="preserve">pourra être </w:t>
      </w:r>
      <w:r w:rsidRPr="00A25D8A">
        <w:rPr>
          <w:rFonts w:cs="Arial"/>
          <w:b/>
        </w:rPr>
        <w:t xml:space="preserve">reconduit tacitement </w:t>
      </w:r>
      <w:r w:rsidR="00D75E7A" w:rsidRPr="00A25D8A">
        <w:rPr>
          <w:rFonts w:cs="Arial"/>
          <w:b/>
        </w:rPr>
        <w:t>deux</w:t>
      </w:r>
      <w:r w:rsidRPr="00A25D8A">
        <w:rPr>
          <w:rFonts w:cs="Arial"/>
          <w:b/>
        </w:rPr>
        <w:t xml:space="preserve"> (</w:t>
      </w:r>
      <w:r w:rsidR="00D75E7A" w:rsidRPr="00A25D8A">
        <w:rPr>
          <w:rFonts w:cs="Arial"/>
          <w:b/>
        </w:rPr>
        <w:t>2</w:t>
      </w:r>
      <w:r w:rsidRPr="00A25D8A">
        <w:rPr>
          <w:rFonts w:cs="Arial"/>
          <w:b/>
        </w:rPr>
        <w:t>) fois pour une durée d’un an par période dans les conditions prévues dans le CCAP.</w:t>
      </w:r>
    </w:p>
    <w:p w14:paraId="7B311ED6" w14:textId="2DB71B98" w:rsidR="001C317F" w:rsidRPr="00A25D8A" w:rsidRDefault="001C317F" w:rsidP="001C317F"/>
    <w:p w14:paraId="0387405D" w14:textId="139ED123" w:rsidR="003B3D3D" w:rsidRPr="00A25D8A" w:rsidRDefault="003B3D3D" w:rsidP="003B3D3D">
      <w:pPr>
        <w:pStyle w:val="Titre2"/>
      </w:pPr>
      <w:bookmarkStart w:id="6" w:name="_Toc226031841"/>
      <w:r w:rsidRPr="00A25D8A">
        <w:t>Forme du marché</w:t>
      </w:r>
      <w:bookmarkEnd w:id="6"/>
    </w:p>
    <w:p w14:paraId="76BCD59F" w14:textId="77777777" w:rsidR="003B3D3D" w:rsidRPr="00A25D8A" w:rsidRDefault="003B3D3D" w:rsidP="003B3D3D">
      <w:r w:rsidRPr="00A25D8A">
        <w:t>Les prestations font l’objet d’un marché conclu sous la forme d’un accord-cadre mono attributaire à bons de commande émis sans négociation ni remise en concurrence.</w:t>
      </w:r>
    </w:p>
    <w:p w14:paraId="455C2A8D" w14:textId="77777777" w:rsidR="003B3D3D" w:rsidRPr="00A25D8A" w:rsidRDefault="003B3D3D" w:rsidP="003B3D3D"/>
    <w:p w14:paraId="048E42E4" w14:textId="319EBBAE" w:rsidR="00D87A84" w:rsidRPr="00A25D8A" w:rsidRDefault="00D75E7A" w:rsidP="00D87A84">
      <w:pPr>
        <w:pStyle w:val="Titre2"/>
      </w:pPr>
      <w:bookmarkStart w:id="7" w:name="_Toc226031842"/>
      <w:r w:rsidRPr="00A25D8A">
        <w:t>Montants</w:t>
      </w:r>
      <w:r w:rsidR="00F91063" w:rsidRPr="00A25D8A">
        <w:t xml:space="preserve"> du marché</w:t>
      </w:r>
      <w:bookmarkEnd w:id="7"/>
    </w:p>
    <w:p w14:paraId="5D485733" w14:textId="4589C272" w:rsidR="005D3209" w:rsidRPr="00A25D8A" w:rsidRDefault="002A2079" w:rsidP="00D75E7A">
      <w:pPr>
        <w:rPr>
          <w:bCs/>
        </w:rPr>
      </w:pPr>
      <w:r w:rsidRPr="00A25D8A">
        <w:t xml:space="preserve">Le marché est conclu </w:t>
      </w:r>
      <w:r w:rsidR="00D75E7A" w:rsidRPr="00A25D8A">
        <w:rPr>
          <w:bCs/>
        </w:rPr>
        <w:t>avec les montants minimum et maximum suivants pour toute sa durée (reconductions comprises) :</w:t>
      </w:r>
    </w:p>
    <w:p w14:paraId="7032E709" w14:textId="75DFFB69" w:rsidR="00D75E7A" w:rsidRPr="00A25D8A" w:rsidRDefault="00D75E7A" w:rsidP="00D75E7A">
      <w:pPr>
        <w:pStyle w:val="Paragraphedeliste"/>
        <w:numPr>
          <w:ilvl w:val="0"/>
          <w:numId w:val="36"/>
        </w:numPr>
        <w:rPr>
          <w:bCs/>
        </w:rPr>
      </w:pPr>
      <w:proofErr w:type="gramStart"/>
      <w:r w:rsidRPr="00A25D8A">
        <w:rPr>
          <w:bCs/>
        </w:rPr>
        <w:t>montant</w:t>
      </w:r>
      <w:proofErr w:type="gramEnd"/>
      <w:r w:rsidRPr="00A25D8A">
        <w:rPr>
          <w:bCs/>
        </w:rPr>
        <w:t xml:space="preserve"> minimum : 70 000 € HT ;</w:t>
      </w:r>
    </w:p>
    <w:p w14:paraId="0FA75F03" w14:textId="6316EFAF" w:rsidR="00D75E7A" w:rsidRPr="00A25D8A" w:rsidRDefault="00D75E7A" w:rsidP="00D75E7A">
      <w:pPr>
        <w:pStyle w:val="Paragraphedeliste"/>
        <w:numPr>
          <w:ilvl w:val="0"/>
          <w:numId w:val="36"/>
        </w:numPr>
        <w:rPr>
          <w:bCs/>
        </w:rPr>
      </w:pPr>
      <w:proofErr w:type="gramStart"/>
      <w:r w:rsidRPr="00A25D8A">
        <w:rPr>
          <w:bCs/>
        </w:rPr>
        <w:t>montant</w:t>
      </w:r>
      <w:proofErr w:type="gramEnd"/>
      <w:r w:rsidRPr="00A25D8A">
        <w:rPr>
          <w:bCs/>
        </w:rPr>
        <w:t xml:space="preserve"> maximum : 500 000 € HT.</w:t>
      </w:r>
    </w:p>
    <w:p w14:paraId="75B993FC" w14:textId="77777777" w:rsidR="002A2079" w:rsidRPr="00A25D8A" w:rsidRDefault="002A2079" w:rsidP="005D3209"/>
    <w:p w14:paraId="56C2668F" w14:textId="1211C0F7" w:rsidR="00D75E7A" w:rsidRPr="00A25D8A" w:rsidRDefault="00D75E7A" w:rsidP="005D3209">
      <w:r w:rsidRPr="00A25D8A">
        <w:t>Le montant minimum correspond à l’engagement de l’ATIH d’effectuer des commandes à concurrence de ce montant durant la durée du marché.</w:t>
      </w:r>
    </w:p>
    <w:p w14:paraId="7C3611F6" w14:textId="77777777" w:rsidR="00D75E7A" w:rsidRPr="00A25D8A" w:rsidRDefault="00D75E7A" w:rsidP="005D3209"/>
    <w:p w14:paraId="61DFB288" w14:textId="7D48546C" w:rsidR="005D3209" w:rsidRPr="00A25D8A" w:rsidRDefault="00D75E7A" w:rsidP="005D3209">
      <w:bookmarkStart w:id="8" w:name="_Hlk176364926"/>
      <w:r w:rsidRPr="00A25D8A">
        <w:t>Le montant maximum correspond</w:t>
      </w:r>
      <w:r w:rsidR="005D3209" w:rsidRPr="00A25D8A">
        <w:t xml:space="preserve"> à l’engagement du titulaire </w:t>
      </w:r>
      <w:r w:rsidRPr="00A25D8A">
        <w:t>d’honorer les commandes passées par l’ATIH à concurrence de ce montant</w:t>
      </w:r>
      <w:r w:rsidR="005D3209" w:rsidRPr="00A25D8A">
        <w:t xml:space="preserve"> durant la durée du marché.</w:t>
      </w:r>
    </w:p>
    <w:bookmarkEnd w:id="8"/>
    <w:p w14:paraId="31E12835" w14:textId="7BDCA937" w:rsidR="005D3209" w:rsidRPr="00A25D8A" w:rsidRDefault="005D3209" w:rsidP="005D3209"/>
    <w:p w14:paraId="6C23E06C" w14:textId="77777777" w:rsidR="001C317F" w:rsidRPr="00A25D8A" w:rsidRDefault="001C317F" w:rsidP="001C317F"/>
    <w:p w14:paraId="37658998" w14:textId="10F755F4" w:rsidR="001C317F" w:rsidRPr="00A25D8A" w:rsidRDefault="001C317F" w:rsidP="001C317F">
      <w:pPr>
        <w:pStyle w:val="Titre1"/>
      </w:pPr>
      <w:bookmarkStart w:id="9" w:name="_Toc226031843"/>
      <w:r w:rsidRPr="00A25D8A">
        <w:lastRenderedPageBreak/>
        <w:t>Déroulement de la procédure</w:t>
      </w:r>
      <w:bookmarkEnd w:id="9"/>
    </w:p>
    <w:p w14:paraId="1B5C8FA0" w14:textId="21D279AE" w:rsidR="001C317F" w:rsidRPr="00A25D8A" w:rsidRDefault="001C317F" w:rsidP="001C317F">
      <w:pPr>
        <w:pStyle w:val="Titre2"/>
      </w:pPr>
      <w:bookmarkStart w:id="10" w:name="_Toc226031844"/>
      <w:r w:rsidRPr="00A25D8A">
        <w:t>Procédure</w:t>
      </w:r>
      <w:bookmarkEnd w:id="10"/>
    </w:p>
    <w:p w14:paraId="3B4A5E9C" w14:textId="468A69B0" w:rsidR="001C317F" w:rsidRPr="00A25D8A" w:rsidRDefault="001C317F" w:rsidP="001C317F">
      <w:r w:rsidRPr="00A25D8A">
        <w:rPr>
          <w:rFonts w:cs="Arial"/>
        </w:rPr>
        <w:t xml:space="preserve">La présente procédure est passée selon une procédure d’appel d’offres ouvert au sens des articles </w:t>
      </w:r>
      <w:r w:rsidRPr="00A25D8A">
        <w:t>L2124-1 et R2124-1 ainsi que L2124-2 et R2124-2 1° du code de la commande publique.</w:t>
      </w:r>
    </w:p>
    <w:p w14:paraId="0F098F2B" w14:textId="77777777" w:rsidR="001C317F" w:rsidRPr="00A25D8A" w:rsidRDefault="001C317F" w:rsidP="001C317F">
      <w:pPr>
        <w:rPr>
          <w:rFonts w:cs="Arial"/>
        </w:rPr>
      </w:pPr>
    </w:p>
    <w:p w14:paraId="2F1C5E1D" w14:textId="77777777" w:rsidR="001C317F" w:rsidRPr="00A25D8A" w:rsidRDefault="001C317F" w:rsidP="001C317F">
      <w:pPr>
        <w:rPr>
          <w:rFonts w:cs="Arial"/>
        </w:rPr>
      </w:pPr>
      <w:r w:rsidRPr="00A25D8A">
        <w:rPr>
          <w:rFonts w:cs="Arial"/>
        </w:rPr>
        <w:t>Un avis de marché a été publié au Bulletin Officiel des Annonces du marché Publics et au Journal Officiel de l’Union Européenne.</w:t>
      </w:r>
    </w:p>
    <w:p w14:paraId="70C35B21" w14:textId="77777777" w:rsidR="001C317F" w:rsidRPr="00A25D8A" w:rsidRDefault="001C317F" w:rsidP="001C317F"/>
    <w:p w14:paraId="118BFBF3" w14:textId="2573043F" w:rsidR="001C317F" w:rsidRPr="00A25D8A" w:rsidRDefault="001C317F" w:rsidP="001C317F">
      <w:pPr>
        <w:pStyle w:val="Titre2"/>
      </w:pPr>
      <w:bookmarkStart w:id="11" w:name="_Toc226031845"/>
      <w:r w:rsidRPr="00A25D8A">
        <w:t>Variantes</w:t>
      </w:r>
      <w:bookmarkEnd w:id="11"/>
    </w:p>
    <w:p w14:paraId="7ABA5DD5" w14:textId="01ACEB29" w:rsidR="001C317F" w:rsidRPr="00A25D8A" w:rsidRDefault="001C317F" w:rsidP="001C317F">
      <w:pPr>
        <w:rPr>
          <w:rFonts w:cs="Arial"/>
        </w:rPr>
      </w:pPr>
      <w:r w:rsidRPr="00A25D8A">
        <w:rPr>
          <w:rFonts w:cs="Arial"/>
        </w:rPr>
        <w:t>Les variantes à l’initiative des candidats ne sont pas autorisées.</w:t>
      </w:r>
    </w:p>
    <w:p w14:paraId="61C62CA7" w14:textId="77777777" w:rsidR="001C317F" w:rsidRPr="00A25D8A" w:rsidRDefault="001C317F" w:rsidP="001C317F">
      <w:pPr>
        <w:rPr>
          <w:rFonts w:cs="Arial"/>
        </w:rPr>
      </w:pPr>
    </w:p>
    <w:p w14:paraId="5AAEBD0C" w14:textId="77777777" w:rsidR="001C317F" w:rsidRPr="00A25D8A" w:rsidRDefault="001C317F" w:rsidP="001C317F">
      <w:pPr>
        <w:rPr>
          <w:rFonts w:cs="Arial"/>
        </w:rPr>
      </w:pPr>
      <w:r w:rsidRPr="00A25D8A">
        <w:rPr>
          <w:rFonts w:cs="Arial"/>
        </w:rPr>
        <w:t>Dans le cadre de la présente consultation, l’ATIH n’impose pas de variante.</w:t>
      </w:r>
    </w:p>
    <w:p w14:paraId="6496302F" w14:textId="77777777" w:rsidR="001C317F" w:rsidRPr="00A25D8A" w:rsidRDefault="001C317F" w:rsidP="005D3209"/>
    <w:p w14:paraId="298B857B" w14:textId="5F4B5E7D" w:rsidR="00D87A84" w:rsidRPr="00A25D8A" w:rsidRDefault="00A9400E" w:rsidP="00D87A84">
      <w:pPr>
        <w:pStyle w:val="Titre2"/>
      </w:pPr>
      <w:bookmarkStart w:id="12" w:name="_Toc226031846"/>
      <w:r w:rsidRPr="00A25D8A">
        <w:t>Avenants et marchés complémentaires</w:t>
      </w:r>
      <w:bookmarkEnd w:id="12"/>
    </w:p>
    <w:p w14:paraId="5C35B56C" w14:textId="725D2819" w:rsidR="00D87A84" w:rsidRPr="00A25D8A" w:rsidRDefault="00A9400E" w:rsidP="00D87A84">
      <w:r w:rsidRPr="00A25D8A">
        <w:t>Le marché pourra être modifié dans les conditions prévues aux articles L2194-1, L2194-2 et R2194-1 à R2194-10 du code de la commande publique. Les modifications donneront lieu à la conclusion d’un avenant au marché.</w:t>
      </w:r>
    </w:p>
    <w:p w14:paraId="7AD83466" w14:textId="535F2DDB" w:rsidR="00A9400E" w:rsidRPr="00A25D8A" w:rsidRDefault="00A9400E" w:rsidP="00D87A84"/>
    <w:p w14:paraId="056F0DB1" w14:textId="26A8E387" w:rsidR="00A9400E" w:rsidRPr="00A25D8A" w:rsidRDefault="00A9400E" w:rsidP="00D87A84">
      <w:r w:rsidRPr="00A25D8A">
        <w:t>Un ou plusieurs marchés complémentaires ayant pour objet des prestations similaires pourront être conclus avec le titulaire de chaque marché dans les conditions fixées à l’article R2122-7 du code de la commande publique.</w:t>
      </w:r>
    </w:p>
    <w:p w14:paraId="141AA9E9" w14:textId="77777777" w:rsidR="001C317F" w:rsidRPr="00A25D8A" w:rsidRDefault="001C317F" w:rsidP="001C317F"/>
    <w:p w14:paraId="5DF4FFD2" w14:textId="653DFE1F" w:rsidR="001C317F" w:rsidRPr="00A25D8A" w:rsidRDefault="001C317F" w:rsidP="001C317F">
      <w:pPr>
        <w:pStyle w:val="Titre2"/>
      </w:pPr>
      <w:bookmarkStart w:id="13" w:name="_Toc226031847"/>
      <w:r w:rsidRPr="00A25D8A">
        <w:t>Forme juridique des groupements</w:t>
      </w:r>
      <w:bookmarkEnd w:id="13"/>
    </w:p>
    <w:p w14:paraId="449B7ABE" w14:textId="1E7188D8" w:rsidR="001C317F" w:rsidRPr="00A25D8A" w:rsidRDefault="001C317F" w:rsidP="001C317F">
      <w:r w:rsidRPr="00A25D8A">
        <w:t>Les offres peuvent être présentées par un seul candidat ou par un groupement d’opérateurs économiques.</w:t>
      </w:r>
    </w:p>
    <w:p w14:paraId="049B78F9" w14:textId="77777777" w:rsidR="001C317F" w:rsidRPr="00A25D8A" w:rsidRDefault="001C317F" w:rsidP="001C317F"/>
    <w:p w14:paraId="1BC0A22B" w14:textId="29C94355" w:rsidR="001C317F" w:rsidRPr="00A25D8A" w:rsidRDefault="001C317F" w:rsidP="001C317F">
      <w:r w:rsidRPr="00A25D8A">
        <w:t>En cas de groupement d’opérateurs économiques, l’ATIH n’impose pas de forme particulière au groupement. Ce dernier pourra être solidaire ou conjoint avec un mandataire clairement identifié. En cas de groupement conjoint, le mandataire devra impérativement être solidaire de chacun des membres du groupement pour ses obligations contractuelles à l’égard de l’ATIH.</w:t>
      </w:r>
    </w:p>
    <w:p w14:paraId="2928D49E" w14:textId="77777777" w:rsidR="001C317F" w:rsidRPr="00A25D8A" w:rsidRDefault="001C317F" w:rsidP="001C317F"/>
    <w:p w14:paraId="7988B005" w14:textId="481A089D" w:rsidR="001C317F" w:rsidRPr="00A25D8A" w:rsidRDefault="001C317F" w:rsidP="001C317F">
      <w:r w:rsidRPr="00A25D8A">
        <w:t>Le candidat ne pourra présenter plusieurs offres en agissant à la fois en qualité de candidat individuel et de membre d’un ou plusieurs groupements ou en qualité de membre de plusieurs groupements.</w:t>
      </w:r>
    </w:p>
    <w:p w14:paraId="53F91CD2" w14:textId="77777777" w:rsidR="001C317F" w:rsidRPr="00A25D8A" w:rsidRDefault="001C317F" w:rsidP="001C317F"/>
    <w:p w14:paraId="16D37F7B" w14:textId="292DEDDE" w:rsidR="001C317F" w:rsidRPr="00A25D8A" w:rsidRDefault="001C317F" w:rsidP="001C317F">
      <w:pPr>
        <w:pStyle w:val="Titre2"/>
      </w:pPr>
      <w:bookmarkStart w:id="14" w:name="_Toc226031848"/>
      <w:r w:rsidRPr="00A25D8A">
        <w:t>Cautionnement et garanties exigées</w:t>
      </w:r>
      <w:bookmarkEnd w:id="14"/>
    </w:p>
    <w:p w14:paraId="669363D0" w14:textId="4FC46DD1" w:rsidR="001C317F" w:rsidRPr="00A25D8A" w:rsidRDefault="001C317F" w:rsidP="001C317F">
      <w:r w:rsidRPr="00A25D8A">
        <w:t>Sans objet.</w:t>
      </w:r>
    </w:p>
    <w:p w14:paraId="1DCFDDBC" w14:textId="77777777" w:rsidR="001C317F" w:rsidRPr="00A25D8A" w:rsidRDefault="001C317F" w:rsidP="001C317F"/>
    <w:p w14:paraId="4A7A2E8B" w14:textId="680E235B" w:rsidR="001C317F" w:rsidRPr="00A25D8A" w:rsidRDefault="001C317F" w:rsidP="001C317F">
      <w:pPr>
        <w:pStyle w:val="Titre2"/>
      </w:pPr>
      <w:bookmarkStart w:id="15" w:name="_Toc226031849"/>
      <w:r w:rsidRPr="00A25D8A">
        <w:t>Sous-traitance</w:t>
      </w:r>
      <w:bookmarkEnd w:id="15"/>
    </w:p>
    <w:p w14:paraId="0F88D1E2" w14:textId="4BCDDE44" w:rsidR="001C317F" w:rsidRPr="00A25D8A" w:rsidRDefault="001C317F" w:rsidP="001C317F">
      <w:r w:rsidRPr="00A25D8A">
        <w:t>Le titulaire peut sous-traiter l’exécution de certaines parties du marché à condition d’avoir obtenu de l’ATIH l’acceptation de chaque sous-traitant et l’agrément de ses conditions de paiement en application de l’article L2193-5 du code de la commande publique.</w:t>
      </w:r>
    </w:p>
    <w:p w14:paraId="33D4B3C4" w14:textId="77777777" w:rsidR="001C317F" w:rsidRPr="00A25D8A" w:rsidRDefault="001C317F" w:rsidP="001C317F"/>
    <w:p w14:paraId="0EE87D28" w14:textId="770711B6" w:rsidR="001C317F" w:rsidRPr="00A25D8A" w:rsidRDefault="001C317F" w:rsidP="001C317F">
      <w:r w:rsidRPr="00A25D8A">
        <w:t>En cas de sous-traitance, le titulaire du marché demeure personnellement responsable de l’exécution de toutes les obligations résultant de celui-ci.</w:t>
      </w:r>
    </w:p>
    <w:p w14:paraId="653F6335" w14:textId="77777777" w:rsidR="001C317F" w:rsidRPr="00A25D8A" w:rsidRDefault="001C317F" w:rsidP="001C317F"/>
    <w:p w14:paraId="081627E6" w14:textId="58BC418D" w:rsidR="001C317F" w:rsidRPr="00A25D8A" w:rsidRDefault="001C317F" w:rsidP="001C317F">
      <w:pPr>
        <w:rPr>
          <w:szCs w:val="20"/>
        </w:rPr>
      </w:pPr>
      <w:r w:rsidRPr="00A25D8A">
        <w:rPr>
          <w:szCs w:val="20"/>
        </w:rPr>
        <w:t xml:space="preserve">Conformément aux articles L2193-5 et R2193-1 du code de la commande publique, pour chaque sous-traitant présenté au moment de la remise de l’offre, le candidat devra produire une déclaration spéciale (formulaire DC4 - déclaration de sous-traitance ou équivalent),les capacités économiques, techniques et financières du sous-traitant ainsi qu’une déclaration sur l’honneur du sous-traitant indiquant qu’il n’est pas dans l’un des cas d'exclusion mentionnés par les dispositions législatives des </w:t>
      </w:r>
      <w:hyperlink r:id="rId13" w:history="1">
        <w:r w:rsidRPr="00A25D8A">
          <w:rPr>
            <w:rStyle w:val="Lienhypertexte"/>
            <w:sz w:val="20"/>
            <w:szCs w:val="20"/>
          </w:rPr>
          <w:t xml:space="preserve">sections 1 </w:t>
        </w:r>
      </w:hyperlink>
      <w:hyperlink r:id="rId14" w:history="1">
        <w:r w:rsidRPr="00A25D8A">
          <w:rPr>
            <w:rStyle w:val="Lienhypertexte"/>
            <w:sz w:val="20"/>
            <w:szCs w:val="20"/>
          </w:rPr>
          <w:t>et 2</w:t>
        </w:r>
      </w:hyperlink>
      <w:r w:rsidRPr="00A25D8A">
        <w:rPr>
          <w:rStyle w:val="Lienhypertexte"/>
          <w:sz w:val="20"/>
          <w:szCs w:val="20"/>
        </w:rPr>
        <w:t xml:space="preserve"> </w:t>
      </w:r>
      <w:r w:rsidRPr="00A25D8A">
        <w:rPr>
          <w:szCs w:val="20"/>
        </w:rPr>
        <w:t>du chapitre I</w:t>
      </w:r>
      <w:r w:rsidRPr="00A25D8A">
        <w:rPr>
          <w:szCs w:val="20"/>
          <w:vertAlign w:val="superscript"/>
        </w:rPr>
        <w:t>er</w:t>
      </w:r>
      <w:r w:rsidRPr="00A25D8A">
        <w:rPr>
          <w:szCs w:val="20"/>
        </w:rPr>
        <w:t xml:space="preserve"> du titre IV du code de la commande publique.</w:t>
      </w:r>
    </w:p>
    <w:p w14:paraId="3536166D" w14:textId="77777777" w:rsidR="001C317F" w:rsidRPr="00A25D8A" w:rsidRDefault="001C317F" w:rsidP="001C317F"/>
    <w:p w14:paraId="55055727" w14:textId="3DE86602" w:rsidR="001C317F" w:rsidRPr="00A25D8A" w:rsidRDefault="001C317F" w:rsidP="001C317F">
      <w:r w:rsidRPr="00A25D8A">
        <w:t>Le candidat peut demander la prise en compte des capacités d’autres opérateurs économiques. Il doit alors justifier des capacités de ce ou ces opérateurs (même justificatifs professionnels, techniques ou financiers à fournir que ceux exigés pour les candidats) et produire un engagement écrit de l’opérateur justifiant que le candidat disposera de ces capacités pour l’exécution du marché. A ce titre, l’opérateur devra fournir les justificatifs exigés aux points 1), 2), 4), 5) et 6) visés à l’article 4.1 du présent règlement de consultation.</w:t>
      </w:r>
    </w:p>
    <w:p w14:paraId="179E3159" w14:textId="77777777" w:rsidR="001C317F" w:rsidRPr="00A25D8A" w:rsidRDefault="001C317F" w:rsidP="001C317F"/>
    <w:p w14:paraId="48ED60A3" w14:textId="248EDCCD" w:rsidR="001C317F" w:rsidRPr="00A25D8A" w:rsidRDefault="001C317F" w:rsidP="001C317F">
      <w:r w:rsidRPr="00A25D8A">
        <w:t xml:space="preserve">L’acceptation et l’agrément des conditions de paiement doivent être demandés dans les conditions définies à l’article L2193-5 du code de la commande publique. </w:t>
      </w:r>
    </w:p>
    <w:p w14:paraId="17B961C4" w14:textId="77777777" w:rsidR="001C317F" w:rsidRPr="00A25D8A" w:rsidRDefault="001C317F" w:rsidP="001C317F"/>
    <w:p w14:paraId="74C097EA" w14:textId="55A13584" w:rsidR="001C317F" w:rsidRPr="00A25D8A" w:rsidRDefault="001C317F" w:rsidP="001C317F">
      <w:r w:rsidRPr="00A25D8A">
        <w:t xml:space="preserve">Le paiement direct d’un sous-traitant pour la partie du marché dont il assure l’exécution est obligatoire lorsque le montant du contrat de sous-traitance est égal ou supérieur à </w:t>
      </w:r>
      <w:r w:rsidRPr="00A25D8A">
        <w:rPr>
          <w:b/>
          <w:bCs/>
        </w:rPr>
        <w:t>600 € TTC.</w:t>
      </w:r>
    </w:p>
    <w:p w14:paraId="588DF2EE" w14:textId="77777777" w:rsidR="001C317F" w:rsidRPr="00A25D8A" w:rsidRDefault="001C317F" w:rsidP="001C317F"/>
    <w:p w14:paraId="642AAB41" w14:textId="77777777" w:rsidR="00A9400E" w:rsidRPr="00A25D8A" w:rsidRDefault="00A9400E" w:rsidP="00B56167"/>
    <w:p w14:paraId="38374353" w14:textId="24799662" w:rsidR="00D87A84" w:rsidRPr="00A25D8A" w:rsidRDefault="009F44E0" w:rsidP="00D87A84">
      <w:pPr>
        <w:pStyle w:val="Titre1"/>
      </w:pPr>
      <w:bookmarkStart w:id="16" w:name="_Toc226031850"/>
      <w:r w:rsidRPr="00A25D8A">
        <w:t>Dossier de consultation</w:t>
      </w:r>
      <w:bookmarkEnd w:id="16"/>
    </w:p>
    <w:p w14:paraId="17A1E4FB" w14:textId="0B0120A3" w:rsidR="009F44E0" w:rsidRPr="00A25D8A" w:rsidRDefault="009F44E0" w:rsidP="009F44E0">
      <w:pPr>
        <w:pStyle w:val="Titre2"/>
      </w:pPr>
      <w:bookmarkStart w:id="17" w:name="_Toc226031851"/>
      <w:r w:rsidRPr="00A25D8A">
        <w:t>Composition du dossier de consultation</w:t>
      </w:r>
      <w:bookmarkEnd w:id="17"/>
    </w:p>
    <w:p w14:paraId="38DA1CF1" w14:textId="06205788" w:rsidR="009F44E0" w:rsidRPr="00A25D8A" w:rsidRDefault="009F44E0" w:rsidP="009F44E0">
      <w:r w:rsidRPr="00A25D8A">
        <w:t>Le dossier de consultation est composé du présent règlement de la consultation ainsi que des pièces suivantes :</w:t>
      </w:r>
    </w:p>
    <w:p w14:paraId="53D4DE46" w14:textId="77777777" w:rsidR="00327E34" w:rsidRPr="00A25D8A" w:rsidRDefault="00327E34" w:rsidP="00327E34">
      <w:pPr>
        <w:pStyle w:val="Paragraphedeliste"/>
        <w:keepNext/>
        <w:numPr>
          <w:ilvl w:val="0"/>
          <w:numId w:val="16"/>
        </w:numPr>
        <w:spacing w:before="120" w:after="120" w:line="288" w:lineRule="auto"/>
        <w:rPr>
          <w:rFonts w:cs="Arial"/>
        </w:rPr>
      </w:pPr>
      <w:proofErr w:type="gramStart"/>
      <w:r w:rsidRPr="00A25D8A">
        <w:rPr>
          <w:rFonts w:cs="Arial"/>
        </w:rPr>
        <w:t>un</w:t>
      </w:r>
      <w:proofErr w:type="gramEnd"/>
      <w:r w:rsidRPr="00A25D8A">
        <w:rPr>
          <w:rFonts w:cs="Arial"/>
        </w:rPr>
        <w:t xml:space="preserve"> cadre d’acte d’engagement ;</w:t>
      </w:r>
    </w:p>
    <w:p w14:paraId="141F3788" w14:textId="28147598" w:rsidR="00783DCF" w:rsidRPr="00A25D8A" w:rsidRDefault="00D910CA" w:rsidP="00783DCF">
      <w:pPr>
        <w:pStyle w:val="Paragraphedeliste"/>
        <w:numPr>
          <w:ilvl w:val="0"/>
          <w:numId w:val="16"/>
        </w:numPr>
        <w:spacing w:before="120" w:line="288" w:lineRule="auto"/>
        <w:rPr>
          <w:rFonts w:cs="Arial"/>
        </w:rPr>
      </w:pPr>
      <w:proofErr w:type="gramStart"/>
      <w:r w:rsidRPr="00A25D8A">
        <w:rPr>
          <w:rFonts w:cs="Arial"/>
        </w:rPr>
        <w:t>une</w:t>
      </w:r>
      <w:proofErr w:type="gramEnd"/>
      <w:r w:rsidRPr="00A25D8A">
        <w:rPr>
          <w:rFonts w:cs="Arial"/>
        </w:rPr>
        <w:t xml:space="preserve"> trame de</w:t>
      </w:r>
      <w:r w:rsidR="000739D8" w:rsidRPr="00A25D8A">
        <w:rPr>
          <w:rFonts w:cs="Arial"/>
        </w:rPr>
        <w:t xml:space="preserve"> Bordereau des Prix Unitaires (BPU)</w:t>
      </w:r>
      <w:r w:rsidRPr="00A25D8A">
        <w:rPr>
          <w:rFonts w:cs="Arial"/>
        </w:rPr>
        <w:t> ;</w:t>
      </w:r>
    </w:p>
    <w:p w14:paraId="0CA2167B" w14:textId="77777777" w:rsidR="00783DCF" w:rsidRPr="00A25D8A" w:rsidRDefault="00783DCF" w:rsidP="00783DCF">
      <w:pPr>
        <w:pStyle w:val="Paragraphedeliste"/>
        <w:numPr>
          <w:ilvl w:val="0"/>
          <w:numId w:val="16"/>
        </w:numPr>
        <w:spacing w:before="120" w:line="288" w:lineRule="auto"/>
        <w:rPr>
          <w:rFonts w:cs="Arial"/>
        </w:rPr>
      </w:pPr>
      <w:proofErr w:type="gramStart"/>
      <w:r w:rsidRPr="00A25D8A">
        <w:rPr>
          <w:rFonts w:cs="Arial"/>
        </w:rPr>
        <w:t>le</w:t>
      </w:r>
      <w:proofErr w:type="gramEnd"/>
      <w:r w:rsidRPr="00A25D8A">
        <w:rPr>
          <w:rFonts w:cs="Arial"/>
        </w:rPr>
        <w:t xml:space="preserve"> Cahier des Clauses Administratives Particulières (CCAP) ;</w:t>
      </w:r>
    </w:p>
    <w:p w14:paraId="41451765" w14:textId="651997C0" w:rsidR="00783DCF" w:rsidRPr="00A25D8A" w:rsidRDefault="00783DCF" w:rsidP="00783DCF">
      <w:pPr>
        <w:pStyle w:val="Paragraphedeliste"/>
        <w:numPr>
          <w:ilvl w:val="0"/>
          <w:numId w:val="16"/>
        </w:numPr>
        <w:spacing w:before="120" w:line="288" w:lineRule="auto"/>
        <w:rPr>
          <w:rFonts w:cs="Arial"/>
        </w:rPr>
      </w:pPr>
      <w:proofErr w:type="gramStart"/>
      <w:r w:rsidRPr="00A25D8A">
        <w:rPr>
          <w:rFonts w:cs="Arial"/>
        </w:rPr>
        <w:t>le</w:t>
      </w:r>
      <w:proofErr w:type="gramEnd"/>
      <w:r w:rsidRPr="00A25D8A">
        <w:rPr>
          <w:rFonts w:cs="Arial"/>
        </w:rPr>
        <w:t xml:space="preserve"> Cahier Clauses Administratives Techniques (CCTP)</w:t>
      </w:r>
      <w:r w:rsidR="00D75E7A" w:rsidRPr="00A25D8A">
        <w:rPr>
          <w:rFonts w:cs="Arial"/>
        </w:rPr>
        <w:t xml:space="preserve"> et ses annexes</w:t>
      </w:r>
      <w:r w:rsidRPr="00A25D8A">
        <w:rPr>
          <w:rFonts w:cs="Arial"/>
        </w:rPr>
        <w:t> ;</w:t>
      </w:r>
    </w:p>
    <w:p w14:paraId="43B37F59" w14:textId="77777777" w:rsidR="00327E34" w:rsidRPr="00A25D8A" w:rsidRDefault="00327E34" w:rsidP="00327E34">
      <w:pPr>
        <w:pStyle w:val="Paragraphedeliste"/>
        <w:keepNext/>
        <w:numPr>
          <w:ilvl w:val="0"/>
          <w:numId w:val="16"/>
        </w:numPr>
        <w:spacing w:before="120" w:after="120" w:line="288" w:lineRule="auto"/>
        <w:rPr>
          <w:rFonts w:cs="Arial"/>
        </w:rPr>
      </w:pPr>
      <w:proofErr w:type="gramStart"/>
      <w:r w:rsidRPr="00A25D8A">
        <w:rPr>
          <w:rFonts w:cs="Arial"/>
        </w:rPr>
        <w:t>l’avis</w:t>
      </w:r>
      <w:proofErr w:type="gramEnd"/>
      <w:r w:rsidRPr="00A25D8A">
        <w:rPr>
          <w:rFonts w:cs="Arial"/>
        </w:rPr>
        <w:t xml:space="preserve"> de marché.</w:t>
      </w:r>
    </w:p>
    <w:p w14:paraId="74CF67FA" w14:textId="77777777" w:rsidR="00327E34" w:rsidRPr="00A25D8A" w:rsidRDefault="00327E34" w:rsidP="009F44E0"/>
    <w:p w14:paraId="4104C40B" w14:textId="5AAA786A" w:rsidR="00166EE0" w:rsidRPr="00A25D8A" w:rsidRDefault="00166EE0" w:rsidP="00166EE0">
      <w:r w:rsidRPr="00A25D8A">
        <w:t>En cas d’incohérence entre l’avis de marché et le présent règlement de la consultation, l’avis de marché prévaut.</w:t>
      </w:r>
    </w:p>
    <w:p w14:paraId="2D48207D" w14:textId="77777777" w:rsidR="00166EE0" w:rsidRPr="00A25D8A" w:rsidRDefault="00166EE0" w:rsidP="00166EE0"/>
    <w:p w14:paraId="13928567" w14:textId="702470B5" w:rsidR="009F44E0" w:rsidRPr="00A25D8A" w:rsidRDefault="009F44E0" w:rsidP="00166EE0">
      <w:r w:rsidRPr="00A25D8A">
        <w:t xml:space="preserve">Les originaux conservés dans les archives de l’ATIH font, seuls, foi. </w:t>
      </w:r>
    </w:p>
    <w:p w14:paraId="22952664" w14:textId="77777777" w:rsidR="009F44E0" w:rsidRPr="00A25D8A" w:rsidRDefault="009F44E0" w:rsidP="009F44E0"/>
    <w:p w14:paraId="64F51619" w14:textId="242C9392" w:rsidR="009F44E0" w:rsidRPr="00A25D8A" w:rsidRDefault="009F44E0" w:rsidP="009F44E0">
      <w:pPr>
        <w:pStyle w:val="Titre2"/>
      </w:pPr>
      <w:bookmarkStart w:id="18" w:name="_Toc226031852"/>
      <w:r w:rsidRPr="00A25D8A">
        <w:t>Modalités d’obtention du dossier de consultation</w:t>
      </w:r>
      <w:r w:rsidR="00113C60" w:rsidRPr="00A25D8A">
        <w:t> :</w:t>
      </w:r>
      <w:r w:rsidRPr="00A25D8A">
        <w:t xml:space="preserve"> Retrait électronique du dossier de consultation</w:t>
      </w:r>
      <w:bookmarkEnd w:id="18"/>
    </w:p>
    <w:p w14:paraId="5004B7DC" w14:textId="1DAAFFA4" w:rsidR="009F44E0" w:rsidRDefault="009F44E0" w:rsidP="009F44E0">
      <w:r w:rsidRPr="00A25D8A">
        <w:t xml:space="preserve">Les candidats peuvent télécharger le DCE, disponible dans son intégralité jusqu’à la date limite de remise des offres, </w:t>
      </w:r>
      <w:r w:rsidRPr="00A25D8A">
        <w:rPr>
          <w:b/>
        </w:rPr>
        <w:t xml:space="preserve">UNIQUEMENT </w:t>
      </w:r>
      <w:r w:rsidRPr="00A25D8A">
        <w:t>sur son profil acheteur à l’adresse internet suivante :</w:t>
      </w:r>
    </w:p>
    <w:p w14:paraId="43FD5771" w14:textId="77777777" w:rsidR="00CE04DE" w:rsidRDefault="00CE04DE" w:rsidP="009F44E0"/>
    <w:p w14:paraId="36A97E6C" w14:textId="504AA208" w:rsidR="00CE04DE" w:rsidRPr="00F727DA" w:rsidRDefault="00F727DA" w:rsidP="009F44E0">
      <w:pPr>
        <w:rPr>
          <w:rStyle w:val="Lienhypertexte"/>
          <w:sz w:val="20"/>
          <w:szCs w:val="22"/>
        </w:rPr>
      </w:pPr>
      <w:hyperlink r:id="rId15" w:history="1">
        <w:r w:rsidRPr="004E18DE">
          <w:rPr>
            <w:rStyle w:val="Lienhypertexte"/>
            <w:sz w:val="20"/>
            <w:szCs w:val="22"/>
          </w:rPr>
          <w:t>https://www.marches-publics.gouv.fr/?page=Entreprise.EntrepriseAdvancedSearch&amp;AllCons&amp;id=2973883&amp;orgAcronyme=h8j</w:t>
        </w:r>
      </w:hyperlink>
      <w:r>
        <w:rPr>
          <w:color w:val="2B3BB2" w:themeColor="accent1"/>
          <w:szCs w:val="22"/>
          <w:u w:val="single"/>
        </w:rPr>
        <w:t xml:space="preserve"> </w:t>
      </w:r>
    </w:p>
    <w:p w14:paraId="0C06BFB2" w14:textId="712E55FD" w:rsidR="009F44E0" w:rsidRPr="00A25D8A" w:rsidRDefault="009F44E0" w:rsidP="009F44E0">
      <w:pPr>
        <w:pStyle w:val="Titre2"/>
      </w:pPr>
      <w:bookmarkStart w:id="19" w:name="_Toc226031853"/>
      <w:r w:rsidRPr="00A25D8A">
        <w:t>Modification de détails du dossier de consultation</w:t>
      </w:r>
      <w:bookmarkEnd w:id="19"/>
    </w:p>
    <w:p w14:paraId="6798E0C0" w14:textId="585F0A2A" w:rsidR="009F44E0" w:rsidRPr="00A25D8A" w:rsidRDefault="009F44E0" w:rsidP="009F44E0">
      <w:r w:rsidRPr="00A25D8A">
        <w:t xml:space="preserve">L’ATIH se réserve le droit d’apporter des modifications de détail au dossier de consultation au plus tard </w:t>
      </w:r>
      <w:r w:rsidRPr="00A25D8A">
        <w:rPr>
          <w:b/>
        </w:rPr>
        <w:t xml:space="preserve">6 jours au plus tard </w:t>
      </w:r>
      <w:r w:rsidRPr="00A25D8A">
        <w:t>avant la date limite fixée pour la remise des offres.</w:t>
      </w:r>
    </w:p>
    <w:p w14:paraId="5115E0CC" w14:textId="77777777" w:rsidR="009F44E0" w:rsidRPr="00A25D8A" w:rsidRDefault="009F44E0" w:rsidP="009F44E0"/>
    <w:p w14:paraId="6EF30BF3" w14:textId="77777777" w:rsidR="009F44E0" w:rsidRPr="00A25D8A" w:rsidRDefault="009F44E0" w:rsidP="009F44E0">
      <w:r w:rsidRPr="00A25D8A">
        <w:t>Les candidats devront répondre sur la base du dossier modifié sans pouvoir élever aucune réclamation à ce sujet.</w:t>
      </w:r>
    </w:p>
    <w:p w14:paraId="3C653F78" w14:textId="77777777" w:rsidR="009F44E0" w:rsidRPr="00A25D8A" w:rsidRDefault="009F44E0" w:rsidP="009F44E0"/>
    <w:p w14:paraId="4651ABC0" w14:textId="77777777" w:rsidR="00A9400E" w:rsidRPr="00A25D8A" w:rsidRDefault="00A9400E" w:rsidP="00A9400E"/>
    <w:p w14:paraId="4636C15C" w14:textId="6CC56657" w:rsidR="00A9400E" w:rsidRPr="00A25D8A" w:rsidRDefault="00BD0D82" w:rsidP="00A9400E">
      <w:pPr>
        <w:pStyle w:val="Titre1"/>
      </w:pPr>
      <w:bookmarkStart w:id="20" w:name="_Toc226031854"/>
      <w:r w:rsidRPr="00A25D8A">
        <w:t>Contenu des offres</w:t>
      </w:r>
      <w:bookmarkEnd w:id="20"/>
    </w:p>
    <w:p w14:paraId="04235748" w14:textId="77777777" w:rsidR="00BD0D82" w:rsidRPr="00A25D8A" w:rsidRDefault="00BD0D82" w:rsidP="00BD0D82">
      <w:r w:rsidRPr="00A25D8A">
        <w:rPr>
          <w:b/>
        </w:rPr>
        <w:t xml:space="preserve">ATTENTION : </w:t>
      </w:r>
      <w:r w:rsidRPr="00A25D8A">
        <w:t>Par le seul fait de participer à la présente consultation, le candidat s’engage à :</w:t>
      </w:r>
    </w:p>
    <w:p w14:paraId="5AD81555" w14:textId="06626EB2" w:rsidR="00BD0D82" w:rsidRPr="00A25D8A" w:rsidRDefault="00BD0D82" w:rsidP="00BD0D82">
      <w:pPr>
        <w:pStyle w:val="Paragraphedeliste"/>
        <w:numPr>
          <w:ilvl w:val="0"/>
          <w:numId w:val="18"/>
        </w:numPr>
        <w:spacing w:before="240"/>
      </w:pPr>
      <w:proofErr w:type="gramStart"/>
      <w:r w:rsidRPr="00A25D8A">
        <w:t>exécuter</w:t>
      </w:r>
      <w:proofErr w:type="gramEnd"/>
      <w:r w:rsidRPr="00A25D8A">
        <w:t xml:space="preserve"> le marché dans les conditions prévues dans le DCE et celles proposées dans son offre, que celle-ci soit signée ou non ; </w:t>
      </w:r>
    </w:p>
    <w:p w14:paraId="2EB75637" w14:textId="7E26079D" w:rsidR="00BD0D82" w:rsidRPr="00A25D8A" w:rsidRDefault="00BD0D82" w:rsidP="00BD0D82">
      <w:pPr>
        <w:pStyle w:val="Paragraphedeliste"/>
        <w:numPr>
          <w:ilvl w:val="0"/>
          <w:numId w:val="18"/>
        </w:numPr>
        <w:spacing w:before="240"/>
      </w:pPr>
      <w:proofErr w:type="gramStart"/>
      <w:r w:rsidRPr="00A25D8A">
        <w:t>à</w:t>
      </w:r>
      <w:proofErr w:type="gramEnd"/>
      <w:r w:rsidRPr="00A25D8A">
        <w:t xml:space="preserve"> signer ledit marché, sans pouvoir se désister s’il était retenu à l’issue de la procédure.</w:t>
      </w:r>
    </w:p>
    <w:p w14:paraId="423A1B5C" w14:textId="77777777" w:rsidR="00BD0D82" w:rsidRPr="00A25D8A" w:rsidRDefault="00BD0D82" w:rsidP="00BD0D82"/>
    <w:p w14:paraId="4A3876AE" w14:textId="113591A8" w:rsidR="00BD0D82" w:rsidRPr="00A25D8A" w:rsidRDefault="00BD0D82" w:rsidP="00BD0D82">
      <w:pPr>
        <w:pStyle w:val="Titre2"/>
      </w:pPr>
      <w:bookmarkStart w:id="21" w:name="_Toc226031855"/>
      <w:r w:rsidRPr="00A25D8A">
        <w:t>Contenu du dossier de candidature</w:t>
      </w:r>
      <w:bookmarkEnd w:id="21"/>
    </w:p>
    <w:p w14:paraId="14746C72" w14:textId="51913852" w:rsidR="00BD0D82" w:rsidRPr="00A25D8A" w:rsidRDefault="00BD0D82" w:rsidP="00BD0D82">
      <w:r w:rsidRPr="00A25D8A">
        <w:t xml:space="preserve">Chacun des documents demandés ci-dessous ainsi que tous les renseignements qu’ils requièrent sont indispensables à l’examen des candidatures. A l’ouverture des plis et durant toute la phase d’analyse des offres, si certains des documents demandés sont absents ou incomplets, l’ATIH pourra demander par voie électronique à l’ensemble des candidats de les produire ou de les compléter dans un délai maximum de </w:t>
      </w:r>
      <w:r w:rsidRPr="00A25D8A">
        <w:rPr>
          <w:b/>
        </w:rPr>
        <w:t>6 jours à compter de la réception de sa demande</w:t>
      </w:r>
      <w:r w:rsidRPr="00A25D8A">
        <w:t xml:space="preserve"> (article R2144-2 du code de la commande publique).</w:t>
      </w:r>
    </w:p>
    <w:p w14:paraId="4B2A8D03" w14:textId="77777777" w:rsidR="00BD0D82" w:rsidRPr="00A25D8A" w:rsidRDefault="00BD0D82" w:rsidP="00BD0D82"/>
    <w:p w14:paraId="51711F30" w14:textId="742431BE" w:rsidR="00BD0D82" w:rsidRPr="00A25D8A" w:rsidRDefault="00BD0D82" w:rsidP="00BD0D82">
      <w:r w:rsidRPr="00A25D8A">
        <w:t>Le dossier de candidature contiendra l’ensemble des pièces administratives suivantes, conformément aux dispositions de l’article R2343-3 du code de la commande publique :</w:t>
      </w:r>
    </w:p>
    <w:p w14:paraId="7BC6631A" w14:textId="77777777" w:rsidR="00BD0D82" w:rsidRPr="00A25D8A" w:rsidRDefault="00BD0D82" w:rsidP="00BD0D82">
      <w:pPr>
        <w:pStyle w:val="Corpsdetexte"/>
        <w:rPr>
          <w:sz w:val="10"/>
          <w:szCs w:val="10"/>
        </w:rPr>
      </w:pPr>
    </w:p>
    <w:p w14:paraId="04D4E784" w14:textId="77777777" w:rsidR="00BD0D82" w:rsidRPr="00A25D8A" w:rsidRDefault="00BD0D82" w:rsidP="00BD0D82">
      <w:pPr>
        <w:pStyle w:val="Paragraphedeliste"/>
        <w:keepNext/>
        <w:numPr>
          <w:ilvl w:val="0"/>
          <w:numId w:val="20"/>
        </w:numPr>
        <w:spacing w:before="120" w:after="120" w:line="288" w:lineRule="auto"/>
        <w:rPr>
          <w:rFonts w:cs="Arial"/>
        </w:rPr>
      </w:pPr>
      <w:proofErr w:type="gramStart"/>
      <w:r w:rsidRPr="00A25D8A">
        <w:rPr>
          <w:rFonts w:cs="Arial"/>
          <w:b/>
        </w:rPr>
        <w:lastRenderedPageBreak/>
        <w:t>une</w:t>
      </w:r>
      <w:proofErr w:type="gramEnd"/>
      <w:r w:rsidRPr="00A25D8A">
        <w:rPr>
          <w:rFonts w:cs="Arial"/>
          <w:b/>
        </w:rPr>
        <w:t xml:space="preserve"> déclaration sur l’honneur (ou équivalent*) </w:t>
      </w:r>
      <w:r w:rsidRPr="00A25D8A">
        <w:rPr>
          <w:rFonts w:cs="Arial"/>
        </w:rPr>
        <w:t xml:space="preserve">signée par la personne habilitée par laquelle le candidat individuel ou chaque membre du groupement déclare sur l’honneur : </w:t>
      </w:r>
    </w:p>
    <w:p w14:paraId="76C26B39" w14:textId="77777777" w:rsidR="00BD0D82" w:rsidRPr="00A25D8A" w:rsidRDefault="00BD0D82" w:rsidP="00BD0D82">
      <w:pPr>
        <w:pStyle w:val="NormalWeb"/>
        <w:numPr>
          <w:ilvl w:val="0"/>
          <w:numId w:val="19"/>
        </w:numPr>
        <w:tabs>
          <w:tab w:val="num" w:pos="709"/>
        </w:tabs>
        <w:suppressAutoHyphens/>
        <w:spacing w:before="240" w:beforeAutospacing="0" w:after="0" w:afterAutospacing="0" w:line="240" w:lineRule="auto"/>
        <w:ind w:left="709" w:hanging="283"/>
        <w:jc w:val="both"/>
        <w:rPr>
          <w:rFonts w:ascii="Arial" w:hAnsi="Arial" w:cs="Arial"/>
          <w:i/>
        </w:rPr>
      </w:pPr>
      <w:r w:rsidRPr="00A25D8A">
        <w:rPr>
          <w:rFonts w:ascii="Arial" w:hAnsi="Arial" w:cs="Arial"/>
          <w:i/>
        </w:rPr>
        <w:t xml:space="preserve">n’entrer dans aucun des cas d'exclusion mentionnés par les dispositions législatives des </w:t>
      </w:r>
      <w:hyperlink r:id="rId16" w:history="1">
        <w:r w:rsidRPr="00A25D8A">
          <w:rPr>
            <w:rFonts w:ascii="Arial" w:hAnsi="Arial" w:cs="Arial"/>
            <w:i/>
          </w:rPr>
          <w:t xml:space="preserve">sections 1 </w:t>
        </w:r>
      </w:hyperlink>
      <w:hyperlink r:id="rId17" w:history="1">
        <w:r w:rsidRPr="00A25D8A">
          <w:rPr>
            <w:rFonts w:ascii="Arial" w:hAnsi="Arial" w:cs="Arial"/>
            <w:i/>
          </w:rPr>
          <w:t>et 2</w:t>
        </w:r>
      </w:hyperlink>
      <w:r w:rsidRPr="00A25D8A">
        <w:rPr>
          <w:rFonts w:ascii="Arial" w:hAnsi="Arial" w:cs="Arial"/>
          <w:i/>
        </w:rPr>
        <w:t xml:space="preserve"> du chapitre Ier du titre IV du code de la commande publique.</w:t>
      </w:r>
    </w:p>
    <w:p w14:paraId="1B98535C" w14:textId="77777777" w:rsidR="00BD0D82" w:rsidRPr="00A25D8A" w:rsidRDefault="00BD0D82" w:rsidP="00BD0D82">
      <w:pPr>
        <w:pStyle w:val="NormalWeb"/>
        <w:numPr>
          <w:ilvl w:val="0"/>
          <w:numId w:val="19"/>
        </w:numPr>
        <w:tabs>
          <w:tab w:val="num" w:pos="709"/>
        </w:tabs>
        <w:suppressAutoHyphens/>
        <w:spacing w:before="240" w:beforeAutospacing="0" w:after="0" w:afterAutospacing="0" w:line="240" w:lineRule="auto"/>
        <w:ind w:left="709" w:hanging="283"/>
        <w:jc w:val="both"/>
        <w:rPr>
          <w:rFonts w:ascii="Arial" w:hAnsi="Arial" w:cs="Arial"/>
          <w:i/>
        </w:rPr>
      </w:pPr>
      <w:r w:rsidRPr="00A25D8A">
        <w:rPr>
          <w:rFonts w:ascii="Arial" w:hAnsi="Arial" w:cs="Arial"/>
          <w:i/>
        </w:rPr>
        <w:t xml:space="preserve">être en règle au regard des articles </w:t>
      </w:r>
      <w:hyperlink r:id="rId18" w:history="1">
        <w:r w:rsidRPr="00A25D8A">
          <w:rPr>
            <w:i/>
          </w:rPr>
          <w:t>L. 5212-1</w:t>
        </w:r>
      </w:hyperlink>
      <w:r w:rsidRPr="00A25D8A">
        <w:rPr>
          <w:rFonts w:ascii="Arial" w:hAnsi="Arial" w:cs="Arial"/>
          <w:i/>
        </w:rPr>
        <w:t xml:space="preserve"> à </w:t>
      </w:r>
      <w:hyperlink r:id="rId19" w:history="1">
        <w:r w:rsidRPr="00A25D8A">
          <w:rPr>
            <w:i/>
          </w:rPr>
          <w:t>L. 5212-11</w:t>
        </w:r>
      </w:hyperlink>
      <w:r w:rsidRPr="00A25D8A">
        <w:rPr>
          <w:rFonts w:ascii="Arial" w:hAnsi="Arial" w:cs="Arial"/>
          <w:i/>
        </w:rPr>
        <w:t xml:space="preserve"> du code du travail concernant l’emploi des travailleurs handicapés.</w:t>
      </w:r>
    </w:p>
    <w:p w14:paraId="3DC2A865" w14:textId="5D0BB7EF" w:rsidR="00BD0D82" w:rsidRPr="00A25D8A" w:rsidRDefault="00BD0D82" w:rsidP="00BD0D82">
      <w:pPr>
        <w:pStyle w:val="NormalWeb"/>
        <w:suppressAutoHyphens/>
        <w:spacing w:before="240" w:beforeAutospacing="0" w:after="0" w:afterAutospacing="0" w:line="240" w:lineRule="auto"/>
        <w:ind w:left="709"/>
        <w:jc w:val="both"/>
        <w:rPr>
          <w:rFonts w:ascii="Arial" w:hAnsi="Arial" w:cs="Arial"/>
        </w:rPr>
      </w:pPr>
      <w:r w:rsidRPr="00A25D8A">
        <w:rPr>
          <w:rFonts w:ascii="Arial" w:hAnsi="Arial" w:cs="Arial"/>
        </w:rPr>
        <w:t>*Les candidats peuvent également compléter la section 2.</w:t>
      </w:r>
      <w:r w:rsidR="003529CA" w:rsidRPr="00A25D8A">
        <w:rPr>
          <w:rFonts w:ascii="Arial" w:hAnsi="Arial" w:cs="Arial"/>
        </w:rPr>
        <w:t>6</w:t>
      </w:r>
      <w:r w:rsidRPr="00A25D8A">
        <w:rPr>
          <w:rFonts w:ascii="Arial" w:hAnsi="Arial" w:cs="Arial"/>
        </w:rPr>
        <w:t xml:space="preserve"> de l’acte d’engagement relative à « la déclaration sur l’honneur du candidat ».</w:t>
      </w:r>
    </w:p>
    <w:p w14:paraId="6FC2F877" w14:textId="77777777" w:rsidR="00BD0D82" w:rsidRPr="00A25D8A" w:rsidRDefault="00BD0D82" w:rsidP="00BD0D82">
      <w:pPr>
        <w:pStyle w:val="NormalWeb"/>
        <w:suppressAutoHyphens/>
        <w:spacing w:before="240" w:beforeAutospacing="0" w:after="0" w:afterAutospacing="0" w:line="240" w:lineRule="auto"/>
        <w:ind w:left="709"/>
        <w:jc w:val="both"/>
        <w:rPr>
          <w:rFonts w:ascii="Arial" w:hAnsi="Arial" w:cs="Arial"/>
        </w:rPr>
      </w:pPr>
      <w:r w:rsidRPr="00A25D8A">
        <w:rPr>
          <w:rFonts w:ascii="Arial" w:hAnsi="Arial" w:cs="Arial"/>
        </w:rPr>
        <w:t>En cas d’attribution du marché, la déclaration sur l’honneur devra être signée de manière électronique par le responsable légal ou par toute personne habilitée à cet effet.</w:t>
      </w:r>
    </w:p>
    <w:p w14:paraId="25C2DBE7" w14:textId="77777777" w:rsidR="00BD0D82" w:rsidRPr="00A25D8A" w:rsidRDefault="00BD0D82" w:rsidP="00BD0D82">
      <w:pPr>
        <w:pStyle w:val="NormalWeb"/>
        <w:suppressAutoHyphens/>
        <w:spacing w:before="240" w:beforeAutospacing="0" w:after="0" w:afterAutospacing="0" w:line="240" w:lineRule="auto"/>
        <w:jc w:val="both"/>
        <w:rPr>
          <w:rFonts w:ascii="Arial" w:hAnsi="Arial" w:cs="Arial"/>
          <w:i/>
          <w:sz w:val="2"/>
          <w:szCs w:val="2"/>
        </w:rPr>
      </w:pPr>
      <w:r w:rsidRPr="00A25D8A">
        <w:rPr>
          <w:rFonts w:ascii="Arial" w:hAnsi="Arial" w:cs="Arial"/>
          <w:i/>
          <w:sz w:val="2"/>
          <w:szCs w:val="2"/>
        </w:rPr>
        <w:t>**</w:t>
      </w:r>
    </w:p>
    <w:p w14:paraId="69A3017B" w14:textId="77777777" w:rsidR="00BD0D82" w:rsidRPr="00A25D8A" w:rsidRDefault="00BD0D82" w:rsidP="00BD0D82">
      <w:pPr>
        <w:pStyle w:val="Paragraphedeliste"/>
        <w:keepNext/>
        <w:numPr>
          <w:ilvl w:val="0"/>
          <w:numId w:val="20"/>
        </w:numPr>
        <w:spacing w:before="120" w:after="120" w:line="288" w:lineRule="auto"/>
        <w:rPr>
          <w:rFonts w:cs="Arial"/>
        </w:rPr>
      </w:pPr>
      <w:proofErr w:type="gramStart"/>
      <w:r w:rsidRPr="00A25D8A">
        <w:rPr>
          <w:rFonts w:cs="Arial"/>
        </w:rPr>
        <w:t>pour</w:t>
      </w:r>
      <w:proofErr w:type="gramEnd"/>
      <w:r w:rsidRPr="00A25D8A">
        <w:rPr>
          <w:rFonts w:cs="Arial"/>
        </w:rPr>
        <w:t xml:space="preserve"> les groupements, </w:t>
      </w:r>
      <w:r w:rsidRPr="00A25D8A">
        <w:rPr>
          <w:rFonts w:cs="Arial"/>
          <w:b/>
        </w:rPr>
        <w:t>la justification que le mandataire est habilité à engager le groupement</w:t>
      </w:r>
      <w:r w:rsidRPr="00A25D8A">
        <w:rPr>
          <w:rFonts w:cs="Arial"/>
        </w:rPr>
        <w:t>. Ce document devra préciser l’étendue du pouvoir, l’objet du marché et le nom du mandataire.</w:t>
      </w:r>
    </w:p>
    <w:p w14:paraId="2D7CB136" w14:textId="77777777" w:rsidR="00BD0D82" w:rsidRPr="00A25D8A" w:rsidRDefault="00BD0D82" w:rsidP="00BD0D82">
      <w:pPr>
        <w:pStyle w:val="Corpsdetexte"/>
        <w:rPr>
          <w:rFonts w:cs="Arial"/>
          <w:sz w:val="2"/>
          <w:szCs w:val="2"/>
        </w:rPr>
      </w:pPr>
    </w:p>
    <w:p w14:paraId="23A7432E" w14:textId="77777777" w:rsidR="00BD0D82" w:rsidRPr="00A25D8A" w:rsidRDefault="00BD0D82" w:rsidP="00BD0D82">
      <w:pPr>
        <w:pStyle w:val="Paragraphedeliste"/>
        <w:keepNext/>
        <w:numPr>
          <w:ilvl w:val="0"/>
          <w:numId w:val="20"/>
        </w:numPr>
        <w:spacing w:before="120" w:after="120" w:line="288" w:lineRule="auto"/>
        <w:rPr>
          <w:rFonts w:cs="Arial"/>
          <w:b/>
        </w:rPr>
      </w:pPr>
      <w:r w:rsidRPr="00A25D8A">
        <w:rPr>
          <w:rFonts w:cs="Arial"/>
          <w:b/>
        </w:rPr>
        <w:t xml:space="preserve">Au titre de la capacité technique du candidat : </w:t>
      </w:r>
    </w:p>
    <w:p w14:paraId="62C8F807" w14:textId="77777777" w:rsidR="00BD0D82" w:rsidRPr="00A25D8A" w:rsidRDefault="00BD0D82" w:rsidP="00BD0D82">
      <w:pPr>
        <w:pStyle w:val="Paragraphedeliste"/>
        <w:keepNext/>
        <w:numPr>
          <w:ilvl w:val="1"/>
          <w:numId w:val="16"/>
        </w:numPr>
        <w:spacing w:before="120" w:after="120" w:line="288" w:lineRule="auto"/>
        <w:rPr>
          <w:rFonts w:cs="Arial"/>
          <w:b/>
        </w:rPr>
      </w:pPr>
      <w:proofErr w:type="gramStart"/>
      <w:r w:rsidRPr="00A25D8A">
        <w:rPr>
          <w:rFonts w:cs="Arial"/>
          <w:b/>
        </w:rPr>
        <w:t>une</w:t>
      </w:r>
      <w:proofErr w:type="gramEnd"/>
      <w:r w:rsidRPr="00A25D8A">
        <w:rPr>
          <w:rFonts w:cs="Arial"/>
          <w:b/>
        </w:rPr>
        <w:t xml:space="preserve"> déclaration indiquant les effectifs moyens annuels du candidat des trois dernières années </w:t>
      </w:r>
      <w:r w:rsidRPr="00A25D8A">
        <w:rPr>
          <w:rFonts w:cs="Arial"/>
        </w:rPr>
        <w:t xml:space="preserve">(DC2 ou équivalent) </w:t>
      </w:r>
      <w:r w:rsidRPr="00A25D8A">
        <w:rPr>
          <w:rFonts w:cs="Arial"/>
          <w:b/>
        </w:rPr>
        <w:t>;</w:t>
      </w:r>
    </w:p>
    <w:p w14:paraId="52E006D9" w14:textId="77777777" w:rsidR="00BD0D82" w:rsidRPr="00A25D8A" w:rsidRDefault="00BD0D82" w:rsidP="00BD0D82">
      <w:pPr>
        <w:pStyle w:val="Corpsdetexte"/>
        <w:rPr>
          <w:rFonts w:cs="Arial"/>
          <w:b/>
          <w:sz w:val="2"/>
          <w:szCs w:val="2"/>
        </w:rPr>
      </w:pPr>
    </w:p>
    <w:p w14:paraId="777398A8" w14:textId="77777777" w:rsidR="00BD0D82" w:rsidRPr="00A25D8A" w:rsidRDefault="00BD0D82" w:rsidP="00BD0D82">
      <w:pPr>
        <w:pStyle w:val="Paragraphedeliste"/>
        <w:keepNext/>
        <w:numPr>
          <w:ilvl w:val="0"/>
          <w:numId w:val="20"/>
        </w:numPr>
        <w:spacing w:before="120" w:after="120" w:line="288" w:lineRule="auto"/>
      </w:pPr>
      <w:r w:rsidRPr="00A25D8A">
        <w:rPr>
          <w:rFonts w:cs="Arial"/>
          <w:b/>
        </w:rPr>
        <w:t>Au titre de la capacité économique et financière du candidat </w:t>
      </w:r>
      <w:r w:rsidRPr="00A25D8A">
        <w:rPr>
          <w:rFonts w:cs="Arial"/>
          <w:b/>
          <w:color w:val="FF0000"/>
        </w:rPr>
        <w:t>:</w:t>
      </w:r>
      <w:r w:rsidRPr="00A25D8A">
        <w:rPr>
          <w:rFonts w:cs="Arial"/>
          <w:color w:val="FF0000"/>
        </w:rPr>
        <w:t xml:space="preserve"> </w:t>
      </w:r>
    </w:p>
    <w:p w14:paraId="28B45F77" w14:textId="77777777" w:rsidR="00BD0D82" w:rsidRPr="00A25D8A" w:rsidRDefault="00BD0D82" w:rsidP="00BD0D82">
      <w:pPr>
        <w:pStyle w:val="Paragraphedeliste"/>
        <w:keepNext/>
        <w:numPr>
          <w:ilvl w:val="1"/>
          <w:numId w:val="16"/>
        </w:numPr>
        <w:spacing w:before="120" w:after="120" w:line="288" w:lineRule="auto"/>
        <w:rPr>
          <w:rFonts w:cs="Arial"/>
          <w:b/>
        </w:rPr>
      </w:pPr>
      <w:proofErr w:type="gramStart"/>
      <w:r w:rsidRPr="00A25D8A">
        <w:rPr>
          <w:rFonts w:cs="Arial"/>
          <w:b/>
        </w:rPr>
        <w:t>une</w:t>
      </w:r>
      <w:proofErr w:type="gramEnd"/>
      <w:r w:rsidRPr="00A25D8A">
        <w:rPr>
          <w:rFonts w:cs="Arial"/>
          <w:b/>
        </w:rPr>
        <w:t xml:space="preserve"> déclaration indiquant le dernier chiffre d’affaires global connu sur les trois dernières années d’exercice disponibles </w:t>
      </w:r>
      <w:r w:rsidRPr="00A25D8A">
        <w:rPr>
          <w:rFonts w:cs="Arial"/>
        </w:rPr>
        <w:t>(DC2 ou équivalent) ;</w:t>
      </w:r>
    </w:p>
    <w:p w14:paraId="2ABF2A94" w14:textId="77777777" w:rsidR="00BD0D82" w:rsidRPr="00A25D8A" w:rsidRDefault="00BD0D82" w:rsidP="00BD0D82">
      <w:pPr>
        <w:pStyle w:val="Corpsdetexte"/>
        <w:rPr>
          <w:sz w:val="2"/>
          <w:szCs w:val="2"/>
        </w:rPr>
      </w:pPr>
    </w:p>
    <w:p w14:paraId="02D13B26" w14:textId="77777777" w:rsidR="00BD0D82" w:rsidRPr="00A25D8A" w:rsidRDefault="00BD0D82" w:rsidP="00BD0D82">
      <w:pPr>
        <w:pStyle w:val="Paragraphedeliste"/>
        <w:keepNext/>
        <w:numPr>
          <w:ilvl w:val="0"/>
          <w:numId w:val="20"/>
        </w:numPr>
        <w:spacing w:before="120" w:after="120" w:line="288" w:lineRule="auto"/>
        <w:rPr>
          <w:rFonts w:cs="Arial"/>
        </w:rPr>
      </w:pPr>
      <w:r w:rsidRPr="00A25D8A">
        <w:rPr>
          <w:rFonts w:cs="Arial"/>
          <w:b/>
        </w:rPr>
        <w:t>Au titre de la capacité professionnelle du candidat</w:t>
      </w:r>
      <w:r w:rsidRPr="00A25D8A">
        <w:rPr>
          <w:rFonts w:cs="Arial"/>
        </w:rPr>
        <w:t xml:space="preserve"> : </w:t>
      </w:r>
    </w:p>
    <w:p w14:paraId="2FD6C9F1" w14:textId="77777777" w:rsidR="00BD0D82" w:rsidRPr="00A25D8A" w:rsidRDefault="00BD0D82" w:rsidP="00BD0D82">
      <w:pPr>
        <w:pStyle w:val="Paragraphedeliste"/>
        <w:keepNext/>
        <w:numPr>
          <w:ilvl w:val="1"/>
          <w:numId w:val="16"/>
        </w:numPr>
        <w:spacing w:before="120" w:after="120" w:line="288" w:lineRule="auto"/>
        <w:rPr>
          <w:rFonts w:cs="Arial"/>
          <w:b/>
        </w:rPr>
      </w:pPr>
      <w:proofErr w:type="gramStart"/>
      <w:r w:rsidRPr="00A25D8A">
        <w:rPr>
          <w:rFonts w:cs="Arial"/>
          <w:b/>
        </w:rPr>
        <w:t>une</w:t>
      </w:r>
      <w:proofErr w:type="gramEnd"/>
      <w:r w:rsidRPr="00A25D8A">
        <w:rPr>
          <w:rFonts w:cs="Arial"/>
          <w:b/>
        </w:rPr>
        <w:t xml:space="preserve"> liste des principaux services fournis, en lien avec l’objet de la présente consultation, au cours des trois (3) dernières années indiquant la date et le nom de l’opérateur économique public ou privé pour le compte duquel les prestations ont été exécutées </w:t>
      </w:r>
      <w:r w:rsidRPr="00A25D8A">
        <w:rPr>
          <w:rFonts w:cs="Arial"/>
        </w:rPr>
        <w:t>(DC2 ou équivalent)</w:t>
      </w:r>
    </w:p>
    <w:p w14:paraId="3DE9A384" w14:textId="77777777" w:rsidR="00BD0D82" w:rsidRPr="00A25D8A" w:rsidRDefault="00BD0D82" w:rsidP="00BD0D82"/>
    <w:p w14:paraId="5E0DF1AD" w14:textId="2F2F1FF4" w:rsidR="00BD0D82" w:rsidRPr="00A25D8A" w:rsidRDefault="00BD0D82" w:rsidP="00BD0D82">
      <w:r w:rsidRPr="00A25D8A">
        <w:t>Pour toute pièce demandée, l’ATIH accepte un document équivalent. Chacun de ces documents doit être rédigé ou traduit en langue française.</w:t>
      </w:r>
    </w:p>
    <w:p w14:paraId="1C0FD869" w14:textId="77777777" w:rsidR="00BD0D82" w:rsidRPr="00A25D8A" w:rsidRDefault="00BD0D82" w:rsidP="00BD0D82"/>
    <w:p w14:paraId="57FD637F" w14:textId="26EE05AB" w:rsidR="00BD0D82" w:rsidRPr="00A25D8A" w:rsidRDefault="00BD0D82" w:rsidP="00BD0D82">
      <w:r w:rsidRPr="00A25D8A">
        <w:t xml:space="preserve">Le candidat peut demander </w:t>
      </w:r>
      <w:r w:rsidRPr="00A25D8A">
        <w:rPr>
          <w:u w:val="single"/>
        </w:rPr>
        <w:t>la prise en compte des capacités d’autres opérateurs économiques</w:t>
      </w:r>
      <w:r w:rsidRPr="00A25D8A">
        <w:t>. Il doit alors justifier des capacités de ce ou ces opérateurs (même justificatifs professionnels, techniques ou financiers à fournir que ceux exigés pour les candidats) et produire un engagement écrit de l’opérateur justifiant que le candidat disposera de ces capacités pour l’exécution du marché. A ce titre, l’opérateur devra fournir les justificatifs exigés aux points 1), 3), 4), 5) visés ci-dessus.</w:t>
      </w:r>
    </w:p>
    <w:p w14:paraId="145C3C94" w14:textId="77777777" w:rsidR="00BD0D82" w:rsidRPr="00A25D8A" w:rsidRDefault="00BD0D82" w:rsidP="00BD0D82"/>
    <w:p w14:paraId="2EDEDD53" w14:textId="318CA9DF" w:rsidR="00BD0D82" w:rsidRPr="00A25D8A" w:rsidRDefault="00BD0D82" w:rsidP="00BD0D82">
      <w:r w:rsidRPr="00A25D8A">
        <w:t xml:space="preserve">De la même manière, </w:t>
      </w:r>
      <w:r w:rsidRPr="00A25D8A">
        <w:rPr>
          <w:u w:val="single"/>
        </w:rPr>
        <w:t>en cas de groupement d’entreprises ou de déclaration d’un sous-traitant au moment de du dépôt de l’offre</w:t>
      </w:r>
      <w:r w:rsidRPr="00A25D8A">
        <w:t>, les justificatifs exigés aux points 1) à 5) ci-dessus doivent être produits par chaque membre du groupement ou pour chaque sous-traitant.</w:t>
      </w:r>
    </w:p>
    <w:p w14:paraId="7C5D9B03" w14:textId="77777777" w:rsidR="00BD0D82" w:rsidRPr="00A25D8A" w:rsidRDefault="00BD0D82" w:rsidP="00BD0D82"/>
    <w:p w14:paraId="697778D2" w14:textId="2E10BB7A" w:rsidR="00BD0D82" w:rsidRPr="00A25D8A" w:rsidRDefault="00BD0D82" w:rsidP="00BD0D82">
      <w:r w:rsidRPr="00A25D8A">
        <w:t xml:space="preserve">Conformément à l’article R2143-13 du code de la commande publique, </w:t>
      </w:r>
      <w:r w:rsidRPr="00A25D8A">
        <w:rPr>
          <w:rFonts w:cs="Arial"/>
          <w:bCs/>
          <w:color w:val="000000"/>
          <w:shd w:val="clear" w:color="auto" w:fill="FFFFFF"/>
        </w:rPr>
        <w:t xml:space="preserve">les </w:t>
      </w:r>
      <w:r w:rsidRPr="00A25D8A">
        <w:t xml:space="preserve">candidats ne sont pas tenus de fournir les documents justificatifs et moyens de preuve mentionnés ci-dessus que l'ATIH peut obtenir directement par le biais d'un système électronique de mise à disposition d'informations administré par un organisme officiel ou d'un espace de stockage numérique, </w:t>
      </w:r>
      <w:r w:rsidRPr="00A25D8A">
        <w:rPr>
          <w:u w:val="single"/>
        </w:rPr>
        <w:t xml:space="preserve">à condition </w:t>
      </w:r>
      <w:r w:rsidRPr="00A25D8A">
        <w:t xml:space="preserve">que figurent dans le dossier de candidature toutes les informations nécessaires à la consultation de ce système ou de cet espace </w:t>
      </w:r>
      <w:r w:rsidRPr="00A25D8A">
        <w:rPr>
          <w:u w:val="single"/>
        </w:rPr>
        <w:t>et que</w:t>
      </w:r>
      <w:r w:rsidRPr="00A25D8A">
        <w:t xml:space="preserve"> l'accès à ceux-ci soit gratuit.</w:t>
      </w:r>
    </w:p>
    <w:p w14:paraId="52F4F4B0" w14:textId="77777777" w:rsidR="00BD0D82" w:rsidRPr="00A25D8A" w:rsidRDefault="00BD0D82" w:rsidP="00BD0D82"/>
    <w:p w14:paraId="2762F43F" w14:textId="1A5BD4B6" w:rsidR="00BD0D82" w:rsidRPr="00A25D8A" w:rsidRDefault="00BD0D82" w:rsidP="00BD0D82">
      <w:r w:rsidRPr="00A25D8A">
        <w:lastRenderedPageBreak/>
        <w:t>De même, les candidats ne sont pas tenus de fournir les documents justificatifs et moyens de preuve qui ont déjà été transmis à l’ATIH dans le cadre d'une précédente consultation et qui demeurent valables.</w:t>
      </w:r>
    </w:p>
    <w:p w14:paraId="4FFC1C9D" w14:textId="77777777" w:rsidR="00BD0D82" w:rsidRPr="00A25D8A" w:rsidRDefault="00BD0D82" w:rsidP="00BD0D82"/>
    <w:p w14:paraId="44199506" w14:textId="15E28C5A" w:rsidR="00BD0D82" w:rsidRPr="00A25D8A" w:rsidRDefault="00BD0D82" w:rsidP="00BD0D82">
      <w:pPr>
        <w:rPr>
          <w:b/>
        </w:rPr>
      </w:pPr>
      <w:r w:rsidRPr="00A25D8A">
        <w:rPr>
          <w:b/>
        </w:rPr>
        <w:t>Pour éviter la discrimination entre candidats du fait d’informations préalables, les personnes ayant participé à l’élaboration ou à l’organisation de la consultation, ainsi que leurs associés groupés ou ayant des intérêts professionnels communs ne peuvent être candidats ni sous-traitants de candidats, sauf s’ils font la preuve, lors de leur soumission au présent marché public, que l’expérience acquise n’a pas pu fausser la concurrence.</w:t>
      </w:r>
    </w:p>
    <w:p w14:paraId="63A25CA9" w14:textId="77777777" w:rsidR="00BD0D82" w:rsidRPr="00A25D8A" w:rsidRDefault="00BD0D82" w:rsidP="00BD0D82"/>
    <w:p w14:paraId="66C9A9A4" w14:textId="10652CCD" w:rsidR="00BD0D82" w:rsidRPr="00A25D8A" w:rsidRDefault="00BD0D82" w:rsidP="00BD0D82">
      <w:pPr>
        <w:pStyle w:val="Titre2"/>
      </w:pPr>
      <w:bookmarkStart w:id="22" w:name="_Toc226031856"/>
      <w:r w:rsidRPr="00A25D8A">
        <w:t>Contenu du dossier d’offre</w:t>
      </w:r>
      <w:bookmarkEnd w:id="22"/>
    </w:p>
    <w:p w14:paraId="3EE15793" w14:textId="1AF827EC" w:rsidR="00BD0D82" w:rsidRPr="00A25D8A" w:rsidRDefault="00BD0D82" w:rsidP="00BD0D82">
      <w:pPr>
        <w:rPr>
          <w:rFonts w:cs="Arial"/>
        </w:rPr>
      </w:pPr>
      <w:r w:rsidRPr="00A25D8A">
        <w:rPr>
          <w:rFonts w:cs="Arial"/>
          <w:b/>
        </w:rPr>
        <w:t xml:space="preserve">ATTENTION : </w:t>
      </w:r>
      <w:r w:rsidRPr="00A25D8A">
        <w:rPr>
          <w:rFonts w:cs="Arial"/>
        </w:rPr>
        <w:t xml:space="preserve">les documents contenus dans l’offre permettent de juger et de noter l’offre. </w:t>
      </w:r>
    </w:p>
    <w:p w14:paraId="3D204CD8" w14:textId="77777777" w:rsidR="00BD0D82" w:rsidRPr="00A25D8A" w:rsidRDefault="00BD0D82" w:rsidP="00BD0D82">
      <w:pPr>
        <w:rPr>
          <w:rFonts w:cs="Arial"/>
        </w:rPr>
      </w:pPr>
    </w:p>
    <w:p w14:paraId="65E9805C" w14:textId="3BF18500" w:rsidR="00BD0D82" w:rsidRPr="00A25D8A" w:rsidRDefault="00BD0D82" w:rsidP="00BD0D82">
      <w:pPr>
        <w:rPr>
          <w:rFonts w:cs="Arial"/>
        </w:rPr>
      </w:pPr>
      <w:r w:rsidRPr="00A25D8A">
        <w:rPr>
          <w:rFonts w:cs="Arial"/>
          <w:b/>
        </w:rPr>
        <w:t>Tous les documents ci-après énumérés doivent être présents dans l’offre du candidat</w:t>
      </w:r>
      <w:r w:rsidRPr="00A25D8A">
        <w:rPr>
          <w:rFonts w:cs="Arial"/>
        </w:rPr>
        <w:t>.</w:t>
      </w:r>
    </w:p>
    <w:p w14:paraId="3B8825AB" w14:textId="77777777" w:rsidR="00BD0D82" w:rsidRPr="00A25D8A" w:rsidRDefault="00BD0D82" w:rsidP="00BD0D82">
      <w:pPr>
        <w:rPr>
          <w:rFonts w:cs="Arial"/>
        </w:rPr>
      </w:pPr>
    </w:p>
    <w:p w14:paraId="49EE4115" w14:textId="7119F4B3" w:rsidR="00BD0D82" w:rsidRPr="00A25D8A" w:rsidRDefault="00BD0D82" w:rsidP="00BD0D82">
      <w:pPr>
        <w:rPr>
          <w:rFonts w:cs="Arial"/>
        </w:rPr>
      </w:pPr>
      <w:r w:rsidRPr="00A25D8A">
        <w:rPr>
          <w:rFonts w:cs="Arial"/>
        </w:rPr>
        <w:t xml:space="preserve">L’attention des candidats est attirée sur la nécessité de renseigner </w:t>
      </w:r>
      <w:r w:rsidRPr="00A25D8A">
        <w:rPr>
          <w:rFonts w:cs="Arial"/>
          <w:b/>
        </w:rPr>
        <w:t>IMPERATIVEMENT</w:t>
      </w:r>
      <w:r w:rsidRPr="00A25D8A">
        <w:rPr>
          <w:rFonts w:cs="Arial"/>
        </w:rPr>
        <w:t xml:space="preserve"> la totalité des champs de l’acte d’engagement et du BPU.</w:t>
      </w:r>
    </w:p>
    <w:p w14:paraId="0BCD603B" w14:textId="77777777" w:rsidR="00BD0D82" w:rsidRPr="00A25D8A" w:rsidRDefault="00BD0D82" w:rsidP="00BD0D82">
      <w:pPr>
        <w:rPr>
          <w:rFonts w:cs="Arial"/>
        </w:rPr>
      </w:pPr>
    </w:p>
    <w:p w14:paraId="414C53F7" w14:textId="17F7F499" w:rsidR="00BD0D82" w:rsidRPr="00A25D8A" w:rsidRDefault="00BD0D82" w:rsidP="00BD0D82">
      <w:pPr>
        <w:pStyle w:val="Paragraphedeliste"/>
        <w:keepNext/>
        <w:numPr>
          <w:ilvl w:val="0"/>
          <w:numId w:val="21"/>
        </w:numPr>
        <w:spacing w:before="120" w:after="40" w:line="288" w:lineRule="auto"/>
      </w:pPr>
      <w:r w:rsidRPr="00A25D8A">
        <w:rPr>
          <w:rFonts w:cs="Arial"/>
          <w:b/>
        </w:rPr>
        <w:t xml:space="preserve">L’acte d’engagement </w:t>
      </w:r>
      <w:r w:rsidRPr="00A25D8A">
        <w:rPr>
          <w:rFonts w:cs="Arial"/>
        </w:rPr>
        <w:t>dûment daté et complété ;</w:t>
      </w:r>
    </w:p>
    <w:p w14:paraId="283DF49D" w14:textId="77777777" w:rsidR="00BD0D82" w:rsidRPr="00A25D8A" w:rsidRDefault="00BD0D82" w:rsidP="003529CA">
      <w:pPr>
        <w:pStyle w:val="Retraitcorpset1relig"/>
        <w:ind w:left="709" w:firstLine="0"/>
      </w:pPr>
      <w:r w:rsidRPr="00A25D8A">
        <w:rPr>
          <w:rFonts w:cs="Arial"/>
        </w:rPr>
        <w:t>Seul le candidat déclaré attributaire sera tenu de faire signer électroniquement l’acte d’engagement par la personne h</w:t>
      </w:r>
      <w:r w:rsidRPr="00A25D8A">
        <w:t xml:space="preserve">abilitée à engager sa société. </w:t>
      </w:r>
    </w:p>
    <w:p w14:paraId="6BDDE241" w14:textId="77777777" w:rsidR="00BD0D82" w:rsidRPr="00A25D8A" w:rsidRDefault="00BD0D82" w:rsidP="003529CA">
      <w:pPr>
        <w:pStyle w:val="Retraitcorpset1relig"/>
        <w:ind w:left="709" w:firstLine="0"/>
      </w:pPr>
      <w:r w:rsidRPr="00A25D8A">
        <w:t>L’acte d’engagement portera acceptation sans restriction ni modification des documents de la consultation remis aux candidats.</w:t>
      </w:r>
    </w:p>
    <w:p w14:paraId="3A3DD2CC" w14:textId="77777777" w:rsidR="00BD0D82" w:rsidRPr="00A25D8A" w:rsidRDefault="00BD0D82" w:rsidP="003529CA">
      <w:pPr>
        <w:pStyle w:val="Retraitcorpset1relig"/>
        <w:ind w:left="709" w:firstLine="0"/>
      </w:pPr>
      <w:r w:rsidRPr="00A25D8A">
        <w:t>Les candidats sont informés que le scan d’une signature manuscrite n’est pas considéré comme une signature électronique.</w:t>
      </w:r>
    </w:p>
    <w:p w14:paraId="7E2817A5" w14:textId="4713D6B1" w:rsidR="00783DCF" w:rsidRPr="00A25D8A" w:rsidRDefault="00783DCF" w:rsidP="003529CA">
      <w:pPr>
        <w:pStyle w:val="Retraitcorpset1relig"/>
        <w:numPr>
          <w:ilvl w:val="0"/>
          <w:numId w:val="21"/>
        </w:numPr>
      </w:pPr>
      <w:r w:rsidRPr="00A25D8A">
        <w:rPr>
          <w:b/>
        </w:rPr>
        <w:t>L</w:t>
      </w:r>
      <w:r w:rsidR="002D6518" w:rsidRPr="00A25D8A">
        <w:rPr>
          <w:b/>
        </w:rPr>
        <w:t>e</w:t>
      </w:r>
      <w:r w:rsidRPr="00A25D8A">
        <w:rPr>
          <w:b/>
        </w:rPr>
        <w:t xml:space="preserve"> </w:t>
      </w:r>
      <w:r w:rsidR="002D6518" w:rsidRPr="00A25D8A">
        <w:rPr>
          <w:b/>
        </w:rPr>
        <w:t>bordereau</w:t>
      </w:r>
      <w:r w:rsidRPr="00A25D8A">
        <w:rPr>
          <w:b/>
        </w:rPr>
        <w:t xml:space="preserve"> des prix </w:t>
      </w:r>
      <w:r w:rsidR="002D6518" w:rsidRPr="00A25D8A">
        <w:rPr>
          <w:b/>
        </w:rPr>
        <w:t>unitaires</w:t>
      </w:r>
      <w:r w:rsidRPr="00A25D8A">
        <w:t xml:space="preserve">, dûment </w:t>
      </w:r>
      <w:r w:rsidR="00D910CA" w:rsidRPr="00A25D8A">
        <w:t>complété</w:t>
      </w:r>
      <w:r w:rsidRPr="00A25D8A">
        <w:rPr>
          <w:rFonts w:cs="Arial"/>
        </w:rPr>
        <w:t>.</w:t>
      </w:r>
    </w:p>
    <w:p w14:paraId="7639964B" w14:textId="4EE70B09" w:rsidR="00BD0D82" w:rsidRPr="00A25D8A" w:rsidRDefault="00BD0D82" w:rsidP="003529CA">
      <w:pPr>
        <w:pStyle w:val="Retraitcorpset1relig"/>
        <w:numPr>
          <w:ilvl w:val="0"/>
          <w:numId w:val="21"/>
        </w:numPr>
        <w:rPr>
          <w:rFonts w:cs="Arial"/>
        </w:rPr>
      </w:pPr>
      <w:r w:rsidRPr="00A25D8A">
        <w:rPr>
          <w:b/>
        </w:rPr>
        <w:t xml:space="preserve">Une note méthodologique </w:t>
      </w:r>
      <w:r w:rsidRPr="00A25D8A">
        <w:t xml:space="preserve">du candidat démontrant en quoi l’offre du candidat répond aux besoins et exigences </w:t>
      </w:r>
      <w:r w:rsidR="003529CA" w:rsidRPr="00A25D8A">
        <w:t>exprimés</w:t>
      </w:r>
      <w:r w:rsidRPr="00A25D8A">
        <w:t xml:space="preserve"> dans le CCTP et présentant</w:t>
      </w:r>
      <w:r w:rsidR="003529CA" w:rsidRPr="00A25D8A">
        <w:t>,</w:t>
      </w:r>
      <w:r w:rsidRPr="00A25D8A">
        <w:t xml:space="preserve"> à minima</w:t>
      </w:r>
      <w:r w:rsidR="003529CA" w:rsidRPr="00A25D8A">
        <w:t>,</w:t>
      </w:r>
      <w:r w:rsidRPr="00A25D8A">
        <w:t xml:space="preserve"> les points suivants :</w:t>
      </w:r>
    </w:p>
    <w:p w14:paraId="4397804D" w14:textId="6D8F987B" w:rsidR="00783DCF" w:rsidRPr="00A25D8A" w:rsidRDefault="00166EE0" w:rsidP="003529CA">
      <w:pPr>
        <w:numPr>
          <w:ilvl w:val="1"/>
          <w:numId w:val="22"/>
        </w:numPr>
        <w:spacing w:before="60" w:after="60" w:line="288" w:lineRule="auto"/>
        <w:rPr>
          <w:rFonts w:ascii="Arial" w:hAnsi="Arial" w:cs="Arial"/>
          <w:szCs w:val="20"/>
        </w:rPr>
      </w:pPr>
      <w:proofErr w:type="gramStart"/>
      <w:r w:rsidRPr="00A25D8A">
        <w:rPr>
          <w:rFonts w:ascii="Arial" w:hAnsi="Arial" w:cs="Arial"/>
          <w:szCs w:val="20"/>
        </w:rPr>
        <w:t>son</w:t>
      </w:r>
      <w:proofErr w:type="gramEnd"/>
      <w:r w:rsidRPr="00A25D8A">
        <w:rPr>
          <w:rFonts w:ascii="Arial" w:hAnsi="Arial" w:cs="Arial"/>
          <w:szCs w:val="20"/>
        </w:rPr>
        <w:t xml:space="preserve"> expérience dans le recrutement de chaque profil objet du marché ;</w:t>
      </w:r>
    </w:p>
    <w:p w14:paraId="101DCD37" w14:textId="72325A4D" w:rsidR="00166EE0" w:rsidRPr="00A25D8A" w:rsidRDefault="00166EE0" w:rsidP="003529CA">
      <w:pPr>
        <w:numPr>
          <w:ilvl w:val="1"/>
          <w:numId w:val="22"/>
        </w:numPr>
        <w:spacing w:before="60" w:after="60" w:line="288" w:lineRule="auto"/>
        <w:rPr>
          <w:rFonts w:ascii="Arial" w:hAnsi="Arial" w:cs="Arial"/>
          <w:szCs w:val="20"/>
        </w:rPr>
      </w:pPr>
      <w:proofErr w:type="gramStart"/>
      <w:r w:rsidRPr="00A25D8A">
        <w:rPr>
          <w:rFonts w:ascii="Arial" w:hAnsi="Arial" w:cs="Arial"/>
          <w:szCs w:val="20"/>
        </w:rPr>
        <w:t>son</w:t>
      </w:r>
      <w:proofErr w:type="gramEnd"/>
      <w:r w:rsidRPr="00A25D8A">
        <w:rPr>
          <w:rFonts w:ascii="Arial" w:hAnsi="Arial" w:cs="Arial"/>
          <w:szCs w:val="20"/>
        </w:rPr>
        <w:t xml:space="preserve"> expérience dans la réalisation de prestations similaires dans le secteur public ;</w:t>
      </w:r>
    </w:p>
    <w:p w14:paraId="13DEB73D" w14:textId="0D11F412" w:rsidR="00166EE0" w:rsidRPr="00A25D8A" w:rsidRDefault="00166EE0" w:rsidP="003529CA">
      <w:pPr>
        <w:numPr>
          <w:ilvl w:val="1"/>
          <w:numId w:val="22"/>
        </w:numPr>
        <w:spacing w:before="60" w:after="60" w:line="288" w:lineRule="auto"/>
        <w:rPr>
          <w:rFonts w:ascii="Arial" w:hAnsi="Arial" w:cs="Arial"/>
          <w:szCs w:val="20"/>
        </w:rPr>
      </w:pPr>
      <w:proofErr w:type="gramStart"/>
      <w:r w:rsidRPr="00A25D8A">
        <w:rPr>
          <w:rFonts w:ascii="Arial" w:hAnsi="Arial" w:cs="Arial"/>
          <w:szCs w:val="20"/>
        </w:rPr>
        <w:t>des</w:t>
      </w:r>
      <w:proofErr w:type="gramEnd"/>
      <w:r w:rsidRPr="00A25D8A">
        <w:rPr>
          <w:rFonts w:ascii="Arial" w:hAnsi="Arial" w:cs="Arial"/>
          <w:szCs w:val="20"/>
        </w:rPr>
        <w:t xml:space="preserve"> exemples </w:t>
      </w:r>
      <w:r w:rsidR="007129E5" w:rsidRPr="00A25D8A">
        <w:rPr>
          <w:rFonts w:ascii="Arial" w:hAnsi="Arial" w:cs="Arial"/>
          <w:szCs w:val="20"/>
        </w:rPr>
        <w:t>complets de dossier de présentation des candidats transmis à l’organisme employeur et ce pour chaque profil (secrétaire, assistant(e) de gestion) ;</w:t>
      </w:r>
    </w:p>
    <w:p w14:paraId="49734836" w14:textId="5A3A0F73" w:rsidR="007129E5" w:rsidRPr="00A25D8A" w:rsidRDefault="007129E5" w:rsidP="003529CA">
      <w:pPr>
        <w:numPr>
          <w:ilvl w:val="1"/>
          <w:numId w:val="22"/>
        </w:numPr>
        <w:spacing w:before="60" w:after="60" w:line="288" w:lineRule="auto"/>
        <w:rPr>
          <w:rFonts w:ascii="Arial" w:hAnsi="Arial" w:cs="Arial"/>
          <w:szCs w:val="20"/>
        </w:rPr>
      </w:pPr>
      <w:proofErr w:type="gramStart"/>
      <w:r w:rsidRPr="00A25D8A">
        <w:rPr>
          <w:rFonts w:ascii="Arial" w:hAnsi="Arial" w:cs="Arial"/>
          <w:szCs w:val="20"/>
        </w:rPr>
        <w:t>les</w:t>
      </w:r>
      <w:proofErr w:type="gramEnd"/>
      <w:r w:rsidRPr="00A25D8A">
        <w:rPr>
          <w:rFonts w:ascii="Arial" w:hAnsi="Arial" w:cs="Arial"/>
          <w:szCs w:val="20"/>
        </w:rPr>
        <w:t xml:space="preserve"> délais proposées pour la présentation d’au moins trois candidats à compter de la demande de l’ATIH et pour le remplacement du personnel mis à disposition en cas de départ anticipé ou d’arrêt de travail à compter de la demande de l’ATIH ;</w:t>
      </w:r>
    </w:p>
    <w:p w14:paraId="2621E3D0" w14:textId="5B1C7D54" w:rsidR="00783DCF" w:rsidRPr="00A25D8A" w:rsidRDefault="007129E5" w:rsidP="003529CA">
      <w:pPr>
        <w:numPr>
          <w:ilvl w:val="1"/>
          <w:numId w:val="22"/>
        </w:numPr>
        <w:spacing w:before="60" w:after="60" w:line="288" w:lineRule="auto"/>
        <w:rPr>
          <w:rFonts w:ascii="Arial" w:hAnsi="Arial" w:cs="Arial"/>
          <w:szCs w:val="20"/>
        </w:rPr>
      </w:pPr>
      <w:proofErr w:type="gramStart"/>
      <w:r w:rsidRPr="00A25D8A">
        <w:rPr>
          <w:rFonts w:ascii="Arial" w:hAnsi="Arial" w:cs="Arial"/>
          <w:szCs w:val="20"/>
        </w:rPr>
        <w:t>la</w:t>
      </w:r>
      <w:proofErr w:type="gramEnd"/>
      <w:r w:rsidRPr="00A25D8A">
        <w:rPr>
          <w:rFonts w:ascii="Arial" w:hAnsi="Arial" w:cs="Arial"/>
          <w:szCs w:val="20"/>
        </w:rPr>
        <w:t xml:space="preserve"> désignation des modalités de sélection détaillées pour chaque site d’exécution des commandes (à Lyon et à Paris) ;</w:t>
      </w:r>
    </w:p>
    <w:p w14:paraId="1070F4C8" w14:textId="7FAAC27A" w:rsidR="007129E5" w:rsidRPr="00A25D8A" w:rsidRDefault="007129E5" w:rsidP="003529CA">
      <w:pPr>
        <w:numPr>
          <w:ilvl w:val="1"/>
          <w:numId w:val="22"/>
        </w:numPr>
        <w:spacing w:before="60" w:after="60" w:line="288" w:lineRule="auto"/>
        <w:rPr>
          <w:rFonts w:ascii="Arial" w:hAnsi="Arial" w:cs="Arial"/>
          <w:szCs w:val="20"/>
        </w:rPr>
      </w:pPr>
      <w:proofErr w:type="gramStart"/>
      <w:r w:rsidRPr="00A25D8A">
        <w:rPr>
          <w:rFonts w:ascii="Arial" w:hAnsi="Arial" w:cs="Arial"/>
          <w:szCs w:val="20"/>
        </w:rPr>
        <w:t>la</w:t>
      </w:r>
      <w:proofErr w:type="gramEnd"/>
      <w:r w:rsidRPr="00A25D8A">
        <w:rPr>
          <w:rFonts w:ascii="Arial" w:hAnsi="Arial" w:cs="Arial"/>
          <w:szCs w:val="20"/>
        </w:rPr>
        <w:t xml:space="preserve"> désignation d’un interlocuteur unique pour le suivi administratif du marché avec ses coordonnées (n° de téléphone et adresse électronique)</w:t>
      </w:r>
      <w:r w:rsidR="003529CA" w:rsidRPr="00A25D8A">
        <w:rPr>
          <w:rFonts w:ascii="Arial" w:hAnsi="Arial" w:cs="Arial"/>
          <w:szCs w:val="20"/>
        </w:rPr>
        <w:t> ;</w:t>
      </w:r>
    </w:p>
    <w:p w14:paraId="73A3D5C8" w14:textId="77777777" w:rsidR="003529CA" w:rsidRPr="00A25D8A" w:rsidRDefault="003529CA" w:rsidP="003529CA">
      <w:pPr>
        <w:numPr>
          <w:ilvl w:val="1"/>
          <w:numId w:val="22"/>
        </w:numPr>
        <w:spacing w:after="60" w:line="288" w:lineRule="auto"/>
      </w:pPr>
      <w:proofErr w:type="gramStart"/>
      <w:r w:rsidRPr="00A25D8A">
        <w:rPr>
          <w:rFonts w:ascii="Arial" w:hAnsi="Arial" w:cs="Arial"/>
          <w:szCs w:val="20"/>
        </w:rPr>
        <w:t>le</w:t>
      </w:r>
      <w:proofErr w:type="gramEnd"/>
      <w:r w:rsidRPr="00A25D8A">
        <w:rPr>
          <w:rFonts w:ascii="Arial" w:hAnsi="Arial" w:cs="Arial"/>
          <w:szCs w:val="20"/>
        </w:rPr>
        <w:t xml:space="preserve"> délai du contrat d’intérim au-delà duquel le coefficient de délégation bascule en coefficient de gestion et ses modalités.</w:t>
      </w:r>
    </w:p>
    <w:p w14:paraId="5E390D17" w14:textId="27E37B7A" w:rsidR="00BD0D82" w:rsidRPr="00A25D8A" w:rsidRDefault="00BD0D82" w:rsidP="003529CA">
      <w:pPr>
        <w:ind w:left="709"/>
        <w:rPr>
          <w:rFonts w:cs="Arial"/>
        </w:rPr>
      </w:pPr>
      <w:r w:rsidRPr="00A25D8A">
        <w:rPr>
          <w:rFonts w:cs="Arial"/>
        </w:rPr>
        <w:t>Les candidats sont informés qu’une offre présentant une note méthodologique trop généraliste, c’est-à-dire non personnalisée à l’objet du marché et aux besoins exprimés dans le CCTP, pourra être pénalisée lors de l’analyse des offres.</w:t>
      </w:r>
    </w:p>
    <w:p w14:paraId="3E3E5B81" w14:textId="77777777" w:rsidR="00783DCF" w:rsidRPr="00A25D8A" w:rsidRDefault="00783DCF" w:rsidP="00BD0D82"/>
    <w:p w14:paraId="26FA3C98" w14:textId="5D04D1D5" w:rsidR="00BD0D82" w:rsidRPr="00A25D8A" w:rsidRDefault="00BD0D82" w:rsidP="00BD0D82">
      <w:r w:rsidRPr="00A25D8A">
        <w:t>Les autres documents du dossier de consultation qui sont à accepter sans modifications ni réserves ne sont pas à rendre avec l’offre.</w:t>
      </w:r>
    </w:p>
    <w:p w14:paraId="1CF2C268" w14:textId="77777777" w:rsidR="00991F87" w:rsidRPr="00A25D8A" w:rsidRDefault="00991F87" w:rsidP="00BD0D82"/>
    <w:p w14:paraId="68F35F58" w14:textId="3746C28C" w:rsidR="00BD0D82" w:rsidRPr="00A25D8A" w:rsidRDefault="00BD0D82" w:rsidP="00BD0D82">
      <w:pPr>
        <w:rPr>
          <w:b/>
        </w:rPr>
      </w:pPr>
      <w:r w:rsidRPr="00A25D8A">
        <w:rPr>
          <w:b/>
        </w:rPr>
        <w:t>Il est rappelé aux candidats que la signature de l’acte d’engagement vaut acceptation de toutes les pièces contractuelles. Si la signature électronique n’est pas intégrée dans l’offre (l’acte d’engagement), elle sera exigée avant la signature du marché par l</w:t>
      </w:r>
      <w:r w:rsidR="005372A0" w:rsidRPr="00A25D8A">
        <w:rPr>
          <w:b/>
        </w:rPr>
        <w:t>a</w:t>
      </w:r>
      <w:r w:rsidRPr="00A25D8A">
        <w:rPr>
          <w:b/>
        </w:rPr>
        <w:t xml:space="preserve"> représentant</w:t>
      </w:r>
      <w:r w:rsidR="005372A0" w:rsidRPr="00A25D8A">
        <w:rPr>
          <w:b/>
        </w:rPr>
        <w:t>e</w:t>
      </w:r>
      <w:r w:rsidRPr="00A25D8A">
        <w:rPr>
          <w:b/>
        </w:rPr>
        <w:t xml:space="preserve"> de l’ATIH.</w:t>
      </w:r>
    </w:p>
    <w:p w14:paraId="3ED65300" w14:textId="77777777" w:rsidR="00BD0D82" w:rsidRPr="00A25D8A" w:rsidRDefault="00BD0D82" w:rsidP="00BD0D82"/>
    <w:p w14:paraId="01063BEC" w14:textId="77777777" w:rsidR="005D3209" w:rsidRPr="00A25D8A" w:rsidRDefault="005D3209" w:rsidP="005D3209"/>
    <w:p w14:paraId="67358E72" w14:textId="0A2B9AD5" w:rsidR="005D3209" w:rsidRPr="00A25D8A" w:rsidRDefault="00991F87" w:rsidP="005D3209">
      <w:pPr>
        <w:pStyle w:val="Titre1"/>
      </w:pPr>
      <w:bookmarkStart w:id="23" w:name="_Toc226031857"/>
      <w:r w:rsidRPr="00A25D8A">
        <w:t>Transmission des candidatures et des offres</w:t>
      </w:r>
      <w:bookmarkEnd w:id="23"/>
    </w:p>
    <w:p w14:paraId="356F6B1B" w14:textId="01C53195" w:rsidR="00991F87" w:rsidRPr="00A25D8A" w:rsidRDefault="00991F87" w:rsidP="00991F87">
      <w:pPr>
        <w:rPr>
          <w:b/>
          <w:u w:val="single"/>
        </w:rPr>
      </w:pPr>
      <w:r w:rsidRPr="00A25D8A">
        <w:rPr>
          <w:rFonts w:cs="Arial"/>
        </w:rPr>
        <w:t>Les</w:t>
      </w:r>
      <w:r w:rsidRPr="00A25D8A">
        <w:t xml:space="preserve"> candidatures et les offres des candidats sont adressées </w:t>
      </w:r>
      <w:r w:rsidRPr="00A25D8A">
        <w:rPr>
          <w:b/>
          <w:u w:val="single"/>
        </w:rPr>
        <w:t>obligatoirement par voie électronique.</w:t>
      </w:r>
    </w:p>
    <w:p w14:paraId="050BC09A" w14:textId="77777777" w:rsidR="00991F87" w:rsidRPr="00A25D8A" w:rsidRDefault="00991F87" w:rsidP="00991F87">
      <w:pPr>
        <w:rPr>
          <w:b/>
          <w:u w:val="single"/>
        </w:rPr>
      </w:pPr>
    </w:p>
    <w:p w14:paraId="0E6CAE53" w14:textId="2EE89284" w:rsidR="00991F87" w:rsidRPr="00A25D8A" w:rsidRDefault="00991F87" w:rsidP="00991F87">
      <w:pPr>
        <w:rPr>
          <w:b/>
        </w:rPr>
      </w:pPr>
      <w:r w:rsidRPr="00A25D8A">
        <w:rPr>
          <w:b/>
        </w:rPr>
        <w:t xml:space="preserve">L’ATIH déconseille fortement aux candidats d’attendre le dernier jour de la consultation pour déposer leur pli. </w:t>
      </w:r>
    </w:p>
    <w:p w14:paraId="2B498FC3" w14:textId="77777777" w:rsidR="00991F87" w:rsidRPr="00A25D8A" w:rsidRDefault="00991F87" w:rsidP="00991F87">
      <w:pPr>
        <w:rPr>
          <w:b/>
        </w:rPr>
      </w:pPr>
    </w:p>
    <w:p w14:paraId="7A684C83" w14:textId="77777777" w:rsidR="00991F87" w:rsidRPr="00A25D8A" w:rsidRDefault="00991F87" w:rsidP="00991F87">
      <w:pPr>
        <w:rPr>
          <w:rFonts w:cs="Arial"/>
        </w:rPr>
      </w:pPr>
      <w:r w:rsidRPr="00A25D8A">
        <w:rPr>
          <w:rFonts w:cs="Arial"/>
        </w:rPr>
        <w:t>L’ATIH ne saurait être tenue pour responsable en cas de dépôt tardif d’un pli.</w:t>
      </w:r>
    </w:p>
    <w:p w14:paraId="5D7A85C1" w14:textId="77777777" w:rsidR="006A7799" w:rsidRPr="00A25D8A" w:rsidRDefault="006A7799" w:rsidP="005D3209"/>
    <w:p w14:paraId="6ECCD63D" w14:textId="33061DE2" w:rsidR="005D3209" w:rsidRPr="00A25D8A" w:rsidRDefault="00991F87" w:rsidP="005D3209">
      <w:pPr>
        <w:pStyle w:val="Titre2"/>
      </w:pPr>
      <w:bookmarkStart w:id="24" w:name="_Toc226031858"/>
      <w:r w:rsidRPr="00A25D8A">
        <w:t>Remise des plis par voir électronique</w:t>
      </w:r>
      <w:bookmarkEnd w:id="24"/>
    </w:p>
    <w:p w14:paraId="632D184D" w14:textId="05B83C62" w:rsidR="00991F87" w:rsidRPr="00A25D8A" w:rsidRDefault="00991F87" w:rsidP="00991F87">
      <w:r w:rsidRPr="00A25D8A">
        <w:t>Conformément à l’article L2132-2 du code de la commande publique, les candidatures et les offres doivent être transmises à l’ATIH par voie électronique.</w:t>
      </w:r>
    </w:p>
    <w:p w14:paraId="07F12D0F" w14:textId="77777777" w:rsidR="00991F87" w:rsidRPr="00A25D8A" w:rsidRDefault="00991F87" w:rsidP="00991F87"/>
    <w:p w14:paraId="540A33DD" w14:textId="4A5A476E" w:rsidR="00991F87" w:rsidRPr="00A25D8A" w:rsidRDefault="00991F87" w:rsidP="00991F87">
      <w:pPr>
        <w:rPr>
          <w:b/>
        </w:rPr>
      </w:pPr>
      <w:r w:rsidRPr="00A25D8A">
        <w:rPr>
          <w:b/>
        </w:rPr>
        <w:t xml:space="preserve">L’ATIH déconseille fortement d’entreprendre le dépôt de l’offre au dernier moment et se dégage de toute responsabilité si l’offre n’a pu être remise avant la date et heure limites figurant sur la page de garde du présent document. </w:t>
      </w:r>
    </w:p>
    <w:p w14:paraId="04731C88" w14:textId="77777777" w:rsidR="00991F87" w:rsidRPr="00A25D8A" w:rsidRDefault="00991F87" w:rsidP="00991F87">
      <w:pPr>
        <w:rPr>
          <w:b/>
        </w:rPr>
      </w:pPr>
    </w:p>
    <w:p w14:paraId="267482B9" w14:textId="77777777" w:rsidR="00991F87" w:rsidRPr="00A25D8A" w:rsidRDefault="00991F87" w:rsidP="00991F87">
      <w:pPr>
        <w:rPr>
          <w:rFonts w:cs="Arial"/>
        </w:rPr>
      </w:pPr>
      <w:r w:rsidRPr="00A25D8A">
        <w:rPr>
          <w:rFonts w:cs="Arial"/>
        </w:rPr>
        <w:t>Le candidat est informé que :</w:t>
      </w:r>
    </w:p>
    <w:p w14:paraId="5EC7BA16" w14:textId="77777777" w:rsidR="00991F87" w:rsidRPr="00A25D8A" w:rsidRDefault="00991F87" w:rsidP="00991F87">
      <w:pPr>
        <w:pStyle w:val="Paragraphedeliste"/>
        <w:numPr>
          <w:ilvl w:val="0"/>
          <w:numId w:val="23"/>
        </w:numPr>
        <w:spacing w:before="120" w:line="288" w:lineRule="auto"/>
        <w:rPr>
          <w:rFonts w:cs="Arial"/>
        </w:rPr>
      </w:pPr>
      <w:r w:rsidRPr="00A25D8A">
        <w:rPr>
          <w:rFonts w:cs="Arial"/>
          <w:b/>
        </w:rPr>
        <w:t>Tout document électronique envoyé par un candidat dans lequel un virus informatique est détecté par l’ATIH ne sera pas ouvert</w:t>
      </w:r>
      <w:r w:rsidRPr="00A25D8A">
        <w:rPr>
          <w:rFonts w:cs="Arial"/>
        </w:rPr>
        <w:t xml:space="preserve">. Ce document est alors réputé n’avoir jamais été reçu et entraînera l’irrecevabilité de la candidature ou de l’offre. </w:t>
      </w:r>
    </w:p>
    <w:p w14:paraId="2F3AD7C1" w14:textId="77777777" w:rsidR="00991F87" w:rsidRPr="00A25D8A" w:rsidRDefault="00991F87" w:rsidP="00991F87">
      <w:pPr>
        <w:pStyle w:val="Paragraphedeliste"/>
        <w:numPr>
          <w:ilvl w:val="0"/>
          <w:numId w:val="23"/>
        </w:numPr>
        <w:spacing w:before="120" w:line="288" w:lineRule="auto"/>
        <w:rPr>
          <w:rFonts w:cs="Arial"/>
        </w:rPr>
      </w:pPr>
      <w:r w:rsidRPr="00A25D8A">
        <w:rPr>
          <w:rFonts w:cs="Arial"/>
        </w:rPr>
        <w:t>Le mode de transmission sécurisé choisi par le candidat doit permettre à l’ATIH d’ouvrir les pièces transmises sans le concours du candidat, c’est-à-dire sans une intervention personnelle du soumissionnaire.</w:t>
      </w:r>
    </w:p>
    <w:p w14:paraId="7F73C0F4" w14:textId="51A21D4E" w:rsidR="00991F87" w:rsidRPr="00A25D8A" w:rsidRDefault="007129E5" w:rsidP="00991F87">
      <w:pPr>
        <w:pStyle w:val="Paragraphedeliste"/>
        <w:numPr>
          <w:ilvl w:val="0"/>
          <w:numId w:val="23"/>
        </w:numPr>
        <w:spacing w:before="120" w:line="288" w:lineRule="auto"/>
        <w:rPr>
          <w:rFonts w:cs="Arial"/>
        </w:rPr>
      </w:pPr>
      <w:r w:rsidRPr="00A25D8A">
        <w:rPr>
          <w:rFonts w:cs="Arial"/>
          <w:b/>
        </w:rPr>
        <w:t>L’attribution</w:t>
      </w:r>
      <w:r w:rsidR="00991F87" w:rsidRPr="00A25D8A">
        <w:rPr>
          <w:rFonts w:cs="Arial"/>
          <w:b/>
        </w:rPr>
        <w:t xml:space="preserve"> du marché pourra donner lieu à la signature électronique </w:t>
      </w:r>
      <w:r w:rsidR="001C4863" w:rsidRPr="00A25D8A">
        <w:rPr>
          <w:rFonts w:cs="Arial"/>
          <w:b/>
        </w:rPr>
        <w:t>de la</w:t>
      </w:r>
      <w:r w:rsidR="00991F87" w:rsidRPr="00A25D8A">
        <w:rPr>
          <w:rFonts w:cs="Arial"/>
          <w:b/>
        </w:rPr>
        <w:t xml:space="preserve"> représentant</w:t>
      </w:r>
      <w:r w:rsidR="001C4863" w:rsidRPr="00A25D8A">
        <w:rPr>
          <w:rFonts w:cs="Arial"/>
          <w:b/>
        </w:rPr>
        <w:t>e</w:t>
      </w:r>
      <w:r w:rsidR="00991F87" w:rsidRPr="00A25D8A">
        <w:rPr>
          <w:rFonts w:cs="Arial"/>
          <w:b/>
        </w:rPr>
        <w:t xml:space="preserve"> du pouvoir adjudicateur de l’ATIH. </w:t>
      </w:r>
      <w:r w:rsidR="00991F87" w:rsidRPr="00A25D8A">
        <w:rPr>
          <w:rFonts w:cs="Arial"/>
        </w:rPr>
        <w:t xml:space="preserve">A ce titre, le candidat est invité à ne pas verrouiller l’acte d’engagement. </w:t>
      </w:r>
    </w:p>
    <w:p w14:paraId="3435111B" w14:textId="358B4446" w:rsidR="006A7799" w:rsidRPr="00A25D8A" w:rsidRDefault="006A7799" w:rsidP="006A7799"/>
    <w:p w14:paraId="72DE0ED3" w14:textId="73C82987" w:rsidR="006A7799" w:rsidRPr="00A25D8A" w:rsidRDefault="00991F87" w:rsidP="00991F87">
      <w:pPr>
        <w:pStyle w:val="Titre3"/>
      </w:pPr>
      <w:bookmarkStart w:id="25" w:name="_Toc226031859"/>
      <w:r w:rsidRPr="00A25D8A">
        <w:t>Site pour dépôt des offres</w:t>
      </w:r>
      <w:bookmarkEnd w:id="25"/>
    </w:p>
    <w:p w14:paraId="14DA5B70" w14:textId="0529FCC2" w:rsidR="005D3209" w:rsidRPr="00A25D8A" w:rsidRDefault="00991F87" w:rsidP="006A7799">
      <w:pPr>
        <w:rPr>
          <w:rFonts w:cs="Arial"/>
        </w:rPr>
      </w:pPr>
      <w:r w:rsidRPr="00A25D8A">
        <w:rPr>
          <w:rFonts w:cs="Arial"/>
        </w:rPr>
        <w:t>Le site Internet pour le dépôt des offres est le suivant :</w:t>
      </w:r>
    </w:p>
    <w:p w14:paraId="24439055" w14:textId="3ABBBA77" w:rsidR="001C4863" w:rsidRDefault="001E23A7" w:rsidP="003E4D12">
      <w:pPr>
        <w:rPr>
          <w:rFonts w:cs="Arial"/>
        </w:rPr>
      </w:pPr>
      <w:hyperlink r:id="rId20" w:history="1">
        <w:r w:rsidRPr="000C3F41">
          <w:rPr>
            <w:rStyle w:val="Lienhypertexte"/>
            <w:sz w:val="20"/>
          </w:rPr>
          <w:t>https://www.marches-publics.gouv.fr/?page=Entreprise.EntrepriseAdvancedSearch&amp;AllCons&amp;id=2973883&amp;orgAcronyme=h8j</w:t>
        </w:r>
      </w:hyperlink>
      <w:r>
        <w:t xml:space="preserve"> </w:t>
      </w:r>
    </w:p>
    <w:p w14:paraId="13E53258" w14:textId="77777777" w:rsidR="00CE04DE" w:rsidRPr="00A25D8A" w:rsidRDefault="00CE04DE" w:rsidP="003E4D12">
      <w:pPr>
        <w:rPr>
          <w:rFonts w:cs="Arial"/>
        </w:rPr>
      </w:pPr>
    </w:p>
    <w:p w14:paraId="0D067E49" w14:textId="755B97C4" w:rsidR="003E4D12" w:rsidRPr="00A25D8A" w:rsidRDefault="003E4D12" w:rsidP="003E4D12">
      <w:r w:rsidRPr="00A25D8A">
        <w:rPr>
          <w:rFonts w:cs="Arial"/>
        </w:rPr>
        <w:t>Tout</w:t>
      </w:r>
      <w:r w:rsidRPr="00A25D8A">
        <w:t xml:space="preserve"> dépôt sur un autre site ou par courriel sera nul et non avenu.</w:t>
      </w:r>
    </w:p>
    <w:p w14:paraId="17A06880" w14:textId="77777777" w:rsidR="003E4D12" w:rsidRPr="00A25D8A" w:rsidRDefault="003E4D12" w:rsidP="003E4D12"/>
    <w:p w14:paraId="4D277CBA" w14:textId="77777777" w:rsidR="003E4D12" w:rsidRPr="00A25D8A" w:rsidRDefault="003E4D12" w:rsidP="003E4D12">
      <w:r w:rsidRPr="00A25D8A">
        <w:rPr>
          <w:rFonts w:cs="Arial"/>
        </w:rPr>
        <w:t>Répondre</w:t>
      </w:r>
      <w:r w:rsidRPr="00A25D8A">
        <w:t xml:space="preserve"> en ligne nécessite :</w:t>
      </w:r>
    </w:p>
    <w:p w14:paraId="7EE8CCF9" w14:textId="77777777" w:rsidR="003E4D12" w:rsidRPr="00A25D8A" w:rsidRDefault="003E4D12" w:rsidP="003E4D12">
      <w:pPr>
        <w:pStyle w:val="Paragraphedeliste"/>
        <w:numPr>
          <w:ilvl w:val="0"/>
          <w:numId w:val="24"/>
        </w:numPr>
        <w:spacing w:before="120" w:line="288" w:lineRule="auto"/>
        <w:rPr>
          <w:rFonts w:cs="Arial"/>
        </w:rPr>
      </w:pPr>
      <w:proofErr w:type="gramStart"/>
      <w:r w:rsidRPr="00A25D8A">
        <w:rPr>
          <w:rFonts w:cs="Arial"/>
        </w:rPr>
        <w:t>l’installation</w:t>
      </w:r>
      <w:proofErr w:type="gramEnd"/>
      <w:r w:rsidRPr="00A25D8A">
        <w:rPr>
          <w:rFonts w:cs="Arial"/>
        </w:rPr>
        <w:t xml:space="preserve"> des pré-requis techniques (</w:t>
      </w:r>
      <w:r w:rsidRPr="00A25D8A">
        <w:t xml:space="preserve">disponibles sur le site </w:t>
      </w:r>
      <w:hyperlink r:id="rId21" w:history="1">
        <w:r w:rsidRPr="00A25D8A">
          <w:rPr>
            <w:rStyle w:val="Lienhypertexte"/>
          </w:rPr>
          <w:t>https://www.marches-publics.gouv.fr/</w:t>
        </w:r>
      </w:hyperlink>
      <w:r w:rsidRPr="00A25D8A">
        <w:t>) ;</w:t>
      </w:r>
    </w:p>
    <w:p w14:paraId="440C71C1" w14:textId="77777777" w:rsidR="003E4D12" w:rsidRPr="00A25D8A" w:rsidRDefault="003E4D12" w:rsidP="003E4D12">
      <w:pPr>
        <w:pStyle w:val="Paragraphedeliste"/>
        <w:numPr>
          <w:ilvl w:val="0"/>
          <w:numId w:val="24"/>
        </w:numPr>
        <w:spacing w:before="120" w:line="288" w:lineRule="auto"/>
        <w:rPr>
          <w:rFonts w:cs="Arial"/>
        </w:rPr>
      </w:pPr>
      <w:proofErr w:type="gramStart"/>
      <w:r w:rsidRPr="00A25D8A">
        <w:rPr>
          <w:rFonts w:cs="Arial"/>
        </w:rPr>
        <w:t>un</w:t>
      </w:r>
      <w:proofErr w:type="gramEnd"/>
      <w:r w:rsidRPr="00A25D8A">
        <w:rPr>
          <w:rFonts w:cs="Arial"/>
        </w:rPr>
        <w:t xml:space="preserve"> certificat de signature électronique.</w:t>
      </w:r>
    </w:p>
    <w:p w14:paraId="4744DB2F" w14:textId="77777777" w:rsidR="003E4D12" w:rsidRPr="00A25D8A" w:rsidRDefault="003E4D12" w:rsidP="003E4D12">
      <w:pPr>
        <w:rPr>
          <w:b/>
        </w:rPr>
      </w:pPr>
      <w:bookmarkStart w:id="26" w:name="_Hlk91745262"/>
    </w:p>
    <w:p w14:paraId="199CA301" w14:textId="55D6951D" w:rsidR="003E4D12" w:rsidRPr="00A25D8A" w:rsidRDefault="003E4D12" w:rsidP="003E4D12">
      <w:pPr>
        <w:rPr>
          <w:b/>
          <w:szCs w:val="20"/>
        </w:rPr>
      </w:pPr>
      <w:r w:rsidRPr="00A25D8A">
        <w:rPr>
          <w:b/>
          <w:szCs w:val="20"/>
        </w:rPr>
        <w:t xml:space="preserve">Pour toute demande d’assistance technique, question ou tout problème rencontré, le candidat peut contacter le service d’assistance en ligne en cliquant sur le module « Aide » puis « Assistance » ou via la « languette Assistance » du site </w:t>
      </w:r>
      <w:hyperlink r:id="rId22" w:history="1">
        <w:r w:rsidRPr="00A25D8A">
          <w:rPr>
            <w:rStyle w:val="Lienhypertexte"/>
            <w:rFonts w:cs="Arial"/>
            <w:b/>
            <w:sz w:val="20"/>
            <w:szCs w:val="20"/>
          </w:rPr>
          <w:t>https://www.marches-publics.gouv.fr/</w:t>
        </w:r>
      </w:hyperlink>
      <w:r w:rsidRPr="00A25D8A">
        <w:rPr>
          <w:rStyle w:val="Lienhypertexte"/>
          <w:rFonts w:cs="Arial"/>
          <w:b/>
          <w:sz w:val="20"/>
          <w:szCs w:val="20"/>
        </w:rPr>
        <w:t xml:space="preserve">. </w:t>
      </w:r>
      <w:r w:rsidRPr="00A25D8A">
        <w:rPr>
          <w:b/>
          <w:szCs w:val="20"/>
        </w:rPr>
        <w:t>Le candidat devra alors suivre la procédure qui est décrite sur le site pour avoir recours à l’assistance téléphonique.</w:t>
      </w:r>
      <w:bookmarkEnd w:id="26"/>
    </w:p>
    <w:p w14:paraId="24234AE9" w14:textId="77777777" w:rsidR="003E4D12" w:rsidRPr="00A25D8A" w:rsidRDefault="003E4D12" w:rsidP="003E4D12">
      <w:pPr>
        <w:rPr>
          <w:b/>
        </w:rPr>
      </w:pPr>
    </w:p>
    <w:p w14:paraId="29261A95" w14:textId="06B7EF61" w:rsidR="003E4D12" w:rsidRPr="00A25D8A" w:rsidRDefault="003E4D12" w:rsidP="003E4D12">
      <w:r w:rsidRPr="00A25D8A">
        <w:t xml:space="preserve">Pour une meilleure lisibilité du dossier transmis par le candidat, il est conseillé de procéder à l’enregistrement des fichiers informatisés sur le site de dépôt des candidatures et des offres de la </w:t>
      </w:r>
      <w:r w:rsidRPr="00A25D8A">
        <w:rPr>
          <w:rFonts w:cs="Arial"/>
        </w:rPr>
        <w:t>manière</w:t>
      </w:r>
      <w:r w:rsidRPr="00A25D8A">
        <w:t xml:space="preserve"> suivante :</w:t>
      </w:r>
    </w:p>
    <w:p w14:paraId="59671C73" w14:textId="77777777" w:rsidR="003E4D12" w:rsidRPr="00A25D8A" w:rsidRDefault="003E4D12" w:rsidP="003E4D12"/>
    <w:p w14:paraId="35D688F7" w14:textId="77777777" w:rsidR="003E4D12" w:rsidRPr="00A25D8A" w:rsidRDefault="003E4D12" w:rsidP="003E4D12">
      <w:pPr>
        <w:pStyle w:val="Paragraphedeliste"/>
        <w:numPr>
          <w:ilvl w:val="0"/>
          <w:numId w:val="25"/>
        </w:numPr>
        <w:spacing w:before="120" w:line="288" w:lineRule="auto"/>
        <w:rPr>
          <w:rFonts w:cs="Arial"/>
          <w:b/>
          <w:color w:val="007ED5"/>
        </w:rPr>
      </w:pPr>
      <w:r w:rsidRPr="00A25D8A">
        <w:rPr>
          <w:rFonts w:cs="Arial"/>
          <w:b/>
          <w:color w:val="007ED5"/>
        </w:rPr>
        <w:t>Dossier de candidature</w:t>
      </w:r>
    </w:p>
    <w:p w14:paraId="02514679" w14:textId="77777777" w:rsidR="003E4D12" w:rsidRPr="00A25D8A" w:rsidRDefault="003E4D12" w:rsidP="003E4D12">
      <w:pPr>
        <w:pStyle w:val="Corpsdetexte"/>
        <w:ind w:left="360"/>
      </w:pPr>
      <w:r w:rsidRPr="00A25D8A">
        <w:t>Il contiendra les pièces demandées à l’article 4.1 du présent règlement de la consultation.</w:t>
      </w:r>
    </w:p>
    <w:p w14:paraId="0309422A" w14:textId="77777777" w:rsidR="003E4D12" w:rsidRPr="00A25D8A" w:rsidRDefault="003E4D12" w:rsidP="003E4D12">
      <w:pPr>
        <w:pStyle w:val="Corpsdetexte"/>
        <w:ind w:left="360"/>
      </w:pPr>
      <w:r w:rsidRPr="00A25D8A">
        <w:t>Le candidat procède à l’enregistrement de chaque pièce de la manière suivante :</w:t>
      </w:r>
    </w:p>
    <w:p w14:paraId="153BED33" w14:textId="77777777" w:rsidR="003E4D12" w:rsidRPr="00A25D8A" w:rsidRDefault="003E4D12" w:rsidP="003E4D12">
      <w:pPr>
        <w:pStyle w:val="Retraitcorpset1relig"/>
        <w:ind w:left="720"/>
        <w:rPr>
          <w:b/>
        </w:rPr>
      </w:pPr>
      <w:proofErr w:type="gramStart"/>
      <w:r w:rsidRPr="00A25D8A">
        <w:rPr>
          <w:b/>
        </w:rPr>
        <w:t>nom</w:t>
      </w:r>
      <w:proofErr w:type="gramEnd"/>
      <w:r w:rsidRPr="00A25D8A">
        <w:rPr>
          <w:b/>
        </w:rPr>
        <w:t xml:space="preserve"> de la pièce (DUME, DC1, DC2, attestations sur l’honneur, …</w:t>
      </w:r>
      <w:proofErr w:type="gramStart"/>
      <w:r w:rsidRPr="00A25D8A">
        <w:rPr>
          <w:b/>
        </w:rPr>
        <w:t>).extension</w:t>
      </w:r>
      <w:proofErr w:type="gramEnd"/>
    </w:p>
    <w:p w14:paraId="370780E2" w14:textId="77777777" w:rsidR="003E4D12" w:rsidRPr="00A25D8A" w:rsidRDefault="003E4D12" w:rsidP="003E4D12">
      <w:pPr>
        <w:pStyle w:val="Paragraphedeliste"/>
        <w:numPr>
          <w:ilvl w:val="0"/>
          <w:numId w:val="25"/>
        </w:numPr>
        <w:spacing w:before="120" w:line="288" w:lineRule="auto"/>
        <w:rPr>
          <w:rFonts w:cs="Arial"/>
          <w:b/>
          <w:color w:val="007ED5"/>
        </w:rPr>
      </w:pPr>
      <w:r w:rsidRPr="00A25D8A">
        <w:rPr>
          <w:rFonts w:cs="Arial"/>
          <w:b/>
          <w:color w:val="007ED5"/>
        </w:rPr>
        <w:t>Pièces constitutives de l’offre</w:t>
      </w:r>
    </w:p>
    <w:p w14:paraId="35E83BA2" w14:textId="77777777" w:rsidR="003E4D12" w:rsidRPr="00A25D8A" w:rsidRDefault="003E4D12" w:rsidP="003E4D12">
      <w:pPr>
        <w:pStyle w:val="Corpsdetexte"/>
        <w:ind w:left="360"/>
      </w:pPr>
      <w:r w:rsidRPr="00A25D8A">
        <w:t>Il contiendra les pièces demandées à l’article 4.2 du présent règlement de la consultation.</w:t>
      </w:r>
    </w:p>
    <w:p w14:paraId="29447BD6" w14:textId="77777777" w:rsidR="003E4D12" w:rsidRPr="00A25D8A" w:rsidRDefault="003E4D12" w:rsidP="003E4D12">
      <w:pPr>
        <w:pStyle w:val="Corpsdetexte"/>
        <w:ind w:left="360"/>
      </w:pPr>
      <w:r w:rsidRPr="00A25D8A">
        <w:t>Le candidat procède à l’enregistrement de chaque pièce de la manière suivante :</w:t>
      </w:r>
    </w:p>
    <w:p w14:paraId="5DEA6ED2" w14:textId="63BB5B2A" w:rsidR="003E4D12" w:rsidRPr="00A25D8A" w:rsidRDefault="003E4D12" w:rsidP="003E4D12">
      <w:pPr>
        <w:pStyle w:val="Retraitcorpset1relig"/>
        <w:ind w:left="720"/>
        <w:rPr>
          <w:b/>
        </w:rPr>
      </w:pPr>
      <w:proofErr w:type="gramStart"/>
      <w:r w:rsidRPr="00A25D8A">
        <w:rPr>
          <w:b/>
        </w:rPr>
        <w:t>nom</w:t>
      </w:r>
      <w:proofErr w:type="gramEnd"/>
      <w:r w:rsidRPr="00A25D8A">
        <w:rPr>
          <w:b/>
        </w:rPr>
        <w:t xml:space="preserve"> de la pièce (Acte d’engagement, …</w:t>
      </w:r>
      <w:proofErr w:type="gramStart"/>
      <w:r w:rsidRPr="00A25D8A">
        <w:rPr>
          <w:b/>
        </w:rPr>
        <w:t>).extension</w:t>
      </w:r>
      <w:proofErr w:type="gramEnd"/>
    </w:p>
    <w:p w14:paraId="51F9C4A5" w14:textId="77777777" w:rsidR="003E4D12" w:rsidRPr="00A25D8A" w:rsidRDefault="003E4D12" w:rsidP="003E4D12">
      <w:pPr>
        <w:rPr>
          <w:rFonts w:cs="Arial"/>
        </w:rPr>
      </w:pPr>
    </w:p>
    <w:p w14:paraId="05AA4C54" w14:textId="25A54FF9" w:rsidR="003E4D12" w:rsidRPr="00A25D8A" w:rsidRDefault="003E4D12" w:rsidP="003E4D12">
      <w:r w:rsidRPr="00A25D8A">
        <w:rPr>
          <w:rFonts w:cs="Arial"/>
        </w:rPr>
        <w:t>Le</w:t>
      </w:r>
      <w:r w:rsidRPr="00A25D8A">
        <w:t xml:space="preserve"> candidat devra transmettre des fichiers établis selon un des formats suivants :</w:t>
      </w:r>
    </w:p>
    <w:p w14:paraId="713EE46A" w14:textId="77777777" w:rsidR="003E4D12" w:rsidRPr="00A25D8A" w:rsidRDefault="003E4D12" w:rsidP="003E4D12">
      <w:pPr>
        <w:pStyle w:val="Paragraphedeliste"/>
        <w:numPr>
          <w:ilvl w:val="0"/>
          <w:numId w:val="24"/>
        </w:numPr>
        <w:spacing w:before="120" w:line="288" w:lineRule="auto"/>
        <w:rPr>
          <w:rFonts w:cs="Arial"/>
        </w:rPr>
      </w:pPr>
      <w:proofErr w:type="gramStart"/>
      <w:r w:rsidRPr="00A25D8A">
        <w:rPr>
          <w:rFonts w:cs="Arial"/>
        </w:rPr>
        <w:t>fichiers</w:t>
      </w:r>
      <w:proofErr w:type="gramEnd"/>
      <w:r w:rsidRPr="00A25D8A">
        <w:rPr>
          <w:rFonts w:cs="Arial"/>
        </w:rPr>
        <w:t xml:space="preserve"> liés à des logiciels bureautiques : Office 2019 (word, Excel, Powerpoint) au format natif ;</w:t>
      </w:r>
    </w:p>
    <w:p w14:paraId="14CDB5AA" w14:textId="77777777" w:rsidR="003E4D12" w:rsidRPr="00A25D8A" w:rsidRDefault="003E4D12" w:rsidP="003E4D12">
      <w:pPr>
        <w:pStyle w:val="Paragraphedeliste"/>
        <w:numPr>
          <w:ilvl w:val="0"/>
          <w:numId w:val="24"/>
        </w:numPr>
        <w:spacing w:before="120" w:line="288" w:lineRule="auto"/>
        <w:rPr>
          <w:rFonts w:cs="Arial"/>
        </w:rPr>
      </w:pPr>
      <w:proofErr w:type="gramStart"/>
      <w:r w:rsidRPr="00A25D8A">
        <w:rPr>
          <w:rFonts w:cs="Arial"/>
        </w:rPr>
        <w:t>format</w:t>
      </w:r>
      <w:proofErr w:type="gramEnd"/>
      <w:r w:rsidRPr="00A25D8A">
        <w:rPr>
          <w:rFonts w:cs="Arial"/>
        </w:rPr>
        <w:t xml:space="preserve"> d’impression : Adobe Acrobat Reader 4 (fichiers.pdf) ;</w:t>
      </w:r>
    </w:p>
    <w:p w14:paraId="32BEF7AD" w14:textId="77777777" w:rsidR="003E4D12" w:rsidRPr="00A25D8A" w:rsidRDefault="003E4D12" w:rsidP="003E4D12">
      <w:pPr>
        <w:pStyle w:val="Paragraphedeliste"/>
        <w:numPr>
          <w:ilvl w:val="0"/>
          <w:numId w:val="24"/>
        </w:numPr>
        <w:spacing w:before="120" w:line="288" w:lineRule="auto"/>
        <w:rPr>
          <w:rFonts w:cs="Arial"/>
        </w:rPr>
      </w:pPr>
      <w:proofErr w:type="gramStart"/>
      <w:r w:rsidRPr="00A25D8A">
        <w:rPr>
          <w:rFonts w:cs="Arial"/>
        </w:rPr>
        <w:t>format</w:t>
      </w:r>
      <w:proofErr w:type="gramEnd"/>
      <w:r w:rsidRPr="00A25D8A">
        <w:rPr>
          <w:rFonts w:cs="Arial"/>
        </w:rPr>
        <w:t xml:space="preserve"> de compression : fichiers.zip ;</w:t>
      </w:r>
    </w:p>
    <w:p w14:paraId="6330752C" w14:textId="77777777" w:rsidR="003E4D12" w:rsidRPr="00A25D8A" w:rsidRDefault="003E4D12" w:rsidP="003E4D12">
      <w:pPr>
        <w:pStyle w:val="Paragraphedeliste"/>
        <w:numPr>
          <w:ilvl w:val="0"/>
          <w:numId w:val="24"/>
        </w:numPr>
        <w:spacing w:before="120" w:line="288" w:lineRule="auto"/>
        <w:rPr>
          <w:rFonts w:cs="Arial"/>
        </w:rPr>
      </w:pPr>
      <w:proofErr w:type="gramStart"/>
      <w:r w:rsidRPr="00A25D8A">
        <w:rPr>
          <w:rFonts w:cs="Arial"/>
        </w:rPr>
        <w:t>format</w:t>
      </w:r>
      <w:proofErr w:type="gramEnd"/>
      <w:r w:rsidRPr="00A25D8A">
        <w:rPr>
          <w:rFonts w:cs="Arial"/>
        </w:rPr>
        <w:t xml:space="preserve"> pour les fichiers image : TIFF, JPG, BMP, PSD (Photoshop version inférieure ou égale à la version 7).</w:t>
      </w:r>
    </w:p>
    <w:p w14:paraId="0A9A5385" w14:textId="77777777" w:rsidR="003E4D12" w:rsidRPr="00A25D8A" w:rsidRDefault="003E4D12" w:rsidP="003E4D12">
      <w:pPr>
        <w:rPr>
          <w:rFonts w:cs="Arial"/>
        </w:rPr>
      </w:pPr>
    </w:p>
    <w:p w14:paraId="550C0435" w14:textId="75F9C8D4" w:rsidR="003E4D12" w:rsidRPr="00A25D8A" w:rsidRDefault="003E4D12" w:rsidP="003E4D12">
      <w:r w:rsidRPr="00A25D8A">
        <w:rPr>
          <w:rFonts w:cs="Arial"/>
        </w:rPr>
        <w:t>Liste</w:t>
      </w:r>
      <w:r w:rsidRPr="00A25D8A">
        <w:t xml:space="preserve"> des extensions admises : .doc, .docx, .xls, .ppt, .pdf, .bmp, .tif (</w:t>
      </w:r>
      <w:proofErr w:type="gramStart"/>
      <w:r w:rsidRPr="00A25D8A">
        <w:t>ou</w:t>
      </w:r>
      <w:proofErr w:type="gramEnd"/>
      <w:r w:rsidRPr="00A25D8A">
        <w:t xml:space="preserve"> .tiff), .jpg (</w:t>
      </w:r>
      <w:proofErr w:type="gramStart"/>
      <w:r w:rsidRPr="00A25D8A">
        <w:t>ou</w:t>
      </w:r>
      <w:proofErr w:type="gramEnd"/>
      <w:r w:rsidRPr="00A25D8A">
        <w:t xml:space="preserve"> .jpeg), .psd, .rtf. </w:t>
      </w:r>
    </w:p>
    <w:p w14:paraId="0026C559" w14:textId="77777777" w:rsidR="003E4D12" w:rsidRPr="00A25D8A" w:rsidRDefault="003E4D12" w:rsidP="003E4D12">
      <w:pPr>
        <w:rPr>
          <w:rFonts w:cs="Arial"/>
        </w:rPr>
      </w:pPr>
    </w:p>
    <w:p w14:paraId="490A3C52" w14:textId="5D82DB5F" w:rsidR="003E4D12" w:rsidRPr="00A25D8A" w:rsidRDefault="003E4D12" w:rsidP="003E4D12">
      <w:r w:rsidRPr="00A25D8A">
        <w:rPr>
          <w:rFonts w:cs="Arial"/>
        </w:rPr>
        <w:t>Dans</w:t>
      </w:r>
      <w:r w:rsidRPr="00A25D8A">
        <w:t xml:space="preserve"> l’hypothèse où le candidat transmet un document numérisé à partir d’un support papier, il s’assure que la définition de la numérisation est suffisante pour garantir la lisibilité. </w:t>
      </w:r>
    </w:p>
    <w:p w14:paraId="0BD871DB" w14:textId="77777777" w:rsidR="003E4D12" w:rsidRPr="00A25D8A" w:rsidRDefault="003E4D12" w:rsidP="003E4D12"/>
    <w:p w14:paraId="28B8F22D" w14:textId="6A6DA825" w:rsidR="003E4D12" w:rsidRPr="00A25D8A" w:rsidRDefault="003E4D12" w:rsidP="003E4D12">
      <w:r w:rsidRPr="00A25D8A">
        <w:t>Le candidat est invité à :</w:t>
      </w:r>
    </w:p>
    <w:p w14:paraId="5A2F80C3" w14:textId="77777777" w:rsidR="003E4D12" w:rsidRPr="00A25D8A" w:rsidRDefault="003E4D12" w:rsidP="003E4D12">
      <w:pPr>
        <w:pStyle w:val="Paragraphedeliste"/>
        <w:numPr>
          <w:ilvl w:val="0"/>
          <w:numId w:val="24"/>
        </w:numPr>
        <w:spacing w:before="120" w:line="288" w:lineRule="auto"/>
        <w:rPr>
          <w:rFonts w:cs="Arial"/>
        </w:rPr>
      </w:pPr>
      <w:proofErr w:type="gramStart"/>
      <w:r w:rsidRPr="00A25D8A">
        <w:rPr>
          <w:rFonts w:cs="Arial"/>
        </w:rPr>
        <w:t>ne</w:t>
      </w:r>
      <w:proofErr w:type="gramEnd"/>
      <w:r w:rsidRPr="00A25D8A">
        <w:rPr>
          <w:rFonts w:cs="Arial"/>
        </w:rPr>
        <w:t xml:space="preserve"> pas utiliser certains formats, notamment les « .exe » ;</w:t>
      </w:r>
    </w:p>
    <w:p w14:paraId="6B6B9F90" w14:textId="77777777" w:rsidR="003E4D12" w:rsidRPr="00A25D8A" w:rsidRDefault="003E4D12" w:rsidP="003E4D12">
      <w:pPr>
        <w:pStyle w:val="Paragraphedeliste"/>
        <w:numPr>
          <w:ilvl w:val="0"/>
          <w:numId w:val="24"/>
        </w:numPr>
        <w:spacing w:before="120" w:line="288" w:lineRule="auto"/>
        <w:rPr>
          <w:rFonts w:cs="Arial"/>
        </w:rPr>
      </w:pPr>
      <w:proofErr w:type="gramStart"/>
      <w:r w:rsidRPr="00A25D8A">
        <w:rPr>
          <w:rFonts w:cs="Arial"/>
        </w:rPr>
        <w:t>ne</w:t>
      </w:r>
      <w:proofErr w:type="gramEnd"/>
      <w:r w:rsidRPr="00A25D8A">
        <w:rPr>
          <w:rFonts w:cs="Arial"/>
        </w:rPr>
        <w:t xml:space="preserve"> pas utiliser certains outils notamment les « macros ».</w:t>
      </w:r>
    </w:p>
    <w:p w14:paraId="2229910B" w14:textId="77777777" w:rsidR="003E4D12" w:rsidRPr="00A25D8A" w:rsidRDefault="003E4D12" w:rsidP="003E4D12"/>
    <w:p w14:paraId="2FAE25A5" w14:textId="70417B35" w:rsidR="003E4D12" w:rsidRPr="00A25D8A" w:rsidRDefault="003E4D12" w:rsidP="003E4D12">
      <w:pPr>
        <w:pStyle w:val="Titre3"/>
      </w:pPr>
      <w:bookmarkStart w:id="27" w:name="_Toc226031860"/>
      <w:r w:rsidRPr="00A25D8A">
        <w:t>La signature des documents</w:t>
      </w:r>
      <w:bookmarkEnd w:id="27"/>
    </w:p>
    <w:p w14:paraId="14784CD9" w14:textId="448DB2DF" w:rsidR="003E4D12" w:rsidRPr="00A25D8A" w:rsidRDefault="003E4D12" w:rsidP="003E4D12">
      <w:pPr>
        <w:rPr>
          <w:b/>
        </w:rPr>
      </w:pPr>
      <w:r w:rsidRPr="00A25D8A">
        <w:rPr>
          <w:b/>
        </w:rPr>
        <w:t>Rappel : l’ATIH n’impose pas la signature électronique de l’offre au moment de son dépôt par le candidat. Toutefois, en cas d’attribution du marché, le candidat retenu sera tenu de faire signer de manière électronique l’acte d’engagement par la personne habilitée à engager la société.</w:t>
      </w:r>
    </w:p>
    <w:p w14:paraId="0B13E9C2" w14:textId="77777777" w:rsidR="003E4D12" w:rsidRPr="00A25D8A" w:rsidRDefault="003E4D12" w:rsidP="003E4D12">
      <w:pPr>
        <w:rPr>
          <w:b/>
        </w:rPr>
      </w:pPr>
    </w:p>
    <w:p w14:paraId="6628E3BE" w14:textId="5AB4C061" w:rsidR="003E4D12" w:rsidRPr="00A25D8A" w:rsidRDefault="003E4D12" w:rsidP="003E4D12">
      <w:r w:rsidRPr="00A25D8A">
        <w:t>Les documents nécessitant une signature électronique doivent être transmis dans les conditions qui permettent d’authentifier la signature de la personne habilitée à engager l’entreprise selon les exigences posées aux articles 1316 à 1316-4 du Code civil.</w:t>
      </w:r>
    </w:p>
    <w:p w14:paraId="63451CB5" w14:textId="77777777" w:rsidR="003E4D12" w:rsidRPr="00A25D8A" w:rsidRDefault="003E4D12" w:rsidP="003E4D12"/>
    <w:p w14:paraId="49B5D1BB" w14:textId="2AC5F24E" w:rsidR="003E4D12" w:rsidRPr="00A25D8A" w:rsidRDefault="003E4D12" w:rsidP="003E4D12">
      <w:r w:rsidRPr="00A25D8A">
        <w:t>Les documents pour lesquels une signature est requise sont signés de manière électronique dans les conditions fixées par l’arrêté</w:t>
      </w:r>
      <w:r w:rsidRPr="00A25D8A">
        <w:rPr>
          <w:b/>
        </w:rPr>
        <w:t xml:space="preserve"> </w:t>
      </w:r>
      <w:r w:rsidRPr="00A25D8A">
        <w:rPr>
          <w:rStyle w:val="lev"/>
        </w:rPr>
        <w:t>du 22 mars 2019 relatif à la signature électronique des contrats de la commande publique</w:t>
      </w:r>
      <w:r w:rsidRPr="00A25D8A">
        <w:t>.</w:t>
      </w:r>
    </w:p>
    <w:p w14:paraId="06ED5A7A" w14:textId="77777777" w:rsidR="003E4D12" w:rsidRPr="00A25D8A" w:rsidRDefault="003E4D12" w:rsidP="003E4D12"/>
    <w:p w14:paraId="5F3BC760" w14:textId="664EA799" w:rsidR="003E4D12" w:rsidRPr="00A25D8A" w:rsidRDefault="003E4D12" w:rsidP="003E4D12">
      <w:pPr>
        <w:rPr>
          <w:szCs w:val="20"/>
        </w:rPr>
      </w:pPr>
      <w:r w:rsidRPr="00A25D8A">
        <w:rPr>
          <w:szCs w:val="20"/>
        </w:rPr>
        <w:t xml:space="preserve">Il est recommandé d’utiliser les outils conseillés par la plate-forme de dématérialisation </w:t>
      </w:r>
      <w:hyperlink r:id="rId23" w:history="1">
        <w:r w:rsidRPr="00A25D8A">
          <w:rPr>
            <w:rStyle w:val="Lienhypertexte"/>
            <w:rFonts w:cs="Arial"/>
            <w:sz w:val="20"/>
            <w:szCs w:val="20"/>
          </w:rPr>
          <w:t>www.marchés-publics.gouv.fr</w:t>
        </w:r>
      </w:hyperlink>
      <w:r w:rsidRPr="00A25D8A">
        <w:rPr>
          <w:szCs w:val="20"/>
        </w:rPr>
        <w:t xml:space="preserve"> (applet de signature, certificat émis par une autorité de certification reconnue).</w:t>
      </w:r>
    </w:p>
    <w:p w14:paraId="7280853A" w14:textId="77777777" w:rsidR="003E4D12" w:rsidRPr="00A25D8A" w:rsidRDefault="003E4D12" w:rsidP="003E4D12"/>
    <w:p w14:paraId="135CA2EB" w14:textId="6C288DFA" w:rsidR="003E4D12" w:rsidRPr="00A25D8A" w:rsidRDefault="003E4D12" w:rsidP="003E4D12">
      <w:r w:rsidRPr="00A25D8A">
        <w:rPr>
          <w:rFonts w:cs="Arial"/>
        </w:rPr>
        <w:t>Dans</w:t>
      </w:r>
      <w:r w:rsidRPr="00A25D8A">
        <w:t xml:space="preserve"> le cas contraire, le signataire utilise l’outil de signature de son choix, </w:t>
      </w:r>
      <w:r w:rsidRPr="00A25D8A">
        <w:rPr>
          <w:u w:val="single"/>
        </w:rPr>
        <w:t>sous réserve</w:t>
      </w:r>
      <w:r w:rsidRPr="00A25D8A">
        <w:t xml:space="preserve"> de fournir gratuitement les moyens nécessaires à la vérification de cette signature et de son certificat. L’arrêté autorise l’usage d’un parapheur électronique facilitant la signature multiple ou la signature en dehors de la plate-forme de l’acheteur public. Il est recommandé dans cette hypothèse d’utiliser un certificat figurant dans la liste des certificats approuvés en France ou au niveau européen.</w:t>
      </w:r>
    </w:p>
    <w:p w14:paraId="6ADB9605" w14:textId="77777777" w:rsidR="003E4D12" w:rsidRPr="00A25D8A" w:rsidRDefault="003E4D12" w:rsidP="003E4D12"/>
    <w:p w14:paraId="63E2BA35" w14:textId="018E4366" w:rsidR="003E4D12" w:rsidRPr="00A25D8A" w:rsidRDefault="003E4D12" w:rsidP="003E4D12">
      <w:r w:rsidRPr="00A25D8A">
        <w:t>Les documents d’origine extérieure à la société devront être scannés avec une définition suffisante pour en garantir la lisibilité, puis signés électroniquement par un représentant de la société.</w:t>
      </w:r>
    </w:p>
    <w:p w14:paraId="49BC5242" w14:textId="77777777" w:rsidR="003E4D12" w:rsidRPr="00A25D8A" w:rsidRDefault="003E4D12" w:rsidP="003E4D12"/>
    <w:p w14:paraId="0C0E5CDF" w14:textId="71362299" w:rsidR="003E4D12" w:rsidRPr="00A25D8A" w:rsidRDefault="003E4D12" w:rsidP="003E4D12">
      <w:pPr>
        <w:rPr>
          <w:b/>
        </w:rPr>
      </w:pPr>
      <w:r w:rsidRPr="00A25D8A">
        <w:t xml:space="preserve">La signature individuelle de chaque document par une ou plusieurs personnes agréées par leur société </w:t>
      </w:r>
      <w:r w:rsidRPr="00A25D8A">
        <w:rPr>
          <w:rFonts w:cs="Arial"/>
        </w:rPr>
        <w:t>est</w:t>
      </w:r>
      <w:r w:rsidRPr="00A25D8A">
        <w:t xml:space="preserve"> indispensable. </w:t>
      </w:r>
      <w:r w:rsidRPr="00A25D8A">
        <w:rPr>
          <w:b/>
        </w:rPr>
        <w:t>Attention, un zip signé ne vaut pas signature des documents qu’il contient. De plus, une signature manuscrite scannée n’a pas d’autre valeur que celle d’une copie et ne peut remplacer la signature électronique.</w:t>
      </w:r>
    </w:p>
    <w:p w14:paraId="44DA30C8" w14:textId="77777777" w:rsidR="003E4D12" w:rsidRPr="00A25D8A" w:rsidRDefault="003E4D12" w:rsidP="003E4D12">
      <w:pPr>
        <w:rPr>
          <w:b/>
        </w:rPr>
      </w:pPr>
    </w:p>
    <w:p w14:paraId="1E0D93C8" w14:textId="77777777" w:rsidR="003E4D12" w:rsidRPr="00A25D8A" w:rsidRDefault="003E4D12" w:rsidP="003E4D12">
      <w:pPr>
        <w:rPr>
          <w:b/>
        </w:rPr>
      </w:pPr>
      <w:r w:rsidRPr="00A25D8A">
        <w:rPr>
          <w:b/>
        </w:rPr>
        <w:t>L’attention du candidat est attirée sur le délai nécessaire à l’obtention d’un certificat de signature si ce dernier n’en possède pas déjà un.</w:t>
      </w:r>
    </w:p>
    <w:p w14:paraId="2E38E146" w14:textId="77777777" w:rsidR="003E4D12" w:rsidRPr="00A25D8A" w:rsidRDefault="003E4D12" w:rsidP="003E4D12"/>
    <w:p w14:paraId="572714CB" w14:textId="53B63475" w:rsidR="003E4D12" w:rsidRPr="00A25D8A" w:rsidRDefault="003E4D12" w:rsidP="003E4D12">
      <w:pPr>
        <w:pStyle w:val="Titre3"/>
      </w:pPr>
      <w:bookmarkStart w:id="28" w:name="_Toc226031861"/>
      <w:r w:rsidRPr="00A25D8A">
        <w:t>Références horaires utilisées</w:t>
      </w:r>
      <w:bookmarkEnd w:id="28"/>
    </w:p>
    <w:p w14:paraId="28336514" w14:textId="3E9C5F72" w:rsidR="003E4D12" w:rsidRPr="00A25D8A" w:rsidRDefault="003E4D12" w:rsidP="003E4D12">
      <w:r w:rsidRPr="00A25D8A">
        <w:t>La transmission des documents fait l’objet d’un accusé de réception électronique. La date et l’heure qui sont utilisées par le dispositif de l’horodatage proviennent du site de dépôt.</w:t>
      </w:r>
    </w:p>
    <w:p w14:paraId="10067E05" w14:textId="77777777" w:rsidR="003E4D12" w:rsidRPr="00A25D8A" w:rsidRDefault="003E4D12" w:rsidP="003E4D12"/>
    <w:p w14:paraId="56B9871B" w14:textId="641D44FB" w:rsidR="003E4D12" w:rsidRPr="00A25D8A" w:rsidRDefault="003E4D12" w:rsidP="003E4D12">
      <w:r w:rsidRPr="00A25D8A">
        <w:t>Le candidat accepte explicitement l’horodatage proposé ou devra renoncer à déposer son pli par voie électronique.</w:t>
      </w:r>
    </w:p>
    <w:p w14:paraId="51EC2FBE" w14:textId="77777777" w:rsidR="003E4D12" w:rsidRPr="00A25D8A" w:rsidRDefault="003E4D12" w:rsidP="003E4D12"/>
    <w:p w14:paraId="50865410" w14:textId="6CF06EB4" w:rsidR="003E4D12" w:rsidRPr="00A25D8A" w:rsidRDefault="003E4D12" w:rsidP="003E4D12">
      <w:r w:rsidRPr="00A25D8A">
        <w:t>L’ATIH ne pourra être tenue responsable des dommages, troubles, directs ou indirects qui pourraient résulter de l’usage lié au fonctionnement du site utilisé dans le cadre de la dématérialisation des procédures.</w:t>
      </w:r>
    </w:p>
    <w:p w14:paraId="5ED3D1B2" w14:textId="77777777" w:rsidR="003E4D12" w:rsidRPr="00A25D8A" w:rsidRDefault="003E4D12" w:rsidP="003E4D12"/>
    <w:p w14:paraId="4C53DC87" w14:textId="214CFF97" w:rsidR="003E4D12" w:rsidRPr="00A25D8A" w:rsidRDefault="003E4D12" w:rsidP="003E4D12">
      <w:pPr>
        <w:pStyle w:val="Titre3"/>
      </w:pPr>
      <w:bookmarkStart w:id="29" w:name="_Toc226031862"/>
      <w:r w:rsidRPr="00A25D8A">
        <w:t>Accès au réseau et signature</w:t>
      </w:r>
      <w:bookmarkEnd w:id="29"/>
    </w:p>
    <w:p w14:paraId="061E393C" w14:textId="69DFD0E5" w:rsidR="003E4D12" w:rsidRPr="00A25D8A" w:rsidRDefault="003E4D12" w:rsidP="003E4D12">
      <w:r w:rsidRPr="00A25D8A">
        <w:t>Il est rappelé que les candidats ne supportent aucun frais autre que ceux liés à l’accès au réseau et à l’obtention de la signature électronique.</w:t>
      </w:r>
    </w:p>
    <w:p w14:paraId="07A506D6" w14:textId="77777777" w:rsidR="003E4D12" w:rsidRPr="00A25D8A" w:rsidRDefault="003E4D12" w:rsidP="003E4D12"/>
    <w:p w14:paraId="7B0DA17C" w14:textId="18E743BA" w:rsidR="006A7799" w:rsidRPr="00A25D8A" w:rsidRDefault="00501BA7" w:rsidP="006A7799">
      <w:pPr>
        <w:pStyle w:val="Titre2"/>
      </w:pPr>
      <w:bookmarkStart w:id="30" w:name="_Toc226031863"/>
      <w:r w:rsidRPr="00A25D8A">
        <w:lastRenderedPageBreak/>
        <w:t>Remise d’une copie de sauvegarde</w:t>
      </w:r>
      <w:bookmarkEnd w:id="30"/>
    </w:p>
    <w:p w14:paraId="7A125A8E" w14:textId="01009BA0" w:rsidR="00501BA7" w:rsidRPr="00A25D8A" w:rsidRDefault="00501BA7" w:rsidP="00501BA7">
      <w:r w:rsidRPr="00A25D8A">
        <w:t>La copie de sauvegarde est une copie des données fournies sur un support distinct et distant de l’ordinateur porteur des données. Cette copie est effectuée pour mettre un exemplaire des données en sécurité.</w:t>
      </w:r>
    </w:p>
    <w:p w14:paraId="0F5F06A5" w14:textId="77777777" w:rsidR="00501BA7" w:rsidRPr="00A25D8A" w:rsidRDefault="00501BA7" w:rsidP="00501BA7"/>
    <w:p w14:paraId="2D28FCDD" w14:textId="4B8EA04A" w:rsidR="00501BA7" w:rsidRPr="00A25D8A" w:rsidRDefault="00501BA7" w:rsidP="00501BA7">
      <w:r w:rsidRPr="00A25D8A">
        <w:t>Il s’agit d’une copie des dossiers électroniques des candidatures et des offres, destinées à se substituer, en cas d’anomalies limitativement énumérées dans l’arrêté du 14 décembre 2009 relatif à la dématérialisation des procédures de passation des marchés publics, aux dossiers des candidatures et des offres transmis par voie électronique.</w:t>
      </w:r>
    </w:p>
    <w:p w14:paraId="39A80CA4" w14:textId="77777777" w:rsidR="00501BA7" w:rsidRPr="00A25D8A" w:rsidRDefault="00501BA7" w:rsidP="00501BA7"/>
    <w:p w14:paraId="187966C1" w14:textId="0633BEC2" w:rsidR="00501BA7" w:rsidRPr="00A25D8A" w:rsidRDefault="00501BA7" w:rsidP="00501BA7">
      <w:r w:rsidRPr="00A25D8A">
        <w:t xml:space="preserve">Le candidat est autorisé à transmettre une copie de sauvegarde de sa candidature et de son offre remises par voie électronique, et ce, dans les conditions figurant ci-après, </w:t>
      </w:r>
      <w:r w:rsidRPr="00A25D8A">
        <w:rPr>
          <w:b/>
        </w:rPr>
        <w:t>au plus tard au jour et à l’heure figurant sur la page de garde du présent règlement</w:t>
      </w:r>
      <w:r w:rsidRPr="00A25D8A">
        <w:t>.</w:t>
      </w:r>
    </w:p>
    <w:p w14:paraId="0A29CF41" w14:textId="77777777" w:rsidR="00501BA7" w:rsidRPr="00A25D8A" w:rsidRDefault="00501BA7" w:rsidP="00501BA7"/>
    <w:p w14:paraId="0467C3FF" w14:textId="0C36F643" w:rsidR="00501BA7" w:rsidRPr="00A25D8A" w:rsidRDefault="00501BA7" w:rsidP="00501BA7">
      <w:r w:rsidRPr="00A25D8A">
        <w:t xml:space="preserve">Cet envoi portera impérativement la </w:t>
      </w:r>
      <w:r w:rsidRPr="00A25D8A">
        <w:rPr>
          <w:b/>
        </w:rPr>
        <w:t>mention « copie de sauvegarde »</w:t>
      </w:r>
      <w:r w:rsidRPr="00A25D8A">
        <w:t xml:space="preserve"> et ne sera ouverte que dans les cas prévus à l’article 7 de l’arrêté du 14 décembre 2009 susvisé.</w:t>
      </w:r>
    </w:p>
    <w:p w14:paraId="339214C6" w14:textId="77777777" w:rsidR="00501BA7" w:rsidRPr="00A25D8A" w:rsidRDefault="00501BA7" w:rsidP="00501BA7"/>
    <w:p w14:paraId="1BD6C4DD" w14:textId="1F56DC7F" w:rsidR="00501BA7" w:rsidRPr="00A25D8A" w:rsidRDefault="00501BA7" w:rsidP="00501BA7">
      <w:r w:rsidRPr="00A25D8A">
        <w:t>Le candidat devra faire parvenir sa copie de sauvegarde dans une enveloppe cachetée contenant l’ensemble des pièces de la candidature et de l’offre visées respectivement aux articles 4.1 et 4.2 du présent document.</w:t>
      </w:r>
    </w:p>
    <w:p w14:paraId="6255AF67" w14:textId="77777777" w:rsidR="00501BA7" w:rsidRPr="00A25D8A" w:rsidRDefault="00501BA7" w:rsidP="00501BA7"/>
    <w:p w14:paraId="194B00BE" w14:textId="558F45D8" w:rsidR="00501BA7" w:rsidRPr="00A25D8A" w:rsidRDefault="00501BA7" w:rsidP="00501BA7">
      <w:r w:rsidRPr="00A25D8A">
        <w:t xml:space="preserve">Cet envoi peut se faire soi sur un support électronique (CD-Rom, DVD-ROM, clé USB), soit sur </w:t>
      </w:r>
      <w:proofErr w:type="gramStart"/>
      <w:r w:rsidRPr="00A25D8A">
        <w:t>un support papier</w:t>
      </w:r>
      <w:proofErr w:type="gramEnd"/>
      <w:r w:rsidRPr="00A25D8A">
        <w:t>.</w:t>
      </w:r>
    </w:p>
    <w:p w14:paraId="747749CB" w14:textId="77777777" w:rsidR="00501BA7" w:rsidRPr="00A25D8A" w:rsidRDefault="00501BA7" w:rsidP="00501BA7"/>
    <w:p w14:paraId="6D68442D" w14:textId="201DD404" w:rsidR="00501BA7" w:rsidRPr="00A25D8A" w:rsidRDefault="00501BA7" w:rsidP="00501BA7">
      <w:r w:rsidRPr="00A25D8A">
        <w:t>Les documents contenus dans la copie de sauvegarde du candidat sont soumis aux mêmes obligations que ceux transmis dans son offre remise par voie électronique : ils doivent être signés si la signature est requise. Si le support physique choisi par le candidat est le support papier, la signature devra être manuscrite (signature manuscrite originale impérative – signature scannée non-autorisée). Si le support physique choisi est électronique, la signature devra être électronique répondant aux exigences figurant à l’article 5.1.2 du présent règlement. Dans ce dernier cas, la signature électronique est apposée sur tous les documents électroniques pour lesquels une signature est exigée et les formats des fichiers sont ceux visés à l’article 5.1.1 ci-avant.</w:t>
      </w:r>
    </w:p>
    <w:p w14:paraId="335B6DC7" w14:textId="77777777" w:rsidR="00501BA7" w:rsidRPr="00A25D8A" w:rsidRDefault="00501BA7" w:rsidP="00501BA7"/>
    <w:p w14:paraId="540C534E" w14:textId="77777777" w:rsidR="00501BA7" w:rsidRPr="00A25D8A" w:rsidRDefault="00501BA7" w:rsidP="00501BA7">
      <w:r w:rsidRPr="00A25D8A">
        <w:t>Pour permettre une bonne identification de la copie de sauvegarde, l’enveloppe cachetée portera les mentions suivantes :</w:t>
      </w:r>
    </w:p>
    <w:p w14:paraId="77E4B2F8" w14:textId="77777777" w:rsidR="00501BA7" w:rsidRPr="00A25D8A" w:rsidRDefault="00501BA7" w:rsidP="00501BA7">
      <w:pPr>
        <w:pStyle w:val="Corpsdetexte"/>
        <w:rPr>
          <w:sz w:val="2"/>
          <w:szCs w:val="2"/>
        </w:rPr>
      </w:pPr>
    </w:p>
    <w:p w14:paraId="1BB2D9EB" w14:textId="77777777" w:rsidR="00501BA7" w:rsidRPr="00A25D8A" w:rsidRDefault="00501BA7" w:rsidP="00501BA7">
      <w:pPr>
        <w:pBdr>
          <w:top w:val="single" w:sz="12" w:space="1" w:color="514B64"/>
          <w:left w:val="single" w:sz="12" w:space="4" w:color="514B64"/>
          <w:bottom w:val="single" w:sz="12" w:space="0" w:color="514B64"/>
          <w:right w:val="single" w:sz="12" w:space="4" w:color="514B64"/>
        </w:pBdr>
        <w:jc w:val="center"/>
        <w:rPr>
          <w:rFonts w:cs="Arial"/>
          <w:b/>
          <w:color w:val="514964"/>
          <w:sz w:val="2"/>
          <w:szCs w:val="2"/>
          <w:shd w:val="clear" w:color="auto" w:fill="C0C0C0"/>
        </w:rPr>
      </w:pPr>
    </w:p>
    <w:p w14:paraId="375ECFBC" w14:textId="22B683E0" w:rsidR="00501BA7" w:rsidRPr="00A25D8A" w:rsidRDefault="00501BA7" w:rsidP="00501BA7">
      <w:pPr>
        <w:pBdr>
          <w:top w:val="single" w:sz="12" w:space="1" w:color="514B64"/>
          <w:left w:val="single" w:sz="12" w:space="4" w:color="514B64"/>
          <w:bottom w:val="single" w:sz="12" w:space="0" w:color="514B64"/>
          <w:right w:val="single" w:sz="12" w:space="4" w:color="514B64"/>
        </w:pBdr>
        <w:shd w:val="clear" w:color="auto" w:fill="FFFFFF" w:themeFill="background1"/>
        <w:jc w:val="center"/>
        <w:rPr>
          <w:rFonts w:cs="Arial"/>
          <w:b/>
          <w:color w:val="514964"/>
          <w:shd w:val="clear" w:color="auto" w:fill="C0C0C0"/>
        </w:rPr>
      </w:pPr>
      <w:r w:rsidRPr="00A25D8A">
        <w:rPr>
          <w:rFonts w:cs="Arial"/>
          <w:b/>
          <w:color w:val="514964"/>
          <w:shd w:val="clear" w:color="auto" w:fill="FFFFFF" w:themeFill="background1"/>
        </w:rPr>
        <w:t>Procédure n°</w:t>
      </w:r>
      <w:r w:rsidR="007129E5" w:rsidRPr="00A25D8A">
        <w:rPr>
          <w:rFonts w:cs="Arial"/>
          <w:b/>
          <w:color w:val="514964"/>
          <w:shd w:val="clear" w:color="auto" w:fill="FFFFFF" w:themeFill="background1"/>
        </w:rPr>
        <w:t>2026</w:t>
      </w:r>
      <w:r w:rsidRPr="00A25D8A">
        <w:rPr>
          <w:rFonts w:cs="Arial"/>
          <w:b/>
          <w:color w:val="514964"/>
          <w:shd w:val="clear" w:color="auto" w:fill="FFFFFF" w:themeFill="background1"/>
        </w:rPr>
        <w:t>-</w:t>
      </w:r>
      <w:r w:rsidR="007129E5" w:rsidRPr="00A25D8A">
        <w:rPr>
          <w:rFonts w:cs="Arial"/>
          <w:b/>
          <w:color w:val="514964"/>
          <w:shd w:val="clear" w:color="auto" w:fill="FFFFFF" w:themeFill="background1"/>
        </w:rPr>
        <w:t>2603067001</w:t>
      </w:r>
      <w:r w:rsidRPr="00A25D8A">
        <w:rPr>
          <w:rFonts w:cs="Arial"/>
          <w:b/>
          <w:color w:val="514964"/>
          <w:shd w:val="clear" w:color="auto" w:fill="FFFFFF" w:themeFill="background1"/>
        </w:rPr>
        <w:br/>
      </w:r>
      <w:r w:rsidRPr="00A25D8A">
        <w:rPr>
          <w:rFonts w:cs="Arial"/>
          <w:b/>
          <w:color w:val="FF0000"/>
          <w:shd w:val="clear" w:color="auto" w:fill="FFFFFF" w:themeFill="background1"/>
        </w:rPr>
        <w:t>« NE PAS OUVRIR »</w:t>
      </w:r>
      <w:r w:rsidRPr="00A25D8A">
        <w:rPr>
          <w:rFonts w:cs="Arial"/>
          <w:b/>
          <w:color w:val="FF0000"/>
          <w:shd w:val="clear" w:color="auto" w:fill="FFFFFF" w:themeFill="background1"/>
        </w:rPr>
        <w:br/>
      </w:r>
      <w:r w:rsidRPr="00A25D8A">
        <w:rPr>
          <w:rFonts w:cs="Arial"/>
          <w:b/>
          <w:color w:val="514964"/>
          <w:shd w:val="clear" w:color="auto" w:fill="FFFFFF" w:themeFill="background1"/>
        </w:rPr>
        <w:t>COPIE DE SAUVEGARDE</w:t>
      </w:r>
    </w:p>
    <w:p w14:paraId="4B541E16" w14:textId="77777777" w:rsidR="00501BA7" w:rsidRPr="00A25D8A" w:rsidRDefault="00501BA7" w:rsidP="00501BA7">
      <w:pPr>
        <w:pBdr>
          <w:top w:val="single" w:sz="12" w:space="1" w:color="514B64"/>
          <w:left w:val="single" w:sz="12" w:space="4" w:color="514B64"/>
          <w:bottom w:val="single" w:sz="12" w:space="0" w:color="514B64"/>
          <w:right w:val="single" w:sz="12" w:space="4" w:color="514B64"/>
        </w:pBdr>
        <w:jc w:val="center"/>
        <w:rPr>
          <w:rFonts w:cs="Arial"/>
          <w:b/>
          <w:color w:val="514964"/>
          <w:shd w:val="clear" w:color="auto" w:fill="C0C0C0"/>
        </w:rPr>
      </w:pPr>
      <w:r w:rsidRPr="00A25D8A">
        <w:rPr>
          <w:rFonts w:cs="Arial"/>
          <w:b/>
          <w:color w:val="514964"/>
          <w:shd w:val="clear" w:color="auto" w:fill="C0C0C0"/>
        </w:rPr>
        <w:t>NOM DU CANDIDAT</w:t>
      </w:r>
    </w:p>
    <w:p w14:paraId="75131412" w14:textId="77777777" w:rsidR="00501BA7" w:rsidRPr="00A25D8A" w:rsidRDefault="00501BA7" w:rsidP="00501BA7">
      <w:pPr>
        <w:pBdr>
          <w:top w:val="single" w:sz="12" w:space="1" w:color="514B64"/>
          <w:left w:val="single" w:sz="12" w:space="4" w:color="514B64"/>
          <w:bottom w:val="single" w:sz="12" w:space="0" w:color="514B64"/>
          <w:right w:val="single" w:sz="12" w:space="4" w:color="514B64"/>
        </w:pBdr>
        <w:jc w:val="center"/>
        <w:rPr>
          <w:rFonts w:cs="Arial"/>
        </w:rPr>
      </w:pPr>
      <w:r w:rsidRPr="00A25D8A">
        <w:rPr>
          <w:rFonts w:cs="Arial"/>
        </w:rPr>
        <w:t>AGENCE TECHNIQUE DE L’INFORMATION SUR L’HOSPITALISATION</w:t>
      </w:r>
      <w:r w:rsidRPr="00A25D8A">
        <w:rPr>
          <w:rFonts w:cs="Arial"/>
        </w:rPr>
        <w:br/>
        <w:t>Pôle affaires juridiques et marchés publics</w:t>
      </w:r>
      <w:r w:rsidRPr="00A25D8A">
        <w:rPr>
          <w:rFonts w:cs="Arial"/>
          <w:b/>
        </w:rPr>
        <w:br/>
      </w:r>
      <w:r w:rsidRPr="00A25D8A">
        <w:rPr>
          <w:rFonts w:cs="Arial"/>
        </w:rPr>
        <w:t>117, boulevard Marius Vivier Merle</w:t>
      </w:r>
      <w:r w:rsidRPr="00A25D8A">
        <w:rPr>
          <w:rFonts w:cs="Arial"/>
        </w:rPr>
        <w:br/>
        <w:t>69329 Lyon Cedex 03</w:t>
      </w:r>
    </w:p>
    <w:p w14:paraId="77F5EDD2" w14:textId="77777777" w:rsidR="00501BA7" w:rsidRPr="00A25D8A" w:rsidRDefault="00501BA7" w:rsidP="00501BA7">
      <w:pPr>
        <w:pBdr>
          <w:top w:val="single" w:sz="12" w:space="1" w:color="514B64"/>
          <w:left w:val="single" w:sz="12" w:space="4" w:color="514B64"/>
          <w:bottom w:val="single" w:sz="12" w:space="0" w:color="514B64"/>
          <w:right w:val="single" w:sz="12" w:space="4" w:color="514B64"/>
        </w:pBdr>
        <w:jc w:val="center"/>
        <w:rPr>
          <w:rFonts w:cs="Arial"/>
          <w:sz w:val="2"/>
          <w:szCs w:val="2"/>
        </w:rPr>
      </w:pPr>
    </w:p>
    <w:p w14:paraId="30B19816" w14:textId="77777777" w:rsidR="00501BA7" w:rsidRPr="00A25D8A" w:rsidRDefault="00501BA7" w:rsidP="00501BA7">
      <w:pPr>
        <w:pStyle w:val="Corpsdetexte"/>
        <w:rPr>
          <w:rFonts w:cs="Arial"/>
          <w:sz w:val="2"/>
          <w:szCs w:val="2"/>
        </w:rPr>
      </w:pPr>
    </w:p>
    <w:p w14:paraId="28245524" w14:textId="37F3034C" w:rsidR="00501BA7" w:rsidRPr="00A25D8A" w:rsidRDefault="00501BA7" w:rsidP="00501BA7">
      <w:pPr>
        <w:rPr>
          <w:rFonts w:cs="Arial"/>
        </w:rPr>
      </w:pPr>
      <w:r w:rsidRPr="00A25D8A">
        <w:rPr>
          <w:rFonts w:cs="Arial"/>
        </w:rPr>
        <w:t xml:space="preserve">La copie de sauvegarde devra parvenir </w:t>
      </w:r>
      <w:r w:rsidRPr="00A25D8A">
        <w:rPr>
          <w:rFonts w:cs="Arial"/>
          <w:b/>
          <w:color w:val="514964"/>
        </w:rPr>
        <w:t xml:space="preserve">en recommandé avec accusé de réception </w:t>
      </w:r>
      <w:r w:rsidRPr="00A25D8A">
        <w:rPr>
          <w:rFonts w:cs="Arial"/>
        </w:rPr>
        <w:t xml:space="preserve">ou être </w:t>
      </w:r>
      <w:r w:rsidRPr="00A25D8A">
        <w:rPr>
          <w:rFonts w:cs="Arial"/>
          <w:b/>
          <w:color w:val="514964"/>
        </w:rPr>
        <w:t>remise contre récépissé</w:t>
      </w:r>
      <w:r w:rsidRPr="00A25D8A">
        <w:rPr>
          <w:rFonts w:cs="Arial"/>
        </w:rPr>
        <w:t xml:space="preserve"> à l’adresse indiquée ci-dessus, </w:t>
      </w:r>
      <w:r w:rsidRPr="00A25D8A">
        <w:rPr>
          <w:rFonts w:cs="Arial"/>
          <w:b/>
          <w:u w:val="single"/>
        </w:rPr>
        <w:t>avant la date et l’heure limites mentionnées sur la page de garde du présent document</w:t>
      </w:r>
      <w:r w:rsidRPr="00A25D8A">
        <w:rPr>
          <w:rFonts w:cs="Arial"/>
        </w:rPr>
        <w:t>.</w:t>
      </w:r>
    </w:p>
    <w:p w14:paraId="00D25544" w14:textId="77777777" w:rsidR="00501BA7" w:rsidRPr="00A25D8A" w:rsidRDefault="00501BA7" w:rsidP="00501BA7">
      <w:pPr>
        <w:rPr>
          <w:rFonts w:cs="Arial"/>
        </w:rPr>
      </w:pPr>
    </w:p>
    <w:p w14:paraId="14E3150E" w14:textId="77777777" w:rsidR="00501BA7" w:rsidRPr="00A25D8A" w:rsidRDefault="00501BA7" w:rsidP="00501BA7">
      <w:pPr>
        <w:rPr>
          <w:rFonts w:cs="Arial"/>
        </w:rPr>
      </w:pPr>
      <w:r w:rsidRPr="00A25D8A">
        <w:rPr>
          <w:rFonts w:cs="Arial"/>
        </w:rPr>
        <w:t xml:space="preserve">Les </w:t>
      </w:r>
      <w:r w:rsidRPr="00A25D8A">
        <w:t>heures</w:t>
      </w:r>
      <w:r w:rsidRPr="00A25D8A">
        <w:rPr>
          <w:rFonts w:cs="Arial"/>
        </w:rPr>
        <w:t xml:space="preserve"> autorisées de dépôt des plis sont :</w:t>
      </w:r>
    </w:p>
    <w:p w14:paraId="66AB7ECB" w14:textId="77777777" w:rsidR="00501BA7" w:rsidRPr="00A25D8A" w:rsidRDefault="00501BA7" w:rsidP="00501BA7">
      <w:pPr>
        <w:spacing w:line="240" w:lineRule="auto"/>
        <w:jc w:val="left"/>
        <w:rPr>
          <w:rFonts w:cs="Arial"/>
          <w:sz w:val="2"/>
          <w:szCs w:val="2"/>
        </w:rPr>
      </w:pPr>
    </w:p>
    <w:p w14:paraId="5C2C213D" w14:textId="29029864" w:rsidR="00501BA7" w:rsidRPr="00A25D8A" w:rsidRDefault="00501BA7" w:rsidP="00501BA7">
      <w:pPr>
        <w:pStyle w:val="Corpsdetexte3"/>
        <w:tabs>
          <w:tab w:val="left" w:pos="851"/>
        </w:tabs>
        <w:jc w:val="center"/>
        <w:rPr>
          <w:rFonts w:ascii="Arial" w:hAnsi="Arial" w:cs="Arial"/>
          <w:sz w:val="20"/>
          <w:szCs w:val="20"/>
        </w:rPr>
      </w:pPr>
      <w:r w:rsidRPr="00A25D8A">
        <w:rPr>
          <w:rFonts w:ascii="Arial" w:hAnsi="Arial" w:cs="Arial"/>
          <w:b/>
          <w:color w:val="514964"/>
          <w:sz w:val="20"/>
          <w:szCs w:val="20"/>
        </w:rPr>
        <w:t>9h30-12h &amp; 14h-17h du lundi au vendredi</w:t>
      </w:r>
      <w:r w:rsidRPr="00A25D8A">
        <w:rPr>
          <w:rFonts w:ascii="Arial" w:hAnsi="Arial" w:cs="Arial"/>
          <w:color w:val="514964"/>
          <w:sz w:val="20"/>
          <w:szCs w:val="20"/>
        </w:rPr>
        <w:br/>
      </w:r>
      <w:r w:rsidRPr="00A25D8A">
        <w:rPr>
          <w:rFonts w:ascii="Arial" w:hAnsi="Arial" w:cs="Arial"/>
          <w:sz w:val="20"/>
          <w:szCs w:val="20"/>
        </w:rPr>
        <w:t xml:space="preserve">Bureau BV4 ou BV8 ou à défaut l’Accueil situés au </w:t>
      </w:r>
      <w:r w:rsidRPr="00A25D8A">
        <w:rPr>
          <w:rFonts w:ascii="Arial" w:hAnsi="Arial" w:cs="Arial"/>
          <w:b/>
          <w:color w:val="514964"/>
          <w:sz w:val="20"/>
          <w:szCs w:val="20"/>
        </w:rPr>
        <w:t>2</w:t>
      </w:r>
      <w:r w:rsidRPr="00A25D8A">
        <w:rPr>
          <w:rFonts w:ascii="Arial" w:hAnsi="Arial" w:cs="Arial"/>
          <w:b/>
          <w:color w:val="514964"/>
          <w:sz w:val="20"/>
          <w:szCs w:val="20"/>
          <w:vertAlign w:val="superscript"/>
        </w:rPr>
        <w:t>ème</w:t>
      </w:r>
      <w:r w:rsidRPr="00A25D8A">
        <w:rPr>
          <w:rFonts w:ascii="Arial" w:hAnsi="Arial" w:cs="Arial"/>
          <w:b/>
          <w:color w:val="514964"/>
          <w:sz w:val="20"/>
          <w:szCs w:val="20"/>
        </w:rPr>
        <w:t xml:space="preserve"> étage</w:t>
      </w:r>
    </w:p>
    <w:p w14:paraId="240405CA" w14:textId="01B49EEE" w:rsidR="00501BA7" w:rsidRPr="00A25D8A" w:rsidRDefault="00501BA7" w:rsidP="00501BA7">
      <w:r w:rsidRPr="00A25D8A">
        <w:lastRenderedPageBreak/>
        <w:t>La transmission par télécopie ou courriel est interdite.</w:t>
      </w:r>
    </w:p>
    <w:p w14:paraId="0941AF69" w14:textId="77777777" w:rsidR="00501BA7" w:rsidRPr="00A25D8A" w:rsidRDefault="00501BA7" w:rsidP="00501BA7"/>
    <w:p w14:paraId="495EEE0C" w14:textId="77777777" w:rsidR="00501BA7" w:rsidRPr="00A25D8A" w:rsidRDefault="00501BA7" w:rsidP="00501BA7">
      <w:r w:rsidRPr="00A25D8A">
        <w:t>Tout document contenant un virus informatique ou un programme malveillant fera l’objet d’un archivage de sécurité et sera réputé n’avoir jamais été reçu. Aucune réparation ne sera effectuée. Le candidat concerné en sera informé. Dans ces conditions, il est conseillé aux candidats de soumettre leurs documents à un anti-virus avant envoi.</w:t>
      </w:r>
    </w:p>
    <w:p w14:paraId="258258A8" w14:textId="77777777" w:rsidR="003C58E1" w:rsidRPr="00A25D8A" w:rsidRDefault="003C58E1" w:rsidP="003C58E1">
      <w:pPr>
        <w:rPr>
          <w:rFonts w:cs="Arial"/>
        </w:rPr>
      </w:pPr>
      <w:bookmarkStart w:id="31" w:name="_Hlk176366856"/>
      <w:bookmarkStart w:id="32" w:name="_Hlk173407476"/>
    </w:p>
    <w:bookmarkEnd w:id="31"/>
    <w:bookmarkEnd w:id="32"/>
    <w:p w14:paraId="68D9BB2D" w14:textId="77777777" w:rsidR="006A7799" w:rsidRPr="00A25D8A" w:rsidRDefault="006A7799" w:rsidP="006A7799"/>
    <w:p w14:paraId="03EEAD8E" w14:textId="2D2CC4B3" w:rsidR="006A7799" w:rsidRPr="00A25D8A" w:rsidRDefault="00501BA7" w:rsidP="006A7799">
      <w:pPr>
        <w:pStyle w:val="Titre1"/>
      </w:pPr>
      <w:bookmarkStart w:id="33" w:name="_Toc226031864"/>
      <w:r w:rsidRPr="00A25D8A">
        <w:t>Jugement des candidatures et des offres</w:t>
      </w:r>
      <w:bookmarkEnd w:id="33"/>
    </w:p>
    <w:p w14:paraId="755B28A0" w14:textId="7DEBB8AD" w:rsidR="003C58E1" w:rsidRPr="00A25D8A" w:rsidRDefault="00501BA7" w:rsidP="003C58E1">
      <w:pPr>
        <w:pStyle w:val="Titre2"/>
      </w:pPr>
      <w:bookmarkStart w:id="34" w:name="_Toc226031865"/>
      <w:r w:rsidRPr="00A25D8A">
        <w:t>Candidatures</w:t>
      </w:r>
      <w:bookmarkEnd w:id="34"/>
    </w:p>
    <w:p w14:paraId="52723721" w14:textId="77777777" w:rsidR="00501BA7" w:rsidRPr="00A25D8A" w:rsidRDefault="00501BA7" w:rsidP="00501BA7">
      <w:r w:rsidRPr="00A25D8A">
        <w:t>Les cas suivants conduiront à l’élimination des candidatures pour non-conformité :</w:t>
      </w:r>
    </w:p>
    <w:p w14:paraId="02B9CABA" w14:textId="77777777" w:rsidR="00501BA7" w:rsidRPr="00A25D8A" w:rsidRDefault="00501BA7" w:rsidP="00501BA7">
      <w:pPr>
        <w:pStyle w:val="Paragraphedeliste"/>
        <w:numPr>
          <w:ilvl w:val="0"/>
          <w:numId w:val="24"/>
        </w:numPr>
        <w:spacing w:before="120" w:line="288" w:lineRule="auto"/>
        <w:rPr>
          <w:rFonts w:cs="Arial"/>
        </w:rPr>
      </w:pPr>
      <w:proofErr w:type="gramStart"/>
      <w:r w:rsidRPr="00A25D8A">
        <w:rPr>
          <w:rFonts w:cs="Arial"/>
        </w:rPr>
        <w:t>pli</w:t>
      </w:r>
      <w:proofErr w:type="gramEnd"/>
      <w:r w:rsidRPr="00A25D8A">
        <w:rPr>
          <w:rFonts w:cs="Arial"/>
        </w:rPr>
        <w:t xml:space="preserve"> arrivé postérieurement à la date et à l’heure limite de remise des plis ou pli ne garantissant pas la confidentialité de la candidature ou de l’offre ;</w:t>
      </w:r>
    </w:p>
    <w:p w14:paraId="2CA2FDF7" w14:textId="77777777" w:rsidR="00501BA7" w:rsidRPr="00A25D8A" w:rsidRDefault="00501BA7" w:rsidP="00501BA7">
      <w:pPr>
        <w:pStyle w:val="Paragraphedeliste"/>
        <w:numPr>
          <w:ilvl w:val="0"/>
          <w:numId w:val="24"/>
        </w:numPr>
        <w:spacing w:before="120" w:line="288" w:lineRule="auto"/>
        <w:rPr>
          <w:rFonts w:cs="Arial"/>
        </w:rPr>
      </w:pPr>
      <w:proofErr w:type="gramStart"/>
      <w:r w:rsidRPr="00A25D8A">
        <w:rPr>
          <w:rFonts w:cs="Arial"/>
        </w:rPr>
        <w:t>impossibilité</w:t>
      </w:r>
      <w:proofErr w:type="gramEnd"/>
      <w:r w:rsidRPr="00A25D8A">
        <w:rPr>
          <w:rFonts w:cs="Arial"/>
        </w:rPr>
        <w:t xml:space="preserve"> d’identification de l’affaire à laquelle le pli est destiné sans prise de connaissance du contenu de la candidature et de l’offre ;</w:t>
      </w:r>
    </w:p>
    <w:p w14:paraId="03F5AFA6" w14:textId="77777777" w:rsidR="00501BA7" w:rsidRPr="00A25D8A" w:rsidRDefault="00501BA7" w:rsidP="00501BA7">
      <w:pPr>
        <w:pStyle w:val="Paragraphedeliste"/>
        <w:numPr>
          <w:ilvl w:val="0"/>
          <w:numId w:val="24"/>
        </w:numPr>
        <w:spacing w:before="120" w:line="288" w:lineRule="auto"/>
        <w:rPr>
          <w:rFonts w:cs="Arial"/>
        </w:rPr>
      </w:pPr>
      <w:proofErr w:type="gramStart"/>
      <w:r w:rsidRPr="00A25D8A">
        <w:rPr>
          <w:rFonts w:cs="Arial"/>
        </w:rPr>
        <w:t>absence</w:t>
      </w:r>
      <w:proofErr w:type="gramEnd"/>
      <w:r w:rsidRPr="00A25D8A">
        <w:rPr>
          <w:rFonts w:cs="Arial"/>
        </w:rPr>
        <w:t xml:space="preserve"> de fourniture d’un des documents demandés à l’article 4.1.</w:t>
      </w:r>
    </w:p>
    <w:p w14:paraId="72F5AD12" w14:textId="77777777" w:rsidR="00501BA7" w:rsidRPr="00A25D8A" w:rsidRDefault="00501BA7" w:rsidP="00501BA7"/>
    <w:p w14:paraId="03601F4B" w14:textId="55FD7137" w:rsidR="00501BA7" w:rsidRPr="00A25D8A" w:rsidRDefault="00501BA7" w:rsidP="00501BA7">
      <w:r w:rsidRPr="00A25D8A">
        <w:t>L’attention des candidats est attirée sur le fait qu’en application de l’article R2144-2 du code de la commande publique, l’ATIH dispose de la possibilité de ne pas réclamer les pièces absentes ou incomplètes du dossier de candidature et de rejeter celle-ci en l’état.</w:t>
      </w:r>
    </w:p>
    <w:p w14:paraId="76ED378C" w14:textId="77777777" w:rsidR="00501BA7" w:rsidRPr="00A25D8A" w:rsidRDefault="00501BA7" w:rsidP="00501BA7"/>
    <w:p w14:paraId="199D2543" w14:textId="0578FDA2" w:rsidR="00501BA7" w:rsidRPr="00A25D8A" w:rsidRDefault="00501BA7" w:rsidP="00501BA7">
      <w:r w:rsidRPr="00A25D8A">
        <w:t>L’analyse des candidatures sera faite, à tout moment de la procédure et avant l’attribution du ou des marché(s) public(s), selon les dispositions de l’article R2144-3 du code de la commande publique au regard des éléments fournis par les candidats. L’ATIH se réserve la possibilité de demander aux candidats d’expliquer les documents justificatifs et moyens de preuve fournis ou obtenus.</w:t>
      </w:r>
    </w:p>
    <w:p w14:paraId="0DA6E86D" w14:textId="77777777" w:rsidR="00501BA7" w:rsidRPr="00A25D8A" w:rsidRDefault="00501BA7" w:rsidP="00501BA7"/>
    <w:p w14:paraId="3CAB4AD7" w14:textId="77777777" w:rsidR="00501BA7" w:rsidRPr="00A25D8A" w:rsidRDefault="00501BA7" w:rsidP="00501BA7">
      <w:r w:rsidRPr="00A25D8A">
        <w:t>L’ATIH pourra vérifier la qualité des références professionnelles présentées à l’appui des candidatures.</w:t>
      </w:r>
    </w:p>
    <w:p w14:paraId="0F061EAE" w14:textId="77777777" w:rsidR="003C58E1" w:rsidRPr="00A25D8A" w:rsidRDefault="003C58E1" w:rsidP="003C58E1"/>
    <w:p w14:paraId="3FC55DF8" w14:textId="1BF8D9E5" w:rsidR="003C58E1" w:rsidRPr="00A25D8A" w:rsidRDefault="00501BA7" w:rsidP="003C58E1">
      <w:pPr>
        <w:pStyle w:val="Titre2"/>
      </w:pPr>
      <w:bookmarkStart w:id="35" w:name="_Toc226031866"/>
      <w:r w:rsidRPr="00A25D8A">
        <w:t>Offres</w:t>
      </w:r>
      <w:bookmarkEnd w:id="35"/>
    </w:p>
    <w:p w14:paraId="4344CDBE" w14:textId="63646984" w:rsidR="00501BA7" w:rsidRPr="00A25D8A" w:rsidRDefault="00501BA7" w:rsidP="00501BA7">
      <w:r w:rsidRPr="00A25D8A">
        <w:t>Les offres irrégulières, inacceptables, inappropriées et anormalement basses sont éliminées.</w:t>
      </w:r>
    </w:p>
    <w:p w14:paraId="1E30D9C0" w14:textId="77777777" w:rsidR="00B76A2F" w:rsidRPr="00A25D8A" w:rsidRDefault="00B76A2F" w:rsidP="00501BA7"/>
    <w:p w14:paraId="4195CD70" w14:textId="77777777" w:rsidR="00501BA7" w:rsidRPr="00A25D8A" w:rsidRDefault="00501BA7" w:rsidP="00501BA7">
      <w:r w:rsidRPr="00A25D8A">
        <w:t xml:space="preserve">Une offre irrégulière est une offre qui ne respecte pas les exigences formulées les documents de la consultation notamment parce qu’elle est incomplète, ou qui méconnait la législation applicable notamment en matière sociale et environnementale. Il s’agit notamment des cas suivants : </w:t>
      </w:r>
    </w:p>
    <w:p w14:paraId="2AF70C3E" w14:textId="77777777" w:rsidR="00501BA7" w:rsidRPr="00A25D8A" w:rsidRDefault="00501BA7" w:rsidP="006C55EF">
      <w:pPr>
        <w:pStyle w:val="Paragraphedeliste"/>
        <w:numPr>
          <w:ilvl w:val="1"/>
          <w:numId w:val="37"/>
        </w:numPr>
        <w:spacing w:line="276" w:lineRule="auto"/>
      </w:pPr>
      <w:proofErr w:type="gramStart"/>
      <w:r w:rsidRPr="00A25D8A">
        <w:t>l’absence</w:t>
      </w:r>
      <w:proofErr w:type="gramEnd"/>
      <w:r w:rsidRPr="00A25D8A">
        <w:t xml:space="preserve"> de fourniture d’une des pièces demandées à l’article 4.2. ;</w:t>
      </w:r>
    </w:p>
    <w:p w14:paraId="629D7618" w14:textId="50F02799" w:rsidR="00501BA7" w:rsidRPr="00A25D8A" w:rsidRDefault="00501BA7" w:rsidP="006C55EF">
      <w:pPr>
        <w:pStyle w:val="Paragraphedeliste"/>
        <w:numPr>
          <w:ilvl w:val="1"/>
          <w:numId w:val="37"/>
        </w:numPr>
        <w:spacing w:line="276" w:lineRule="auto"/>
      </w:pPr>
      <w:proofErr w:type="gramStart"/>
      <w:r w:rsidRPr="00A25D8A">
        <w:t>le</w:t>
      </w:r>
      <w:proofErr w:type="gramEnd"/>
      <w:r w:rsidRPr="00A25D8A">
        <w:t xml:space="preserve"> non-respect des exigences du CCAP et/ou du CCTP ;</w:t>
      </w:r>
    </w:p>
    <w:p w14:paraId="3B3E63E0" w14:textId="4FBBA2CB" w:rsidR="006C55EF" w:rsidRPr="00A25D8A" w:rsidRDefault="00501BA7" w:rsidP="006C55EF">
      <w:pPr>
        <w:pStyle w:val="Paragraphedeliste"/>
        <w:numPr>
          <w:ilvl w:val="1"/>
          <w:numId w:val="37"/>
        </w:numPr>
        <w:spacing w:line="276" w:lineRule="auto"/>
      </w:pPr>
      <w:proofErr w:type="gramStart"/>
      <w:r w:rsidRPr="00A25D8A">
        <w:t>la</w:t>
      </w:r>
      <w:proofErr w:type="gramEnd"/>
      <w:r w:rsidRPr="00A25D8A">
        <w:t xml:space="preserve"> modification de l’acte d’engagement</w:t>
      </w:r>
      <w:r w:rsidR="006C55EF" w:rsidRPr="00A25D8A">
        <w:t xml:space="preserve"> (hors zones à compléter) et/ou bordereau des prix unitaires (hors zones à compléter) ;</w:t>
      </w:r>
    </w:p>
    <w:p w14:paraId="1DF753E0" w14:textId="3521E23A" w:rsidR="00501BA7" w:rsidRPr="00A25D8A" w:rsidRDefault="00501BA7" w:rsidP="006C55EF">
      <w:pPr>
        <w:pStyle w:val="Paragraphedeliste"/>
        <w:numPr>
          <w:ilvl w:val="1"/>
          <w:numId w:val="37"/>
        </w:numPr>
        <w:spacing w:line="276" w:lineRule="auto"/>
      </w:pPr>
      <w:proofErr w:type="gramStart"/>
      <w:r w:rsidRPr="00A25D8A">
        <w:t>l’incomplétude</w:t>
      </w:r>
      <w:proofErr w:type="gramEnd"/>
      <w:r w:rsidRPr="00A25D8A">
        <w:t xml:space="preserve"> de l’acte d’engagement</w:t>
      </w:r>
      <w:r w:rsidR="006C55EF" w:rsidRPr="00A25D8A">
        <w:t xml:space="preserve"> et/ou du bordereau des prix unitaires</w:t>
      </w:r>
      <w:r w:rsidRPr="00A25D8A">
        <w:t>.</w:t>
      </w:r>
    </w:p>
    <w:p w14:paraId="39F71FC9" w14:textId="77777777" w:rsidR="00B76A2F" w:rsidRPr="00A25D8A" w:rsidRDefault="00B76A2F" w:rsidP="00501BA7"/>
    <w:p w14:paraId="345979A3" w14:textId="588B3244" w:rsidR="00501BA7" w:rsidRPr="00A25D8A" w:rsidRDefault="00501BA7" w:rsidP="00501BA7">
      <w:r w:rsidRPr="00A25D8A">
        <w:t>Une offre inacceptable est une offre dont le prix excède les crédits budgétaires alloués au marché public tels qu’ils ont été déterminés et établis par l’ATIH avant le lancement de la procédure.</w:t>
      </w:r>
    </w:p>
    <w:p w14:paraId="6F144925" w14:textId="77777777" w:rsidR="00B76A2F" w:rsidRPr="00A25D8A" w:rsidRDefault="00B76A2F" w:rsidP="00501BA7"/>
    <w:p w14:paraId="679C4412" w14:textId="7847069A" w:rsidR="00501BA7" w:rsidRPr="00A25D8A" w:rsidRDefault="00501BA7" w:rsidP="00501BA7">
      <w:r w:rsidRPr="00A25D8A">
        <w:lastRenderedPageBreak/>
        <w:t>Une offre inappropriée est une offre sans rapport avec le marché public parce qu’elle n’est manifestement pas en mesure, sans modification substantielle, de répondre au besoin et aux exigences de l’ATIH formulés dans les documents de consultation.</w:t>
      </w:r>
    </w:p>
    <w:p w14:paraId="57D52D04" w14:textId="77777777" w:rsidR="00B76A2F" w:rsidRPr="00A25D8A" w:rsidRDefault="00B76A2F" w:rsidP="00501BA7"/>
    <w:p w14:paraId="70EC48EB" w14:textId="282CE206" w:rsidR="00501BA7" w:rsidRPr="00A25D8A" w:rsidRDefault="00501BA7" w:rsidP="00501BA7">
      <w:r w:rsidRPr="00A25D8A">
        <w:t>En l’absence d’éléments répondant aux questions sur lesquelles l’ATIH souhaite avoir des précisions pour comprendre et juger l’offre du candidat, l’offre sera déclarée irrégulière ne pouvant être analysée au regard des autres critères que le prix.</w:t>
      </w:r>
    </w:p>
    <w:p w14:paraId="5CE7C569" w14:textId="77777777" w:rsidR="00B76A2F" w:rsidRPr="00A25D8A" w:rsidRDefault="00B76A2F" w:rsidP="00501BA7"/>
    <w:p w14:paraId="33B64C2B" w14:textId="428D470E" w:rsidR="00501BA7" w:rsidRPr="00A25D8A" w:rsidRDefault="00501BA7" w:rsidP="00501BA7">
      <w:r w:rsidRPr="00A25D8A">
        <w:t xml:space="preserve">Conformément aux articles L2152-1 et L2152-6 du code de la commande publique, les offres régulières, acceptables, appropriées et qui n’apparaissent pas anormalement basses sont jugées et classées selon les critères suivants pondérés ci-dessous qui détermineront le choix final : </w:t>
      </w:r>
    </w:p>
    <w:p w14:paraId="12C6E470" w14:textId="1A989C77" w:rsidR="00C46D21" w:rsidRPr="00A25D8A" w:rsidRDefault="00C46D21" w:rsidP="00501BA7"/>
    <w:tbl>
      <w:tblPr>
        <w:tblW w:w="9341"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7640"/>
        <w:gridCol w:w="1701"/>
      </w:tblGrid>
      <w:tr w:rsidR="00C46D21" w:rsidRPr="00A25D8A" w14:paraId="78EEE31F" w14:textId="77777777" w:rsidTr="00322E8F">
        <w:trPr>
          <w:trHeight w:val="474"/>
          <w:tblHeader/>
          <w:jc w:val="center"/>
        </w:trPr>
        <w:tc>
          <w:tcPr>
            <w:tcW w:w="7640" w:type="dxa"/>
            <w:tcBorders>
              <w:top w:val="single" w:sz="12" w:space="0" w:color="auto"/>
              <w:left w:val="single" w:sz="12" w:space="0" w:color="auto"/>
              <w:bottom w:val="single" w:sz="12" w:space="0" w:color="auto"/>
              <w:right w:val="single" w:sz="12" w:space="0" w:color="auto"/>
            </w:tcBorders>
            <w:shd w:val="clear" w:color="auto" w:fill="0070C0"/>
            <w:tcMar>
              <w:top w:w="0" w:type="dxa"/>
              <w:left w:w="108" w:type="dxa"/>
              <w:bottom w:w="0" w:type="dxa"/>
              <w:right w:w="108" w:type="dxa"/>
            </w:tcMar>
            <w:vAlign w:val="center"/>
            <w:hideMark/>
          </w:tcPr>
          <w:p w14:paraId="3E1FF84D" w14:textId="2646F414" w:rsidR="00C46D21" w:rsidRPr="00A25D8A" w:rsidRDefault="00C46D21" w:rsidP="00322E8F">
            <w:pPr>
              <w:spacing w:before="100" w:beforeAutospacing="1" w:after="100" w:afterAutospacing="1"/>
              <w:jc w:val="center"/>
              <w:rPr>
                <w:rFonts w:ascii="Arial" w:hAnsi="Arial" w:cs="Arial"/>
                <w:szCs w:val="20"/>
              </w:rPr>
            </w:pPr>
            <w:bookmarkStart w:id="36" w:name="_Hlk100655489"/>
            <w:r w:rsidRPr="00A25D8A">
              <w:rPr>
                <w:rFonts w:ascii="Arial" w:hAnsi="Arial" w:cs="Arial"/>
                <w:b/>
                <w:bCs/>
                <w:color w:val="FFFFFF"/>
                <w:szCs w:val="20"/>
              </w:rPr>
              <w:t>Critères de jugement des offres</w:t>
            </w:r>
          </w:p>
        </w:tc>
        <w:tc>
          <w:tcPr>
            <w:tcW w:w="1701" w:type="dxa"/>
            <w:tcBorders>
              <w:top w:val="single" w:sz="12" w:space="0" w:color="auto"/>
              <w:left w:val="single" w:sz="12" w:space="0" w:color="auto"/>
              <w:bottom w:val="single" w:sz="12" w:space="0" w:color="auto"/>
              <w:right w:val="single" w:sz="12" w:space="0" w:color="auto"/>
            </w:tcBorders>
            <w:shd w:val="clear" w:color="auto" w:fill="0070C0"/>
            <w:tcMar>
              <w:top w:w="0" w:type="dxa"/>
              <w:left w:w="108" w:type="dxa"/>
              <w:bottom w:w="0" w:type="dxa"/>
              <w:right w:w="108" w:type="dxa"/>
            </w:tcMar>
            <w:vAlign w:val="center"/>
            <w:hideMark/>
          </w:tcPr>
          <w:p w14:paraId="6B856E8C" w14:textId="77777777" w:rsidR="00C46D21" w:rsidRPr="00A25D8A" w:rsidRDefault="00C46D21" w:rsidP="00322E8F">
            <w:pPr>
              <w:spacing w:before="100" w:beforeAutospacing="1" w:after="100" w:afterAutospacing="1"/>
              <w:jc w:val="center"/>
              <w:rPr>
                <w:rFonts w:ascii="Arial" w:hAnsi="Arial" w:cs="Arial"/>
                <w:szCs w:val="20"/>
              </w:rPr>
            </w:pPr>
            <w:r w:rsidRPr="00A25D8A">
              <w:rPr>
                <w:rFonts w:ascii="Arial" w:hAnsi="Arial" w:cs="Arial"/>
                <w:b/>
                <w:bCs/>
                <w:color w:val="FFFFFF"/>
                <w:szCs w:val="20"/>
              </w:rPr>
              <w:t>Poids</w:t>
            </w:r>
          </w:p>
        </w:tc>
      </w:tr>
      <w:tr w:rsidR="00C46D21" w:rsidRPr="00A25D8A" w14:paraId="58337508" w14:textId="77777777" w:rsidTr="006C55EF">
        <w:trPr>
          <w:trHeight w:val="681"/>
          <w:jc w:val="center"/>
        </w:trPr>
        <w:tc>
          <w:tcPr>
            <w:tcW w:w="7640"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vAlign w:val="center"/>
            <w:hideMark/>
          </w:tcPr>
          <w:p w14:paraId="7F8C1C9C" w14:textId="07E7C51C" w:rsidR="00C46D21" w:rsidRPr="00A25D8A" w:rsidRDefault="00C46D21" w:rsidP="00244DDE">
            <w:pPr>
              <w:numPr>
                <w:ilvl w:val="0"/>
                <w:numId w:val="28"/>
              </w:numPr>
              <w:spacing w:before="100" w:beforeAutospacing="1" w:line="240" w:lineRule="auto"/>
              <w:rPr>
                <w:rFonts w:ascii="Arial" w:eastAsia="Times New Roman" w:hAnsi="Arial" w:cs="Arial"/>
                <w:szCs w:val="20"/>
              </w:rPr>
            </w:pPr>
            <w:r w:rsidRPr="00A25D8A">
              <w:rPr>
                <w:rFonts w:ascii="Arial" w:eastAsia="Times New Roman" w:hAnsi="Arial" w:cs="Arial"/>
                <w:b/>
                <w:bCs/>
                <w:color w:val="514964"/>
                <w:szCs w:val="20"/>
              </w:rPr>
              <w:t>Prix</w:t>
            </w:r>
            <w:r w:rsidR="006C55EF" w:rsidRPr="00A25D8A">
              <w:rPr>
                <w:rFonts w:ascii="Arial" w:eastAsia="Times New Roman" w:hAnsi="Arial" w:cs="Arial"/>
                <w:b/>
                <w:bCs/>
                <w:color w:val="514964"/>
                <w:szCs w:val="20"/>
              </w:rPr>
              <w:t xml:space="preserve"> des prestations</w:t>
            </w:r>
            <w:r w:rsidRPr="00A25D8A">
              <w:rPr>
                <w:rFonts w:ascii="Arial" w:eastAsia="Times New Roman" w:hAnsi="Arial" w:cs="Arial"/>
                <w:b/>
                <w:bCs/>
                <w:color w:val="514964"/>
                <w:szCs w:val="20"/>
              </w:rPr>
              <w:t> </w:t>
            </w:r>
            <w:r w:rsidRPr="00A25D8A">
              <w:rPr>
                <w:rFonts w:ascii="Arial" w:eastAsia="Times New Roman" w:hAnsi="Arial" w:cs="Arial"/>
                <w:szCs w:val="20"/>
              </w:rPr>
              <w:t xml:space="preserve">: </w:t>
            </w:r>
            <w:r w:rsidRPr="00A25D8A">
              <w:rPr>
                <w:rFonts w:ascii="Arial" w:eastAsia="Times New Roman" w:hAnsi="Arial" w:cs="Arial"/>
                <w:color w:val="514B64"/>
                <w:szCs w:val="20"/>
              </w:rPr>
              <w:t>apprécié au regard d’une simulation financière réalisée par les services de l’ATIH avant l’ouverture des offres.</w:t>
            </w:r>
          </w:p>
        </w:tc>
        <w:tc>
          <w:tcPr>
            <w:tcW w:w="1701"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vAlign w:val="center"/>
            <w:hideMark/>
          </w:tcPr>
          <w:p w14:paraId="3D3292B8" w14:textId="21EA3CE1" w:rsidR="00C46D21" w:rsidRPr="00A25D8A" w:rsidRDefault="006C55EF" w:rsidP="006C55EF">
            <w:pPr>
              <w:spacing w:before="100" w:beforeAutospacing="1"/>
              <w:jc w:val="center"/>
              <w:rPr>
                <w:rFonts w:ascii="Arial" w:hAnsi="Arial" w:cs="Arial"/>
                <w:szCs w:val="20"/>
              </w:rPr>
            </w:pPr>
            <w:r w:rsidRPr="00A25D8A">
              <w:rPr>
                <w:rFonts w:ascii="Arial" w:hAnsi="Arial" w:cs="Arial"/>
                <w:b/>
                <w:bCs/>
                <w:color w:val="595959"/>
                <w:szCs w:val="20"/>
              </w:rPr>
              <w:t xml:space="preserve">40 </w:t>
            </w:r>
            <w:r w:rsidR="00C46D21" w:rsidRPr="00A25D8A">
              <w:rPr>
                <w:rFonts w:ascii="Arial" w:hAnsi="Arial" w:cs="Arial"/>
                <w:b/>
                <w:bCs/>
                <w:color w:val="595959"/>
                <w:szCs w:val="20"/>
              </w:rPr>
              <w:t>%</w:t>
            </w:r>
          </w:p>
        </w:tc>
      </w:tr>
      <w:tr w:rsidR="00C46D21" w:rsidRPr="00A25D8A" w14:paraId="64A7DAAA" w14:textId="77777777" w:rsidTr="006C55EF">
        <w:trPr>
          <w:trHeight w:val="5369"/>
          <w:jc w:val="center"/>
        </w:trPr>
        <w:tc>
          <w:tcPr>
            <w:tcW w:w="7640"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vAlign w:val="center"/>
            <w:hideMark/>
          </w:tcPr>
          <w:p w14:paraId="491DAC17" w14:textId="40D2DD81" w:rsidR="00C46D21" w:rsidRPr="00A25D8A" w:rsidRDefault="00C46D21" w:rsidP="00C46D21">
            <w:pPr>
              <w:pStyle w:val="Paragraphedeliste"/>
              <w:numPr>
                <w:ilvl w:val="0"/>
                <w:numId w:val="26"/>
              </w:numPr>
              <w:spacing w:before="100" w:beforeAutospacing="1" w:after="100" w:afterAutospacing="1" w:line="240" w:lineRule="auto"/>
              <w:rPr>
                <w:rFonts w:ascii="Arial" w:eastAsia="Times New Roman" w:hAnsi="Arial" w:cs="Arial"/>
                <w:szCs w:val="20"/>
              </w:rPr>
            </w:pPr>
            <w:r w:rsidRPr="00A25D8A">
              <w:rPr>
                <w:rFonts w:ascii="Arial" w:eastAsia="Times New Roman" w:hAnsi="Arial" w:cs="Arial"/>
                <w:b/>
                <w:bCs/>
                <w:color w:val="514B64"/>
                <w:szCs w:val="20"/>
              </w:rPr>
              <w:t xml:space="preserve">Valeur technique de l’offre </w:t>
            </w:r>
            <w:r w:rsidR="006C55EF" w:rsidRPr="00A25D8A">
              <w:rPr>
                <w:rFonts w:ascii="Arial" w:eastAsia="Times New Roman" w:hAnsi="Arial" w:cs="Arial"/>
                <w:color w:val="514B64"/>
                <w:szCs w:val="20"/>
              </w:rPr>
              <w:t>appréciée au regard des sous-critères suivants (barème de notation des sous-critères établi sur 10) :</w:t>
            </w:r>
          </w:p>
          <w:p w14:paraId="15CEB8E2" w14:textId="1EA433F0" w:rsidR="006C55EF" w:rsidRPr="00A25D8A" w:rsidRDefault="006C55EF" w:rsidP="00244DDE">
            <w:pPr>
              <w:numPr>
                <w:ilvl w:val="1"/>
                <w:numId w:val="26"/>
              </w:numPr>
              <w:spacing w:before="100" w:beforeAutospacing="1" w:after="100" w:afterAutospacing="1" w:line="240" w:lineRule="auto"/>
              <w:rPr>
                <w:rFonts w:ascii="Arial" w:eastAsia="Times New Roman" w:hAnsi="Arial" w:cs="Arial"/>
                <w:color w:val="514B64"/>
                <w:szCs w:val="20"/>
              </w:rPr>
            </w:pPr>
            <w:proofErr w:type="gramStart"/>
            <w:r w:rsidRPr="00A25D8A">
              <w:rPr>
                <w:rFonts w:ascii="Arial" w:eastAsia="Times New Roman" w:hAnsi="Arial" w:cs="Arial"/>
                <w:color w:val="514B64"/>
                <w:szCs w:val="20"/>
              </w:rPr>
              <w:t>expérience</w:t>
            </w:r>
            <w:proofErr w:type="gramEnd"/>
            <w:r w:rsidRPr="00A25D8A">
              <w:rPr>
                <w:rFonts w:ascii="Arial" w:eastAsia="Times New Roman" w:hAnsi="Arial" w:cs="Arial"/>
                <w:color w:val="514B64"/>
                <w:szCs w:val="20"/>
              </w:rPr>
              <w:t xml:space="preserve"> du candidat dans le recrutement sur chaque profil similaire (noté 0,75/10)</w:t>
            </w:r>
          </w:p>
          <w:p w14:paraId="36976B4D" w14:textId="77777777" w:rsidR="006C55EF" w:rsidRPr="00A25D8A" w:rsidRDefault="006C55EF" w:rsidP="00244DDE">
            <w:pPr>
              <w:numPr>
                <w:ilvl w:val="1"/>
                <w:numId w:val="26"/>
              </w:numPr>
              <w:spacing w:before="100" w:beforeAutospacing="1" w:after="100" w:afterAutospacing="1" w:line="240" w:lineRule="auto"/>
              <w:rPr>
                <w:rFonts w:ascii="Arial" w:eastAsia="Times New Roman" w:hAnsi="Arial" w:cs="Arial"/>
                <w:color w:val="514B64"/>
                <w:szCs w:val="20"/>
              </w:rPr>
            </w:pPr>
            <w:proofErr w:type="gramStart"/>
            <w:r w:rsidRPr="00A25D8A">
              <w:rPr>
                <w:rFonts w:ascii="Arial" w:eastAsia="Times New Roman" w:hAnsi="Arial" w:cs="Arial"/>
                <w:color w:val="514B64"/>
                <w:szCs w:val="20"/>
              </w:rPr>
              <w:t>expérience</w:t>
            </w:r>
            <w:proofErr w:type="gramEnd"/>
            <w:r w:rsidRPr="00A25D8A">
              <w:rPr>
                <w:rFonts w:ascii="Arial" w:eastAsia="Times New Roman" w:hAnsi="Arial" w:cs="Arial"/>
                <w:color w:val="514B64"/>
                <w:szCs w:val="20"/>
              </w:rPr>
              <w:t xml:space="preserve"> du candidat dans la réalisation de prestations similaires dans le secteur public (noté 0,25/10)</w:t>
            </w:r>
          </w:p>
          <w:p w14:paraId="69FC4176" w14:textId="1C6936B0" w:rsidR="006C55EF" w:rsidRPr="00A25D8A" w:rsidRDefault="006C55EF" w:rsidP="00244DDE">
            <w:pPr>
              <w:numPr>
                <w:ilvl w:val="1"/>
                <w:numId w:val="26"/>
              </w:numPr>
              <w:spacing w:before="100" w:beforeAutospacing="1" w:after="100" w:afterAutospacing="1" w:line="240" w:lineRule="auto"/>
              <w:rPr>
                <w:rFonts w:ascii="Arial" w:eastAsia="Times New Roman" w:hAnsi="Arial" w:cs="Arial"/>
                <w:color w:val="514B64"/>
                <w:szCs w:val="20"/>
              </w:rPr>
            </w:pPr>
            <w:proofErr w:type="gramStart"/>
            <w:r w:rsidRPr="00A25D8A">
              <w:rPr>
                <w:rFonts w:ascii="Arial" w:eastAsia="Times New Roman" w:hAnsi="Arial" w:cs="Arial"/>
                <w:color w:val="514B64"/>
                <w:szCs w:val="20"/>
              </w:rPr>
              <w:t>exemples</w:t>
            </w:r>
            <w:proofErr w:type="gramEnd"/>
            <w:r w:rsidRPr="00A25D8A">
              <w:rPr>
                <w:rFonts w:ascii="Arial" w:eastAsia="Times New Roman" w:hAnsi="Arial" w:cs="Arial"/>
                <w:color w:val="514B64"/>
                <w:szCs w:val="20"/>
              </w:rPr>
              <w:t xml:space="preserve"> de dossier de présentation des candidats transmis à l’organisme employeur et ce pour chaque profil (secrétaire, assistant de gestion) (noté 5/10)</w:t>
            </w:r>
          </w:p>
          <w:p w14:paraId="0D683991" w14:textId="77777777" w:rsidR="006C55EF" w:rsidRPr="00A25D8A" w:rsidRDefault="006C55EF" w:rsidP="00244DDE">
            <w:pPr>
              <w:numPr>
                <w:ilvl w:val="1"/>
                <w:numId w:val="26"/>
              </w:numPr>
              <w:spacing w:before="100" w:beforeAutospacing="1" w:after="100" w:afterAutospacing="1" w:line="240" w:lineRule="auto"/>
              <w:rPr>
                <w:rFonts w:ascii="Arial" w:eastAsia="Times New Roman" w:hAnsi="Arial" w:cs="Arial"/>
                <w:color w:val="514B64"/>
                <w:szCs w:val="20"/>
              </w:rPr>
            </w:pPr>
            <w:proofErr w:type="gramStart"/>
            <w:r w:rsidRPr="00A25D8A">
              <w:rPr>
                <w:rFonts w:ascii="Arial" w:eastAsia="Times New Roman" w:hAnsi="Arial" w:cs="Arial"/>
                <w:color w:val="514B64"/>
                <w:szCs w:val="20"/>
              </w:rPr>
              <w:t>délais</w:t>
            </w:r>
            <w:proofErr w:type="gramEnd"/>
            <w:r w:rsidRPr="00A25D8A">
              <w:rPr>
                <w:rFonts w:ascii="Arial" w:eastAsia="Times New Roman" w:hAnsi="Arial" w:cs="Arial"/>
                <w:color w:val="514B64"/>
                <w:szCs w:val="20"/>
              </w:rPr>
              <w:t xml:space="preserve"> proposés pour la présentation d’au moins 3 candidats à compter de la demande de l’ATIH et pour le remplacement du personnel mis à disposition en cas de départ anticipé ou d’arrêt de travail à compter de la demande de l’ATIH (noté 0.5/10)</w:t>
            </w:r>
          </w:p>
          <w:p w14:paraId="4B890A46" w14:textId="77777777" w:rsidR="006C55EF" w:rsidRPr="00A25D8A" w:rsidRDefault="006C55EF" w:rsidP="00244DDE">
            <w:pPr>
              <w:numPr>
                <w:ilvl w:val="1"/>
                <w:numId w:val="26"/>
              </w:numPr>
              <w:spacing w:before="100" w:beforeAutospacing="1" w:after="100" w:afterAutospacing="1" w:line="240" w:lineRule="auto"/>
              <w:rPr>
                <w:rFonts w:ascii="Arial" w:eastAsia="Times New Roman" w:hAnsi="Arial" w:cs="Arial"/>
                <w:szCs w:val="20"/>
              </w:rPr>
            </w:pPr>
            <w:proofErr w:type="gramStart"/>
            <w:r w:rsidRPr="00A25D8A">
              <w:rPr>
                <w:rFonts w:ascii="Arial" w:eastAsia="Times New Roman" w:hAnsi="Arial" w:cs="Arial"/>
                <w:szCs w:val="20"/>
              </w:rPr>
              <w:t>désignation</w:t>
            </w:r>
            <w:proofErr w:type="gramEnd"/>
            <w:r w:rsidRPr="00A25D8A">
              <w:rPr>
                <w:rFonts w:ascii="Arial" w:eastAsia="Times New Roman" w:hAnsi="Arial" w:cs="Arial"/>
                <w:szCs w:val="20"/>
              </w:rPr>
              <w:t xml:space="preserve"> des modalités de sélection détaillées pour chaque site d’exécution des commandes :</w:t>
            </w:r>
          </w:p>
          <w:p w14:paraId="635BF539" w14:textId="77777777" w:rsidR="006C55EF" w:rsidRPr="00A25D8A" w:rsidRDefault="006C55EF" w:rsidP="00244DDE">
            <w:pPr>
              <w:numPr>
                <w:ilvl w:val="2"/>
                <w:numId w:val="26"/>
              </w:numPr>
              <w:spacing w:before="100" w:beforeAutospacing="1" w:after="100" w:afterAutospacing="1" w:line="240" w:lineRule="auto"/>
              <w:rPr>
                <w:rFonts w:ascii="Arial" w:eastAsia="Times New Roman" w:hAnsi="Arial" w:cs="Arial"/>
                <w:szCs w:val="20"/>
              </w:rPr>
            </w:pPr>
            <w:r w:rsidRPr="00A25D8A">
              <w:rPr>
                <w:rFonts w:ascii="Arial" w:eastAsia="Times New Roman" w:hAnsi="Arial" w:cs="Arial"/>
                <w:szCs w:val="20"/>
              </w:rPr>
              <w:t>Lyon (noté 1/10)</w:t>
            </w:r>
          </w:p>
          <w:p w14:paraId="59DB64B8" w14:textId="77777777" w:rsidR="006C55EF" w:rsidRPr="00A25D8A" w:rsidRDefault="006C55EF" w:rsidP="00244DDE">
            <w:pPr>
              <w:numPr>
                <w:ilvl w:val="2"/>
                <w:numId w:val="26"/>
              </w:numPr>
              <w:spacing w:before="100" w:beforeAutospacing="1" w:after="100" w:afterAutospacing="1" w:line="240" w:lineRule="auto"/>
              <w:rPr>
                <w:rFonts w:ascii="Arial" w:eastAsia="Times New Roman" w:hAnsi="Arial" w:cs="Arial"/>
                <w:szCs w:val="20"/>
              </w:rPr>
            </w:pPr>
            <w:r w:rsidRPr="00A25D8A">
              <w:rPr>
                <w:rFonts w:ascii="Arial" w:eastAsia="Times New Roman" w:hAnsi="Arial" w:cs="Arial"/>
                <w:szCs w:val="20"/>
              </w:rPr>
              <w:t xml:space="preserve">Paris (noté 1/10) </w:t>
            </w:r>
          </w:p>
          <w:p w14:paraId="50B3DEF4" w14:textId="77777777" w:rsidR="006C55EF" w:rsidRPr="00A25D8A" w:rsidRDefault="006C55EF" w:rsidP="00244DDE">
            <w:pPr>
              <w:numPr>
                <w:ilvl w:val="1"/>
                <w:numId w:val="26"/>
              </w:numPr>
              <w:spacing w:before="100" w:beforeAutospacing="1" w:after="100" w:afterAutospacing="1" w:line="240" w:lineRule="auto"/>
              <w:rPr>
                <w:rFonts w:ascii="Arial" w:eastAsia="Times New Roman" w:hAnsi="Arial" w:cs="Arial"/>
                <w:szCs w:val="20"/>
              </w:rPr>
            </w:pPr>
            <w:proofErr w:type="gramStart"/>
            <w:r w:rsidRPr="00A25D8A">
              <w:rPr>
                <w:rFonts w:ascii="Arial" w:eastAsia="Times New Roman" w:hAnsi="Arial" w:cs="Arial"/>
                <w:szCs w:val="20"/>
              </w:rPr>
              <w:t>désignation</w:t>
            </w:r>
            <w:proofErr w:type="gramEnd"/>
            <w:r w:rsidRPr="00A25D8A">
              <w:rPr>
                <w:rFonts w:ascii="Arial" w:eastAsia="Times New Roman" w:hAnsi="Arial" w:cs="Arial"/>
                <w:szCs w:val="20"/>
              </w:rPr>
              <w:t xml:space="preserve"> d’un interlocuteur unique pour le suivi administratif du marché avec ses coordonnées (n° de téléphone et adresse électronique) (noté 0,50/10)</w:t>
            </w:r>
          </w:p>
          <w:p w14:paraId="31519914" w14:textId="0B63AFC5" w:rsidR="00C46D21" w:rsidRPr="00A25D8A" w:rsidRDefault="006C55EF" w:rsidP="00244DDE">
            <w:pPr>
              <w:numPr>
                <w:ilvl w:val="1"/>
                <w:numId w:val="26"/>
              </w:numPr>
              <w:spacing w:before="100" w:beforeAutospacing="1" w:line="240" w:lineRule="auto"/>
              <w:rPr>
                <w:rFonts w:ascii="Arial" w:eastAsia="Times New Roman" w:hAnsi="Arial" w:cs="Arial"/>
                <w:szCs w:val="20"/>
              </w:rPr>
            </w:pPr>
            <w:proofErr w:type="gramStart"/>
            <w:r w:rsidRPr="00A25D8A">
              <w:rPr>
                <w:rFonts w:ascii="Arial" w:eastAsia="Times New Roman" w:hAnsi="Arial" w:cs="Arial"/>
                <w:szCs w:val="20"/>
              </w:rPr>
              <w:t>délai</w:t>
            </w:r>
            <w:proofErr w:type="gramEnd"/>
            <w:r w:rsidRPr="00A25D8A">
              <w:rPr>
                <w:rFonts w:ascii="Arial" w:eastAsia="Times New Roman" w:hAnsi="Arial" w:cs="Arial"/>
                <w:szCs w:val="20"/>
              </w:rPr>
              <w:t xml:space="preserve"> de bascule du coefficient de délégation en coefficient de gestion (1/10)</w:t>
            </w:r>
          </w:p>
        </w:tc>
        <w:tc>
          <w:tcPr>
            <w:tcW w:w="1701"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vAlign w:val="center"/>
            <w:hideMark/>
          </w:tcPr>
          <w:p w14:paraId="226A5767" w14:textId="49874A1E" w:rsidR="00C46D21" w:rsidRPr="00A25D8A" w:rsidRDefault="00244DDE" w:rsidP="00322E8F">
            <w:pPr>
              <w:spacing w:before="100" w:beforeAutospacing="1" w:after="100" w:afterAutospacing="1"/>
              <w:jc w:val="center"/>
              <w:rPr>
                <w:rFonts w:ascii="Arial" w:hAnsi="Arial" w:cs="Arial"/>
                <w:szCs w:val="20"/>
              </w:rPr>
            </w:pPr>
            <w:r w:rsidRPr="00A25D8A">
              <w:rPr>
                <w:rFonts w:ascii="Arial" w:hAnsi="Arial" w:cs="Arial"/>
                <w:b/>
                <w:bCs/>
                <w:color w:val="595959"/>
                <w:szCs w:val="20"/>
              </w:rPr>
              <w:t xml:space="preserve">60 </w:t>
            </w:r>
            <w:r w:rsidR="00C46D21" w:rsidRPr="00A25D8A">
              <w:rPr>
                <w:rFonts w:ascii="Arial" w:hAnsi="Arial" w:cs="Arial"/>
                <w:b/>
                <w:bCs/>
                <w:color w:val="595959"/>
                <w:szCs w:val="20"/>
              </w:rPr>
              <w:t>%</w:t>
            </w:r>
          </w:p>
        </w:tc>
      </w:tr>
      <w:bookmarkEnd w:id="36"/>
    </w:tbl>
    <w:p w14:paraId="5ADC91DA" w14:textId="77777777" w:rsidR="00D73CED" w:rsidRPr="00A25D8A" w:rsidRDefault="00D73CED" w:rsidP="00501BA7"/>
    <w:p w14:paraId="40ACEB91" w14:textId="2C2D3DF0" w:rsidR="00501BA7" w:rsidRPr="00A25D8A" w:rsidRDefault="00501BA7" w:rsidP="00501BA7">
      <w:r w:rsidRPr="00A25D8A">
        <w:t>L’analyse de l’offre sera faite de la manière suivante :</w:t>
      </w:r>
    </w:p>
    <w:p w14:paraId="5EADF54E" w14:textId="77777777" w:rsidR="00B76A2F" w:rsidRPr="00A25D8A" w:rsidRDefault="00B76A2F" w:rsidP="00501BA7"/>
    <w:p w14:paraId="44D5FF6E" w14:textId="36C13F2B" w:rsidR="00501BA7" w:rsidRPr="00A25D8A" w:rsidRDefault="00501BA7" w:rsidP="00501BA7">
      <w:pPr>
        <w:rPr>
          <w:rFonts w:cs="Arial"/>
        </w:rPr>
      </w:pPr>
      <w:r w:rsidRPr="00A25D8A">
        <w:t>Après élimination des offres inappropriées, irrégulières, inacceptables ou anormalement basses, chaque offre sera notée sur la base des informations fournies dans les dossiers des candidats. Une note globale sur 10 sera déterminée pour chacune des offres, l’offre obtenant la meilleure note sera classée première.</w:t>
      </w:r>
    </w:p>
    <w:p w14:paraId="2EA11A61" w14:textId="77777777" w:rsidR="00B76A2F" w:rsidRPr="00A25D8A" w:rsidRDefault="00B76A2F" w:rsidP="00501BA7">
      <w:pPr>
        <w:rPr>
          <w:rFonts w:cs="Arial"/>
        </w:rPr>
      </w:pPr>
    </w:p>
    <w:p w14:paraId="60B4EC0F" w14:textId="757DD932" w:rsidR="00501BA7" w:rsidRPr="00A25D8A" w:rsidRDefault="00501BA7" w:rsidP="00501BA7">
      <w:r w:rsidRPr="00A25D8A">
        <w:t>L’ATIH se réserve le droit de se faire préciser par les candidats, après remise de leur offre, les points techniques ou financiers qu’il lui semblerait nécessaire de détailler.</w:t>
      </w:r>
    </w:p>
    <w:p w14:paraId="78024AD2" w14:textId="77777777" w:rsidR="00B76A2F" w:rsidRPr="00A25D8A" w:rsidRDefault="00B76A2F" w:rsidP="00501BA7"/>
    <w:p w14:paraId="17D0F822" w14:textId="7F69153D" w:rsidR="00501BA7" w:rsidRPr="00A25D8A" w:rsidRDefault="00501BA7" w:rsidP="00501BA7">
      <w:r w:rsidRPr="00A25D8A">
        <w:t>L’attention des candidats est attirée sur le fait que, l’ATIH dispose de la possibilité de ne pas demander de précision concernant la teneur des offres et ainsi de les rejeter en l’état le cas échéant.</w:t>
      </w:r>
    </w:p>
    <w:p w14:paraId="7D60C7AF" w14:textId="77777777" w:rsidR="00B76A2F" w:rsidRPr="00A25D8A" w:rsidRDefault="00B76A2F" w:rsidP="00501BA7"/>
    <w:p w14:paraId="46CBED6B" w14:textId="72780277" w:rsidR="00501BA7" w:rsidRPr="00A25D8A" w:rsidRDefault="00501BA7" w:rsidP="00501BA7">
      <w:r w:rsidRPr="00A25D8A">
        <w:t>A l’issue de l’analyse des offres, l’offre la mieux classée est retenue.</w:t>
      </w:r>
    </w:p>
    <w:p w14:paraId="01038745" w14:textId="77777777" w:rsidR="00B76A2F" w:rsidRPr="00A25D8A" w:rsidRDefault="00B76A2F" w:rsidP="00501BA7"/>
    <w:p w14:paraId="185FFD23" w14:textId="77777777" w:rsidR="00501BA7" w:rsidRPr="00A25D8A" w:rsidRDefault="00501BA7" w:rsidP="00501BA7">
      <w:r w:rsidRPr="00A25D8A">
        <w:t xml:space="preserve">En cas d’égalité de notes globales, l’offre la moins-disante sera retenue. </w:t>
      </w:r>
    </w:p>
    <w:p w14:paraId="357EE455" w14:textId="247B501C" w:rsidR="00501BA7" w:rsidRPr="00A25D8A" w:rsidRDefault="00501BA7" w:rsidP="00B76A2F"/>
    <w:p w14:paraId="29BD07EF" w14:textId="77777777" w:rsidR="00B76A2F" w:rsidRPr="00A25D8A" w:rsidRDefault="00B76A2F" w:rsidP="00B76A2F"/>
    <w:p w14:paraId="600A68B1" w14:textId="084E0AC9" w:rsidR="00501BA7" w:rsidRPr="00A25D8A" w:rsidRDefault="00501BA7" w:rsidP="00501BA7">
      <w:pPr>
        <w:pStyle w:val="Paragraphedeliste"/>
        <w:numPr>
          <w:ilvl w:val="0"/>
          <w:numId w:val="25"/>
        </w:numPr>
        <w:spacing w:before="120" w:line="288" w:lineRule="auto"/>
        <w:rPr>
          <w:rFonts w:cs="Arial"/>
          <w:b/>
          <w:color w:val="007ED5"/>
        </w:rPr>
      </w:pPr>
      <w:r w:rsidRPr="00A25D8A">
        <w:rPr>
          <w:rFonts w:cs="Arial"/>
          <w:b/>
          <w:color w:val="007ED5"/>
        </w:rPr>
        <w:t>Pour le critère « Valeur technique de l’offre »</w:t>
      </w:r>
      <w:r w:rsidR="006C55EF" w:rsidRPr="00A25D8A">
        <w:rPr>
          <w:rFonts w:cs="Arial"/>
          <w:b/>
          <w:color w:val="007ED5"/>
        </w:rPr>
        <w:t> :</w:t>
      </w:r>
    </w:p>
    <w:p w14:paraId="2E127F74" w14:textId="77777777" w:rsidR="006C55EF" w:rsidRPr="00A25D8A" w:rsidRDefault="006C55EF" w:rsidP="006C55EF">
      <w:r w:rsidRPr="00A25D8A">
        <w:t>L’appréciation se fera sur l’analyse des éléments figurant dans la note méthodologique du candidat.</w:t>
      </w:r>
    </w:p>
    <w:p w14:paraId="16B0583D" w14:textId="77777777" w:rsidR="006C55EF" w:rsidRPr="00A25D8A" w:rsidRDefault="006C55EF" w:rsidP="006C55EF"/>
    <w:p w14:paraId="0635E080" w14:textId="77777777" w:rsidR="006C55EF" w:rsidRPr="00A25D8A" w:rsidRDefault="006C55EF" w:rsidP="006C55EF">
      <w:r w:rsidRPr="00A25D8A">
        <w:t>Cette dernière constitue l’offre technique du candidat. Elle comporte tous les points sur lesquels l’ATIH souhaite avoir des précisions pour comprendre et juger l’offre du candidat.</w:t>
      </w:r>
    </w:p>
    <w:p w14:paraId="5BF234C9" w14:textId="77777777" w:rsidR="006C55EF" w:rsidRPr="00A25D8A" w:rsidRDefault="006C55EF" w:rsidP="006C55EF"/>
    <w:p w14:paraId="75DFFC40" w14:textId="77777777" w:rsidR="006C55EF" w:rsidRPr="00A25D8A" w:rsidRDefault="006C55EF" w:rsidP="006C55EF">
      <w:r w:rsidRPr="00A25D8A">
        <w:t>Chaque sous-critère sera noté selon le barème figurant dans le tableau ci-dessus relatif aux critères de jugement des offres.</w:t>
      </w:r>
    </w:p>
    <w:p w14:paraId="2CDD1F68" w14:textId="77777777" w:rsidR="006C55EF" w:rsidRPr="00A25D8A" w:rsidRDefault="006C55EF" w:rsidP="006C55EF"/>
    <w:p w14:paraId="3A0AB1DF" w14:textId="77777777" w:rsidR="006C55EF" w:rsidRPr="00A25D8A" w:rsidRDefault="006C55EF" w:rsidP="006C55EF">
      <w:r w:rsidRPr="00A25D8A">
        <w:t>Les offres recevront une note de 0 à 10 qui sera ensuite pondérée en fonction du poids du critère indiqué en % dans le tableau ci-dessus.</w:t>
      </w:r>
    </w:p>
    <w:p w14:paraId="6BB8F25E" w14:textId="77777777" w:rsidR="006C55EF" w:rsidRPr="00A25D8A" w:rsidRDefault="006C55EF" w:rsidP="00501BA7">
      <w:pPr>
        <w:rPr>
          <w:rFonts w:cs="Arial"/>
        </w:rPr>
      </w:pPr>
    </w:p>
    <w:p w14:paraId="165C9BB9" w14:textId="0059B069" w:rsidR="00501BA7" w:rsidRPr="00A25D8A" w:rsidRDefault="006C55EF" w:rsidP="00501BA7">
      <w:pPr>
        <w:rPr>
          <w:b/>
        </w:rPr>
      </w:pPr>
      <w:r w:rsidRPr="00A25D8A">
        <w:rPr>
          <w:b/>
        </w:rPr>
        <w:t>S</w:t>
      </w:r>
      <w:r w:rsidR="00501BA7" w:rsidRPr="00A25D8A">
        <w:rPr>
          <w:b/>
        </w:rPr>
        <w:t>i une offre obtient une note inférieure à 5</w:t>
      </w:r>
      <w:r w:rsidRPr="00A25D8A">
        <w:rPr>
          <w:b/>
        </w:rPr>
        <w:t xml:space="preserve"> sur 1</w:t>
      </w:r>
      <w:r w:rsidR="00501BA7" w:rsidRPr="00A25D8A">
        <w:rPr>
          <w:b/>
        </w:rPr>
        <w:t>0 pour le critère de jugement « Valeur technique de l'offre », cette offre sera éliminée. En conséquence, elle ne sera ni analysée au regard du prix ni classée.</w:t>
      </w:r>
    </w:p>
    <w:p w14:paraId="5D691C9B" w14:textId="5B99875B" w:rsidR="00B76A2F" w:rsidRPr="00A25D8A" w:rsidRDefault="00B76A2F" w:rsidP="00501BA7">
      <w:pPr>
        <w:rPr>
          <w:rFonts w:cs="Arial"/>
        </w:rPr>
      </w:pPr>
    </w:p>
    <w:p w14:paraId="2BEA940A" w14:textId="77777777" w:rsidR="00C73ED6" w:rsidRPr="00A25D8A" w:rsidRDefault="00C73ED6" w:rsidP="00501BA7">
      <w:pPr>
        <w:rPr>
          <w:rFonts w:cs="Arial"/>
        </w:rPr>
      </w:pPr>
    </w:p>
    <w:p w14:paraId="0BA6D2E1" w14:textId="4842EDEF" w:rsidR="00501BA7" w:rsidRPr="00A25D8A" w:rsidRDefault="00501BA7" w:rsidP="00501BA7">
      <w:pPr>
        <w:pStyle w:val="Paragraphedeliste"/>
        <w:numPr>
          <w:ilvl w:val="0"/>
          <w:numId w:val="25"/>
        </w:numPr>
        <w:spacing w:before="120" w:line="288" w:lineRule="auto"/>
        <w:rPr>
          <w:rFonts w:cs="Arial"/>
          <w:b/>
          <w:color w:val="007ED5"/>
        </w:rPr>
      </w:pPr>
      <w:bookmarkStart w:id="37" w:name="anal_bc_2"/>
      <w:r w:rsidRPr="00A25D8A">
        <w:rPr>
          <w:rFonts w:cs="Arial"/>
          <w:b/>
          <w:color w:val="007ED5"/>
        </w:rPr>
        <w:t>Pour le critère « Prix</w:t>
      </w:r>
      <w:r w:rsidR="006C55EF" w:rsidRPr="00A25D8A">
        <w:rPr>
          <w:rFonts w:cs="Arial"/>
          <w:b/>
          <w:color w:val="007ED5"/>
        </w:rPr>
        <w:t xml:space="preserve"> des prestations</w:t>
      </w:r>
      <w:r w:rsidRPr="00A25D8A">
        <w:rPr>
          <w:rFonts w:cs="Arial"/>
          <w:b/>
          <w:color w:val="007ED5"/>
        </w:rPr>
        <w:t> » :</w:t>
      </w:r>
    </w:p>
    <w:bookmarkEnd w:id="37"/>
    <w:p w14:paraId="43E28D98" w14:textId="580BDF02" w:rsidR="00820AB0" w:rsidRDefault="00820AB0" w:rsidP="00820AB0">
      <w:pPr>
        <w:spacing w:before="240"/>
      </w:pPr>
      <w:r w:rsidRPr="00A25D8A">
        <w:t xml:space="preserve">Le montant servant à l'analyse des offres sera déterminé par l’application </w:t>
      </w:r>
      <w:r w:rsidR="0098550F" w:rsidRPr="00A25D8A">
        <w:t>des coefficients de gestion ou de délégation</w:t>
      </w:r>
      <w:r w:rsidRPr="00A25D8A">
        <w:t xml:space="preserve"> figurant</w:t>
      </w:r>
      <w:r w:rsidR="0098550F" w:rsidRPr="00A25D8A">
        <w:t>s</w:t>
      </w:r>
      <w:r w:rsidRPr="00A25D8A">
        <w:t xml:space="preserve"> dans </w:t>
      </w:r>
      <w:r w:rsidR="006C55EF" w:rsidRPr="00A25D8A">
        <w:t>le bordereau des prix unitaires</w:t>
      </w:r>
      <w:r w:rsidRPr="00A25D8A">
        <w:t xml:space="preserve"> aux quantités définies dans la simulation financière qui sera établie par les services de l’ATIH avant l'ouverture des offres.</w:t>
      </w:r>
    </w:p>
    <w:p w14:paraId="693F8FBC" w14:textId="74887C92" w:rsidR="00A42A71" w:rsidRPr="00A25D8A" w:rsidRDefault="00A42A71" w:rsidP="00820AB0">
      <w:pPr>
        <w:spacing w:before="240"/>
      </w:pPr>
      <w:r>
        <w:t>La simulation financière tiendra également compte des conditions de mise en œuvre de la « bascule » du coefficient de délégation au coefficient de gestion proposées par les candidats dans leur BPU.</w:t>
      </w:r>
    </w:p>
    <w:p w14:paraId="2B9B3A14" w14:textId="77777777" w:rsidR="00B76A2F" w:rsidRPr="00A25D8A" w:rsidRDefault="00B76A2F" w:rsidP="00501BA7"/>
    <w:p w14:paraId="5B155972" w14:textId="7D0FDC57" w:rsidR="00501BA7" w:rsidRPr="00A25D8A" w:rsidRDefault="00501BA7" w:rsidP="00501BA7">
      <w:r w:rsidRPr="00A25D8A">
        <w:t>Le montant total en euros HT de la simulation servira uniquement à l’analyse des offres.</w:t>
      </w:r>
    </w:p>
    <w:p w14:paraId="6484F5F5" w14:textId="77777777" w:rsidR="00B76A2F" w:rsidRPr="00A25D8A" w:rsidRDefault="00B76A2F" w:rsidP="00501BA7"/>
    <w:p w14:paraId="5D154F7E" w14:textId="77777777" w:rsidR="00501BA7" w:rsidRPr="00A25D8A" w:rsidRDefault="00501BA7" w:rsidP="00501BA7">
      <w:r w:rsidRPr="00A25D8A">
        <w:t>La note sur 10 pour ce critère sera obtenue par application de la formule suivante :</w:t>
      </w:r>
    </w:p>
    <w:p w14:paraId="15976FE4" w14:textId="77777777" w:rsidR="00501BA7" w:rsidRPr="00A25D8A" w:rsidRDefault="00501BA7" w:rsidP="00501BA7">
      <w:pPr>
        <w:pStyle w:val="Corpsdetexte"/>
        <w:jc w:val="center"/>
        <w:rPr>
          <w:b/>
        </w:rPr>
      </w:pPr>
      <w:r w:rsidRPr="00A25D8A">
        <w:rPr>
          <w:b/>
        </w:rPr>
        <w:t>10- (5 x montant de l’offre considérée / montant de l’offre moyenne)</w:t>
      </w:r>
    </w:p>
    <w:p w14:paraId="6DAC2C82" w14:textId="6F4BCAF0" w:rsidR="00501BA7" w:rsidRPr="00A25D8A" w:rsidRDefault="00501BA7" w:rsidP="00501BA7">
      <w:r w:rsidRPr="00A25D8A">
        <w:t>Si la note du candidat est inférieure à zéro, celle-ci sera automatiquement ramenée à zéro.</w:t>
      </w:r>
    </w:p>
    <w:p w14:paraId="49B544A2" w14:textId="77777777" w:rsidR="00B76A2F" w:rsidRPr="00A25D8A" w:rsidRDefault="00B76A2F" w:rsidP="00501BA7"/>
    <w:p w14:paraId="0134574A" w14:textId="5BDC97B0" w:rsidR="00501BA7" w:rsidRPr="00A25D8A" w:rsidRDefault="00501BA7" w:rsidP="00501BA7">
      <w:r w:rsidRPr="00A25D8A">
        <w:t>Le montant de l’offre moyenne est obtenu par la somme des offres déclarées régulières et non éliminées divisée par le nombre d’offres régulières et non éliminées.</w:t>
      </w:r>
    </w:p>
    <w:p w14:paraId="38B4130E" w14:textId="77777777" w:rsidR="00B76A2F" w:rsidRPr="00A25D8A" w:rsidRDefault="00B76A2F" w:rsidP="00501BA7"/>
    <w:p w14:paraId="50056043" w14:textId="77777777" w:rsidR="00501BA7" w:rsidRPr="00A25D8A" w:rsidRDefault="00501BA7" w:rsidP="00501BA7">
      <w:r w:rsidRPr="00A25D8A">
        <w:t>Les offres recevront une note de 0 à 10 qui sera ensuite pondérée en fonction du poids du critère indiqué en % dans le tableau ci-dessus.</w:t>
      </w:r>
    </w:p>
    <w:p w14:paraId="551895BB" w14:textId="77777777" w:rsidR="003C58E1" w:rsidRPr="00A25D8A" w:rsidRDefault="003C58E1" w:rsidP="003C58E1"/>
    <w:p w14:paraId="2B34FAB4" w14:textId="696E306E" w:rsidR="003C58E1" w:rsidRPr="00A25D8A" w:rsidRDefault="00501BA7" w:rsidP="003C58E1">
      <w:pPr>
        <w:pStyle w:val="Titre2"/>
      </w:pPr>
      <w:bookmarkStart w:id="38" w:name="_Toc226031867"/>
      <w:r w:rsidRPr="00A25D8A">
        <w:t>Négociation</w:t>
      </w:r>
      <w:bookmarkEnd w:id="38"/>
    </w:p>
    <w:p w14:paraId="1C6BE24E" w14:textId="1E0381E7" w:rsidR="00B76A2F" w:rsidRPr="00A25D8A" w:rsidRDefault="00B76A2F" w:rsidP="00B76A2F">
      <w:pPr>
        <w:rPr>
          <w:rFonts w:cs="Arial"/>
        </w:rPr>
      </w:pPr>
      <w:r w:rsidRPr="00A25D8A">
        <w:rPr>
          <w:rFonts w:cs="Arial"/>
        </w:rPr>
        <w:t>Aucune négociation n’est prévue dans le cadre de la présente procédure.</w:t>
      </w:r>
    </w:p>
    <w:p w14:paraId="079B3391" w14:textId="77777777" w:rsidR="00B76A2F" w:rsidRPr="00A25D8A" w:rsidRDefault="00B76A2F" w:rsidP="00B76A2F">
      <w:pPr>
        <w:rPr>
          <w:rFonts w:cs="Arial"/>
        </w:rPr>
      </w:pPr>
    </w:p>
    <w:p w14:paraId="71D59509" w14:textId="68160170" w:rsidR="00B76A2F" w:rsidRPr="00A25D8A" w:rsidRDefault="00B76A2F" w:rsidP="00B76A2F">
      <w:pPr>
        <w:rPr>
          <w:rFonts w:cs="Arial"/>
        </w:rPr>
      </w:pPr>
      <w:r w:rsidRPr="00A25D8A">
        <w:rPr>
          <w:rFonts w:cs="Arial"/>
        </w:rPr>
        <w:t>Toutefois, conformément à l’article R2152-2 du code de la commande publique, l’ATIH peut autoriser tous les candidats concernés à régulariser leur offre irrégulière dans un délai qu’elle leur communiquera par écrit, sous réserves que l’offre ne soit pas anormalement basse.</w:t>
      </w:r>
    </w:p>
    <w:p w14:paraId="2F4215A2" w14:textId="77777777" w:rsidR="00B76A2F" w:rsidRPr="00A25D8A" w:rsidRDefault="00B76A2F" w:rsidP="00B76A2F">
      <w:pPr>
        <w:rPr>
          <w:rFonts w:cs="Arial"/>
        </w:rPr>
      </w:pPr>
    </w:p>
    <w:p w14:paraId="29C37E25" w14:textId="1544A991" w:rsidR="00B76A2F" w:rsidRPr="00A25D8A" w:rsidRDefault="00B76A2F" w:rsidP="00B76A2F">
      <w:pPr>
        <w:rPr>
          <w:rFonts w:cs="Arial"/>
        </w:rPr>
      </w:pPr>
      <w:r w:rsidRPr="00A25D8A">
        <w:rPr>
          <w:rFonts w:cs="Arial"/>
        </w:rPr>
        <w:t>L’attention des candidats est attirée sur le fait que l’ATIH dispose de la possibilité de ne pas demander de régulariser les offres et ainsi de les rejeter en l’état.</w:t>
      </w:r>
    </w:p>
    <w:p w14:paraId="0629DE9F" w14:textId="77777777" w:rsidR="00B76A2F" w:rsidRPr="00A25D8A" w:rsidRDefault="00B76A2F" w:rsidP="00B76A2F">
      <w:pPr>
        <w:rPr>
          <w:rFonts w:cs="Arial"/>
        </w:rPr>
      </w:pPr>
    </w:p>
    <w:p w14:paraId="120B0977" w14:textId="4BCB1F4B" w:rsidR="003C58E1" w:rsidRPr="00A25D8A" w:rsidRDefault="00B76A2F" w:rsidP="00B76A2F">
      <w:pPr>
        <w:rPr>
          <w:rFonts w:cs="Arial"/>
        </w:rPr>
      </w:pPr>
      <w:r w:rsidRPr="00A25D8A">
        <w:rPr>
          <w:rFonts w:cs="Arial"/>
        </w:rPr>
        <w:t>En cas de demande de régularisation d’une offre irrégulière, cette régularisation ne peut pas avoir pour effet de modifier des caractéristiques substantielles de l’offre. Il ne s’agit pas d’une nouvelle offre.</w:t>
      </w:r>
    </w:p>
    <w:p w14:paraId="7CEDF49E" w14:textId="77777777" w:rsidR="00B76A2F" w:rsidRPr="00A25D8A" w:rsidRDefault="00B76A2F" w:rsidP="00B76A2F"/>
    <w:p w14:paraId="4FCE5293" w14:textId="00FAAE5A" w:rsidR="00B76A2F" w:rsidRPr="00A25D8A" w:rsidRDefault="00B76A2F" w:rsidP="00B76A2F">
      <w:pPr>
        <w:pStyle w:val="Titre2"/>
      </w:pPr>
      <w:bookmarkStart w:id="39" w:name="_Toc226031868"/>
      <w:r w:rsidRPr="00A25D8A">
        <w:t>Choix de l’attributaire</w:t>
      </w:r>
      <w:bookmarkEnd w:id="39"/>
    </w:p>
    <w:p w14:paraId="637110AC" w14:textId="7ADB3F27" w:rsidR="00B76A2F" w:rsidRPr="00A25D8A" w:rsidRDefault="00B76A2F" w:rsidP="00B76A2F">
      <w:r w:rsidRPr="00A25D8A">
        <w:t xml:space="preserve">A l’issue de l’analyse des offres, l’offre la mieux classée sera retenue à titre provisoire en attendant que le candidat produise </w:t>
      </w:r>
      <w:r w:rsidR="003F1804" w:rsidRPr="00A25D8A">
        <w:t>les documents justifiants</w:t>
      </w:r>
      <w:r w:rsidRPr="00A25D8A">
        <w:t xml:space="preserve"> qu’il ne se trouve pas dans un cas d’interdiction de soumissionner à un marché public dans les conditions prévues aux articles L2141-1 à L2141-6 du code de la commande publique.</w:t>
      </w:r>
    </w:p>
    <w:p w14:paraId="001C365E" w14:textId="77777777" w:rsidR="00B76A2F" w:rsidRPr="00A25D8A" w:rsidRDefault="00B76A2F" w:rsidP="00B76A2F"/>
    <w:p w14:paraId="03998156" w14:textId="77777777" w:rsidR="00B76A2F" w:rsidRPr="00A25D8A" w:rsidRDefault="00B76A2F" w:rsidP="00B76A2F">
      <w:r w:rsidRPr="00A25D8A">
        <w:t>A ce titre, conformément aux articles R2143-6 à R2143-10 du code de la commande publique, le candidat attributaire pourra fournir :</w:t>
      </w:r>
    </w:p>
    <w:p w14:paraId="33037478" w14:textId="77777777" w:rsidR="00B76A2F" w:rsidRPr="00A25D8A" w:rsidRDefault="00B76A2F" w:rsidP="00B76A2F">
      <w:pPr>
        <w:pStyle w:val="Paragraphedeliste"/>
        <w:numPr>
          <w:ilvl w:val="0"/>
          <w:numId w:val="24"/>
        </w:numPr>
        <w:spacing w:before="120" w:line="288" w:lineRule="auto"/>
      </w:pPr>
      <w:proofErr w:type="gramStart"/>
      <w:r w:rsidRPr="00A25D8A">
        <w:t>une</w:t>
      </w:r>
      <w:proofErr w:type="gramEnd"/>
      <w:r w:rsidRPr="00A25D8A">
        <w:t xml:space="preserve"> déclaration sur l'honneur, signée électroniquement par le responsable légal ou par toute personne dûment habilitée, indiquant que le candidat ne se trouve pas dans un cas d'exclusion mentionné aux articles L. 2141-1 et aux 1° et 3° de l'article L. 2141-4 du code de la commande publique ;</w:t>
      </w:r>
    </w:p>
    <w:p w14:paraId="2697EA39" w14:textId="77777777" w:rsidR="00B76A2F" w:rsidRPr="00A25D8A" w:rsidRDefault="00B76A2F" w:rsidP="00B76A2F">
      <w:pPr>
        <w:pStyle w:val="Paragraphedeliste"/>
        <w:numPr>
          <w:ilvl w:val="0"/>
          <w:numId w:val="24"/>
        </w:numPr>
        <w:spacing w:before="120" w:line="288" w:lineRule="auto"/>
      </w:pPr>
      <w:proofErr w:type="gramStart"/>
      <w:r w:rsidRPr="00A25D8A">
        <w:t>les</w:t>
      </w:r>
      <w:proofErr w:type="gramEnd"/>
      <w:r w:rsidRPr="00A25D8A">
        <w:t xml:space="preserve"> certificats délivrés par les administrations et organismes compétents en matière fiscale et sociale ;</w:t>
      </w:r>
    </w:p>
    <w:p w14:paraId="2D016340" w14:textId="77777777" w:rsidR="00B76A2F" w:rsidRPr="00A25D8A" w:rsidRDefault="00B76A2F" w:rsidP="00B76A2F">
      <w:pPr>
        <w:pStyle w:val="Paragraphedeliste"/>
        <w:numPr>
          <w:ilvl w:val="0"/>
          <w:numId w:val="24"/>
        </w:numPr>
        <w:spacing w:before="120" w:line="288" w:lineRule="auto"/>
      </w:pPr>
      <w:proofErr w:type="gramStart"/>
      <w:r w:rsidRPr="00A25D8A">
        <w:t>le</w:t>
      </w:r>
      <w:proofErr w:type="gramEnd"/>
      <w:r w:rsidRPr="00A25D8A">
        <w:t xml:space="preserve"> cas échéant, les pièces prévues aux articles R. 1263-12, D. 8222-5 ou D. 8222-7 ou D. 8254-2 à D. 8254-5 du code du travail ;</w:t>
      </w:r>
    </w:p>
    <w:p w14:paraId="29496039" w14:textId="77777777" w:rsidR="00B76A2F" w:rsidRPr="00A25D8A" w:rsidRDefault="00B76A2F" w:rsidP="00B76A2F">
      <w:pPr>
        <w:pStyle w:val="Paragraphedeliste"/>
        <w:numPr>
          <w:ilvl w:val="0"/>
          <w:numId w:val="24"/>
        </w:numPr>
        <w:spacing w:before="120" w:line="288" w:lineRule="auto"/>
      </w:pPr>
      <w:proofErr w:type="gramStart"/>
      <w:r w:rsidRPr="00A25D8A">
        <w:t>la</w:t>
      </w:r>
      <w:proofErr w:type="gramEnd"/>
      <w:r w:rsidRPr="00A25D8A">
        <w:t xml:space="preserve"> production d’un extrait du registre pertinent, tel qu’un extrait K, un extrait K bis ou un extrait D1.</w:t>
      </w:r>
    </w:p>
    <w:p w14:paraId="22F4F8A4" w14:textId="77777777" w:rsidR="00B76A2F" w:rsidRPr="00A25D8A" w:rsidRDefault="00B76A2F" w:rsidP="00B76A2F"/>
    <w:p w14:paraId="7EFD399A" w14:textId="2AF362E0" w:rsidR="00B76A2F" w:rsidRPr="00A25D8A" w:rsidRDefault="00B76A2F" w:rsidP="00B76A2F">
      <w:r w:rsidRPr="00A25D8A">
        <w:t>En l’absence de ces documents valides dans le pli transmis le candidat attributaire ou sur son espace dédié sur la plateforme de dématérialisation PLACE permettant le dépôt d’attestations et certificats, un courrier lui sera envoyé. A compter de la notification de ce courrier, l’attributaire disposera d’un délai maximum de 6 jours pour fournir les attestations et certificats demandés dans le courriel.</w:t>
      </w:r>
    </w:p>
    <w:p w14:paraId="56250729" w14:textId="77777777" w:rsidR="00B76A2F" w:rsidRPr="00A25D8A" w:rsidRDefault="00B76A2F" w:rsidP="00B76A2F"/>
    <w:p w14:paraId="5397D369" w14:textId="65909D4A" w:rsidR="00B76A2F" w:rsidRPr="00A25D8A" w:rsidRDefault="00B76A2F" w:rsidP="00B76A2F">
      <w:r w:rsidRPr="00A25D8A">
        <w:t>Par ailleurs, dans le cas où l’acte d’engagement du candidat attributaire du marché n’a pas été signé au moment de la remise de l’offre, ce dernier disposera du délai visé à l’alinéa ci-dessus pour transmettre son acte d’engagement revêtu de la signature électronique du responsable légal ou d’une personne habilitée à cet effet.</w:t>
      </w:r>
    </w:p>
    <w:p w14:paraId="77EF0136" w14:textId="77777777" w:rsidR="00B76A2F" w:rsidRPr="00A25D8A" w:rsidRDefault="00B76A2F" w:rsidP="00B76A2F"/>
    <w:p w14:paraId="029656C3" w14:textId="270E72F3" w:rsidR="00B76A2F" w:rsidRPr="00A25D8A" w:rsidRDefault="00B76A2F" w:rsidP="00B76A2F">
      <w:r w:rsidRPr="00A25D8A">
        <w:t>A défaut de production des documents dans le délai imparti, son offre sera éliminée. Le candidat classé immédiatement après sera sollicité s’il n’a pas fourni les documents dans son pli. L’opération sera reproduite tant qu’il subsiste des candidatures recevables et des offres qui n’auront pas été éliminées au motif qu’elles sont inappropriées, irrégulières ou inacceptables.</w:t>
      </w:r>
    </w:p>
    <w:p w14:paraId="0FEE6FF3" w14:textId="77777777" w:rsidR="00B76A2F" w:rsidRPr="00A25D8A" w:rsidRDefault="00B76A2F" w:rsidP="00B76A2F"/>
    <w:p w14:paraId="494984E9" w14:textId="2E3E8C1B" w:rsidR="00B76A2F" w:rsidRPr="00A25D8A" w:rsidRDefault="00B76A2F" w:rsidP="00B76A2F">
      <w:pPr>
        <w:pStyle w:val="Titre2"/>
      </w:pPr>
      <w:bookmarkStart w:id="40" w:name="_Toc226031869"/>
      <w:r w:rsidRPr="00A25D8A">
        <w:t>Déclaration de sans suite</w:t>
      </w:r>
      <w:bookmarkEnd w:id="40"/>
    </w:p>
    <w:p w14:paraId="2CA928F8" w14:textId="443648FF" w:rsidR="00B76A2F" w:rsidRPr="00A25D8A" w:rsidRDefault="00B76A2F" w:rsidP="003C58E1">
      <w:r w:rsidRPr="00A25D8A">
        <w:t>L’ATIH se réserve la possibilité de déclarer, à tout moment, tout ou partie de la procédure, sans suite pour motif d’intérêt général. Les candidats en seront informés.</w:t>
      </w:r>
    </w:p>
    <w:p w14:paraId="719B32EE" w14:textId="69FDBB8F" w:rsidR="00B76A2F" w:rsidRPr="00A25D8A" w:rsidRDefault="00B76A2F" w:rsidP="003C58E1"/>
    <w:p w14:paraId="2691792E" w14:textId="77777777" w:rsidR="00B76A2F" w:rsidRPr="00A25D8A" w:rsidRDefault="00B76A2F" w:rsidP="00B76A2F"/>
    <w:p w14:paraId="58550804" w14:textId="03A185CF" w:rsidR="003C58E1" w:rsidRPr="00A25D8A" w:rsidRDefault="00B76A2F" w:rsidP="003C58E1">
      <w:pPr>
        <w:pStyle w:val="Titre1"/>
      </w:pPr>
      <w:bookmarkStart w:id="41" w:name="_Toc226031870"/>
      <w:r w:rsidRPr="00A25D8A">
        <w:lastRenderedPageBreak/>
        <w:t>Lieux d’exécution</w:t>
      </w:r>
      <w:bookmarkEnd w:id="41"/>
    </w:p>
    <w:p w14:paraId="65AB3EAE" w14:textId="77777777" w:rsidR="00F71F13" w:rsidRDefault="00F71F13" w:rsidP="00F71F13">
      <w:pPr>
        <w:rPr>
          <w:rFonts w:ascii="Arial" w:hAnsi="Arial" w:cs="Arial"/>
          <w:szCs w:val="20"/>
        </w:rPr>
      </w:pPr>
      <w:r w:rsidRPr="00CF2E42">
        <w:rPr>
          <w:rFonts w:ascii="Arial" w:hAnsi="Arial" w:cs="Arial"/>
          <w:szCs w:val="20"/>
        </w:rPr>
        <w:t>La réunion de lancement et les comités de suivi auront lieu soit sur le site lyonnais de l’ATIH ou en distanciel.</w:t>
      </w:r>
    </w:p>
    <w:p w14:paraId="75908E2C" w14:textId="77777777" w:rsidR="00F71F13" w:rsidRDefault="00F71F13" w:rsidP="00F71F13">
      <w:pPr>
        <w:rPr>
          <w:rFonts w:ascii="Arial" w:hAnsi="Arial" w:cs="Arial"/>
          <w:szCs w:val="20"/>
        </w:rPr>
      </w:pPr>
    </w:p>
    <w:p w14:paraId="45AB1C94" w14:textId="1786D23A" w:rsidR="00F71F13" w:rsidRPr="00C11617" w:rsidRDefault="00F71F13" w:rsidP="00F71F13">
      <w:r w:rsidRPr="00C11617">
        <w:t xml:space="preserve">Les prestations seront exécutées dans les locaux de l’ATIH </w:t>
      </w:r>
      <w:r>
        <w:t>aux</w:t>
      </w:r>
      <w:r w:rsidRPr="00C11617">
        <w:t xml:space="preserve"> </w:t>
      </w:r>
      <w:r>
        <w:t>adresses</w:t>
      </w:r>
      <w:r w:rsidRPr="00C11617">
        <w:t xml:space="preserve"> suivante</w:t>
      </w:r>
      <w:r>
        <w:t>s</w:t>
      </w:r>
      <w:r w:rsidRPr="00C11617">
        <w:t xml:space="preserve"> :</w:t>
      </w:r>
    </w:p>
    <w:p w14:paraId="50743780" w14:textId="77777777" w:rsidR="00F71F13" w:rsidRPr="00C11617" w:rsidRDefault="00F71F13" w:rsidP="00F71F13">
      <w:pPr>
        <w:pStyle w:val="Paragraphedeliste"/>
        <w:numPr>
          <w:ilvl w:val="0"/>
          <w:numId w:val="39"/>
        </w:numPr>
        <w:spacing w:line="276" w:lineRule="auto"/>
      </w:pPr>
      <w:proofErr w:type="gramStart"/>
      <w:r w:rsidRPr="00C11617">
        <w:t>soit</w:t>
      </w:r>
      <w:proofErr w:type="gramEnd"/>
      <w:r w:rsidRPr="00C11617">
        <w:t xml:space="preserve"> au 117 boulevard Marius Vivier Merle à Lyon 3</w:t>
      </w:r>
      <w:r w:rsidRPr="00C11617">
        <w:rPr>
          <w:vertAlign w:val="superscript"/>
        </w:rPr>
        <w:t>ème </w:t>
      </w:r>
      <w:r w:rsidRPr="00C11617">
        <w:t>;</w:t>
      </w:r>
    </w:p>
    <w:p w14:paraId="15820C42" w14:textId="77777777" w:rsidR="00F71F13" w:rsidRPr="00C11617" w:rsidRDefault="00F71F13" w:rsidP="00F71F13">
      <w:pPr>
        <w:pStyle w:val="Paragraphedeliste"/>
        <w:numPr>
          <w:ilvl w:val="0"/>
          <w:numId w:val="39"/>
        </w:numPr>
        <w:spacing w:line="276" w:lineRule="auto"/>
      </w:pPr>
      <w:proofErr w:type="gramStart"/>
      <w:r w:rsidRPr="00C11617">
        <w:t>soit</w:t>
      </w:r>
      <w:proofErr w:type="gramEnd"/>
      <w:r w:rsidRPr="00C11617">
        <w:t xml:space="preserve"> au 13 rue Moreau à Paris 12</w:t>
      </w:r>
      <w:r w:rsidRPr="00C11617">
        <w:rPr>
          <w:vertAlign w:val="superscript"/>
        </w:rPr>
        <w:t>ème</w:t>
      </w:r>
      <w:r w:rsidRPr="00C11617">
        <w:t>.</w:t>
      </w:r>
    </w:p>
    <w:p w14:paraId="1D29907E" w14:textId="77777777" w:rsidR="00C97200" w:rsidRDefault="00C97200" w:rsidP="00C97200"/>
    <w:p w14:paraId="5A837F0D" w14:textId="77777777" w:rsidR="00F71F13" w:rsidRPr="00C11617" w:rsidRDefault="00F71F13" w:rsidP="00F71F13">
      <w:r w:rsidRPr="00C11617">
        <w:t>Les agents intérimaires ayant plus de quatre (4) mois d’ancienneté dans le poste peuvent bénéficier de la charte télétravail sous réserve des principes généraux énoncés dans la charte relative au télétravail de l’ATIH.</w:t>
      </w:r>
    </w:p>
    <w:p w14:paraId="01AE03DF" w14:textId="77777777" w:rsidR="00F71F13" w:rsidRPr="00C11617" w:rsidRDefault="00F71F13" w:rsidP="00F71F13"/>
    <w:p w14:paraId="0BD735F1" w14:textId="77777777" w:rsidR="00F71F13" w:rsidRPr="00C11617" w:rsidRDefault="00F71F13" w:rsidP="00F71F13">
      <w:r w:rsidRPr="00C11617">
        <w:t>Le lieu d’exécution de chaque mission sera précisé dans le bon de commande.</w:t>
      </w:r>
    </w:p>
    <w:p w14:paraId="5A3D0D4F" w14:textId="77777777" w:rsidR="00F71F13" w:rsidRPr="00C11617" w:rsidRDefault="00F71F13" w:rsidP="00F71F13"/>
    <w:p w14:paraId="7334675A" w14:textId="77777777" w:rsidR="00F71F13" w:rsidRPr="00C11617" w:rsidRDefault="00F71F13" w:rsidP="00F71F13">
      <w:r w:rsidRPr="00C11617">
        <w:t>Des déplacements pourront avoir lieu entre Paris et Lyon durant la mission.</w:t>
      </w:r>
    </w:p>
    <w:p w14:paraId="11E35D6B" w14:textId="77777777" w:rsidR="00F71F13" w:rsidRPr="00A25D8A" w:rsidRDefault="00F71F13" w:rsidP="00C97200"/>
    <w:p w14:paraId="5E98FA44" w14:textId="5CF9816B" w:rsidR="00C97200" w:rsidRPr="00A25D8A" w:rsidRDefault="00B76A2F" w:rsidP="00C97200">
      <w:pPr>
        <w:pStyle w:val="Titre1"/>
      </w:pPr>
      <w:bookmarkStart w:id="42" w:name="_Toc226031871"/>
      <w:r w:rsidRPr="00A25D8A">
        <w:t>Durée de validité des offres</w:t>
      </w:r>
      <w:bookmarkEnd w:id="42"/>
    </w:p>
    <w:p w14:paraId="61FB7050" w14:textId="13AD81A4" w:rsidR="00215D7F" w:rsidRDefault="00B76A2F" w:rsidP="00215D7F">
      <w:pPr>
        <w:rPr>
          <w:rFonts w:cs="Arial"/>
        </w:rPr>
      </w:pPr>
      <w:r w:rsidRPr="00A25D8A">
        <w:rPr>
          <w:rFonts w:cs="Arial"/>
          <w:b/>
          <w:bCs/>
        </w:rPr>
        <w:t>La durée de validité des offres est de 6 mois</w:t>
      </w:r>
      <w:r w:rsidRPr="00A25D8A">
        <w:rPr>
          <w:rFonts w:cs="Arial"/>
        </w:rPr>
        <w:t xml:space="preserve"> à compter de la date limite de réception des offres.</w:t>
      </w:r>
    </w:p>
    <w:p w14:paraId="4AEE5B02" w14:textId="77777777" w:rsidR="00FC408C" w:rsidRPr="00FC408C" w:rsidRDefault="00FC408C" w:rsidP="00215D7F">
      <w:pPr>
        <w:rPr>
          <w:rFonts w:cs="Arial"/>
        </w:rPr>
      </w:pPr>
    </w:p>
    <w:p w14:paraId="06108A34" w14:textId="667D047D" w:rsidR="00215D7F" w:rsidRPr="00A25D8A" w:rsidRDefault="0049467B" w:rsidP="00215D7F">
      <w:pPr>
        <w:pStyle w:val="Titre1"/>
      </w:pPr>
      <w:bookmarkStart w:id="43" w:name="_Toc226031872"/>
      <w:r w:rsidRPr="00A25D8A">
        <w:t>Modalités de financement et de paiement</w:t>
      </w:r>
      <w:bookmarkEnd w:id="43"/>
    </w:p>
    <w:p w14:paraId="4511AC2B" w14:textId="51410CC1" w:rsidR="006C55EF" w:rsidRPr="00A25D8A" w:rsidRDefault="006C55EF" w:rsidP="006C55EF">
      <w:r w:rsidRPr="00A25D8A">
        <w:t xml:space="preserve">Les prestations faisant l’objet du marché seront réglées par l'application </w:t>
      </w:r>
      <w:r w:rsidR="00A25D8A" w:rsidRPr="00A25D8A">
        <w:t xml:space="preserve">d’un coefficient de gestion ou de délégation, selon le cas de figure, </w:t>
      </w:r>
      <w:r w:rsidRPr="00A25D8A">
        <w:t xml:space="preserve">dont le libellé est donné </w:t>
      </w:r>
      <w:r w:rsidR="00A25D8A" w:rsidRPr="00A25D8A">
        <w:t>dans le bordereau des prix unitaires</w:t>
      </w:r>
      <w:r w:rsidRPr="00A25D8A">
        <w:t xml:space="preserve"> à la rémunération brute mensuelle pratiquée par l’ATIH pour un profil équivalent au personnel mis à disposition.</w:t>
      </w:r>
    </w:p>
    <w:p w14:paraId="5206CEA7" w14:textId="77777777" w:rsidR="006C55EF" w:rsidRPr="00A25D8A" w:rsidRDefault="006C55EF" w:rsidP="006C55EF"/>
    <w:p w14:paraId="6F229D11" w14:textId="77777777" w:rsidR="006C55EF" w:rsidRPr="00A25D8A" w:rsidRDefault="006C55EF" w:rsidP="006C55EF">
      <w:pPr>
        <w:rPr>
          <w:rFonts w:cs="Arial"/>
        </w:rPr>
      </w:pPr>
      <w:r w:rsidRPr="00A25D8A">
        <w:rPr>
          <w:rFonts w:cs="Arial"/>
        </w:rPr>
        <w:t>Les prestations seront financées par le budget propre de l’ATIH.</w:t>
      </w:r>
    </w:p>
    <w:p w14:paraId="573D8BA2" w14:textId="77777777" w:rsidR="006C55EF" w:rsidRPr="00A25D8A" w:rsidRDefault="006C55EF" w:rsidP="006C55EF"/>
    <w:p w14:paraId="6A32BF1F" w14:textId="77777777" w:rsidR="006C55EF" w:rsidRPr="00A25D8A" w:rsidRDefault="006C55EF" w:rsidP="006C55EF">
      <w:r w:rsidRPr="00A25D8A">
        <w:t>Les sommes dues en exécution du marché public sont payées par virement administratif dans un délai de 30 jours à compter de la réception de la demande de paiement dans les conditions fixées dans le CCAP.</w:t>
      </w:r>
    </w:p>
    <w:p w14:paraId="3995E914" w14:textId="471B7929" w:rsidR="00327E34" w:rsidRPr="00A25D8A" w:rsidRDefault="00327E34" w:rsidP="0049467B"/>
    <w:p w14:paraId="3264C408" w14:textId="15210079" w:rsidR="00215D7F" w:rsidRPr="00A25D8A" w:rsidRDefault="0049467B" w:rsidP="00215D7F">
      <w:pPr>
        <w:pStyle w:val="Titre1"/>
      </w:pPr>
      <w:bookmarkStart w:id="44" w:name="_Toc226031873"/>
      <w:r w:rsidRPr="00A25D8A">
        <w:t>Avance</w:t>
      </w:r>
      <w:bookmarkEnd w:id="44"/>
    </w:p>
    <w:p w14:paraId="70EB8E1A" w14:textId="74CB4548" w:rsidR="00215D7F" w:rsidRPr="00A25D8A" w:rsidRDefault="0049467B" w:rsidP="00215D7F">
      <w:pPr>
        <w:rPr>
          <w:rFonts w:cs="Arial"/>
        </w:rPr>
      </w:pPr>
      <w:r w:rsidRPr="00A25D8A">
        <w:rPr>
          <w:rFonts w:cs="Arial"/>
        </w:rPr>
        <w:t>Les conditions de versement de l’avance sont précisées dans le CCAP.</w:t>
      </w:r>
    </w:p>
    <w:p w14:paraId="22524D60" w14:textId="5AC2E7BD" w:rsidR="0049467B" w:rsidRPr="00A25D8A" w:rsidRDefault="0049467B" w:rsidP="0049467B">
      <w:pPr>
        <w:pStyle w:val="Titre1"/>
      </w:pPr>
      <w:bookmarkStart w:id="45" w:name="_Toc226031874"/>
      <w:r w:rsidRPr="00A25D8A">
        <w:t>Renseignements complémentaires</w:t>
      </w:r>
      <w:bookmarkEnd w:id="45"/>
    </w:p>
    <w:p w14:paraId="1A5CD38D" w14:textId="77777777" w:rsidR="0049467B" w:rsidRPr="00A25D8A" w:rsidRDefault="0049467B" w:rsidP="0049467B">
      <w:pPr>
        <w:rPr>
          <w:b/>
          <w:szCs w:val="20"/>
        </w:rPr>
      </w:pPr>
      <w:bookmarkStart w:id="46" w:name="_Toc338943010"/>
      <w:r w:rsidRPr="00A25D8A">
        <w:rPr>
          <w:rFonts w:cs="Arial"/>
        </w:rPr>
        <w:t>Po</w:t>
      </w:r>
      <w:r w:rsidRPr="00A25D8A">
        <w:rPr>
          <w:szCs w:val="20"/>
        </w:rPr>
        <w:t>ur obtenir tous les renseignements complémentaires qui leur seraient nécessaires pour élaborer leur proposition, les candidats devront faire parvenir leur demande écrite :</w:t>
      </w:r>
    </w:p>
    <w:p w14:paraId="762C8C55" w14:textId="77777777" w:rsidR="0049467B" w:rsidRPr="00A25D8A" w:rsidRDefault="0049467B" w:rsidP="00BB337C">
      <w:pPr>
        <w:pStyle w:val="Paragraphedeliste"/>
        <w:numPr>
          <w:ilvl w:val="0"/>
          <w:numId w:val="24"/>
        </w:numPr>
        <w:spacing w:before="120" w:line="288" w:lineRule="auto"/>
        <w:rPr>
          <w:b/>
          <w:szCs w:val="20"/>
        </w:rPr>
      </w:pPr>
      <w:proofErr w:type="gramStart"/>
      <w:r w:rsidRPr="00A25D8A">
        <w:rPr>
          <w:szCs w:val="20"/>
        </w:rPr>
        <w:t>soit</w:t>
      </w:r>
      <w:proofErr w:type="gramEnd"/>
      <w:r w:rsidRPr="00A25D8A">
        <w:rPr>
          <w:szCs w:val="20"/>
        </w:rPr>
        <w:t xml:space="preserve"> directement sur la plateforme PLACE </w:t>
      </w:r>
      <w:hyperlink r:id="rId24" w:history="1">
        <w:r w:rsidRPr="00A25D8A">
          <w:rPr>
            <w:rStyle w:val="Lienhypertexte"/>
            <w:color w:val="0070C0"/>
            <w:sz w:val="20"/>
            <w:szCs w:val="20"/>
          </w:rPr>
          <w:t>www.marches-publics.gouv.fr</w:t>
        </w:r>
      </w:hyperlink>
      <w:r w:rsidRPr="00A25D8A">
        <w:rPr>
          <w:color w:val="0070C0"/>
          <w:szCs w:val="20"/>
        </w:rPr>
        <w:t> ;</w:t>
      </w:r>
    </w:p>
    <w:p w14:paraId="2610827E" w14:textId="1E4F4A83" w:rsidR="0049467B" w:rsidRPr="00A25D8A" w:rsidRDefault="0049467B" w:rsidP="00BB337C">
      <w:pPr>
        <w:pStyle w:val="Paragraphedeliste"/>
        <w:numPr>
          <w:ilvl w:val="0"/>
          <w:numId w:val="24"/>
        </w:numPr>
        <w:spacing w:before="120" w:line="288" w:lineRule="auto"/>
        <w:rPr>
          <w:rStyle w:val="Lienhypertexte"/>
          <w:b/>
          <w:sz w:val="20"/>
          <w:szCs w:val="20"/>
        </w:rPr>
      </w:pPr>
      <w:proofErr w:type="gramStart"/>
      <w:r w:rsidRPr="00A25D8A">
        <w:rPr>
          <w:szCs w:val="20"/>
        </w:rPr>
        <w:lastRenderedPageBreak/>
        <w:t>soit</w:t>
      </w:r>
      <w:proofErr w:type="gramEnd"/>
      <w:r w:rsidRPr="00A25D8A">
        <w:rPr>
          <w:szCs w:val="20"/>
        </w:rPr>
        <w:t xml:space="preserve"> par messagerie électronique adressée à :</w:t>
      </w:r>
      <w:bookmarkStart w:id="47" w:name="_Toc338943013"/>
      <w:bookmarkEnd w:id="46"/>
      <w:r w:rsidRPr="00A25D8A">
        <w:rPr>
          <w:szCs w:val="20"/>
        </w:rPr>
        <w:t xml:space="preserve"> </w:t>
      </w:r>
      <w:hyperlink r:id="rId25" w:history="1">
        <w:r w:rsidRPr="00A25D8A">
          <w:rPr>
            <w:rStyle w:val="Lienhypertexte"/>
            <w:sz w:val="20"/>
            <w:szCs w:val="20"/>
          </w:rPr>
          <w:t>marchespublics@atih.sante.fr</w:t>
        </w:r>
      </w:hyperlink>
      <w:bookmarkEnd w:id="47"/>
      <w:r w:rsidRPr="00A25D8A">
        <w:rPr>
          <w:szCs w:val="20"/>
        </w:rPr>
        <w:t>.</w:t>
      </w:r>
    </w:p>
    <w:p w14:paraId="5C9B246D" w14:textId="77777777" w:rsidR="0049467B" w:rsidRPr="00A25D8A" w:rsidRDefault="0049467B" w:rsidP="00BB337C">
      <w:pPr>
        <w:rPr>
          <w:b/>
        </w:rPr>
      </w:pPr>
    </w:p>
    <w:p w14:paraId="399FF943" w14:textId="37D40A47" w:rsidR="0049467B" w:rsidRPr="00A25D8A" w:rsidRDefault="0049467B" w:rsidP="0049467B">
      <w:pPr>
        <w:rPr>
          <w:b/>
        </w:rPr>
      </w:pPr>
      <w:r w:rsidRPr="00A25D8A">
        <w:rPr>
          <w:b/>
        </w:rPr>
        <w:t>Aucune question ne pourra être posée par téléphone.</w:t>
      </w:r>
    </w:p>
    <w:p w14:paraId="610A1A66" w14:textId="77777777" w:rsidR="0049467B" w:rsidRPr="00A25D8A" w:rsidRDefault="0049467B" w:rsidP="0049467B">
      <w:pPr>
        <w:rPr>
          <w:b/>
        </w:rPr>
      </w:pPr>
    </w:p>
    <w:p w14:paraId="492A60D2" w14:textId="5BA3B111" w:rsidR="0049467B" w:rsidRPr="00A25D8A" w:rsidRDefault="0049467B" w:rsidP="0049467B">
      <w:pPr>
        <w:rPr>
          <w:b/>
          <w:color w:val="514964"/>
        </w:rPr>
      </w:pPr>
      <w:r w:rsidRPr="00A25D8A">
        <w:t xml:space="preserve">Les candidats pourront poser leurs questions au plus tard </w:t>
      </w:r>
      <w:r w:rsidRPr="00A25D8A">
        <w:rPr>
          <w:b/>
          <w:color w:val="514964"/>
        </w:rPr>
        <w:t>9 jours avant la date limite de remise des offres.</w:t>
      </w:r>
    </w:p>
    <w:p w14:paraId="31CCB63D" w14:textId="77777777" w:rsidR="0049467B" w:rsidRPr="00A25D8A" w:rsidRDefault="0049467B" w:rsidP="0049467B">
      <w:pPr>
        <w:rPr>
          <w:b/>
          <w:color w:val="514964"/>
        </w:rPr>
      </w:pPr>
    </w:p>
    <w:p w14:paraId="79D13E30" w14:textId="15780C91" w:rsidR="0049467B" w:rsidRPr="00A25D8A" w:rsidRDefault="0049467B" w:rsidP="0049467B">
      <w:pPr>
        <w:rPr>
          <w:color w:val="514964"/>
        </w:rPr>
      </w:pPr>
      <w:r w:rsidRPr="00A25D8A">
        <w:t xml:space="preserve">Seule une réponse commune portant sur des compléments nécessaires à l’établissement de l’offre sera alors adressée à </w:t>
      </w:r>
      <w:r w:rsidRPr="00A25D8A">
        <w:rPr>
          <w:u w:val="single"/>
        </w:rPr>
        <w:t>tous les candidats</w:t>
      </w:r>
      <w:r w:rsidRPr="00A25D8A">
        <w:t xml:space="preserve"> par le pouvoir adjudicateur, </w:t>
      </w:r>
      <w:r w:rsidRPr="00A25D8A">
        <w:rPr>
          <w:b/>
          <w:color w:val="514964"/>
        </w:rPr>
        <w:t>6 jours</w:t>
      </w:r>
      <w:r w:rsidRPr="00A25D8A">
        <w:rPr>
          <w:b/>
          <w:color w:val="FF0000"/>
        </w:rPr>
        <w:t xml:space="preserve"> </w:t>
      </w:r>
      <w:r w:rsidRPr="00A25D8A">
        <w:rPr>
          <w:b/>
          <w:color w:val="514964"/>
        </w:rPr>
        <w:t>au plus tard avant la date limite fixée pour la réception des offres</w:t>
      </w:r>
      <w:r w:rsidRPr="00A25D8A">
        <w:rPr>
          <w:color w:val="514964"/>
        </w:rPr>
        <w:t>.</w:t>
      </w:r>
    </w:p>
    <w:p w14:paraId="3986D850" w14:textId="77777777" w:rsidR="0049467B" w:rsidRPr="00A25D8A" w:rsidRDefault="0049467B" w:rsidP="0049467B"/>
    <w:p w14:paraId="3A0FC50E" w14:textId="2539DCB0" w:rsidR="00215D7F" w:rsidRDefault="0049467B" w:rsidP="00215D7F">
      <w:pPr>
        <w:rPr>
          <w:rFonts w:cs="Arial"/>
        </w:rPr>
      </w:pPr>
      <w:r w:rsidRPr="00A25D8A">
        <w:t>En conséquence, il est exclu de répondre à une demande personnelle émanant d’un candidat.</w:t>
      </w:r>
    </w:p>
    <w:sectPr w:rsidR="00215D7F" w:rsidSect="002C38AE">
      <w:headerReference w:type="default" r:id="rId26"/>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E26E30" w14:textId="77777777" w:rsidR="00251C91" w:rsidRDefault="00251C91" w:rsidP="00FB3BA0">
      <w:pPr>
        <w:spacing w:line="240" w:lineRule="auto"/>
      </w:pPr>
      <w:r>
        <w:separator/>
      </w:r>
    </w:p>
  </w:endnote>
  <w:endnote w:type="continuationSeparator" w:id="0">
    <w:p w14:paraId="16F6B067" w14:textId="77777777" w:rsidR="00251C91" w:rsidRDefault="00251C91" w:rsidP="00FB3B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Titres CS)">
    <w:altName w:val="Times New Roman"/>
    <w:panose1 w:val="00000000000000000000"/>
    <w:charset w:val="00"/>
    <w:family w:val="roman"/>
    <w:notTrueType/>
    <w:pitch w:val="default"/>
  </w:font>
  <w:font w:name="Times New Roman (Corps CS)">
    <w:altName w:val="Times New Roman"/>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364"/>
      <w:gridCol w:w="702"/>
    </w:tblGrid>
    <w:tr w:rsidR="00B56167" w14:paraId="54B85C5D" w14:textId="77777777" w:rsidTr="00D1685A">
      <w:tc>
        <w:tcPr>
          <w:tcW w:w="8364" w:type="dxa"/>
          <w:vAlign w:val="center"/>
        </w:tcPr>
        <w:p w14:paraId="01FC50C8" w14:textId="7D82EE34" w:rsidR="00B56167" w:rsidRPr="00354BD4" w:rsidRDefault="009F44E0" w:rsidP="00B56167">
          <w:pPr>
            <w:pStyle w:val="Pieddepage"/>
            <w:jc w:val="left"/>
            <w:rPr>
              <w:rStyle w:val="Numrodepage"/>
              <w:sz w:val="18"/>
              <w:szCs w:val="22"/>
            </w:rPr>
          </w:pPr>
          <w:r>
            <w:rPr>
              <w:rStyle w:val="ATIHDate"/>
              <w:b w:val="0"/>
              <w:color w:val="auto"/>
              <w:szCs w:val="22"/>
            </w:rPr>
            <w:t>R</w:t>
          </w:r>
          <w:r w:rsidRPr="009F44E0">
            <w:rPr>
              <w:rStyle w:val="ATIHDate"/>
              <w:b w:val="0"/>
              <w:color w:val="auto"/>
              <w:szCs w:val="22"/>
            </w:rPr>
            <w:t>èglement de consultation</w:t>
          </w:r>
          <w:r w:rsidR="00B56167" w:rsidRPr="00B56167">
            <w:rPr>
              <w:rStyle w:val="ATIHDate"/>
              <w:b w:val="0"/>
              <w:color w:val="auto"/>
              <w:szCs w:val="22"/>
            </w:rPr>
            <w:t xml:space="preserve"> - </w:t>
          </w:r>
          <w:r w:rsidR="00B56167" w:rsidRPr="00F91063">
            <w:rPr>
              <w:rStyle w:val="ATIHDate"/>
              <w:b w:val="0"/>
              <w:color w:val="auto"/>
              <w:szCs w:val="22"/>
            </w:rPr>
            <w:t>procédure n°</w:t>
          </w:r>
          <w:r w:rsidR="00D75E7A" w:rsidRPr="00D75E7A">
            <w:rPr>
              <w:sz w:val="18"/>
              <w:szCs w:val="22"/>
            </w:rPr>
            <w:t>2026-2603067001</w:t>
          </w:r>
          <w:r w:rsidR="00D75E7A">
            <w:rPr>
              <w:sz w:val="18"/>
              <w:szCs w:val="22"/>
            </w:rPr>
            <w:t xml:space="preserve"> </w:t>
          </w:r>
          <w:r>
            <w:rPr>
              <w:rStyle w:val="ATIHDate"/>
              <w:b w:val="0"/>
              <w:color w:val="auto"/>
              <w:szCs w:val="22"/>
            </w:rPr>
            <w:t xml:space="preserve">– </w:t>
          </w:r>
          <w:r w:rsidR="00D75E7A">
            <w:rPr>
              <w:rStyle w:val="ATIHDate"/>
              <w:b w:val="0"/>
              <w:color w:val="auto"/>
              <w:szCs w:val="22"/>
            </w:rPr>
            <w:t>intérim</w:t>
          </w:r>
        </w:p>
      </w:tc>
      <w:tc>
        <w:tcPr>
          <w:tcW w:w="702" w:type="dxa"/>
        </w:tcPr>
        <w:p w14:paraId="47B3B876" w14:textId="77777777" w:rsidR="00B56167" w:rsidRPr="00354BD4" w:rsidRDefault="00B56167" w:rsidP="00B56167">
          <w:pPr>
            <w:pStyle w:val="Pieddepage"/>
            <w:jc w:val="right"/>
            <w:rPr>
              <w:sz w:val="18"/>
              <w:szCs w:val="22"/>
            </w:rPr>
          </w:pPr>
          <w:r w:rsidRPr="00354BD4">
            <w:rPr>
              <w:rStyle w:val="Numrodepage"/>
              <w:sz w:val="18"/>
              <w:szCs w:val="22"/>
            </w:rPr>
            <w:t xml:space="preserve">- </w:t>
          </w:r>
          <w:r w:rsidRPr="00354BD4">
            <w:rPr>
              <w:rStyle w:val="Numrodepage"/>
              <w:sz w:val="18"/>
              <w:szCs w:val="22"/>
            </w:rPr>
            <w:fldChar w:fldCharType="begin"/>
          </w:r>
          <w:r w:rsidRPr="00354BD4">
            <w:rPr>
              <w:rStyle w:val="Numrodepage"/>
              <w:sz w:val="18"/>
              <w:szCs w:val="22"/>
            </w:rPr>
            <w:instrText xml:space="preserve"> PAGE </w:instrText>
          </w:r>
          <w:r w:rsidRPr="00354BD4">
            <w:rPr>
              <w:rStyle w:val="Numrodepage"/>
              <w:sz w:val="18"/>
              <w:szCs w:val="22"/>
            </w:rPr>
            <w:fldChar w:fldCharType="separate"/>
          </w:r>
          <w:r>
            <w:rPr>
              <w:rStyle w:val="Numrodepage"/>
              <w:sz w:val="18"/>
              <w:szCs w:val="22"/>
            </w:rPr>
            <w:t>2</w:t>
          </w:r>
          <w:r w:rsidRPr="00354BD4">
            <w:rPr>
              <w:rStyle w:val="Numrodepage"/>
              <w:sz w:val="18"/>
              <w:szCs w:val="22"/>
            </w:rPr>
            <w:fldChar w:fldCharType="end"/>
          </w:r>
          <w:r w:rsidRPr="00354BD4">
            <w:rPr>
              <w:rStyle w:val="Numrodepage"/>
              <w:sz w:val="18"/>
              <w:szCs w:val="22"/>
            </w:rPr>
            <w:t xml:space="preserve"> -</w:t>
          </w:r>
        </w:p>
      </w:tc>
    </w:tr>
  </w:tbl>
  <w:p w14:paraId="3FBC2FEE" w14:textId="77777777" w:rsidR="00B56167" w:rsidRPr="00B56167" w:rsidRDefault="00B56167">
    <w:pPr>
      <w:pStyle w:val="Pieddepage"/>
      <w:rPr>
        <w:sz w:val="2"/>
        <w:szCs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F8647" w14:textId="77777777" w:rsidR="00B56167" w:rsidRPr="00BE09B7" w:rsidRDefault="00B56167" w:rsidP="00B56167">
    <w:pPr>
      <w:jc w:val="center"/>
      <w:rPr>
        <w:rFonts w:asciiTheme="majorHAnsi" w:eastAsia="Arial" w:hAnsiTheme="majorHAnsi" w:cstheme="majorHAnsi"/>
        <w:b/>
        <w:bCs/>
        <w:color w:val="FF5A64"/>
        <w:sz w:val="22"/>
      </w:rPr>
    </w:pPr>
    <w:hyperlink r:id="rId1" w:history="1">
      <w:r w:rsidRPr="00BE09B7">
        <w:rPr>
          <w:rFonts w:asciiTheme="majorHAnsi" w:eastAsia="Arial" w:hAnsiTheme="majorHAnsi" w:cstheme="majorHAnsi"/>
          <w:b/>
          <w:bCs/>
          <w:color w:val="FF5A64"/>
          <w:sz w:val="22"/>
        </w:rPr>
        <w:t>www.atih.sante.fr</w:t>
      </w:r>
    </w:hyperlink>
    <w:r>
      <w:rPr>
        <w:rFonts w:asciiTheme="majorHAnsi" w:eastAsia="Arial" w:hAnsiTheme="majorHAnsi" w:cstheme="majorHAnsi"/>
        <w:b/>
        <w:bCs/>
        <w:color w:val="FF5A64"/>
        <w:sz w:val="22"/>
      </w:rPr>
      <w:t xml:space="preserve">  </w:t>
    </w:r>
  </w:p>
  <w:p w14:paraId="2A5F3D3E" w14:textId="77777777" w:rsidR="00B56167" w:rsidRPr="00BE09B7" w:rsidRDefault="00B56167" w:rsidP="00B56167">
    <w:pPr>
      <w:jc w:val="center"/>
      <w:rPr>
        <w:rFonts w:asciiTheme="majorHAnsi" w:eastAsia="Arial" w:hAnsiTheme="majorHAnsi" w:cstheme="majorHAnsi"/>
        <w:b/>
        <w:bCs/>
        <w:color w:val="2B3BB2"/>
        <w:sz w:val="18"/>
      </w:rPr>
    </w:pPr>
    <w:r w:rsidRPr="00BE09B7">
      <w:rPr>
        <w:rFonts w:asciiTheme="majorHAnsi" w:eastAsia="Arial" w:hAnsiTheme="majorHAnsi" w:cstheme="majorHAnsi"/>
        <w:b/>
        <w:bCs/>
        <w:color w:val="2B3BB2"/>
        <w:sz w:val="18"/>
      </w:rPr>
      <w:t>117 Bd Marius Vivier Merle</w:t>
    </w:r>
    <w:r>
      <w:rPr>
        <w:rFonts w:asciiTheme="majorHAnsi" w:eastAsia="Arial" w:hAnsiTheme="majorHAnsi" w:cstheme="majorHAnsi"/>
        <w:b/>
        <w:bCs/>
        <w:color w:val="2B3BB2"/>
        <w:sz w:val="18"/>
      </w:rPr>
      <w:t xml:space="preserve"> - </w:t>
    </w:r>
    <w:r w:rsidRPr="00BE09B7">
      <w:rPr>
        <w:rFonts w:asciiTheme="majorHAnsi" w:eastAsia="Arial" w:hAnsiTheme="majorHAnsi" w:cstheme="majorHAnsi"/>
        <w:b/>
        <w:bCs/>
        <w:color w:val="2B3BB2"/>
        <w:sz w:val="18"/>
      </w:rPr>
      <w:t>69329 Lyon cedex 03</w:t>
    </w:r>
  </w:p>
  <w:p w14:paraId="22BD3949" w14:textId="77777777" w:rsidR="00B56167" w:rsidRPr="00BE09B7" w:rsidRDefault="00B56167" w:rsidP="00B56167">
    <w:pPr>
      <w:jc w:val="center"/>
      <w:rPr>
        <w:rFonts w:asciiTheme="majorHAnsi" w:eastAsia="Arial" w:hAnsiTheme="majorHAnsi" w:cstheme="majorHAnsi"/>
        <w:color w:val="2B3BB2"/>
        <w:sz w:val="18"/>
      </w:rPr>
    </w:pPr>
    <w:r w:rsidRPr="00BE09B7">
      <w:rPr>
        <w:rFonts w:asciiTheme="majorHAnsi" w:eastAsia="Arial" w:hAnsiTheme="majorHAnsi" w:cstheme="majorHAnsi"/>
        <w:color w:val="2B3BB2"/>
        <w:sz w:val="18"/>
      </w:rPr>
      <w:t>T 04 37 91 33 10</w:t>
    </w:r>
  </w:p>
  <w:p w14:paraId="504B5D1E" w14:textId="77777777" w:rsidR="00B56167" w:rsidRPr="00B56167" w:rsidRDefault="00B56167" w:rsidP="00B56167">
    <w:pPr>
      <w:jc w:val="center"/>
      <w:rPr>
        <w:rFonts w:asciiTheme="majorHAnsi" w:eastAsia="Arial" w:hAnsiTheme="majorHAnsi" w:cstheme="majorHAnsi"/>
        <w:color w:val="2B3BB2"/>
        <w:sz w:val="14"/>
        <w:szCs w:val="14"/>
      </w:rPr>
    </w:pPr>
    <w:r w:rsidRPr="00BE09B7">
      <w:rPr>
        <w:rFonts w:asciiTheme="majorHAnsi" w:eastAsia="Arial" w:hAnsiTheme="majorHAnsi" w:cstheme="majorHAnsi"/>
        <w:color w:val="2B3BB2"/>
        <w:sz w:val="14"/>
        <w:szCs w:val="14"/>
      </w:rPr>
      <w:t>SIRET 180 092 298 00033 - APE 8411Z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03F950" w14:textId="77777777" w:rsidR="00251C91" w:rsidRDefault="00251C91" w:rsidP="00FB3BA0">
      <w:pPr>
        <w:spacing w:line="240" w:lineRule="auto"/>
      </w:pPr>
      <w:r>
        <w:separator/>
      </w:r>
    </w:p>
  </w:footnote>
  <w:footnote w:type="continuationSeparator" w:id="0">
    <w:p w14:paraId="0B8EAC69" w14:textId="77777777" w:rsidR="00251C91" w:rsidRDefault="00251C91" w:rsidP="00FB3BA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71"/>
      <w:gridCol w:w="1685"/>
    </w:tblGrid>
    <w:tr w:rsidR="00354BD4" w14:paraId="755FB67F" w14:textId="77777777" w:rsidTr="00354BD4">
      <w:tc>
        <w:tcPr>
          <w:tcW w:w="7371" w:type="dxa"/>
          <w:vAlign w:val="center"/>
        </w:tcPr>
        <w:p w14:paraId="1281D8B6" w14:textId="77777777" w:rsidR="00354BD4" w:rsidRDefault="00354BD4" w:rsidP="00354BD4">
          <w:pPr>
            <w:pStyle w:val="En-tte"/>
            <w:jc w:val="right"/>
          </w:pPr>
          <w:hyperlink w:anchor="Sommaire" w:history="1">
            <w:r w:rsidRPr="00354BD4">
              <w:rPr>
                <w:rStyle w:val="Lienhypertexte"/>
                <w:sz w:val="13"/>
                <w:szCs w:val="18"/>
              </w:rPr>
              <w:t>RETOUR SOMMAIRE</w:t>
            </w:r>
          </w:hyperlink>
        </w:p>
      </w:tc>
      <w:tc>
        <w:tcPr>
          <w:tcW w:w="1685" w:type="dxa"/>
          <w:vAlign w:val="center"/>
        </w:tcPr>
        <w:p w14:paraId="1A637A83" w14:textId="77777777" w:rsidR="00354BD4" w:rsidRDefault="00354BD4" w:rsidP="00354BD4">
          <w:pPr>
            <w:pStyle w:val="En-tte"/>
            <w:jc w:val="right"/>
          </w:pPr>
          <w:r w:rsidRPr="00AA1949">
            <w:rPr>
              <w:noProof/>
            </w:rPr>
            <w:drawing>
              <wp:inline distT="0" distB="0" distL="0" distR="0" wp14:anchorId="6415CF48" wp14:editId="33BDE84E">
                <wp:extent cx="924564" cy="225815"/>
                <wp:effectExtent l="0" t="0" r="2540" b="3175"/>
                <wp:docPr id="784250265" name="Image 1">
                  <a:extLst xmlns:a="http://schemas.openxmlformats.org/drawingml/2006/main">
                    <a:ext uri="{FF2B5EF4-FFF2-40B4-BE49-F238E27FC236}">
                      <a16:creationId xmlns:a16="http://schemas.microsoft.com/office/drawing/2014/main" id="{3A4DE8EA-72A2-EFEF-7CC3-0662D486132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1">
                          <a:extLst>
                            <a:ext uri="{FF2B5EF4-FFF2-40B4-BE49-F238E27FC236}">
                              <a16:creationId xmlns:a16="http://schemas.microsoft.com/office/drawing/2014/main" id="{3A4DE8EA-72A2-EFEF-7CC3-0662D4861325}"/>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l="6548" t="17443" r="6546" b="18929"/>
                        <a:stretch/>
                      </pic:blipFill>
                      <pic:spPr>
                        <a:xfrm>
                          <a:off x="0" y="0"/>
                          <a:ext cx="981951" cy="239831"/>
                        </a:xfrm>
                        <a:prstGeom prst="rect">
                          <a:avLst/>
                        </a:prstGeom>
                      </pic:spPr>
                    </pic:pic>
                  </a:graphicData>
                </a:graphic>
              </wp:inline>
            </w:drawing>
          </w:r>
        </w:p>
      </w:tc>
    </w:tr>
  </w:tbl>
  <w:p w14:paraId="73E92E34" w14:textId="77777777" w:rsidR="00343829" w:rsidRDefault="00343829" w:rsidP="00FB3BA0">
    <w:pPr>
      <w:pStyle w:val="En-tte"/>
      <w:jc w:val="right"/>
    </w:pPr>
    <w:r>
      <w:rPr>
        <w:noProof/>
      </w:rPr>
      <w:drawing>
        <wp:anchor distT="0" distB="0" distL="114300" distR="114300" simplePos="0" relativeHeight="251666432" behindDoc="1" locked="1" layoutInCell="1" allowOverlap="1" wp14:anchorId="1785C870" wp14:editId="02672AD6">
          <wp:simplePos x="0" y="0"/>
          <wp:positionH relativeFrom="page">
            <wp:posOffset>13335</wp:posOffset>
          </wp:positionH>
          <wp:positionV relativeFrom="page">
            <wp:posOffset>0</wp:posOffset>
          </wp:positionV>
          <wp:extent cx="572135" cy="795020"/>
          <wp:effectExtent l="0" t="0" r="0" b="5080"/>
          <wp:wrapNone/>
          <wp:docPr id="993171917" name="Image 2" descr="Une image contenant Caractère coloré, capture d’écran, ligne,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6796159" name="Image 2" descr="Une image contenant Caractère coloré, capture d’écran, ligne, Graphique&#10;&#10;Description générée automatiquement"/>
                  <pic:cNvPicPr/>
                </pic:nvPicPr>
                <pic:blipFill rotWithShape="1">
                  <a:blip r:embed="rId2"/>
                  <a:srcRect l="42868" b="50707"/>
                  <a:stretch/>
                </pic:blipFill>
                <pic:spPr bwMode="auto">
                  <a:xfrm>
                    <a:off x="0" y="0"/>
                    <a:ext cx="572135" cy="7950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A57CF" w14:textId="77777777" w:rsidR="00B56167" w:rsidRDefault="00B56167">
    <w:pPr>
      <w:pStyle w:val="En-tte"/>
    </w:pPr>
    <w:r>
      <w:rPr>
        <w:noProof/>
      </w:rPr>
      <w:drawing>
        <wp:anchor distT="0" distB="0" distL="114300" distR="114300" simplePos="0" relativeHeight="251674624" behindDoc="1" locked="1" layoutInCell="1" allowOverlap="1" wp14:anchorId="4AE3056B" wp14:editId="0253C420">
          <wp:simplePos x="0" y="0"/>
          <wp:positionH relativeFrom="page">
            <wp:posOffset>8255</wp:posOffset>
          </wp:positionH>
          <wp:positionV relativeFrom="page">
            <wp:posOffset>-1905</wp:posOffset>
          </wp:positionV>
          <wp:extent cx="2185035" cy="5399405"/>
          <wp:effectExtent l="0" t="0" r="0" b="0"/>
          <wp:wrapNone/>
          <wp:docPr id="1056667757" name="Image 2" descr="Une image contenant Caractère coloré, capture d’écran, ligne,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9604564" name="Image 2" descr="Une image contenant Caractère coloré, capture d’écran, ligne, Graphique&#10;&#10;Description générée automatiquement"/>
                  <pic:cNvPicPr/>
                </pic:nvPicPr>
                <pic:blipFill rotWithShape="1">
                  <a:blip r:embed="rId1"/>
                  <a:srcRect l="42868"/>
                  <a:stretch/>
                </pic:blipFill>
                <pic:spPr bwMode="auto">
                  <a:xfrm>
                    <a:off x="0" y="0"/>
                    <a:ext cx="2185035" cy="539940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D3522">
      <w:rPr>
        <w:noProof/>
      </w:rPr>
      <w:drawing>
        <wp:anchor distT="0" distB="0" distL="114300" distR="114300" simplePos="0" relativeHeight="251675648" behindDoc="1" locked="1" layoutInCell="1" allowOverlap="1" wp14:anchorId="6297B978" wp14:editId="71B31320">
          <wp:simplePos x="0" y="0"/>
          <wp:positionH relativeFrom="page">
            <wp:posOffset>1362075</wp:posOffset>
          </wp:positionH>
          <wp:positionV relativeFrom="page">
            <wp:posOffset>276225</wp:posOffset>
          </wp:positionV>
          <wp:extent cx="3239770" cy="829945"/>
          <wp:effectExtent l="0" t="0" r="0" b="0"/>
          <wp:wrapNone/>
          <wp:docPr id="860873740" name="Image 3" descr="Une image contenant texte, Police, capture d’écran,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7943458" name="Image 3" descr="Une image contenant texte, Police, capture d’écran, Graphique&#10;&#10;Description générée automatiquement"/>
                  <pic:cNvPicPr/>
                </pic:nvPicPr>
                <pic:blipFill rotWithShape="1">
                  <a:blip r:embed="rId2" cstate="hqprint">
                    <a:extLst>
                      <a:ext uri="{28A0092B-C50C-407E-A947-70E740481C1C}">
                        <a14:useLocalDpi xmlns:a14="http://schemas.microsoft.com/office/drawing/2010/main"/>
                      </a:ext>
                    </a:extLst>
                  </a:blip>
                  <a:srcRect l="5739" t="16252" r="5951" b="15870"/>
                  <a:stretch/>
                </pic:blipFill>
                <pic:spPr bwMode="auto">
                  <a:xfrm>
                    <a:off x="0" y="0"/>
                    <a:ext cx="3239770" cy="829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76672" behindDoc="0" locked="0" layoutInCell="1" allowOverlap="1" wp14:anchorId="7DF19DFE" wp14:editId="394724B7">
              <wp:simplePos x="0" y="0"/>
              <wp:positionH relativeFrom="column">
                <wp:posOffset>5434965</wp:posOffset>
              </wp:positionH>
              <wp:positionV relativeFrom="paragraph">
                <wp:posOffset>7405370</wp:posOffset>
              </wp:positionV>
              <wp:extent cx="1205865" cy="2845435"/>
              <wp:effectExtent l="0" t="0" r="635" b="0"/>
              <wp:wrapNone/>
              <wp:docPr id="517177921" name="Rectangle 6"/>
              <wp:cNvGraphicFramePr/>
              <a:graphic xmlns:a="http://schemas.openxmlformats.org/drawingml/2006/main">
                <a:graphicData uri="http://schemas.microsoft.com/office/word/2010/wordprocessingShape">
                  <wps:wsp>
                    <wps:cNvSpPr/>
                    <wps:spPr>
                      <a:xfrm>
                        <a:off x="0" y="0"/>
                        <a:ext cx="1205865" cy="2845435"/>
                      </a:xfrm>
                      <a:custGeom>
                        <a:avLst/>
                        <a:gdLst>
                          <a:gd name="connsiteX0" fmla="*/ 0 w 6226139"/>
                          <a:gd name="connsiteY0" fmla="*/ 0 h 4808305"/>
                          <a:gd name="connsiteX1" fmla="*/ 6226139 w 6226139"/>
                          <a:gd name="connsiteY1" fmla="*/ 0 h 4808305"/>
                          <a:gd name="connsiteX2" fmla="*/ 6226139 w 6226139"/>
                          <a:gd name="connsiteY2" fmla="*/ 4808305 h 4808305"/>
                          <a:gd name="connsiteX3" fmla="*/ 0 w 6226139"/>
                          <a:gd name="connsiteY3" fmla="*/ 4808305 h 4808305"/>
                          <a:gd name="connsiteX4" fmla="*/ 0 w 6226139"/>
                          <a:gd name="connsiteY4" fmla="*/ 0 h 4808305"/>
                          <a:gd name="connsiteX0" fmla="*/ 0 w 6226139"/>
                          <a:gd name="connsiteY0" fmla="*/ 4808305 h 4808305"/>
                          <a:gd name="connsiteX1" fmla="*/ 6226139 w 6226139"/>
                          <a:gd name="connsiteY1" fmla="*/ 0 h 4808305"/>
                          <a:gd name="connsiteX2" fmla="*/ 6226139 w 6226139"/>
                          <a:gd name="connsiteY2" fmla="*/ 4808305 h 4808305"/>
                          <a:gd name="connsiteX3" fmla="*/ 0 w 6226139"/>
                          <a:gd name="connsiteY3" fmla="*/ 4808305 h 4808305"/>
                        </a:gdLst>
                        <a:ahLst/>
                        <a:cxnLst>
                          <a:cxn ang="0">
                            <a:pos x="connsiteX0" y="connsiteY0"/>
                          </a:cxn>
                          <a:cxn ang="0">
                            <a:pos x="connsiteX1" y="connsiteY1"/>
                          </a:cxn>
                          <a:cxn ang="0">
                            <a:pos x="connsiteX2" y="connsiteY2"/>
                          </a:cxn>
                          <a:cxn ang="0">
                            <a:pos x="connsiteX3" y="connsiteY3"/>
                          </a:cxn>
                        </a:cxnLst>
                        <a:rect l="l" t="t" r="r" b="b"/>
                        <a:pathLst>
                          <a:path w="6226139" h="4808305">
                            <a:moveTo>
                              <a:pt x="0" y="4808305"/>
                            </a:moveTo>
                            <a:lnTo>
                              <a:pt x="6226139" y="0"/>
                            </a:lnTo>
                            <a:lnTo>
                              <a:pt x="6226139" y="4808305"/>
                            </a:lnTo>
                            <a:lnTo>
                              <a:pt x="0" y="4808305"/>
                            </a:lnTo>
                            <a:close/>
                          </a:path>
                        </a:pathLst>
                      </a:custGeom>
                      <a:solidFill>
                        <a:schemeClr val="tx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CFCF63" id="Rectangle 6" o:spid="_x0000_s1026" style="position:absolute;margin-left:427.95pt;margin-top:583.1pt;width:94.95pt;height:224.0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226139,4808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" path="m,4808305l6226139,r,4808305l,4808305xe" fillcolor="#ff5a64 [3215]" stroked="f" strokeweight="1pt">
              <v:stroke joinstyle="miter"/>
              <v:path arrowok="t" o:connecttype="custom" o:connectlocs="0,2845435;1205865,0;1205865,2845435;0,2845435" o:connectangles="0,0,0,0"/>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37014" w14:textId="77777777" w:rsidR="004C1A2B" w:rsidRDefault="004C1A2B" w:rsidP="00FB3BA0">
    <w:pPr>
      <w:pStyle w:val="En-tte"/>
      <w:jc w:val="right"/>
    </w:pPr>
    <w:r>
      <w:rPr>
        <w:noProof/>
      </w:rPr>
      <w:drawing>
        <wp:anchor distT="0" distB="0" distL="114300" distR="114300" simplePos="0" relativeHeight="251672576" behindDoc="1" locked="0" layoutInCell="1" allowOverlap="1" wp14:anchorId="79585BAA" wp14:editId="4DC18B22">
          <wp:simplePos x="0" y="0"/>
          <wp:positionH relativeFrom="column">
            <wp:posOffset>-890905</wp:posOffset>
          </wp:positionH>
          <wp:positionV relativeFrom="paragraph">
            <wp:posOffset>-451766</wp:posOffset>
          </wp:positionV>
          <wp:extent cx="7554221" cy="10676394"/>
          <wp:effectExtent l="0" t="0" r="2540" b="4445"/>
          <wp:wrapNone/>
          <wp:docPr id="1921246854" name="Image 4" descr="Une image contenant capture d’écran, Carmin, conceptio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1246854" name="Image 4" descr="Une image contenant capture d’écran, Carmin, conception&#10;&#10;Le contenu généré par l’IA peut être incorrect."/>
                  <pic:cNvPicPr/>
                </pic:nvPicPr>
                <pic:blipFill>
                  <a:blip r:embed="rId1">
                    <a:extLst>
                      <a:ext uri="{28A0092B-C50C-407E-A947-70E740481C1C}">
                        <a14:useLocalDpi xmlns:a14="http://schemas.microsoft.com/office/drawing/2010/main" val="0"/>
                      </a:ext>
                    </a:extLst>
                  </a:blip>
                  <a:stretch>
                    <a:fillRect/>
                  </a:stretch>
                </pic:blipFill>
                <pic:spPr>
                  <a:xfrm>
                    <a:off x="0" y="0"/>
                    <a:ext cx="7554221" cy="10676394"/>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0528" behindDoc="1" locked="1" layoutInCell="1" allowOverlap="1" wp14:anchorId="1503734B" wp14:editId="406AB2DA">
          <wp:simplePos x="0" y="0"/>
          <wp:positionH relativeFrom="page">
            <wp:posOffset>13335</wp:posOffset>
          </wp:positionH>
          <wp:positionV relativeFrom="page">
            <wp:posOffset>0</wp:posOffset>
          </wp:positionV>
          <wp:extent cx="572135" cy="795020"/>
          <wp:effectExtent l="0" t="0" r="0" b="5080"/>
          <wp:wrapNone/>
          <wp:docPr id="1489998563" name="Image 2" descr="Une image contenant Caractère coloré, capture d’écran, ligne,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6796159" name="Image 2" descr="Une image contenant Caractère coloré, capture d’écran, ligne, Graphique&#10;&#10;Description générée automatiquement"/>
                  <pic:cNvPicPr/>
                </pic:nvPicPr>
                <pic:blipFill rotWithShape="1">
                  <a:blip r:embed="rId2"/>
                  <a:srcRect l="42868" b="50707"/>
                  <a:stretch/>
                </pic:blipFill>
                <pic:spPr bwMode="auto">
                  <a:xfrm>
                    <a:off x="0" y="0"/>
                    <a:ext cx="572135" cy="7950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71"/>
      <w:gridCol w:w="1685"/>
    </w:tblGrid>
    <w:tr w:rsidR="00B56167" w14:paraId="1D6E31B8" w14:textId="77777777" w:rsidTr="00354BD4">
      <w:tc>
        <w:tcPr>
          <w:tcW w:w="7371" w:type="dxa"/>
          <w:vAlign w:val="center"/>
        </w:tcPr>
        <w:p w14:paraId="7294D52C" w14:textId="77777777" w:rsidR="00B56167" w:rsidRDefault="00B56167" w:rsidP="00354BD4">
          <w:pPr>
            <w:pStyle w:val="En-tte"/>
            <w:jc w:val="right"/>
          </w:pPr>
          <w:hyperlink w:anchor="Sommaire" w:history="1">
            <w:r w:rsidRPr="00354BD4">
              <w:rPr>
                <w:rStyle w:val="Lienhypertexte"/>
                <w:sz w:val="13"/>
                <w:szCs w:val="18"/>
              </w:rPr>
              <w:t>RETOUR SOMMAIRE</w:t>
            </w:r>
          </w:hyperlink>
        </w:p>
      </w:tc>
      <w:tc>
        <w:tcPr>
          <w:tcW w:w="1685" w:type="dxa"/>
          <w:vAlign w:val="center"/>
        </w:tcPr>
        <w:p w14:paraId="52C2FCEF" w14:textId="77777777" w:rsidR="00B56167" w:rsidRDefault="00B56167" w:rsidP="00354BD4">
          <w:pPr>
            <w:pStyle w:val="En-tte"/>
            <w:jc w:val="right"/>
          </w:pPr>
          <w:r w:rsidRPr="00AA1949">
            <w:rPr>
              <w:noProof/>
            </w:rPr>
            <w:drawing>
              <wp:inline distT="0" distB="0" distL="0" distR="0" wp14:anchorId="585C2E49" wp14:editId="63687F3C">
                <wp:extent cx="924564" cy="225815"/>
                <wp:effectExtent l="0" t="0" r="2540" b="3175"/>
                <wp:docPr id="100860625" name="Image 1">
                  <a:extLst xmlns:a="http://schemas.openxmlformats.org/drawingml/2006/main">
                    <a:ext uri="{FF2B5EF4-FFF2-40B4-BE49-F238E27FC236}">
                      <a16:creationId xmlns:a16="http://schemas.microsoft.com/office/drawing/2014/main" id="{3A4DE8EA-72A2-EFEF-7CC3-0662D486132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1">
                          <a:extLst>
                            <a:ext uri="{FF2B5EF4-FFF2-40B4-BE49-F238E27FC236}">
                              <a16:creationId xmlns:a16="http://schemas.microsoft.com/office/drawing/2014/main" id="{3A4DE8EA-72A2-EFEF-7CC3-0662D4861325}"/>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l="6548" t="17443" r="6546" b="18929"/>
                        <a:stretch/>
                      </pic:blipFill>
                      <pic:spPr>
                        <a:xfrm>
                          <a:off x="0" y="0"/>
                          <a:ext cx="981951" cy="239831"/>
                        </a:xfrm>
                        <a:prstGeom prst="rect">
                          <a:avLst/>
                        </a:prstGeom>
                      </pic:spPr>
                    </pic:pic>
                  </a:graphicData>
                </a:graphic>
              </wp:inline>
            </w:drawing>
          </w:r>
        </w:p>
      </w:tc>
    </w:tr>
  </w:tbl>
  <w:p w14:paraId="277631F8" w14:textId="77777777" w:rsidR="00B56167" w:rsidRDefault="00B56167" w:rsidP="00FB3BA0">
    <w:pPr>
      <w:pStyle w:val="En-tte"/>
      <w:jc w:val="right"/>
    </w:pPr>
    <w:r>
      <w:rPr>
        <w:noProof/>
      </w:rPr>
      <w:drawing>
        <wp:anchor distT="0" distB="0" distL="114300" distR="114300" simplePos="0" relativeHeight="251678720" behindDoc="1" locked="1" layoutInCell="1" allowOverlap="1" wp14:anchorId="3AE5FD09" wp14:editId="24290CC0">
          <wp:simplePos x="0" y="0"/>
          <wp:positionH relativeFrom="page">
            <wp:posOffset>13335</wp:posOffset>
          </wp:positionH>
          <wp:positionV relativeFrom="page">
            <wp:posOffset>0</wp:posOffset>
          </wp:positionV>
          <wp:extent cx="572135" cy="795020"/>
          <wp:effectExtent l="0" t="0" r="0" b="5080"/>
          <wp:wrapNone/>
          <wp:docPr id="378161127" name="Image 2" descr="Une image contenant Caractère coloré, capture d’écran, ligne,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6796159" name="Image 2" descr="Une image contenant Caractère coloré, capture d’écran, ligne, Graphique&#10;&#10;Description générée automatiquement"/>
                  <pic:cNvPicPr/>
                </pic:nvPicPr>
                <pic:blipFill rotWithShape="1">
                  <a:blip r:embed="rId2"/>
                  <a:srcRect l="42868" b="50707"/>
                  <a:stretch/>
                </pic:blipFill>
                <pic:spPr bwMode="auto">
                  <a:xfrm>
                    <a:off x="0" y="0"/>
                    <a:ext cx="572135" cy="7950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8pt;height:18pt" o:bullet="t">
        <v:imagedata r:id="rId1" o:title="puce rouge"/>
      </v:shape>
    </w:pict>
  </w:numPicBullet>
  <w:abstractNum w:abstractNumId="0" w15:restartNumberingAfterBreak="0">
    <w:nsid w:val="00000002"/>
    <w:multiLevelType w:val="multilevel"/>
    <w:tmpl w:val="A5A08E46"/>
    <w:name w:val="WW8Num2"/>
    <w:lvl w:ilvl="0">
      <w:start w:val="1"/>
      <w:numFmt w:val="lowerLetter"/>
      <w:lvlText w:val="%1)"/>
      <w:lvlJc w:val="left"/>
      <w:pPr>
        <w:tabs>
          <w:tab w:val="num" w:pos="926"/>
        </w:tabs>
        <w:ind w:left="926" w:hanging="360"/>
      </w:pPr>
      <w:rPr>
        <w:rFonts w:ascii="Arial" w:hAnsi="Arial" w:cs="Courier New"/>
        <w:b/>
        <w:bCs/>
        <w:color w:val="C00000"/>
        <w:sz w:val="20"/>
        <w:szCs w:val="20"/>
      </w:rPr>
    </w:lvl>
    <w:lvl w:ilvl="1">
      <w:start w:val="1"/>
      <w:numFmt w:val="lowerLetter"/>
      <w:lvlText w:val="%2)"/>
      <w:lvlJc w:val="left"/>
      <w:pPr>
        <w:tabs>
          <w:tab w:val="num" w:pos="1286"/>
        </w:tabs>
        <w:ind w:left="1286" w:hanging="360"/>
      </w:pPr>
      <w:rPr>
        <w:rFonts w:cs="Times New Roman"/>
      </w:rPr>
    </w:lvl>
    <w:lvl w:ilvl="2">
      <w:start w:val="1"/>
      <w:numFmt w:val="lowerRoman"/>
      <w:lvlText w:val="%3)"/>
      <w:lvlJc w:val="left"/>
      <w:pPr>
        <w:tabs>
          <w:tab w:val="num" w:pos="1646"/>
        </w:tabs>
        <w:ind w:left="1646" w:hanging="360"/>
      </w:pPr>
      <w:rPr>
        <w:rFonts w:cs="Times New Roman"/>
      </w:rPr>
    </w:lvl>
    <w:lvl w:ilvl="3">
      <w:start w:val="1"/>
      <w:numFmt w:val="decimal"/>
      <w:lvlText w:val="(%4)"/>
      <w:lvlJc w:val="left"/>
      <w:pPr>
        <w:tabs>
          <w:tab w:val="num" w:pos="2006"/>
        </w:tabs>
        <w:ind w:left="2006" w:hanging="360"/>
      </w:pPr>
      <w:rPr>
        <w:rFonts w:cs="Times New Roman"/>
      </w:rPr>
    </w:lvl>
    <w:lvl w:ilvl="4">
      <w:start w:val="1"/>
      <w:numFmt w:val="lowerLetter"/>
      <w:lvlText w:val="(%5)"/>
      <w:lvlJc w:val="left"/>
      <w:pPr>
        <w:tabs>
          <w:tab w:val="num" w:pos="2366"/>
        </w:tabs>
        <w:ind w:left="2366" w:hanging="360"/>
      </w:pPr>
      <w:rPr>
        <w:rFonts w:cs="Times New Roman"/>
      </w:rPr>
    </w:lvl>
    <w:lvl w:ilvl="5">
      <w:start w:val="1"/>
      <w:numFmt w:val="lowerRoman"/>
      <w:lvlText w:val="(%6)"/>
      <w:lvlJc w:val="left"/>
      <w:pPr>
        <w:tabs>
          <w:tab w:val="num" w:pos="2726"/>
        </w:tabs>
        <w:ind w:left="2726" w:hanging="360"/>
      </w:pPr>
      <w:rPr>
        <w:rFonts w:cs="Times New Roman"/>
      </w:rPr>
    </w:lvl>
    <w:lvl w:ilvl="6">
      <w:start w:val="1"/>
      <w:numFmt w:val="decimal"/>
      <w:lvlText w:val="%7."/>
      <w:lvlJc w:val="left"/>
      <w:pPr>
        <w:tabs>
          <w:tab w:val="num" w:pos="3086"/>
        </w:tabs>
        <w:ind w:left="3086" w:hanging="360"/>
      </w:pPr>
      <w:rPr>
        <w:rFonts w:cs="Times New Roman"/>
      </w:rPr>
    </w:lvl>
    <w:lvl w:ilvl="7">
      <w:start w:val="1"/>
      <w:numFmt w:val="lowerLetter"/>
      <w:lvlText w:val="%8."/>
      <w:lvlJc w:val="left"/>
      <w:pPr>
        <w:tabs>
          <w:tab w:val="num" w:pos="3446"/>
        </w:tabs>
        <w:ind w:left="3446" w:hanging="360"/>
      </w:pPr>
      <w:rPr>
        <w:rFonts w:cs="Times New Roman"/>
      </w:rPr>
    </w:lvl>
    <w:lvl w:ilvl="8">
      <w:start w:val="1"/>
      <w:numFmt w:val="lowerRoman"/>
      <w:lvlText w:val="%9."/>
      <w:lvlJc w:val="left"/>
      <w:pPr>
        <w:tabs>
          <w:tab w:val="num" w:pos="3806"/>
        </w:tabs>
        <w:ind w:left="3806" w:hanging="360"/>
      </w:pPr>
      <w:rPr>
        <w:rFonts w:cs="Times New Roman"/>
      </w:rPr>
    </w:lvl>
  </w:abstractNum>
  <w:abstractNum w:abstractNumId="1" w15:restartNumberingAfterBreak="0">
    <w:nsid w:val="00F14FA6"/>
    <w:multiLevelType w:val="hybridMultilevel"/>
    <w:tmpl w:val="5734BA8C"/>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7D2DE0"/>
    <w:multiLevelType w:val="multilevel"/>
    <w:tmpl w:val="590802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C61F1E"/>
    <w:multiLevelType w:val="hybridMultilevel"/>
    <w:tmpl w:val="E9C244A8"/>
    <w:lvl w:ilvl="0" w:tplc="B7CC956C">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D3D1CF3"/>
    <w:multiLevelType w:val="hybridMultilevel"/>
    <w:tmpl w:val="ABBCB9A0"/>
    <w:lvl w:ilvl="0" w:tplc="CDE8C5A0">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F6D01A1"/>
    <w:multiLevelType w:val="hybridMultilevel"/>
    <w:tmpl w:val="80466AD4"/>
    <w:lvl w:ilvl="0" w:tplc="D2465BB0">
      <w:start w:val="1"/>
      <w:numFmt w:val="bullet"/>
      <w:pStyle w:val="Paragraphedeliste"/>
      <w:lvlText w:val=""/>
      <w:lvlJc w:val="left"/>
      <w:pPr>
        <w:ind w:left="1440" w:hanging="360"/>
      </w:pPr>
      <w:rPr>
        <w:rFonts w:ascii="Wingdings" w:hAnsi="Wingdings" w:hint="default"/>
        <w:color w:val="FF5A64" w:themeColor="text2"/>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5D71D39"/>
    <w:multiLevelType w:val="hybridMultilevel"/>
    <w:tmpl w:val="635C2A16"/>
    <w:lvl w:ilvl="0" w:tplc="E4CAB3D6">
      <w:numFmt w:val="bullet"/>
      <w:lvlText w:val="-"/>
      <w:lvlJc w:val="left"/>
      <w:pPr>
        <w:ind w:left="720" w:hanging="360"/>
      </w:pPr>
      <w:rPr>
        <w:rFonts w:ascii="Times New Roman" w:eastAsia="Times New Roman" w:hAnsi="Times New Roman" w:cs="Times New Roman" w:hint="default"/>
        <w:color w:val="007ED5"/>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8633358"/>
    <w:multiLevelType w:val="hybridMultilevel"/>
    <w:tmpl w:val="C5062732"/>
    <w:lvl w:ilvl="0" w:tplc="D37CDFFA">
      <w:numFmt w:val="bullet"/>
      <w:lvlText w:val="-"/>
      <w:lvlJc w:val="left"/>
      <w:pPr>
        <w:ind w:left="720" w:hanging="360"/>
      </w:pPr>
      <w:rPr>
        <w:rFonts w:ascii="Arial" w:eastAsia="Times New Roman" w:hAnsi="Arial" w:cs="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BF91EF1"/>
    <w:multiLevelType w:val="multilevel"/>
    <w:tmpl w:val="040C001D"/>
    <w:styleLink w:val="ATIH-"/>
    <w:lvl w:ilvl="0">
      <w:start w:val="3"/>
      <w:numFmt w:val="decimal"/>
      <w:lvlText w:val="%1)"/>
      <w:lvlJc w:val="left"/>
      <w:pPr>
        <w:ind w:left="360" w:hanging="360"/>
      </w:pPr>
      <w:rPr>
        <w:color w:val="FF5A64" w:themeColor="text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F285EB5"/>
    <w:multiLevelType w:val="hybridMultilevel"/>
    <w:tmpl w:val="866C638C"/>
    <w:lvl w:ilvl="0" w:tplc="950EDF8C">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0A15541"/>
    <w:multiLevelType w:val="hybridMultilevel"/>
    <w:tmpl w:val="C3367DD8"/>
    <w:lvl w:ilvl="0" w:tplc="FFFFFFFF">
      <w:start w:val="1"/>
      <w:numFmt w:val="decimal"/>
      <w:lvlText w:val="%1)"/>
      <w:lvlJc w:val="left"/>
      <w:pPr>
        <w:ind w:left="720" w:hanging="360"/>
      </w:pPr>
      <w:rPr>
        <w:rFonts w:hint="default"/>
      </w:rPr>
    </w:lvl>
    <w:lvl w:ilvl="1" w:tplc="040C000D">
      <w:start w:val="1"/>
      <w:numFmt w:val="bullet"/>
      <w:lvlText w:val=""/>
      <w:lvlJc w:val="left"/>
      <w:pPr>
        <w:ind w:left="1440" w:hanging="360"/>
      </w:pPr>
      <w:rPr>
        <w:rFonts w:ascii="Wingdings" w:hAnsi="Wingding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52F7C6F"/>
    <w:multiLevelType w:val="hybridMultilevel"/>
    <w:tmpl w:val="32040B78"/>
    <w:lvl w:ilvl="0" w:tplc="58C630A4">
      <w:start w:val="1"/>
      <w:numFmt w:val="decimal"/>
      <w:lvlText w:val="%1)"/>
      <w:lvlJc w:val="left"/>
      <w:pPr>
        <w:tabs>
          <w:tab w:val="num" w:pos="720"/>
        </w:tabs>
        <w:ind w:left="720" w:hanging="360"/>
      </w:pPr>
      <w:rPr>
        <w:rFonts w:ascii="Arial" w:eastAsia="Times New Roman" w:hAnsi="Arial" w:cs="Arial"/>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8293103"/>
    <w:multiLevelType w:val="hybridMultilevel"/>
    <w:tmpl w:val="05500C92"/>
    <w:lvl w:ilvl="0" w:tplc="040C000B">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B8059F0"/>
    <w:multiLevelType w:val="hybridMultilevel"/>
    <w:tmpl w:val="27FEC8FE"/>
    <w:lvl w:ilvl="0" w:tplc="D84C9252">
      <w:numFmt w:val="bullet"/>
      <w:lvlText w:val="-"/>
      <w:lvlJc w:val="left"/>
      <w:pPr>
        <w:ind w:left="720" w:hanging="360"/>
      </w:pPr>
      <w:rPr>
        <w:rFonts w:ascii="Times New Roman" w:eastAsia="Times New Roman" w:hAnsi="Times New Roman" w:cs="Times New Roman" w:hint="default"/>
        <w:b/>
        <w:color w:val="007ED5"/>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42F7445"/>
    <w:multiLevelType w:val="multilevel"/>
    <w:tmpl w:val="9AD0BA76"/>
    <w:lvl w:ilvl="0">
      <w:start w:val="1"/>
      <w:numFmt w:val="decimal"/>
      <w:pStyle w:val="Titre1"/>
      <w:lvlText w:val="%1."/>
      <w:lvlJc w:val="left"/>
      <w:pPr>
        <w:ind w:left="432" w:hanging="432"/>
      </w:pPr>
      <w:rPr>
        <w:rFonts w:hint="default"/>
      </w:rPr>
    </w:lvl>
    <w:lvl w:ilvl="1">
      <w:start w:val="1"/>
      <w:numFmt w:val="decimal"/>
      <w:pStyle w:val="Titre2"/>
      <w:lvlText w:val="%1.%2"/>
      <w:lvlJc w:val="left"/>
      <w:pPr>
        <w:ind w:left="1002" w:hanging="576"/>
      </w:pPr>
      <w:rPr>
        <w:rFonts w:hint="default"/>
      </w:rPr>
    </w:lvl>
    <w:lvl w:ilvl="2">
      <w:start w:val="1"/>
      <w:numFmt w:val="decimal"/>
      <w:pStyle w:val="Titre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482A44E4"/>
    <w:multiLevelType w:val="hybridMultilevel"/>
    <w:tmpl w:val="5148D116"/>
    <w:lvl w:ilvl="0" w:tplc="FFFFFFFF">
      <w:start w:val="1"/>
      <w:numFmt w:val="bullet"/>
      <w:lvlText w:val=""/>
      <w:lvlJc w:val="left"/>
      <w:pPr>
        <w:ind w:left="720" w:hanging="360"/>
      </w:pPr>
      <w:rPr>
        <w:rFonts w:ascii="Wingdings" w:hAnsi="Wingdings" w:hint="default"/>
      </w:rPr>
    </w:lvl>
    <w:lvl w:ilvl="1" w:tplc="040C000D">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53F932B5"/>
    <w:multiLevelType w:val="hybridMultilevel"/>
    <w:tmpl w:val="173EE438"/>
    <w:lvl w:ilvl="0" w:tplc="418AD59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4297022"/>
    <w:multiLevelType w:val="hybridMultilevel"/>
    <w:tmpl w:val="C192785C"/>
    <w:lvl w:ilvl="0" w:tplc="040C0011">
      <w:start w:val="1"/>
      <w:numFmt w:val="decimal"/>
      <w:lvlText w:val="%1)"/>
      <w:lvlJc w:val="left"/>
      <w:pPr>
        <w:ind w:left="720" w:hanging="360"/>
      </w:pPr>
      <w:rPr>
        <w:rFonts w:hint="default"/>
      </w:rPr>
    </w:lvl>
    <w:lvl w:ilvl="1" w:tplc="F7868734">
      <w:start w:val="1"/>
      <w:numFmt w:val="lowerLetter"/>
      <w:lvlText w:val="%2."/>
      <w:lvlJc w:val="left"/>
      <w:pPr>
        <w:ind w:left="1440" w:hanging="360"/>
      </w:pPr>
      <w:rPr>
        <w:b w:val="0"/>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58BA30E9"/>
    <w:multiLevelType w:val="hybridMultilevel"/>
    <w:tmpl w:val="1062F3CA"/>
    <w:lvl w:ilvl="0" w:tplc="D37CDFFA">
      <w:numFmt w:val="bullet"/>
      <w:lvlText w:val="-"/>
      <w:lvlJc w:val="left"/>
      <w:pPr>
        <w:ind w:left="720" w:hanging="360"/>
      </w:pPr>
      <w:rPr>
        <w:rFonts w:ascii="Arial" w:eastAsia="Times New Roman" w:hAnsi="Arial" w:cs="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8D708BB"/>
    <w:multiLevelType w:val="hybridMultilevel"/>
    <w:tmpl w:val="EC309D2C"/>
    <w:lvl w:ilvl="0" w:tplc="0FE6396A">
      <w:start w:val="5"/>
      <w:numFmt w:val="bullet"/>
      <w:lvlText w:val="-"/>
      <w:lvlJc w:val="left"/>
      <w:pPr>
        <w:ind w:left="720" w:hanging="360"/>
      </w:pPr>
      <w:rPr>
        <w:rFonts w:ascii="Arial" w:eastAsiaTheme="minorHAns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49566A4"/>
    <w:multiLevelType w:val="hybridMultilevel"/>
    <w:tmpl w:val="E6CE2E0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6493CFD"/>
    <w:multiLevelType w:val="multilevel"/>
    <w:tmpl w:val="E3501A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B126011"/>
    <w:multiLevelType w:val="multilevel"/>
    <w:tmpl w:val="662C0A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B3354A0"/>
    <w:multiLevelType w:val="hybridMultilevel"/>
    <w:tmpl w:val="6C5C66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CB17E3C"/>
    <w:multiLevelType w:val="hybridMultilevel"/>
    <w:tmpl w:val="1D3E45DC"/>
    <w:lvl w:ilvl="0" w:tplc="5EC2CE52">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D7E4DBA"/>
    <w:multiLevelType w:val="multilevel"/>
    <w:tmpl w:val="E87C5E08"/>
    <w:styleLink w:val="Listeactuelle1"/>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6" w15:restartNumberingAfterBreak="0">
    <w:nsid w:val="6EF27777"/>
    <w:multiLevelType w:val="hybridMultilevel"/>
    <w:tmpl w:val="3550A14A"/>
    <w:lvl w:ilvl="0" w:tplc="2312B392">
      <w:start w:val="1"/>
      <w:numFmt w:val="bullet"/>
      <w:lvlText w:val="-"/>
      <w:lvlJc w:val="left"/>
      <w:pPr>
        <w:ind w:left="720" w:hanging="360"/>
      </w:pPr>
      <w:rPr>
        <w:rFonts w:ascii="Courier New" w:hAnsi="Courier New" w:hint="default"/>
        <w:color w:val="007ED5"/>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38167CB"/>
    <w:multiLevelType w:val="hybridMultilevel"/>
    <w:tmpl w:val="0BD689E6"/>
    <w:lvl w:ilvl="0" w:tplc="AF1AEAC8">
      <w:start w:val="1"/>
      <w:numFmt w:val="bullet"/>
      <w:pStyle w:val="ATIHListe-pucecarre"/>
      <w:lvlText w:val="§"/>
      <w:lvlJc w:val="left"/>
      <w:pPr>
        <w:ind w:left="2487" w:hanging="360"/>
      </w:pPr>
      <w:rPr>
        <w:rFonts w:ascii="Wingdings" w:hAnsi="Wingdings" w:hint="default"/>
        <w:color w:val="FF5A64" w:themeColor="text2"/>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7453607D"/>
    <w:multiLevelType w:val="hybridMultilevel"/>
    <w:tmpl w:val="2C04177A"/>
    <w:lvl w:ilvl="0" w:tplc="FFFFFFFF">
      <w:start w:val="1"/>
      <w:numFmt w:val="bullet"/>
      <w:lvlText w:val=""/>
      <w:lvlPicBulletId w:val="0"/>
      <w:lvlJc w:val="left"/>
      <w:pPr>
        <w:ind w:left="720" w:hanging="360"/>
      </w:pPr>
      <w:rPr>
        <w:rFonts w:ascii="Symbol" w:hAnsi="Symbol" w:hint="default"/>
        <w:color w:val="auto"/>
      </w:rPr>
    </w:lvl>
    <w:lvl w:ilvl="1" w:tplc="5EC2CE52">
      <w:start w:val="1"/>
      <w:numFmt w:val="bullet"/>
      <w:lvlText w:val=""/>
      <w:lvlPicBulletId w:val="0"/>
      <w:lvlJc w:val="left"/>
      <w:pPr>
        <w:ind w:left="720" w:hanging="360"/>
      </w:pPr>
      <w:rPr>
        <w:rFonts w:ascii="Symbol" w:hAnsi="Symbol" w:hint="default"/>
        <w:color w:val="auto"/>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74CE4D4B"/>
    <w:multiLevelType w:val="hybridMultilevel"/>
    <w:tmpl w:val="D4FAF7F2"/>
    <w:lvl w:ilvl="0" w:tplc="D84C9252">
      <w:numFmt w:val="bullet"/>
      <w:lvlText w:val="-"/>
      <w:lvlJc w:val="left"/>
      <w:pPr>
        <w:ind w:left="720" w:hanging="360"/>
      </w:pPr>
      <w:rPr>
        <w:rFonts w:ascii="Times New Roman" w:eastAsia="Times New Roman" w:hAnsi="Times New Roman" w:cs="Times New Roman" w:hint="default"/>
        <w:b/>
        <w:color w:val="007ED5"/>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524339F"/>
    <w:multiLevelType w:val="hybridMultilevel"/>
    <w:tmpl w:val="D1D68696"/>
    <w:lvl w:ilvl="0" w:tplc="D84C9252">
      <w:numFmt w:val="bullet"/>
      <w:lvlText w:val="-"/>
      <w:lvlJc w:val="left"/>
      <w:pPr>
        <w:ind w:left="720" w:hanging="360"/>
      </w:pPr>
      <w:rPr>
        <w:rFonts w:ascii="Times New Roman" w:eastAsia="Times New Roman" w:hAnsi="Times New Roman" w:cs="Times New Roman" w:hint="default"/>
        <w:b/>
        <w:color w:val="007ED5"/>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A957029"/>
    <w:multiLevelType w:val="hybridMultilevel"/>
    <w:tmpl w:val="2DD8FC08"/>
    <w:lvl w:ilvl="0" w:tplc="D37CDFFA">
      <w:numFmt w:val="bullet"/>
      <w:lvlText w:val="-"/>
      <w:lvlJc w:val="left"/>
      <w:pPr>
        <w:ind w:left="720" w:hanging="360"/>
      </w:pPr>
      <w:rPr>
        <w:rFonts w:ascii="Arial" w:eastAsia="Times New Roman" w:hAnsi="Arial" w:cs="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AFD14C3"/>
    <w:multiLevelType w:val="hybridMultilevel"/>
    <w:tmpl w:val="7F2C4A88"/>
    <w:lvl w:ilvl="0" w:tplc="CEF4FE30">
      <w:start w:val="1"/>
      <w:numFmt w:val="bullet"/>
      <w:lvlText w:val="-"/>
      <w:lvlJc w:val="left"/>
      <w:pPr>
        <w:ind w:left="720" w:hanging="360"/>
      </w:pPr>
      <w:rPr>
        <w:rFonts w:ascii="Courier New" w:hAnsi="Courier New" w:hint="default"/>
        <w:color w:val="007ED5"/>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CBB6C48"/>
    <w:multiLevelType w:val="hybridMultilevel"/>
    <w:tmpl w:val="E75080C8"/>
    <w:lvl w:ilvl="0" w:tplc="FDB2223E">
      <w:start w:val="1"/>
      <w:numFmt w:val="decimal"/>
      <w:lvlText w:val="%1)"/>
      <w:lvlJc w:val="left"/>
      <w:pPr>
        <w:ind w:left="786" w:hanging="360"/>
      </w:pPr>
      <w:rPr>
        <w:rFonts w:hint="default"/>
        <w:b/>
      </w:rPr>
    </w:lvl>
    <w:lvl w:ilvl="1" w:tplc="040C0019">
      <w:start w:val="1"/>
      <w:numFmt w:val="lowerLetter"/>
      <w:lvlText w:val="%2."/>
      <w:lvlJc w:val="left"/>
      <w:pPr>
        <w:ind w:left="1506" w:hanging="360"/>
      </w:pPr>
    </w:lvl>
    <w:lvl w:ilvl="2" w:tplc="040C001B">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num w:numId="1" w16cid:durableId="1352951962">
    <w:abstractNumId w:val="8"/>
  </w:num>
  <w:num w:numId="2" w16cid:durableId="911232381">
    <w:abstractNumId w:val="14"/>
  </w:num>
  <w:num w:numId="3" w16cid:durableId="694426555">
    <w:abstractNumId w:val="5"/>
  </w:num>
  <w:num w:numId="4" w16cid:durableId="1440300524">
    <w:abstractNumId w:val="27"/>
  </w:num>
  <w:num w:numId="5" w16cid:durableId="1047143977">
    <w:abstractNumId w:val="25"/>
  </w:num>
  <w:num w:numId="6" w16cid:durableId="455487281">
    <w:abstractNumId w:val="19"/>
  </w:num>
  <w:num w:numId="7" w16cid:durableId="1936598612">
    <w:abstractNumId w:val="23"/>
  </w:num>
  <w:num w:numId="8" w16cid:durableId="766315093">
    <w:abstractNumId w:val="30"/>
  </w:num>
  <w:num w:numId="9" w16cid:durableId="892933300">
    <w:abstractNumId w:val="6"/>
  </w:num>
  <w:num w:numId="10" w16cid:durableId="903370961">
    <w:abstractNumId w:val="20"/>
  </w:num>
  <w:num w:numId="11" w16cid:durableId="1908606168">
    <w:abstractNumId w:val="16"/>
  </w:num>
  <w:num w:numId="12" w16cid:durableId="686828125">
    <w:abstractNumId w:val="4"/>
  </w:num>
  <w:num w:numId="13" w16cid:durableId="1611812051">
    <w:abstractNumId w:val="13"/>
  </w:num>
  <w:num w:numId="14" w16cid:durableId="1463770422">
    <w:abstractNumId w:val="29"/>
  </w:num>
  <w:num w:numId="15" w16cid:durableId="1783841922">
    <w:abstractNumId w:val="11"/>
  </w:num>
  <w:num w:numId="16" w16cid:durableId="1428119666">
    <w:abstractNumId w:val="31"/>
  </w:num>
  <w:num w:numId="17" w16cid:durableId="1887377337">
    <w:abstractNumId w:val="12"/>
  </w:num>
  <w:num w:numId="18" w16cid:durableId="31728948">
    <w:abstractNumId w:val="7"/>
  </w:num>
  <w:num w:numId="19" w16cid:durableId="6768835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48141300">
    <w:abstractNumId w:val="33"/>
  </w:num>
  <w:num w:numId="21" w16cid:durableId="2019115500">
    <w:abstractNumId w:val="17"/>
  </w:num>
  <w:num w:numId="22" w16cid:durableId="717781700">
    <w:abstractNumId w:val="10"/>
  </w:num>
  <w:num w:numId="23" w16cid:durableId="419639135">
    <w:abstractNumId w:val="32"/>
  </w:num>
  <w:num w:numId="24" w16cid:durableId="337929064">
    <w:abstractNumId w:val="26"/>
  </w:num>
  <w:num w:numId="25" w16cid:durableId="1614704153">
    <w:abstractNumId w:val="1"/>
  </w:num>
  <w:num w:numId="26" w16cid:durableId="279191272">
    <w:abstractNumId w:val="2"/>
  </w:num>
  <w:num w:numId="27" w16cid:durableId="1064110254">
    <w:abstractNumId w:val="21"/>
  </w:num>
  <w:num w:numId="28" w16cid:durableId="7294509">
    <w:abstractNumId w:val="22"/>
  </w:num>
  <w:num w:numId="29" w16cid:durableId="9980022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41427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53527226">
    <w:abstractNumId w:val="15"/>
  </w:num>
  <w:num w:numId="32" w16cid:durableId="550847766">
    <w:abstractNumId w:val="5"/>
  </w:num>
  <w:num w:numId="33" w16cid:durableId="1383820617">
    <w:abstractNumId w:val="5"/>
  </w:num>
  <w:num w:numId="34" w16cid:durableId="59256791">
    <w:abstractNumId w:val="3"/>
  </w:num>
  <w:num w:numId="35" w16cid:durableId="1990865314">
    <w:abstractNumId w:val="18"/>
  </w:num>
  <w:num w:numId="36" w16cid:durableId="1276523234">
    <w:abstractNumId w:val="9"/>
  </w:num>
  <w:num w:numId="37" w16cid:durableId="619723518">
    <w:abstractNumId w:val="28"/>
  </w:num>
  <w:num w:numId="38" w16cid:durableId="1743403400">
    <w:abstractNumId w:val="5"/>
  </w:num>
  <w:num w:numId="39" w16cid:durableId="2083142480">
    <w:abstractNumId w:val="2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attachedTemplate r:id="rId1"/>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A84"/>
    <w:rsid w:val="00011B87"/>
    <w:rsid w:val="00016CC7"/>
    <w:rsid w:val="0002065E"/>
    <w:rsid w:val="00023139"/>
    <w:rsid w:val="000443FA"/>
    <w:rsid w:val="000739D8"/>
    <w:rsid w:val="00084FCA"/>
    <w:rsid w:val="00095E16"/>
    <w:rsid w:val="000C5D2D"/>
    <w:rsid w:val="000E231A"/>
    <w:rsid w:val="00113C60"/>
    <w:rsid w:val="00116953"/>
    <w:rsid w:val="00145419"/>
    <w:rsid w:val="00145B54"/>
    <w:rsid w:val="00146957"/>
    <w:rsid w:val="001634AB"/>
    <w:rsid w:val="0016450C"/>
    <w:rsid w:val="00166EE0"/>
    <w:rsid w:val="00187BED"/>
    <w:rsid w:val="00193C2F"/>
    <w:rsid w:val="001B51FA"/>
    <w:rsid w:val="001C317F"/>
    <w:rsid w:val="001C4863"/>
    <w:rsid w:val="001E23A7"/>
    <w:rsid w:val="001F2DAC"/>
    <w:rsid w:val="002103AC"/>
    <w:rsid w:val="00215D7F"/>
    <w:rsid w:val="002274E9"/>
    <w:rsid w:val="0022799F"/>
    <w:rsid w:val="00233C40"/>
    <w:rsid w:val="00244DDE"/>
    <w:rsid w:val="00251C91"/>
    <w:rsid w:val="00260DC6"/>
    <w:rsid w:val="00261FD7"/>
    <w:rsid w:val="002836AC"/>
    <w:rsid w:val="002A2079"/>
    <w:rsid w:val="002C02D2"/>
    <w:rsid w:val="002C0CB7"/>
    <w:rsid w:val="002C38AE"/>
    <w:rsid w:val="002D518D"/>
    <w:rsid w:val="002D6518"/>
    <w:rsid w:val="00327E34"/>
    <w:rsid w:val="00343780"/>
    <w:rsid w:val="00343829"/>
    <w:rsid w:val="00347049"/>
    <w:rsid w:val="00351645"/>
    <w:rsid w:val="003529CA"/>
    <w:rsid w:val="00353CC9"/>
    <w:rsid w:val="00354BD4"/>
    <w:rsid w:val="0035739A"/>
    <w:rsid w:val="00363A36"/>
    <w:rsid w:val="00374C28"/>
    <w:rsid w:val="00375411"/>
    <w:rsid w:val="003B3D3D"/>
    <w:rsid w:val="003B7B0E"/>
    <w:rsid w:val="003C58E1"/>
    <w:rsid w:val="003C7EC5"/>
    <w:rsid w:val="003D7A6D"/>
    <w:rsid w:val="003E4D12"/>
    <w:rsid w:val="003F1804"/>
    <w:rsid w:val="00402BCB"/>
    <w:rsid w:val="004059BD"/>
    <w:rsid w:val="00434416"/>
    <w:rsid w:val="00437BE5"/>
    <w:rsid w:val="004764A5"/>
    <w:rsid w:val="00486A92"/>
    <w:rsid w:val="0049467B"/>
    <w:rsid w:val="004A442D"/>
    <w:rsid w:val="004B7962"/>
    <w:rsid w:val="004C1A2B"/>
    <w:rsid w:val="004D080B"/>
    <w:rsid w:val="004E152F"/>
    <w:rsid w:val="00501BA7"/>
    <w:rsid w:val="005372A0"/>
    <w:rsid w:val="0054558E"/>
    <w:rsid w:val="0055306E"/>
    <w:rsid w:val="0055537E"/>
    <w:rsid w:val="005C1C15"/>
    <w:rsid w:val="005D3209"/>
    <w:rsid w:val="005D54CE"/>
    <w:rsid w:val="005E54FB"/>
    <w:rsid w:val="00624DC0"/>
    <w:rsid w:val="00630D48"/>
    <w:rsid w:val="00631FC2"/>
    <w:rsid w:val="00692440"/>
    <w:rsid w:val="006A7799"/>
    <w:rsid w:val="006B3DEE"/>
    <w:rsid w:val="006C55EF"/>
    <w:rsid w:val="006D4F52"/>
    <w:rsid w:val="006F4316"/>
    <w:rsid w:val="007060BE"/>
    <w:rsid w:val="007129E5"/>
    <w:rsid w:val="00714239"/>
    <w:rsid w:val="007221C8"/>
    <w:rsid w:val="0073239B"/>
    <w:rsid w:val="0073337B"/>
    <w:rsid w:val="007632E8"/>
    <w:rsid w:val="00783DCF"/>
    <w:rsid w:val="007920FE"/>
    <w:rsid w:val="007A1999"/>
    <w:rsid w:val="007A5950"/>
    <w:rsid w:val="007A63F5"/>
    <w:rsid w:val="007B1D7C"/>
    <w:rsid w:val="007D045C"/>
    <w:rsid w:val="007F3C4D"/>
    <w:rsid w:val="008125FA"/>
    <w:rsid w:val="00816FD1"/>
    <w:rsid w:val="00820AB0"/>
    <w:rsid w:val="0083543A"/>
    <w:rsid w:val="00870B11"/>
    <w:rsid w:val="008869C9"/>
    <w:rsid w:val="008A4145"/>
    <w:rsid w:val="008C55EB"/>
    <w:rsid w:val="008F306A"/>
    <w:rsid w:val="008F701A"/>
    <w:rsid w:val="00907601"/>
    <w:rsid w:val="00907C1E"/>
    <w:rsid w:val="00916257"/>
    <w:rsid w:val="00916CA6"/>
    <w:rsid w:val="009478BD"/>
    <w:rsid w:val="00953443"/>
    <w:rsid w:val="00970BB3"/>
    <w:rsid w:val="0098550F"/>
    <w:rsid w:val="009861B1"/>
    <w:rsid w:val="00991F87"/>
    <w:rsid w:val="009A3A0E"/>
    <w:rsid w:val="009A599A"/>
    <w:rsid w:val="009A5DC8"/>
    <w:rsid w:val="009B15B3"/>
    <w:rsid w:val="009B46FF"/>
    <w:rsid w:val="009B7AC8"/>
    <w:rsid w:val="009C641F"/>
    <w:rsid w:val="009D4584"/>
    <w:rsid w:val="009E0DB8"/>
    <w:rsid w:val="009F44E0"/>
    <w:rsid w:val="00A0607B"/>
    <w:rsid w:val="00A06126"/>
    <w:rsid w:val="00A25D8A"/>
    <w:rsid w:val="00A25FA8"/>
    <w:rsid w:val="00A274FA"/>
    <w:rsid w:val="00A36A16"/>
    <w:rsid w:val="00A40EC6"/>
    <w:rsid w:val="00A415AE"/>
    <w:rsid w:val="00A42A71"/>
    <w:rsid w:val="00A46C19"/>
    <w:rsid w:val="00A51226"/>
    <w:rsid w:val="00A773DA"/>
    <w:rsid w:val="00A84B5C"/>
    <w:rsid w:val="00A9400E"/>
    <w:rsid w:val="00A966D7"/>
    <w:rsid w:val="00AA11A0"/>
    <w:rsid w:val="00AA1949"/>
    <w:rsid w:val="00AC795A"/>
    <w:rsid w:val="00AE1DE6"/>
    <w:rsid w:val="00AE3588"/>
    <w:rsid w:val="00B35CC2"/>
    <w:rsid w:val="00B56167"/>
    <w:rsid w:val="00B76A2F"/>
    <w:rsid w:val="00B81CF9"/>
    <w:rsid w:val="00B82DE6"/>
    <w:rsid w:val="00BB0014"/>
    <w:rsid w:val="00BB337C"/>
    <w:rsid w:val="00BC4F6A"/>
    <w:rsid w:val="00BD0D82"/>
    <w:rsid w:val="00C03F15"/>
    <w:rsid w:val="00C32577"/>
    <w:rsid w:val="00C41CA0"/>
    <w:rsid w:val="00C458E2"/>
    <w:rsid w:val="00C46D21"/>
    <w:rsid w:val="00C4732A"/>
    <w:rsid w:val="00C528D1"/>
    <w:rsid w:val="00C73ED6"/>
    <w:rsid w:val="00C80158"/>
    <w:rsid w:val="00C81BFD"/>
    <w:rsid w:val="00C8249A"/>
    <w:rsid w:val="00C97200"/>
    <w:rsid w:val="00CA19B4"/>
    <w:rsid w:val="00CA7EB9"/>
    <w:rsid w:val="00CB0BB9"/>
    <w:rsid w:val="00CD59EC"/>
    <w:rsid w:val="00CE04DE"/>
    <w:rsid w:val="00CF3029"/>
    <w:rsid w:val="00CF48C3"/>
    <w:rsid w:val="00D0583F"/>
    <w:rsid w:val="00D07901"/>
    <w:rsid w:val="00D157D8"/>
    <w:rsid w:val="00D15E9F"/>
    <w:rsid w:val="00D21877"/>
    <w:rsid w:val="00D31461"/>
    <w:rsid w:val="00D53787"/>
    <w:rsid w:val="00D73CED"/>
    <w:rsid w:val="00D75E7A"/>
    <w:rsid w:val="00D86D84"/>
    <w:rsid w:val="00D87A84"/>
    <w:rsid w:val="00D910CA"/>
    <w:rsid w:val="00DA182D"/>
    <w:rsid w:val="00DD0BCD"/>
    <w:rsid w:val="00DD2625"/>
    <w:rsid w:val="00E00710"/>
    <w:rsid w:val="00E10DE8"/>
    <w:rsid w:val="00E14C1A"/>
    <w:rsid w:val="00E22938"/>
    <w:rsid w:val="00E25BFB"/>
    <w:rsid w:val="00E472F8"/>
    <w:rsid w:val="00EB0B25"/>
    <w:rsid w:val="00EB25C7"/>
    <w:rsid w:val="00EC7644"/>
    <w:rsid w:val="00F04490"/>
    <w:rsid w:val="00F1168D"/>
    <w:rsid w:val="00F15B6B"/>
    <w:rsid w:val="00F257FB"/>
    <w:rsid w:val="00F47328"/>
    <w:rsid w:val="00F679B4"/>
    <w:rsid w:val="00F71F13"/>
    <w:rsid w:val="00F727DA"/>
    <w:rsid w:val="00F81C66"/>
    <w:rsid w:val="00F91063"/>
    <w:rsid w:val="00FB3BA0"/>
    <w:rsid w:val="00FC408C"/>
    <w:rsid w:val="00FD68F7"/>
    <w:rsid w:val="00FF3A7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33F742"/>
  <w15:chartTrackingRefBased/>
  <w15:docId w15:val="{BC4DAE20-5726-4F1D-8140-88C2A0242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4D12"/>
    <w:pPr>
      <w:spacing w:line="264" w:lineRule="auto"/>
      <w:jc w:val="both"/>
    </w:pPr>
    <w:rPr>
      <w:sz w:val="20"/>
    </w:rPr>
  </w:style>
  <w:style w:type="paragraph" w:styleId="Titre1">
    <w:name w:val="heading 1"/>
    <w:aliases w:val="ATIH_Titre 1"/>
    <w:basedOn w:val="Normal"/>
    <w:next w:val="Normal"/>
    <w:link w:val="Titre1Car"/>
    <w:uiPriority w:val="9"/>
    <w:qFormat/>
    <w:rsid w:val="00B56167"/>
    <w:pPr>
      <w:keepNext/>
      <w:keepLines/>
      <w:numPr>
        <w:numId w:val="2"/>
      </w:numPr>
      <w:spacing w:before="240" w:after="480"/>
      <w:outlineLvl w:val="0"/>
    </w:pPr>
    <w:rPr>
      <w:rFonts w:asciiTheme="majorHAnsi" w:eastAsiaTheme="majorEastAsia" w:hAnsiTheme="majorHAnsi" w:cs="Times New Roman (Titres CS)"/>
      <w:b/>
      <w:color w:val="2B3BB2" w:themeColor="accent1"/>
      <w:sz w:val="36"/>
      <w:szCs w:val="46"/>
    </w:rPr>
  </w:style>
  <w:style w:type="paragraph" w:styleId="Titre2">
    <w:name w:val="heading 2"/>
    <w:aliases w:val="ATIH_Titre 2"/>
    <w:basedOn w:val="Normal"/>
    <w:next w:val="Normal"/>
    <w:link w:val="Titre2Car"/>
    <w:uiPriority w:val="9"/>
    <w:unhideWhenUsed/>
    <w:qFormat/>
    <w:rsid w:val="00B56167"/>
    <w:pPr>
      <w:keepNext/>
      <w:keepLines/>
      <w:numPr>
        <w:ilvl w:val="1"/>
        <w:numId w:val="2"/>
      </w:numPr>
      <w:spacing w:before="480" w:after="360"/>
      <w:outlineLvl w:val="1"/>
    </w:pPr>
    <w:rPr>
      <w:rFonts w:asciiTheme="majorHAnsi" w:eastAsiaTheme="majorEastAsia" w:hAnsiTheme="majorHAnsi" w:cs="Times New Roman (Titres CS)"/>
      <w:b/>
      <w:color w:val="FF5A64" w:themeColor="text2"/>
      <w:sz w:val="28"/>
      <w:szCs w:val="30"/>
    </w:rPr>
  </w:style>
  <w:style w:type="paragraph" w:styleId="Titre3">
    <w:name w:val="heading 3"/>
    <w:aliases w:val="ATIH_Titre 3"/>
    <w:basedOn w:val="Normal"/>
    <w:next w:val="Normal"/>
    <w:link w:val="Titre3Car"/>
    <w:uiPriority w:val="9"/>
    <w:unhideWhenUsed/>
    <w:qFormat/>
    <w:rsid w:val="00B56167"/>
    <w:pPr>
      <w:keepNext/>
      <w:keepLines/>
      <w:numPr>
        <w:ilvl w:val="2"/>
        <w:numId w:val="2"/>
      </w:numPr>
      <w:tabs>
        <w:tab w:val="left" w:pos="993"/>
      </w:tabs>
      <w:spacing w:before="360" w:after="360"/>
      <w:outlineLvl w:val="2"/>
    </w:pPr>
    <w:rPr>
      <w:rFonts w:asciiTheme="majorHAnsi" w:eastAsiaTheme="majorEastAsia" w:hAnsiTheme="majorHAnsi" w:cs="Times New Roman (Titres CS)"/>
      <w:b/>
      <w:color w:val="2B3BB2" w:themeColor="accent1"/>
      <w:sz w:val="24"/>
      <w:szCs w:val="28"/>
    </w:rPr>
  </w:style>
  <w:style w:type="paragraph" w:styleId="Titre4">
    <w:name w:val="heading 4"/>
    <w:aliases w:val="ATIH_Titre 4"/>
    <w:basedOn w:val="Normal"/>
    <w:next w:val="Normal"/>
    <w:link w:val="Titre4Car"/>
    <w:uiPriority w:val="9"/>
    <w:unhideWhenUsed/>
    <w:qFormat/>
    <w:rsid w:val="00CF3029"/>
    <w:pPr>
      <w:keepNext/>
      <w:keepLines/>
      <w:spacing w:before="240"/>
      <w:outlineLvl w:val="3"/>
    </w:pPr>
    <w:rPr>
      <w:rFonts w:asciiTheme="majorHAnsi" w:eastAsiaTheme="majorEastAsia" w:hAnsiTheme="majorHAnsi" w:cs="Times New Roman (Titres CS)"/>
      <w:b/>
      <w:iCs/>
      <w:color w:val="202C85" w:themeColor="accent1" w:themeShade="BF"/>
    </w:rPr>
  </w:style>
  <w:style w:type="paragraph" w:styleId="Titre5">
    <w:name w:val="heading 5"/>
    <w:aliases w:val="ATIH_Titre 5"/>
    <w:basedOn w:val="Normal"/>
    <w:next w:val="Normal"/>
    <w:link w:val="Titre5Car"/>
    <w:uiPriority w:val="9"/>
    <w:semiHidden/>
    <w:unhideWhenUsed/>
    <w:qFormat/>
    <w:rsid w:val="00A415AE"/>
    <w:pPr>
      <w:keepNext/>
      <w:keepLines/>
      <w:spacing w:before="40"/>
      <w:outlineLvl w:val="4"/>
    </w:pPr>
    <w:rPr>
      <w:rFonts w:eastAsiaTheme="majorEastAsia" w:cstheme="majorBidi"/>
      <w:b/>
      <w:color w:val="9B9BC8" w:themeColor="accent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aliases w:val="ATIH_Titre 4 Car"/>
    <w:basedOn w:val="Policepardfaut"/>
    <w:link w:val="Titre4"/>
    <w:uiPriority w:val="9"/>
    <w:rsid w:val="00CF3029"/>
    <w:rPr>
      <w:rFonts w:asciiTheme="majorHAnsi" w:eastAsiaTheme="majorEastAsia" w:hAnsiTheme="majorHAnsi" w:cs="Times New Roman (Titres CS)"/>
      <w:b/>
      <w:iCs/>
      <w:color w:val="202C85" w:themeColor="accent1" w:themeShade="BF"/>
      <w:sz w:val="20"/>
    </w:rPr>
  </w:style>
  <w:style w:type="character" w:customStyle="1" w:styleId="Titre1Car">
    <w:name w:val="Titre 1 Car"/>
    <w:aliases w:val="ATIH_Titre 1 Car"/>
    <w:basedOn w:val="Policepardfaut"/>
    <w:link w:val="Titre1"/>
    <w:uiPriority w:val="9"/>
    <w:rsid w:val="00B56167"/>
    <w:rPr>
      <w:rFonts w:asciiTheme="majorHAnsi" w:eastAsiaTheme="majorEastAsia" w:hAnsiTheme="majorHAnsi" w:cs="Times New Roman (Titres CS)"/>
      <w:b/>
      <w:color w:val="2B3BB2" w:themeColor="accent1"/>
      <w:sz w:val="36"/>
      <w:szCs w:val="46"/>
    </w:rPr>
  </w:style>
  <w:style w:type="character" w:customStyle="1" w:styleId="Titre2Car">
    <w:name w:val="Titre 2 Car"/>
    <w:aliases w:val="ATIH_Titre 2 Car"/>
    <w:basedOn w:val="Policepardfaut"/>
    <w:link w:val="Titre2"/>
    <w:uiPriority w:val="9"/>
    <w:rsid w:val="00CF3029"/>
    <w:rPr>
      <w:rFonts w:asciiTheme="majorHAnsi" w:eastAsiaTheme="majorEastAsia" w:hAnsiTheme="majorHAnsi" w:cs="Times New Roman (Titres CS)"/>
      <w:b/>
      <w:color w:val="FF5A64" w:themeColor="text2"/>
      <w:sz w:val="28"/>
      <w:szCs w:val="30"/>
    </w:rPr>
  </w:style>
  <w:style w:type="character" w:customStyle="1" w:styleId="Titre3Car">
    <w:name w:val="Titre 3 Car"/>
    <w:aliases w:val="ATIH_Titre 3 Car"/>
    <w:basedOn w:val="Policepardfaut"/>
    <w:link w:val="Titre3"/>
    <w:uiPriority w:val="9"/>
    <w:rsid w:val="00CF3029"/>
    <w:rPr>
      <w:rFonts w:asciiTheme="majorHAnsi" w:eastAsiaTheme="majorEastAsia" w:hAnsiTheme="majorHAnsi" w:cs="Times New Roman (Titres CS)"/>
      <w:b/>
      <w:color w:val="2B3BB2" w:themeColor="accent1"/>
      <w:szCs w:val="28"/>
    </w:rPr>
  </w:style>
  <w:style w:type="paragraph" w:customStyle="1" w:styleId="ATIHTitreRapport">
    <w:name w:val="ATIH_Titre Rapport"/>
    <w:basedOn w:val="Normal"/>
    <w:uiPriority w:val="1"/>
    <w:qFormat/>
    <w:rsid w:val="009A5DC8"/>
    <w:pPr>
      <w:spacing w:line="216" w:lineRule="auto"/>
      <w:ind w:left="2132" w:hanging="6"/>
      <w:jc w:val="left"/>
    </w:pPr>
    <w:rPr>
      <w:rFonts w:cs="Times New Roman (Corps CS)"/>
      <w:b/>
      <w:bCs/>
      <w:color w:val="2B3BB2" w:themeColor="accent1"/>
      <w:sz w:val="68"/>
      <w:szCs w:val="68"/>
    </w:rPr>
  </w:style>
  <w:style w:type="paragraph" w:customStyle="1" w:styleId="ATIHSous-titredurapport">
    <w:name w:val="ATIH_Sous-titre du rapport"/>
    <w:basedOn w:val="Normal"/>
    <w:qFormat/>
    <w:rsid w:val="004C1A2B"/>
    <w:pPr>
      <w:spacing w:line="240" w:lineRule="auto"/>
      <w:ind w:left="2132" w:hanging="6"/>
      <w:jc w:val="left"/>
    </w:pPr>
    <w:rPr>
      <w:rFonts w:cstheme="minorHAnsi"/>
      <w:b/>
      <w:bCs/>
      <w:color w:val="2B3BB2" w:themeColor="accent1"/>
      <w:sz w:val="40"/>
      <w:szCs w:val="40"/>
    </w:rPr>
  </w:style>
  <w:style w:type="paragraph" w:customStyle="1" w:styleId="ATIHSommaireTitreparties">
    <w:name w:val="ATIH_Sommaire / Titre parties"/>
    <w:basedOn w:val="Normal"/>
    <w:qFormat/>
    <w:rsid w:val="00AA1949"/>
    <w:pPr>
      <w:jc w:val="left"/>
    </w:pPr>
    <w:rPr>
      <w:rFonts w:cs="Times New Roman (Corps CS)"/>
      <w:b/>
      <w:bCs/>
      <w:color w:val="FF5A64" w:themeColor="text2"/>
      <w:sz w:val="48"/>
      <w:szCs w:val="56"/>
    </w:rPr>
  </w:style>
  <w:style w:type="numbering" w:customStyle="1" w:styleId="ATIH-">
    <w:name w:val="ATIH-"/>
    <w:uiPriority w:val="99"/>
    <w:rsid w:val="004D080B"/>
    <w:pPr>
      <w:numPr>
        <w:numId w:val="1"/>
      </w:numPr>
    </w:pPr>
  </w:style>
  <w:style w:type="paragraph" w:styleId="Sansinterligne">
    <w:name w:val="No Spacing"/>
    <w:aliases w:val="ATIH_Normal Sans interligne"/>
    <w:autoRedefine/>
    <w:uiPriority w:val="1"/>
    <w:qFormat/>
    <w:rsid w:val="009B7AC8"/>
    <w:pPr>
      <w:widowControl w:val="0"/>
      <w:autoSpaceDE w:val="0"/>
      <w:autoSpaceDN w:val="0"/>
    </w:pPr>
    <w:rPr>
      <w:kern w:val="0"/>
      <w:sz w:val="18"/>
      <w:szCs w:val="21"/>
      <w:lang w:val="en-US"/>
      <w14:ligatures w14:val="none"/>
    </w:rPr>
  </w:style>
  <w:style w:type="table" w:styleId="Grilledutableau">
    <w:name w:val="Table Grid"/>
    <w:basedOn w:val="TableauNormal"/>
    <w:uiPriority w:val="39"/>
    <w:rsid w:val="00D058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5Car">
    <w:name w:val="Titre 5 Car"/>
    <w:aliases w:val="ATIH_Titre 5 Car"/>
    <w:basedOn w:val="Policepardfaut"/>
    <w:link w:val="Titre5"/>
    <w:uiPriority w:val="9"/>
    <w:semiHidden/>
    <w:rsid w:val="00A415AE"/>
    <w:rPr>
      <w:rFonts w:eastAsiaTheme="majorEastAsia" w:cstheme="majorBidi"/>
      <w:b/>
      <w:color w:val="9B9BC8" w:themeColor="accent2"/>
      <w:sz w:val="22"/>
    </w:rPr>
  </w:style>
  <w:style w:type="paragraph" w:styleId="Paragraphedeliste">
    <w:name w:val="List Paragraph"/>
    <w:aliases w:val="lp1,Bullet Niv 1,Pied de page-Stordata,£3 Paragraph,Bullet List,FooterText,numbered,List Paragraph1,List11,Puce 1 STOR,Add On (orange),Bullet 3,Bullet-SecondaryLM,Paragraphe de liste2,List1,Nomios - Paragraphe de liste,Sous-titre 2"/>
    <w:basedOn w:val="Normal"/>
    <w:link w:val="ParagraphedelisteCar"/>
    <w:uiPriority w:val="34"/>
    <w:qFormat/>
    <w:rsid w:val="00A415AE"/>
    <w:pPr>
      <w:numPr>
        <w:numId w:val="3"/>
      </w:numPr>
      <w:contextualSpacing/>
    </w:pPr>
  </w:style>
  <w:style w:type="paragraph" w:styleId="Titre">
    <w:name w:val="Title"/>
    <w:aliases w:val="ATIH_Texte Exergue"/>
    <w:basedOn w:val="Normal"/>
    <w:next w:val="Normal"/>
    <w:link w:val="TitreCar"/>
    <w:uiPriority w:val="10"/>
    <w:qFormat/>
    <w:rsid w:val="0002065E"/>
    <w:pPr>
      <w:contextualSpacing/>
      <w:jc w:val="center"/>
    </w:pPr>
    <w:rPr>
      <w:rFonts w:eastAsiaTheme="majorEastAsia" w:cstheme="majorBidi"/>
      <w:b/>
      <w:color w:val="000000" w:themeColor="text1"/>
      <w:spacing w:val="-10"/>
      <w:kern w:val="28"/>
      <w:sz w:val="21"/>
      <w:szCs w:val="56"/>
    </w:rPr>
  </w:style>
  <w:style w:type="character" w:customStyle="1" w:styleId="TitreCar">
    <w:name w:val="Titre Car"/>
    <w:aliases w:val="ATIH_Texte Exergue Car"/>
    <w:basedOn w:val="Policepardfaut"/>
    <w:link w:val="Titre"/>
    <w:uiPriority w:val="10"/>
    <w:rsid w:val="0002065E"/>
    <w:rPr>
      <w:rFonts w:eastAsiaTheme="majorEastAsia" w:cstheme="majorBidi"/>
      <w:b/>
      <w:color w:val="000000" w:themeColor="text1"/>
      <w:spacing w:val="-10"/>
      <w:kern w:val="28"/>
      <w:sz w:val="21"/>
      <w:szCs w:val="56"/>
    </w:rPr>
  </w:style>
  <w:style w:type="paragraph" w:styleId="En-tte">
    <w:name w:val="header"/>
    <w:basedOn w:val="Normal"/>
    <w:link w:val="En-tteCar"/>
    <w:uiPriority w:val="99"/>
    <w:unhideWhenUsed/>
    <w:rsid w:val="00FB3BA0"/>
    <w:pPr>
      <w:tabs>
        <w:tab w:val="center" w:pos="4536"/>
        <w:tab w:val="right" w:pos="9072"/>
      </w:tabs>
      <w:spacing w:line="240" w:lineRule="auto"/>
    </w:pPr>
  </w:style>
  <w:style w:type="character" w:customStyle="1" w:styleId="En-tteCar">
    <w:name w:val="En-tête Car"/>
    <w:basedOn w:val="Policepardfaut"/>
    <w:link w:val="En-tte"/>
    <w:uiPriority w:val="99"/>
    <w:rsid w:val="00FB3BA0"/>
    <w:rPr>
      <w:sz w:val="22"/>
    </w:rPr>
  </w:style>
  <w:style w:type="paragraph" w:styleId="Pieddepage">
    <w:name w:val="footer"/>
    <w:basedOn w:val="Normal"/>
    <w:link w:val="PieddepageCar"/>
    <w:uiPriority w:val="99"/>
    <w:unhideWhenUsed/>
    <w:rsid w:val="00FB3BA0"/>
    <w:pPr>
      <w:tabs>
        <w:tab w:val="center" w:pos="4536"/>
        <w:tab w:val="right" w:pos="9072"/>
      </w:tabs>
      <w:spacing w:line="240" w:lineRule="auto"/>
    </w:pPr>
  </w:style>
  <w:style w:type="character" w:customStyle="1" w:styleId="PieddepageCar">
    <w:name w:val="Pied de page Car"/>
    <w:basedOn w:val="Policepardfaut"/>
    <w:link w:val="Pieddepage"/>
    <w:uiPriority w:val="99"/>
    <w:rsid w:val="00FB3BA0"/>
    <w:rPr>
      <w:sz w:val="22"/>
    </w:rPr>
  </w:style>
  <w:style w:type="character" w:styleId="Lienhypertexte">
    <w:name w:val="Hyperlink"/>
    <w:basedOn w:val="Policepardfaut"/>
    <w:uiPriority w:val="99"/>
    <w:rsid w:val="00FB3BA0"/>
    <w:rPr>
      <w:color w:val="2B3BB2" w:themeColor="accent1"/>
      <w:sz w:val="21"/>
      <w:u w:val="single"/>
    </w:rPr>
  </w:style>
  <w:style w:type="table" w:customStyle="1" w:styleId="TableNormal">
    <w:name w:val="Table Normal"/>
    <w:uiPriority w:val="2"/>
    <w:semiHidden/>
    <w:unhideWhenUsed/>
    <w:qFormat/>
    <w:rsid w:val="00A966D7"/>
    <w:pPr>
      <w:widowControl w:val="0"/>
      <w:autoSpaceDE w:val="0"/>
      <w:autoSpaceDN w:val="0"/>
    </w:pPr>
    <w:rPr>
      <w:kern w:val="0"/>
      <w:sz w:val="22"/>
      <w:szCs w:val="22"/>
      <w:lang w:val="en-US"/>
      <w14:ligatures w14:val="none"/>
    </w:rPr>
    <w:tblPr>
      <w:tblInd w:w="0" w:type="dxa"/>
      <w:tblCellMar>
        <w:top w:w="0" w:type="dxa"/>
        <w:left w:w="0" w:type="dxa"/>
        <w:bottom w:w="0" w:type="dxa"/>
        <w:right w:w="0" w:type="dxa"/>
      </w:tblCellMar>
    </w:tblPr>
  </w:style>
  <w:style w:type="paragraph" w:customStyle="1" w:styleId="ATIHListe-pucecarre">
    <w:name w:val="ATIH_Liste - puce carrée"/>
    <w:basedOn w:val="Normal"/>
    <w:rsid w:val="003B7B0E"/>
    <w:pPr>
      <w:numPr>
        <w:numId w:val="4"/>
      </w:numPr>
      <w:spacing w:line="276" w:lineRule="auto"/>
      <w:ind w:left="327" w:hanging="283"/>
    </w:pPr>
    <w:rPr>
      <w:szCs w:val="21"/>
    </w:rPr>
  </w:style>
  <w:style w:type="character" w:customStyle="1" w:styleId="ATIHDate">
    <w:name w:val="ATIH_Date"/>
    <w:basedOn w:val="Policepardfaut"/>
    <w:uiPriority w:val="1"/>
    <w:qFormat/>
    <w:rsid w:val="00A966D7"/>
    <w:rPr>
      <w:b/>
      <w:color w:val="2B3BB2" w:themeColor="accent1"/>
      <w:sz w:val="18"/>
      <w:szCs w:val="18"/>
    </w:rPr>
  </w:style>
  <w:style w:type="character" w:styleId="Numrodepage">
    <w:name w:val="page number"/>
    <w:basedOn w:val="Policepardfaut"/>
    <w:uiPriority w:val="99"/>
    <w:semiHidden/>
    <w:rsid w:val="00A966D7"/>
  </w:style>
  <w:style w:type="paragraph" w:customStyle="1" w:styleId="ATIHDate-couverture">
    <w:name w:val="ATIH_Date - couverture"/>
    <w:qFormat/>
    <w:rsid w:val="00AA1949"/>
    <w:pPr>
      <w:jc w:val="center"/>
    </w:pPr>
    <w:rPr>
      <w:rFonts w:cs="Times New Roman (Corps CS)"/>
      <w:b/>
      <w:bCs/>
      <w:caps/>
      <w:sz w:val="32"/>
      <w:szCs w:val="36"/>
    </w:rPr>
  </w:style>
  <w:style w:type="character" w:styleId="Mentionnonrsolue">
    <w:name w:val="Unresolved Mention"/>
    <w:basedOn w:val="Policepardfaut"/>
    <w:uiPriority w:val="99"/>
    <w:semiHidden/>
    <w:unhideWhenUsed/>
    <w:rsid w:val="003B7B0E"/>
    <w:rPr>
      <w:color w:val="605E5C"/>
      <w:shd w:val="clear" w:color="auto" w:fill="E1DFDD"/>
    </w:rPr>
  </w:style>
  <w:style w:type="character" w:styleId="Lienhypertextesuivivisit">
    <w:name w:val="FollowedHyperlink"/>
    <w:basedOn w:val="Policepardfaut"/>
    <w:uiPriority w:val="99"/>
    <w:semiHidden/>
    <w:unhideWhenUsed/>
    <w:rsid w:val="003B7B0E"/>
    <w:rPr>
      <w:color w:val="FF5A64" w:themeColor="followedHyperlink"/>
      <w:u w:val="single"/>
    </w:rPr>
  </w:style>
  <w:style w:type="paragraph" w:styleId="TM1">
    <w:name w:val="toc 1"/>
    <w:basedOn w:val="Normal"/>
    <w:next w:val="Normal"/>
    <w:autoRedefine/>
    <w:uiPriority w:val="39"/>
    <w:rsid w:val="0054558E"/>
    <w:pPr>
      <w:tabs>
        <w:tab w:val="left" w:pos="426"/>
        <w:tab w:val="left" w:leader="dot" w:pos="8789"/>
      </w:tabs>
      <w:spacing w:before="320" w:after="160" w:line="240" w:lineRule="auto"/>
      <w:ind w:left="426" w:right="-6" w:hanging="426"/>
      <w:jc w:val="left"/>
    </w:pPr>
    <w:rPr>
      <w:rFonts w:cs="Times New Roman (Corps CS)"/>
      <w:b/>
      <w:noProof/>
      <w:color w:val="FF5A64" w:themeColor="text2"/>
      <w:szCs w:val="20"/>
    </w:rPr>
  </w:style>
  <w:style w:type="paragraph" w:styleId="TM3">
    <w:name w:val="toc 3"/>
    <w:basedOn w:val="Normal"/>
    <w:next w:val="Normal"/>
    <w:autoRedefine/>
    <w:uiPriority w:val="39"/>
    <w:unhideWhenUsed/>
    <w:rsid w:val="00CB0BB9"/>
    <w:pPr>
      <w:tabs>
        <w:tab w:val="left" w:pos="1701"/>
        <w:tab w:val="right" w:leader="dot" w:pos="9056"/>
      </w:tabs>
      <w:ind w:left="1701" w:hanging="708"/>
    </w:pPr>
    <w:rPr>
      <w:rFonts w:cs="Times New Roman (Corps CS)"/>
      <w:noProof/>
    </w:rPr>
  </w:style>
  <w:style w:type="paragraph" w:styleId="TM2">
    <w:name w:val="toc 2"/>
    <w:basedOn w:val="Normal"/>
    <w:next w:val="Normal"/>
    <w:autoRedefine/>
    <w:uiPriority w:val="39"/>
    <w:unhideWhenUsed/>
    <w:rsid w:val="00CB0BB9"/>
    <w:pPr>
      <w:tabs>
        <w:tab w:val="left" w:pos="993"/>
        <w:tab w:val="right" w:leader="dot" w:pos="9056"/>
      </w:tabs>
      <w:spacing w:before="120" w:after="60"/>
      <w:ind w:left="993" w:hanging="567"/>
    </w:pPr>
    <w:rPr>
      <w:rFonts w:cs="Times New Roman (Corps CS)"/>
      <w:b/>
      <w:bCs/>
      <w:noProof/>
      <w:color w:val="2B3BB2" w:themeColor="accent1"/>
    </w:rPr>
  </w:style>
  <w:style w:type="paragraph" w:customStyle="1" w:styleId="ATIHTitretableau">
    <w:name w:val="ATIH_Titre tableau"/>
    <w:qFormat/>
    <w:rsid w:val="009B7AC8"/>
    <w:pPr>
      <w:jc w:val="center"/>
    </w:pPr>
    <w:rPr>
      <w:rFonts w:cs="Times New Roman (Corps CS)"/>
      <w:b/>
      <w:bCs/>
      <w:caps/>
      <w:color w:val="FFFFFF" w:themeColor="background1"/>
      <w:kern w:val="0"/>
      <w:sz w:val="18"/>
      <w:szCs w:val="21"/>
      <w:lang w:val="en-US"/>
      <w14:ligatures w14:val="none"/>
    </w:rPr>
  </w:style>
  <w:style w:type="numbering" w:customStyle="1" w:styleId="Listeactuelle1">
    <w:name w:val="Liste actuelle1"/>
    <w:uiPriority w:val="99"/>
    <w:rsid w:val="00B56167"/>
    <w:pPr>
      <w:numPr>
        <w:numId w:val="5"/>
      </w:numPr>
    </w:pPr>
  </w:style>
  <w:style w:type="character" w:customStyle="1" w:styleId="ParagraphedelisteCar">
    <w:name w:val="Paragraphe de liste Car"/>
    <w:aliases w:val="lp1 Car,Bullet Niv 1 Car,Pied de page-Stordata Car,£3 Paragraph Car,Bullet List Car,FooterText Car,numbered Car,List Paragraph1 Car,List11 Car,Puce 1 STOR Car,Add On (orange) Car,Bullet 3 Car,Bullet-SecondaryLM Car,List1 Car"/>
    <w:link w:val="Paragraphedeliste"/>
    <w:uiPriority w:val="34"/>
    <w:locked/>
    <w:rsid w:val="00D87A84"/>
    <w:rPr>
      <w:sz w:val="20"/>
    </w:rPr>
  </w:style>
  <w:style w:type="paragraph" w:styleId="Notedebasdepage">
    <w:name w:val="footnote text"/>
    <w:basedOn w:val="Normal"/>
    <w:link w:val="NotedebasdepageCar"/>
    <w:semiHidden/>
    <w:rsid w:val="00A773DA"/>
    <w:pPr>
      <w:spacing w:before="120" w:line="288" w:lineRule="auto"/>
    </w:pPr>
    <w:rPr>
      <w:rFonts w:ascii="Arial" w:eastAsia="Times New Roman" w:hAnsi="Arial" w:cs="Times New Roman"/>
      <w:noProof/>
      <w:kern w:val="0"/>
      <w:szCs w:val="20"/>
      <w14:ligatures w14:val="none"/>
    </w:rPr>
  </w:style>
  <w:style w:type="character" w:customStyle="1" w:styleId="NotedebasdepageCar">
    <w:name w:val="Note de bas de page Car"/>
    <w:basedOn w:val="Policepardfaut"/>
    <w:link w:val="Notedebasdepage"/>
    <w:semiHidden/>
    <w:rsid w:val="00A773DA"/>
    <w:rPr>
      <w:rFonts w:ascii="Arial" w:eastAsia="Times New Roman" w:hAnsi="Arial" w:cs="Times New Roman"/>
      <w:noProof/>
      <w:kern w:val="0"/>
      <w:sz w:val="20"/>
      <w:szCs w:val="20"/>
      <w14:ligatures w14:val="none"/>
    </w:rPr>
  </w:style>
  <w:style w:type="character" w:styleId="Appelnotedebasdep">
    <w:name w:val="footnote reference"/>
    <w:semiHidden/>
    <w:rsid w:val="00A773DA"/>
    <w:rPr>
      <w:rFonts w:cs="Times New Roman"/>
      <w:vertAlign w:val="superscript"/>
    </w:rPr>
  </w:style>
  <w:style w:type="character" w:styleId="Marquedecommentaire">
    <w:name w:val="annotation reference"/>
    <w:basedOn w:val="Policepardfaut"/>
    <w:uiPriority w:val="99"/>
    <w:semiHidden/>
    <w:unhideWhenUsed/>
    <w:rsid w:val="009B46FF"/>
    <w:rPr>
      <w:sz w:val="16"/>
      <w:szCs w:val="16"/>
    </w:rPr>
  </w:style>
  <w:style w:type="paragraph" w:styleId="Commentaire">
    <w:name w:val="annotation text"/>
    <w:basedOn w:val="Normal"/>
    <w:link w:val="CommentaireCar"/>
    <w:uiPriority w:val="99"/>
    <w:unhideWhenUsed/>
    <w:rsid w:val="009B46FF"/>
    <w:pPr>
      <w:spacing w:line="240" w:lineRule="auto"/>
    </w:pPr>
    <w:rPr>
      <w:szCs w:val="20"/>
    </w:rPr>
  </w:style>
  <w:style w:type="character" w:customStyle="1" w:styleId="CommentaireCar">
    <w:name w:val="Commentaire Car"/>
    <w:basedOn w:val="Policepardfaut"/>
    <w:link w:val="Commentaire"/>
    <w:uiPriority w:val="99"/>
    <w:rsid w:val="009B46FF"/>
    <w:rPr>
      <w:sz w:val="20"/>
      <w:szCs w:val="20"/>
    </w:rPr>
  </w:style>
  <w:style w:type="paragraph" w:styleId="Objetducommentaire">
    <w:name w:val="annotation subject"/>
    <w:basedOn w:val="Commentaire"/>
    <w:next w:val="Commentaire"/>
    <w:link w:val="ObjetducommentaireCar"/>
    <w:uiPriority w:val="99"/>
    <w:semiHidden/>
    <w:unhideWhenUsed/>
    <w:rsid w:val="009B46FF"/>
    <w:rPr>
      <w:b/>
      <w:bCs/>
    </w:rPr>
  </w:style>
  <w:style w:type="character" w:customStyle="1" w:styleId="ObjetducommentaireCar">
    <w:name w:val="Objet du commentaire Car"/>
    <w:basedOn w:val="CommentaireCar"/>
    <w:link w:val="Objetducommentaire"/>
    <w:uiPriority w:val="99"/>
    <w:semiHidden/>
    <w:rsid w:val="009B46FF"/>
    <w:rPr>
      <w:b/>
      <w:bCs/>
      <w:sz w:val="20"/>
      <w:szCs w:val="20"/>
    </w:rPr>
  </w:style>
  <w:style w:type="paragraph" w:styleId="Retraitcorpsdetexte">
    <w:name w:val="Body Text Indent"/>
    <w:basedOn w:val="Normal"/>
    <w:link w:val="RetraitcorpsdetexteCar"/>
    <w:uiPriority w:val="99"/>
    <w:unhideWhenUsed/>
    <w:rsid w:val="00AE3588"/>
    <w:pPr>
      <w:spacing w:before="120" w:after="120" w:line="288" w:lineRule="auto"/>
      <w:ind w:left="283"/>
    </w:pPr>
    <w:rPr>
      <w:rFonts w:ascii="Arial" w:eastAsia="Times New Roman" w:hAnsi="Arial" w:cs="Times New Roman"/>
      <w:kern w:val="0"/>
      <w:szCs w:val="20"/>
      <w14:ligatures w14:val="none"/>
    </w:rPr>
  </w:style>
  <w:style w:type="character" w:customStyle="1" w:styleId="RetraitcorpsdetexteCar">
    <w:name w:val="Retrait corps de texte Car"/>
    <w:basedOn w:val="Policepardfaut"/>
    <w:link w:val="Retraitcorpsdetexte"/>
    <w:uiPriority w:val="99"/>
    <w:rsid w:val="00AE3588"/>
    <w:rPr>
      <w:rFonts w:ascii="Arial" w:eastAsia="Times New Roman" w:hAnsi="Arial" w:cs="Times New Roman"/>
      <w:kern w:val="0"/>
      <w:sz w:val="20"/>
      <w:szCs w:val="20"/>
      <w14:ligatures w14:val="none"/>
    </w:rPr>
  </w:style>
  <w:style w:type="paragraph" w:styleId="Corpsdetexte">
    <w:name w:val="Body Text"/>
    <w:basedOn w:val="Normal"/>
    <w:link w:val="CorpsdetexteCar"/>
    <w:uiPriority w:val="99"/>
    <w:unhideWhenUsed/>
    <w:rsid w:val="001C317F"/>
    <w:pPr>
      <w:spacing w:before="120" w:after="120" w:line="288" w:lineRule="auto"/>
    </w:pPr>
    <w:rPr>
      <w:rFonts w:ascii="Arial" w:eastAsia="Times New Roman" w:hAnsi="Arial" w:cs="Times New Roman"/>
      <w:kern w:val="0"/>
      <w:szCs w:val="20"/>
      <w14:ligatures w14:val="none"/>
    </w:rPr>
  </w:style>
  <w:style w:type="character" w:customStyle="1" w:styleId="CorpsdetexteCar">
    <w:name w:val="Corps de texte Car"/>
    <w:basedOn w:val="Policepardfaut"/>
    <w:link w:val="Corpsdetexte"/>
    <w:uiPriority w:val="99"/>
    <w:rsid w:val="001C317F"/>
    <w:rPr>
      <w:rFonts w:ascii="Arial" w:eastAsia="Times New Roman" w:hAnsi="Arial" w:cs="Times New Roman"/>
      <w:kern w:val="0"/>
      <w:sz w:val="20"/>
      <w:szCs w:val="20"/>
      <w14:ligatures w14:val="none"/>
    </w:rPr>
  </w:style>
  <w:style w:type="paragraph" w:styleId="NormalWeb">
    <w:name w:val="Normal (Web)"/>
    <w:basedOn w:val="Normal"/>
    <w:unhideWhenUsed/>
    <w:rsid w:val="00BD0D82"/>
    <w:pPr>
      <w:spacing w:before="100" w:beforeAutospacing="1" w:after="100" w:afterAutospacing="1" w:line="288" w:lineRule="auto"/>
      <w:jc w:val="left"/>
    </w:pPr>
    <w:rPr>
      <w:rFonts w:ascii="Times" w:eastAsia="Times" w:hAnsi="Times" w:cs="Times New Roman"/>
      <w:kern w:val="0"/>
      <w:szCs w:val="20"/>
      <w14:ligatures w14:val="none"/>
    </w:rPr>
  </w:style>
  <w:style w:type="paragraph" w:styleId="Retraitcorpset1relig">
    <w:name w:val="Body Text First Indent 2"/>
    <w:basedOn w:val="Retraitcorpsdetexte"/>
    <w:link w:val="Retraitcorpset1religCar"/>
    <w:uiPriority w:val="99"/>
    <w:unhideWhenUsed/>
    <w:rsid w:val="00BD0D82"/>
    <w:pPr>
      <w:spacing w:after="0"/>
      <w:ind w:left="360" w:firstLine="360"/>
    </w:pPr>
  </w:style>
  <w:style w:type="character" w:customStyle="1" w:styleId="Retraitcorpset1religCar">
    <w:name w:val="Retrait corps et 1re lig. Car"/>
    <w:basedOn w:val="RetraitcorpsdetexteCar"/>
    <w:link w:val="Retraitcorpset1relig"/>
    <w:uiPriority w:val="99"/>
    <w:rsid w:val="00BD0D82"/>
    <w:rPr>
      <w:rFonts w:ascii="Arial" w:eastAsia="Times New Roman" w:hAnsi="Arial" w:cs="Times New Roman"/>
      <w:kern w:val="0"/>
      <w:sz w:val="20"/>
      <w:szCs w:val="20"/>
      <w14:ligatures w14:val="none"/>
    </w:rPr>
  </w:style>
  <w:style w:type="paragraph" w:styleId="Listecontinue">
    <w:name w:val="List Continue"/>
    <w:basedOn w:val="Normal"/>
    <w:uiPriority w:val="99"/>
    <w:unhideWhenUsed/>
    <w:rsid w:val="00991F87"/>
    <w:pPr>
      <w:spacing w:before="120" w:after="120" w:line="288" w:lineRule="auto"/>
      <w:ind w:left="283"/>
      <w:contextualSpacing/>
    </w:pPr>
    <w:rPr>
      <w:rFonts w:ascii="Arial" w:eastAsia="Times New Roman" w:hAnsi="Arial" w:cs="Times New Roman"/>
      <w:kern w:val="0"/>
      <w:szCs w:val="20"/>
      <w14:ligatures w14:val="none"/>
    </w:rPr>
  </w:style>
  <w:style w:type="character" w:styleId="lev">
    <w:name w:val="Strong"/>
    <w:basedOn w:val="Policepardfaut"/>
    <w:uiPriority w:val="99"/>
    <w:qFormat/>
    <w:rsid w:val="003E4D12"/>
    <w:rPr>
      <w:rFonts w:cs="Times New Roman"/>
      <w:b/>
      <w:bCs/>
    </w:rPr>
  </w:style>
  <w:style w:type="paragraph" w:styleId="Corpsdetexte3">
    <w:name w:val="Body Text 3"/>
    <w:basedOn w:val="Normal"/>
    <w:link w:val="Corpsdetexte3Car"/>
    <w:uiPriority w:val="99"/>
    <w:semiHidden/>
    <w:unhideWhenUsed/>
    <w:rsid w:val="00501BA7"/>
    <w:pPr>
      <w:spacing w:after="120"/>
    </w:pPr>
    <w:rPr>
      <w:sz w:val="16"/>
      <w:szCs w:val="16"/>
    </w:rPr>
  </w:style>
  <w:style w:type="character" w:customStyle="1" w:styleId="Corpsdetexte3Car">
    <w:name w:val="Corps de texte 3 Car"/>
    <w:basedOn w:val="Policepardfaut"/>
    <w:link w:val="Corpsdetexte3"/>
    <w:uiPriority w:val="99"/>
    <w:semiHidden/>
    <w:rsid w:val="00501BA7"/>
    <w:rPr>
      <w:sz w:val="16"/>
      <w:szCs w:val="16"/>
    </w:rPr>
  </w:style>
  <w:style w:type="paragraph" w:styleId="Sous-titre">
    <w:name w:val="Subtitle"/>
    <w:basedOn w:val="Titre"/>
    <w:next w:val="Normal"/>
    <w:link w:val="Sous-titreCar"/>
    <w:qFormat/>
    <w:rsid w:val="0049467B"/>
    <w:pPr>
      <w:spacing w:before="120" w:line="288" w:lineRule="auto"/>
      <w:ind w:left="-142" w:right="-176"/>
      <w:contextualSpacing w:val="0"/>
      <w:outlineLvl w:val="0"/>
    </w:pPr>
    <w:rPr>
      <w:rFonts w:ascii="Arial" w:eastAsia="Times New Roman" w:hAnsi="Arial" w:cs="Arial"/>
      <w:color w:val="514B64"/>
      <w:spacing w:val="0"/>
      <w:kern w:val="0"/>
      <w:sz w:val="24"/>
      <w:szCs w:val="24"/>
      <w14:ligatures w14:val="none"/>
    </w:rPr>
  </w:style>
  <w:style w:type="character" w:customStyle="1" w:styleId="Sous-titreCar">
    <w:name w:val="Sous-titre Car"/>
    <w:basedOn w:val="Policepardfaut"/>
    <w:link w:val="Sous-titre"/>
    <w:rsid w:val="0049467B"/>
    <w:rPr>
      <w:rFonts w:ascii="Arial" w:eastAsia="Times New Roman" w:hAnsi="Arial" w:cs="Arial"/>
      <w:b/>
      <w:color w:val="514B64"/>
      <w:kern w:val="0"/>
      <w14:ligatures w14:val="none"/>
    </w:rPr>
  </w:style>
  <w:style w:type="paragraph" w:styleId="Rvision">
    <w:name w:val="Revision"/>
    <w:hidden/>
    <w:uiPriority w:val="99"/>
    <w:semiHidden/>
    <w:rsid w:val="00DD2625"/>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legifrance.gouv.fr/affichCode.do?cidTexte=LEGITEXT000037701019&amp;idSectionTA=LEGISCTA000037703589&amp;dateTexte=&amp;categorieLien=cid" TargetMode="External"/><Relationship Id="rId18" Type="http://schemas.openxmlformats.org/officeDocument/2006/relationships/hyperlink" Target="https://www.legifrance.gouv.fr/affichCodeArticle.do;jsessionid=A1074B72ACB89080DDBAD47AA664B388.tpdila23v_2?idArticle=LEGIARTI000025578829&amp;cidTexte=LEGITEXT000006072050&amp;dateTexte=20160215" TargetMode="External"/><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hyperlink" Target="https://www.marches-publics.gouv.fr/"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legifrance.gouv.fr/affichCode.do?cidTexte=LEGITEXT000037701019&amp;idSectionTA=LEGISCTA000037703587&amp;dateTexte=&amp;categorieLien=cid" TargetMode="External"/><Relationship Id="rId25" Type="http://schemas.openxmlformats.org/officeDocument/2006/relationships/hyperlink" Target="mailto:marchespublics@atih.sante.fr" TargetMode="External"/><Relationship Id="rId2" Type="http://schemas.openxmlformats.org/officeDocument/2006/relationships/numbering" Target="numbering.xml"/><Relationship Id="rId16" Type="http://schemas.openxmlformats.org/officeDocument/2006/relationships/hyperlink" Target="https://www.legifrance.gouv.fr/affichCode.do?cidTexte=LEGITEXT000037701019&amp;idSectionTA=LEGISCTA000037703589&amp;dateTexte=&amp;categorieLien=cid" TargetMode="External"/><Relationship Id="rId20" Type="http://schemas.openxmlformats.org/officeDocument/2006/relationships/hyperlink" Target="https://www.marches-publics.gouv.fr/?page=Entreprise.EntrepriseAdvancedSearch&amp;AllCons&amp;id=2973883&amp;orgAcronyme=h8j"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www.marches-publics.gouv.fr" TargetMode="External"/><Relationship Id="rId5" Type="http://schemas.openxmlformats.org/officeDocument/2006/relationships/webSettings" Target="webSettings.xml"/><Relationship Id="rId15" Type="http://schemas.openxmlformats.org/officeDocument/2006/relationships/hyperlink" Target="https://www.marches-publics.gouv.fr/?page=Entreprise.EntrepriseAdvancedSearch&amp;AllCons&amp;id=2973883&amp;orgAcronyme=h8j" TargetMode="External"/><Relationship Id="rId23" Type="http://schemas.openxmlformats.org/officeDocument/2006/relationships/hyperlink" Target="http://www.march&#233;s-publics.gouv.fr" TargetMode="Externa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https://www.legifrance.gouv.fr/affichCodeArticle.do;jsessionid=79B7E4BA9AD1BFC3649914F753732E20.tpdila23v_2?idArticle=LEGIARTI000028697802&amp;cidTexte=LEGITEXT000006072050&amp;dateTexte=20160215"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legifrance.gouv.fr/affichCode.do?cidTexte=LEGITEXT000037701019&amp;idSectionTA=LEGISCTA000037703587&amp;dateTexte=&amp;categorieLien=cid" TargetMode="External"/><Relationship Id="rId22" Type="http://schemas.openxmlformats.org/officeDocument/2006/relationships/hyperlink" Target="https://www.marches-publics.gouv.fr/" TargetMode="Externa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atih.sante.f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JURIDIQUE\MARCHES%20PUBLICS\MODELES%20DOSSIERS%20ET%20DOCUMENTS\1.%20PROCEDURE%20MODELES%20DOC\1.%20DCE\CCTP%20-%20CCP\ATIH%20Mod&#232;le%20CCTP.dotx" TargetMode="External"/></Relationships>
</file>

<file path=word/theme/theme1.xml><?xml version="1.0" encoding="utf-8"?>
<a:theme xmlns:a="http://schemas.openxmlformats.org/drawingml/2006/main" name="Thème Office">
  <a:themeElements>
    <a:clrScheme name="ATIH">
      <a:dk1>
        <a:srgbClr val="000000"/>
      </a:dk1>
      <a:lt1>
        <a:srgbClr val="FFFFFF"/>
      </a:lt1>
      <a:dk2>
        <a:srgbClr val="FF5A64"/>
      </a:dk2>
      <a:lt2>
        <a:srgbClr val="F6F3F0"/>
      </a:lt2>
      <a:accent1>
        <a:srgbClr val="2B3BB2"/>
      </a:accent1>
      <a:accent2>
        <a:srgbClr val="9B9BC8"/>
      </a:accent2>
      <a:accent3>
        <a:srgbClr val="FF9B91"/>
      </a:accent3>
      <a:accent4>
        <a:srgbClr val="FFDCC8"/>
      </a:accent4>
      <a:accent5>
        <a:srgbClr val="AADCBE"/>
      </a:accent5>
      <a:accent6>
        <a:srgbClr val="FFAF00"/>
      </a:accent6>
      <a:hlink>
        <a:srgbClr val="FF5A64"/>
      </a:hlink>
      <a:folHlink>
        <a:srgbClr val="FF5A6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1C46BD-6E23-4EAB-8C99-7DA76198D4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ATIH Modèle CCTP</Template>
  <TotalTime>734</TotalTime>
  <Pages>19</Pages>
  <Words>6546</Words>
  <Characters>35546</Characters>
  <Application>Microsoft Office Word</Application>
  <DocSecurity>0</DocSecurity>
  <Lines>826</Lines>
  <Paragraphs>404</Paragraphs>
  <ScaleCrop>false</ScaleCrop>
  <HeadingPairs>
    <vt:vector size="2" baseType="variant">
      <vt:variant>
        <vt:lpstr>Titre</vt:lpstr>
      </vt:variant>
      <vt:variant>
        <vt:i4>1</vt:i4>
      </vt:variant>
    </vt:vector>
  </HeadingPairs>
  <TitlesOfParts>
    <vt:vector size="1" baseType="lpstr">
      <vt:lpstr/>
    </vt:vector>
  </TitlesOfParts>
  <Manager/>
  <Company/>
  <LinksUpToDate>false</LinksUpToDate>
  <CharactersWithSpaces>41688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Jeanine DEFEVER</dc:creator>
  <cp:keywords/>
  <dc:description/>
  <cp:lastModifiedBy>Marie-Sophie HERRARD</cp:lastModifiedBy>
  <cp:revision>70</cp:revision>
  <cp:lastPrinted>2025-11-21T14:54:00Z</cp:lastPrinted>
  <dcterms:created xsi:type="dcterms:W3CDTF">2025-06-19T07:07:00Z</dcterms:created>
  <dcterms:modified xsi:type="dcterms:W3CDTF">2026-04-10T09:43:00Z</dcterms:modified>
  <cp:category/>
</cp:coreProperties>
</file>