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130AE" w14:textId="77777777" w:rsidR="007A0A93" w:rsidRDefault="007A0A93">
      <w:pPr>
        <w:pStyle w:val="RedaliaNormal"/>
      </w:pPr>
      <w:bookmarkStart w:id="0" w:name="_Toc64213672"/>
    </w:p>
    <w:tbl>
      <w:tblPr>
        <w:tblW w:w="9180" w:type="dxa"/>
        <w:tblLayout w:type="fixed"/>
        <w:tblCellMar>
          <w:left w:w="10" w:type="dxa"/>
          <w:right w:w="10" w:type="dxa"/>
        </w:tblCellMar>
        <w:tblLook w:val="0000" w:firstRow="0" w:lastRow="0" w:firstColumn="0" w:lastColumn="0" w:noHBand="0" w:noVBand="0"/>
      </w:tblPr>
      <w:tblGrid>
        <w:gridCol w:w="2728"/>
        <w:gridCol w:w="6452"/>
      </w:tblGrid>
      <w:tr w:rsidR="007A0A93" w14:paraId="19810F96" w14:textId="77777777">
        <w:tc>
          <w:tcPr>
            <w:tcW w:w="2728" w:type="dxa"/>
            <w:tcBorders>
              <w:bottom w:val="single" w:sz="4" w:space="0" w:color="000000"/>
            </w:tcBorders>
            <w:shd w:val="clear" w:color="auto" w:fill="auto"/>
            <w:tcMar>
              <w:top w:w="0" w:type="dxa"/>
              <w:left w:w="108" w:type="dxa"/>
              <w:bottom w:w="0" w:type="dxa"/>
              <w:right w:w="108" w:type="dxa"/>
            </w:tcMar>
            <w:vAlign w:val="center"/>
          </w:tcPr>
          <w:p w14:paraId="05555B1B" w14:textId="77777777" w:rsidR="007A0A93" w:rsidRDefault="00615EB1">
            <w:pPr>
              <w:spacing w:before="100" w:after="100"/>
              <w:jc w:val="center"/>
            </w:pPr>
            <w:r>
              <w:rPr>
                <w:noProof/>
              </w:rPr>
              <w:drawing>
                <wp:anchor distT="0" distB="0" distL="114300" distR="114300" simplePos="0" relativeHeight="251658240" behindDoc="0" locked="0" layoutInCell="1" allowOverlap="1" wp14:anchorId="6D45CF92" wp14:editId="2A38F90B">
                  <wp:simplePos x="0" y="0"/>
                  <wp:positionH relativeFrom="margin">
                    <wp:align>left</wp:align>
                  </wp:positionH>
                  <wp:positionV relativeFrom="margin">
                    <wp:align>top</wp:align>
                  </wp:positionV>
                  <wp:extent cx="1327315" cy="628558"/>
                  <wp:effectExtent l="0" t="0" r="6185" b="92"/>
                  <wp:wrapSquare wrapText="bothSides"/>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27315" cy="628558"/>
                          </a:xfrm>
                          <a:prstGeom prst="rect">
                            <a:avLst/>
                          </a:prstGeom>
                          <a:noFill/>
                          <a:ln>
                            <a:noFill/>
                            <a:prstDash/>
                          </a:ln>
                        </pic:spPr>
                      </pic:pic>
                    </a:graphicData>
                  </a:graphic>
                </wp:anchor>
              </w:drawing>
            </w:r>
          </w:p>
          <w:p w14:paraId="3694D0C2" w14:textId="77777777" w:rsidR="007A0A93" w:rsidRDefault="007A0A93">
            <w:pPr>
              <w:pStyle w:val="RedaliaNormal"/>
              <w:jc w:val="center"/>
              <w:rPr>
                <w:rFonts w:cs="Calibri"/>
              </w:rPr>
            </w:pPr>
          </w:p>
        </w:tc>
        <w:tc>
          <w:tcPr>
            <w:tcW w:w="6452" w:type="dxa"/>
            <w:tcBorders>
              <w:bottom w:val="single" w:sz="4" w:space="0" w:color="000000"/>
            </w:tcBorders>
            <w:shd w:val="clear" w:color="auto" w:fill="auto"/>
            <w:tcMar>
              <w:top w:w="0" w:type="dxa"/>
              <w:left w:w="108" w:type="dxa"/>
              <w:bottom w:w="0" w:type="dxa"/>
              <w:right w:w="108" w:type="dxa"/>
            </w:tcMar>
            <w:vAlign w:val="center"/>
          </w:tcPr>
          <w:p w14:paraId="061973ED" w14:textId="77777777" w:rsidR="007A0A93" w:rsidRDefault="00615EB1">
            <w:pPr>
              <w:pStyle w:val="RedaliaNormal"/>
              <w:jc w:val="center"/>
            </w:pPr>
            <w:r>
              <w:rPr>
                <w:rFonts w:cs="Calibri"/>
                <w:noProof/>
              </w:rPr>
              <w:drawing>
                <wp:inline distT="0" distB="0" distL="0" distR="0" wp14:anchorId="66B6EF23" wp14:editId="1301113F">
                  <wp:extent cx="3962515" cy="790562"/>
                  <wp:effectExtent l="0" t="0" r="0" b="0"/>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962515" cy="790562"/>
                          </a:xfrm>
                          <a:prstGeom prst="rect">
                            <a:avLst/>
                          </a:prstGeom>
                          <a:noFill/>
                          <a:ln>
                            <a:noFill/>
                            <a:prstDash/>
                          </a:ln>
                        </pic:spPr>
                      </pic:pic>
                    </a:graphicData>
                  </a:graphic>
                </wp:inline>
              </w:drawing>
            </w:r>
          </w:p>
        </w:tc>
      </w:tr>
      <w:tr w:rsidR="007A0A93" w14:paraId="596EB185" w14:textId="77777777">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FA1B9" w14:textId="77777777" w:rsidR="007A0A93" w:rsidRDefault="00615EB1">
            <w:pPr>
              <w:pStyle w:val="RedaliaNormal"/>
              <w:jc w:val="center"/>
              <w:rPr>
                <w:rFonts w:cs="Calibri"/>
              </w:rPr>
            </w:pPr>
            <w:r>
              <w:rPr>
                <w:rFonts w:cs="Calibri"/>
              </w:rPr>
              <w:t>ACHATS CENTRAUX HOTELIERS, ALIMENTAIRES ET TECHNOLOGIQUES</w:t>
            </w:r>
          </w:p>
          <w:p w14:paraId="2F2BDA79" w14:textId="77777777" w:rsidR="007A0A93" w:rsidRDefault="00615EB1">
            <w:pPr>
              <w:pStyle w:val="RedaliaNormal"/>
              <w:jc w:val="center"/>
              <w:rPr>
                <w:rFonts w:cs="Calibri"/>
              </w:rPr>
            </w:pPr>
            <w:r>
              <w:rPr>
                <w:rFonts w:cs="Calibri"/>
              </w:rPr>
              <w:t>Hôpital Bicêtre</w:t>
            </w:r>
          </w:p>
          <w:p w14:paraId="40692A80" w14:textId="77777777" w:rsidR="007A0A93" w:rsidRDefault="00615EB1">
            <w:pPr>
              <w:pStyle w:val="RedaliaNormal"/>
              <w:jc w:val="center"/>
              <w:rPr>
                <w:rFonts w:cs="Calibri"/>
              </w:rPr>
            </w:pPr>
            <w:r>
              <w:rPr>
                <w:rFonts w:cs="Calibri"/>
              </w:rPr>
              <w:t>78, rue du Général Leclerc</w:t>
            </w:r>
          </w:p>
          <w:p w14:paraId="1D904279" w14:textId="77777777" w:rsidR="007A0A93" w:rsidRDefault="00615EB1">
            <w:pPr>
              <w:pStyle w:val="RedaliaNormal"/>
              <w:jc w:val="center"/>
              <w:rPr>
                <w:rFonts w:cs="Calibri"/>
              </w:rPr>
            </w:pPr>
            <w:r>
              <w:rPr>
                <w:rFonts w:cs="Calibri"/>
              </w:rPr>
              <w:t>94270 Le Kremlin-Bicêtre</w:t>
            </w:r>
          </w:p>
          <w:p w14:paraId="4252EADB" w14:textId="77777777" w:rsidR="007A0A93" w:rsidRDefault="00615EB1">
            <w:pPr>
              <w:pStyle w:val="RedaliaNormal"/>
              <w:jc w:val="center"/>
              <w:rPr>
                <w:rFonts w:cs="Calibri"/>
              </w:rPr>
            </w:pPr>
            <w:r>
              <w:rPr>
                <w:rFonts w:cs="Calibri"/>
              </w:rPr>
              <w:t>Tél : 01 53 14 69 00</w:t>
            </w:r>
          </w:p>
          <w:p w14:paraId="0208B7AB" w14:textId="77777777" w:rsidR="007A0A93" w:rsidRDefault="00615EB1">
            <w:pPr>
              <w:pStyle w:val="RedaliaNormal"/>
              <w:jc w:val="center"/>
              <w:rPr>
                <w:rFonts w:cs="Calibri"/>
              </w:rPr>
            </w:pPr>
            <w:r>
              <w:rPr>
                <w:rFonts w:cs="Calibri"/>
              </w:rPr>
              <w:t>Tél : 01 53 14 69 99</w:t>
            </w:r>
          </w:p>
        </w:tc>
        <w:tc>
          <w:tcPr>
            <w:tcW w:w="645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37AC203" w14:textId="77777777" w:rsidR="007A0A93" w:rsidRDefault="00615EB1">
            <w:pPr>
              <w:pStyle w:val="RedaliaNormal"/>
              <w:jc w:val="center"/>
              <w:rPr>
                <w:rFonts w:cs="Calibri"/>
                <w:b/>
                <w:bCs/>
                <w:sz w:val="36"/>
                <w:szCs w:val="36"/>
              </w:rPr>
            </w:pPr>
            <w:r>
              <w:rPr>
                <w:rFonts w:cs="Calibri"/>
                <w:b/>
                <w:bCs/>
                <w:sz w:val="36"/>
                <w:szCs w:val="36"/>
              </w:rPr>
              <w:t>REGLEMENT DE LA CONSULTATION</w:t>
            </w:r>
          </w:p>
          <w:p w14:paraId="3771AAFC" w14:textId="77777777" w:rsidR="007A0A93" w:rsidRDefault="007A0A93">
            <w:pPr>
              <w:pStyle w:val="RedaliaNormal"/>
              <w:jc w:val="center"/>
              <w:rPr>
                <w:rFonts w:cs="Calibri"/>
                <w:b/>
                <w:bCs/>
                <w:sz w:val="36"/>
                <w:szCs w:val="36"/>
              </w:rPr>
            </w:pPr>
          </w:p>
          <w:p w14:paraId="1EB95160" w14:textId="77777777" w:rsidR="007A0A93" w:rsidRDefault="00615EB1">
            <w:pPr>
              <w:pStyle w:val="RedaliaNormal"/>
              <w:jc w:val="center"/>
              <w:rPr>
                <w:rFonts w:cs="Calibri"/>
                <w:b/>
                <w:bCs/>
                <w:sz w:val="36"/>
                <w:szCs w:val="36"/>
              </w:rPr>
            </w:pPr>
            <w:r>
              <w:rPr>
                <w:rFonts w:cs="Calibri"/>
                <w:b/>
                <w:bCs/>
                <w:sz w:val="36"/>
                <w:szCs w:val="36"/>
              </w:rPr>
              <w:t>N°25.110</w:t>
            </w:r>
          </w:p>
          <w:p w14:paraId="4673A2D2" w14:textId="77777777" w:rsidR="007A0A93" w:rsidRDefault="007A0A93">
            <w:pPr>
              <w:pStyle w:val="RedaliaNormal"/>
              <w:jc w:val="center"/>
              <w:rPr>
                <w:rFonts w:cs="Calibri"/>
                <w:b/>
                <w:bCs/>
                <w:sz w:val="36"/>
                <w:szCs w:val="36"/>
              </w:rPr>
            </w:pPr>
          </w:p>
          <w:p w14:paraId="5D3A2F0D" w14:textId="77777777" w:rsidR="007A0A93" w:rsidRDefault="00615EB1">
            <w:pPr>
              <w:pStyle w:val="RedaliaNormal"/>
              <w:jc w:val="center"/>
              <w:rPr>
                <w:rFonts w:cs="Calibri"/>
                <w:b/>
                <w:bCs/>
                <w:sz w:val="36"/>
                <w:szCs w:val="36"/>
              </w:rPr>
            </w:pPr>
            <w:r>
              <w:rPr>
                <w:rFonts w:cs="Calibri"/>
                <w:b/>
                <w:bCs/>
                <w:sz w:val="36"/>
                <w:szCs w:val="36"/>
              </w:rPr>
              <w:t>Procédure : Adaptée ouverte</w:t>
            </w:r>
          </w:p>
          <w:p w14:paraId="1C2BDA9E" w14:textId="77777777" w:rsidR="007A0A93" w:rsidRDefault="007A0A93">
            <w:pPr>
              <w:pStyle w:val="RedaliaNormal"/>
              <w:jc w:val="center"/>
              <w:rPr>
                <w:rFonts w:cs="Calibri"/>
                <w:sz w:val="36"/>
                <w:szCs w:val="36"/>
              </w:rPr>
            </w:pPr>
          </w:p>
        </w:tc>
      </w:tr>
    </w:tbl>
    <w:p w14:paraId="069D1828" w14:textId="77777777" w:rsidR="007A0A93" w:rsidRDefault="007A0A93">
      <w:pPr>
        <w:pStyle w:val="RedaliaNormal"/>
      </w:pPr>
    </w:p>
    <w:p w14:paraId="53B46C07" w14:textId="77777777" w:rsidR="007A0A93" w:rsidRDefault="00615EB1">
      <w:pPr>
        <w:pStyle w:val="RedaliaNormal"/>
      </w:pPr>
      <w:r>
        <w:t>Objet : Prestations de formation sécurité incendie, SSIAP et habilitations électriques</w:t>
      </w:r>
    </w:p>
    <w:p w14:paraId="4BA13CE8" w14:textId="77777777" w:rsidR="007A0A93" w:rsidRDefault="007A0A93">
      <w:pPr>
        <w:pStyle w:val="RedaliaNormal"/>
      </w:pPr>
    </w:p>
    <w:p w14:paraId="03AA6D7F" w14:textId="1EC1DE20" w:rsidR="007A0A93" w:rsidRPr="00E74EEC" w:rsidRDefault="00615EB1">
      <w:pPr>
        <w:pStyle w:val="RedaliaNormal"/>
      </w:pPr>
      <w:r w:rsidRPr="00E74EEC">
        <w:t>Date limite pour toute question</w:t>
      </w:r>
      <w:r w:rsidRPr="00E74EEC">
        <w:rPr>
          <w:rFonts w:ascii="Cambria" w:hAnsi="Cambria" w:cs="Cambria"/>
        </w:rPr>
        <w:t xml:space="preserve"> : </w:t>
      </w:r>
      <w:r w:rsidR="00E74EEC" w:rsidRPr="00E74EEC">
        <w:rPr>
          <w:rFonts w:ascii="Cambria" w:hAnsi="Cambria" w:cs="Cambria"/>
        </w:rPr>
        <w:t>02</w:t>
      </w:r>
      <w:r w:rsidRPr="00E74EEC">
        <w:t>/0</w:t>
      </w:r>
      <w:r w:rsidR="00E74EEC" w:rsidRPr="00E74EEC">
        <w:t>4</w:t>
      </w:r>
      <w:r w:rsidRPr="00E74EEC">
        <w:t>/2026</w:t>
      </w:r>
      <w:r w:rsidR="00E74EEC" w:rsidRPr="00E74EEC">
        <w:t xml:space="preserve"> à 12h00</w:t>
      </w:r>
    </w:p>
    <w:p w14:paraId="3C37531D" w14:textId="45E9C2E1" w:rsidR="007A0A93" w:rsidRPr="00E74EEC" w:rsidRDefault="00615EB1">
      <w:pPr>
        <w:pStyle w:val="RedaliaNormal"/>
      </w:pPr>
      <w:r w:rsidRPr="00E74EEC">
        <w:t>Date limite de remise des candidatures et des offres</w:t>
      </w:r>
      <w:r w:rsidRPr="00E74EEC">
        <w:rPr>
          <w:rFonts w:ascii="Cambria" w:hAnsi="Cambria" w:cs="Cambria"/>
        </w:rPr>
        <w:t> </w:t>
      </w:r>
      <w:r w:rsidRPr="00E74EEC">
        <w:t xml:space="preserve">: </w:t>
      </w:r>
      <w:r w:rsidR="00E74EEC" w:rsidRPr="00E74EEC">
        <w:t>15</w:t>
      </w:r>
      <w:r w:rsidRPr="00E74EEC">
        <w:t>/04/2026</w:t>
      </w:r>
      <w:r w:rsidR="00FC1E3F" w:rsidRPr="00E74EEC">
        <w:t xml:space="preserve"> à 12h 00</w:t>
      </w:r>
    </w:p>
    <w:p w14:paraId="317C5F4B" w14:textId="77777777" w:rsidR="007A0A93" w:rsidRDefault="007A0A93">
      <w:pPr>
        <w:pStyle w:val="RedaliaNormal"/>
      </w:pPr>
    </w:p>
    <w:p w14:paraId="0B609F55" w14:textId="2BB3E123" w:rsidR="007A0A93" w:rsidRDefault="00615EB1">
      <w:pPr>
        <w:pStyle w:val="RedaliaNormal"/>
      </w:pPr>
      <w:r>
        <w:t xml:space="preserve">Ce document </w:t>
      </w:r>
      <w:r w:rsidR="00FC1E3F">
        <w:t>comprend 19</w:t>
      </w:r>
      <w:r w:rsidR="009D765F">
        <w:t xml:space="preserve"> </w:t>
      </w:r>
      <w:r>
        <w:t>pages</w:t>
      </w:r>
    </w:p>
    <w:p w14:paraId="14CD469D" w14:textId="77777777" w:rsidR="007A0A93" w:rsidRDefault="00615EB1">
      <w:pPr>
        <w:pStyle w:val="RedaliaNormal"/>
      </w:pPr>
      <w:r>
        <w:t>Ce document comprend 2 annexes.</w:t>
      </w:r>
    </w:p>
    <w:p w14:paraId="221ABA7F" w14:textId="77777777" w:rsidR="007A0A93" w:rsidRDefault="007A0A93">
      <w:pPr>
        <w:pStyle w:val="RedaliaNormal"/>
      </w:pPr>
    </w:p>
    <w:p w14:paraId="76715C38" w14:textId="77777777" w:rsidR="007A0A93" w:rsidRDefault="007A0A93">
      <w:pPr>
        <w:pStyle w:val="RedaliaNormal"/>
        <w:pageBreakBefore/>
      </w:pPr>
    </w:p>
    <w:p w14:paraId="75EBD87C" w14:textId="77777777" w:rsidR="007A0A93" w:rsidRDefault="007A0A93">
      <w:pPr>
        <w:pStyle w:val="RedaliaNormal"/>
      </w:pPr>
    </w:p>
    <w:p w14:paraId="73DD0EE5" w14:textId="77777777" w:rsidR="007A0A93" w:rsidRDefault="00615EB1">
      <w:pPr>
        <w:pStyle w:val="En-ttedetabledesmatires"/>
        <w:jc w:val="center"/>
        <w:outlineLvl w:val="9"/>
      </w:pPr>
      <w:r>
        <w:t>SOMMAIRE</w:t>
      </w:r>
    </w:p>
    <w:p w14:paraId="0AE0F4B6" w14:textId="66BBABB8" w:rsidR="00FF69BD" w:rsidRDefault="00615EB1">
      <w:pPr>
        <w:pStyle w:val="TM1"/>
        <w:tabs>
          <w:tab w:val="left" w:pos="601"/>
        </w:tabs>
        <w:rPr>
          <w:rFonts w:asciiTheme="minorHAnsi" w:eastAsiaTheme="minorEastAsia" w:hAnsiTheme="minorHAnsi" w:cstheme="minorBidi"/>
          <w:b w:val="0"/>
          <w:noProof/>
          <w:kern w:val="0"/>
          <w:sz w:val="22"/>
          <w:szCs w:val="22"/>
        </w:rPr>
      </w:pPr>
      <w:r>
        <w:rPr>
          <w:rFonts w:ascii="Calibri Light" w:eastAsia="Calibri Light" w:hAnsi="Calibri Light" w:cs="Calibri Light"/>
          <w:b w:val="0"/>
          <w:color w:val="2F5496"/>
          <w:kern w:val="0"/>
          <w:sz w:val="32"/>
          <w:szCs w:val="32"/>
        </w:rPr>
        <w:fldChar w:fldCharType="begin"/>
      </w:r>
      <w:r>
        <w:instrText xml:space="preserve"> TOC \o "1-3" \u \h </w:instrText>
      </w:r>
      <w:r>
        <w:rPr>
          <w:rFonts w:ascii="Calibri Light" w:eastAsia="Calibri Light" w:hAnsi="Calibri Light" w:cs="Calibri Light"/>
          <w:b w:val="0"/>
          <w:color w:val="2F5496"/>
          <w:kern w:val="0"/>
          <w:sz w:val="32"/>
          <w:szCs w:val="32"/>
        </w:rPr>
        <w:fldChar w:fldCharType="separate"/>
      </w:r>
      <w:hyperlink w:anchor="_Toc224552551" w:history="1">
        <w:r w:rsidR="00FF69BD" w:rsidRPr="002F1492">
          <w:rPr>
            <w:rStyle w:val="Lienhypertexte"/>
            <w:noProof/>
          </w:rPr>
          <w:t>1.</w:t>
        </w:r>
        <w:r w:rsidR="00FF69BD">
          <w:rPr>
            <w:rFonts w:asciiTheme="minorHAnsi" w:eastAsiaTheme="minorEastAsia" w:hAnsiTheme="minorHAnsi" w:cstheme="minorBidi"/>
            <w:b w:val="0"/>
            <w:noProof/>
            <w:kern w:val="0"/>
            <w:sz w:val="22"/>
            <w:szCs w:val="22"/>
          </w:rPr>
          <w:tab/>
        </w:r>
        <w:r w:rsidR="00FF69BD" w:rsidRPr="002F1492">
          <w:rPr>
            <w:rStyle w:val="Lienhypertexte"/>
            <w:noProof/>
          </w:rPr>
          <w:t>Contenu du Marché</w:t>
        </w:r>
        <w:r w:rsidR="00FF69BD">
          <w:rPr>
            <w:noProof/>
          </w:rPr>
          <w:tab/>
        </w:r>
        <w:r w:rsidR="00FF69BD">
          <w:rPr>
            <w:noProof/>
          </w:rPr>
          <w:fldChar w:fldCharType="begin"/>
        </w:r>
        <w:r w:rsidR="00FF69BD">
          <w:rPr>
            <w:noProof/>
          </w:rPr>
          <w:instrText xml:space="preserve"> PAGEREF _Toc224552551 \h </w:instrText>
        </w:r>
        <w:r w:rsidR="00FF69BD">
          <w:rPr>
            <w:noProof/>
          </w:rPr>
        </w:r>
        <w:r w:rsidR="00FF69BD">
          <w:rPr>
            <w:noProof/>
          </w:rPr>
          <w:fldChar w:fldCharType="separate"/>
        </w:r>
        <w:r w:rsidR="00FF69BD">
          <w:rPr>
            <w:noProof/>
          </w:rPr>
          <w:t>4</w:t>
        </w:r>
        <w:r w:rsidR="00FF69BD">
          <w:rPr>
            <w:noProof/>
          </w:rPr>
          <w:fldChar w:fldCharType="end"/>
        </w:r>
      </w:hyperlink>
    </w:p>
    <w:p w14:paraId="7318B3C5" w14:textId="30FA863A" w:rsidR="00FF69BD" w:rsidRDefault="00E74EEC">
      <w:pPr>
        <w:pStyle w:val="TM2"/>
        <w:tabs>
          <w:tab w:val="left" w:pos="799"/>
        </w:tabs>
        <w:rPr>
          <w:rFonts w:asciiTheme="minorHAnsi" w:eastAsiaTheme="minorEastAsia" w:hAnsiTheme="minorHAnsi" w:cstheme="minorBidi"/>
          <w:noProof/>
          <w:szCs w:val="22"/>
        </w:rPr>
      </w:pPr>
      <w:hyperlink w:anchor="_Toc224552552" w:history="1">
        <w:r w:rsidR="00FF69BD" w:rsidRPr="002F1492">
          <w:rPr>
            <w:rStyle w:val="Lienhypertexte"/>
            <w:noProof/>
          </w:rPr>
          <w:t>1.1</w:t>
        </w:r>
        <w:r w:rsidR="00FF69BD">
          <w:rPr>
            <w:rFonts w:asciiTheme="minorHAnsi" w:eastAsiaTheme="minorEastAsia" w:hAnsiTheme="minorHAnsi" w:cstheme="minorBidi"/>
            <w:noProof/>
            <w:szCs w:val="22"/>
          </w:rPr>
          <w:tab/>
        </w:r>
        <w:r w:rsidR="00FF69BD" w:rsidRPr="002F1492">
          <w:rPr>
            <w:rStyle w:val="Lienhypertexte"/>
            <w:noProof/>
          </w:rPr>
          <w:t>Objet</w:t>
        </w:r>
        <w:r w:rsidR="00FF69BD">
          <w:rPr>
            <w:noProof/>
          </w:rPr>
          <w:tab/>
        </w:r>
        <w:r w:rsidR="00FF69BD">
          <w:rPr>
            <w:noProof/>
          </w:rPr>
          <w:fldChar w:fldCharType="begin"/>
        </w:r>
        <w:r w:rsidR="00FF69BD">
          <w:rPr>
            <w:noProof/>
          </w:rPr>
          <w:instrText xml:space="preserve"> PAGEREF _Toc224552552 \h </w:instrText>
        </w:r>
        <w:r w:rsidR="00FF69BD">
          <w:rPr>
            <w:noProof/>
          </w:rPr>
        </w:r>
        <w:r w:rsidR="00FF69BD">
          <w:rPr>
            <w:noProof/>
          </w:rPr>
          <w:fldChar w:fldCharType="separate"/>
        </w:r>
        <w:r w:rsidR="00FF69BD">
          <w:rPr>
            <w:noProof/>
          </w:rPr>
          <w:t>4</w:t>
        </w:r>
        <w:r w:rsidR="00FF69BD">
          <w:rPr>
            <w:noProof/>
          </w:rPr>
          <w:fldChar w:fldCharType="end"/>
        </w:r>
      </w:hyperlink>
    </w:p>
    <w:p w14:paraId="15B57B9D" w14:textId="7753B884" w:rsidR="00FF69BD" w:rsidRDefault="00E74EEC">
      <w:pPr>
        <w:pStyle w:val="TM2"/>
        <w:tabs>
          <w:tab w:val="left" w:pos="799"/>
        </w:tabs>
        <w:rPr>
          <w:rFonts w:asciiTheme="minorHAnsi" w:eastAsiaTheme="minorEastAsia" w:hAnsiTheme="minorHAnsi" w:cstheme="minorBidi"/>
          <w:noProof/>
          <w:szCs w:val="22"/>
        </w:rPr>
      </w:pPr>
      <w:hyperlink w:anchor="_Toc224552553" w:history="1">
        <w:r w:rsidR="00FF69BD" w:rsidRPr="002F1492">
          <w:rPr>
            <w:rStyle w:val="Lienhypertexte"/>
            <w:noProof/>
          </w:rPr>
          <w:t>1.2</w:t>
        </w:r>
        <w:r w:rsidR="00FF69BD">
          <w:rPr>
            <w:rFonts w:asciiTheme="minorHAnsi" w:eastAsiaTheme="minorEastAsia" w:hAnsiTheme="minorHAnsi" w:cstheme="minorBidi"/>
            <w:noProof/>
            <w:szCs w:val="22"/>
          </w:rPr>
          <w:tab/>
        </w:r>
        <w:r w:rsidR="00FF69BD" w:rsidRPr="002F1492">
          <w:rPr>
            <w:rStyle w:val="Lienhypertexte"/>
            <w:noProof/>
          </w:rPr>
          <w:t>Organisation de l’achat</w:t>
        </w:r>
        <w:r w:rsidR="00FF69BD">
          <w:rPr>
            <w:noProof/>
          </w:rPr>
          <w:tab/>
        </w:r>
        <w:r w:rsidR="00FF69BD">
          <w:rPr>
            <w:noProof/>
          </w:rPr>
          <w:fldChar w:fldCharType="begin"/>
        </w:r>
        <w:r w:rsidR="00FF69BD">
          <w:rPr>
            <w:noProof/>
          </w:rPr>
          <w:instrText xml:space="preserve"> PAGEREF _Toc224552553 \h </w:instrText>
        </w:r>
        <w:r w:rsidR="00FF69BD">
          <w:rPr>
            <w:noProof/>
          </w:rPr>
        </w:r>
        <w:r w:rsidR="00FF69BD">
          <w:rPr>
            <w:noProof/>
          </w:rPr>
          <w:fldChar w:fldCharType="separate"/>
        </w:r>
        <w:r w:rsidR="00FF69BD">
          <w:rPr>
            <w:noProof/>
          </w:rPr>
          <w:t>4</w:t>
        </w:r>
        <w:r w:rsidR="00FF69BD">
          <w:rPr>
            <w:noProof/>
          </w:rPr>
          <w:fldChar w:fldCharType="end"/>
        </w:r>
      </w:hyperlink>
    </w:p>
    <w:p w14:paraId="6E53F100" w14:textId="0E0722E0" w:rsidR="00FF69BD" w:rsidRDefault="00E74EEC">
      <w:pPr>
        <w:pStyle w:val="TM3"/>
        <w:tabs>
          <w:tab w:val="left" w:pos="1100"/>
        </w:tabs>
        <w:rPr>
          <w:rFonts w:asciiTheme="minorHAnsi" w:eastAsiaTheme="minorEastAsia" w:hAnsiTheme="minorHAnsi" w:cstheme="minorBidi"/>
          <w:noProof/>
          <w:sz w:val="22"/>
          <w:szCs w:val="22"/>
        </w:rPr>
      </w:pPr>
      <w:hyperlink w:anchor="_Toc224552554" w:history="1">
        <w:r w:rsidR="00FF69BD" w:rsidRPr="002F1492">
          <w:rPr>
            <w:rStyle w:val="Lienhypertexte"/>
            <w:noProof/>
          </w:rPr>
          <w:t>1.2.1</w:t>
        </w:r>
        <w:r w:rsidR="00FF69BD">
          <w:rPr>
            <w:rFonts w:asciiTheme="minorHAnsi" w:eastAsiaTheme="minorEastAsia" w:hAnsiTheme="minorHAnsi" w:cstheme="minorBidi"/>
            <w:noProof/>
            <w:sz w:val="22"/>
            <w:szCs w:val="22"/>
          </w:rPr>
          <w:tab/>
        </w:r>
        <w:r w:rsidR="00FF69BD" w:rsidRPr="002F1492">
          <w:rPr>
            <w:rStyle w:val="Lienhypertexte"/>
            <w:noProof/>
          </w:rPr>
          <w:t>Forme du marché</w:t>
        </w:r>
        <w:r w:rsidR="00FF69BD">
          <w:rPr>
            <w:noProof/>
          </w:rPr>
          <w:tab/>
        </w:r>
        <w:r w:rsidR="00FF69BD">
          <w:rPr>
            <w:noProof/>
          </w:rPr>
          <w:fldChar w:fldCharType="begin"/>
        </w:r>
        <w:r w:rsidR="00FF69BD">
          <w:rPr>
            <w:noProof/>
          </w:rPr>
          <w:instrText xml:space="preserve"> PAGEREF _Toc224552554 \h </w:instrText>
        </w:r>
        <w:r w:rsidR="00FF69BD">
          <w:rPr>
            <w:noProof/>
          </w:rPr>
        </w:r>
        <w:r w:rsidR="00FF69BD">
          <w:rPr>
            <w:noProof/>
          </w:rPr>
          <w:fldChar w:fldCharType="separate"/>
        </w:r>
        <w:r w:rsidR="00FF69BD">
          <w:rPr>
            <w:noProof/>
          </w:rPr>
          <w:t>4</w:t>
        </w:r>
        <w:r w:rsidR="00FF69BD">
          <w:rPr>
            <w:noProof/>
          </w:rPr>
          <w:fldChar w:fldCharType="end"/>
        </w:r>
      </w:hyperlink>
    </w:p>
    <w:p w14:paraId="25518B55" w14:textId="2FD2B149" w:rsidR="00FF69BD" w:rsidRDefault="00E74EEC">
      <w:pPr>
        <w:pStyle w:val="TM3"/>
        <w:tabs>
          <w:tab w:val="left" w:pos="1100"/>
        </w:tabs>
        <w:rPr>
          <w:rFonts w:asciiTheme="minorHAnsi" w:eastAsiaTheme="minorEastAsia" w:hAnsiTheme="minorHAnsi" w:cstheme="minorBidi"/>
          <w:noProof/>
          <w:sz w:val="22"/>
          <w:szCs w:val="22"/>
        </w:rPr>
      </w:pPr>
      <w:hyperlink w:anchor="_Toc224552555" w:history="1">
        <w:r w:rsidR="00FF69BD" w:rsidRPr="002F1492">
          <w:rPr>
            <w:rStyle w:val="Lienhypertexte"/>
            <w:noProof/>
          </w:rPr>
          <w:t>1.2.2</w:t>
        </w:r>
        <w:r w:rsidR="00FF69BD">
          <w:rPr>
            <w:rFonts w:asciiTheme="minorHAnsi" w:eastAsiaTheme="minorEastAsia" w:hAnsiTheme="minorHAnsi" w:cstheme="minorBidi"/>
            <w:noProof/>
            <w:sz w:val="22"/>
            <w:szCs w:val="22"/>
          </w:rPr>
          <w:tab/>
        </w:r>
        <w:r w:rsidR="00FF69BD" w:rsidRPr="002F1492">
          <w:rPr>
            <w:rStyle w:val="Lienhypertexte"/>
            <w:noProof/>
          </w:rPr>
          <w:t>Allotissement</w:t>
        </w:r>
        <w:r w:rsidR="00FF69BD">
          <w:rPr>
            <w:noProof/>
          </w:rPr>
          <w:tab/>
        </w:r>
        <w:r w:rsidR="00FF69BD">
          <w:rPr>
            <w:noProof/>
          </w:rPr>
          <w:fldChar w:fldCharType="begin"/>
        </w:r>
        <w:r w:rsidR="00FF69BD">
          <w:rPr>
            <w:noProof/>
          </w:rPr>
          <w:instrText xml:space="preserve"> PAGEREF _Toc224552555 \h </w:instrText>
        </w:r>
        <w:r w:rsidR="00FF69BD">
          <w:rPr>
            <w:noProof/>
          </w:rPr>
        </w:r>
        <w:r w:rsidR="00FF69BD">
          <w:rPr>
            <w:noProof/>
          </w:rPr>
          <w:fldChar w:fldCharType="separate"/>
        </w:r>
        <w:r w:rsidR="00FF69BD">
          <w:rPr>
            <w:noProof/>
          </w:rPr>
          <w:t>4</w:t>
        </w:r>
        <w:r w:rsidR="00FF69BD">
          <w:rPr>
            <w:noProof/>
          </w:rPr>
          <w:fldChar w:fldCharType="end"/>
        </w:r>
      </w:hyperlink>
    </w:p>
    <w:p w14:paraId="445AF8F2" w14:textId="613812CE" w:rsidR="00FF69BD" w:rsidRDefault="00E74EEC">
      <w:pPr>
        <w:pStyle w:val="TM2"/>
        <w:tabs>
          <w:tab w:val="left" w:pos="799"/>
        </w:tabs>
        <w:rPr>
          <w:rFonts w:asciiTheme="minorHAnsi" w:eastAsiaTheme="minorEastAsia" w:hAnsiTheme="minorHAnsi" w:cstheme="minorBidi"/>
          <w:noProof/>
          <w:szCs w:val="22"/>
        </w:rPr>
      </w:pPr>
      <w:hyperlink w:anchor="_Toc224552556" w:history="1">
        <w:r w:rsidR="00FF69BD" w:rsidRPr="002F1492">
          <w:rPr>
            <w:rStyle w:val="Lienhypertexte"/>
            <w:noProof/>
          </w:rPr>
          <w:t>1.3</w:t>
        </w:r>
        <w:r w:rsidR="00FF69BD">
          <w:rPr>
            <w:rFonts w:asciiTheme="minorHAnsi" w:eastAsiaTheme="minorEastAsia" w:hAnsiTheme="minorHAnsi" w:cstheme="minorBidi"/>
            <w:noProof/>
            <w:szCs w:val="22"/>
          </w:rPr>
          <w:tab/>
        </w:r>
        <w:r w:rsidR="00FF69BD" w:rsidRPr="002F1492">
          <w:rPr>
            <w:rStyle w:val="Lienhypertexte"/>
            <w:noProof/>
          </w:rPr>
          <w:t>Durée</w:t>
        </w:r>
        <w:r w:rsidR="00FF69BD">
          <w:rPr>
            <w:noProof/>
          </w:rPr>
          <w:tab/>
        </w:r>
        <w:r w:rsidR="00FF69BD">
          <w:rPr>
            <w:noProof/>
          </w:rPr>
          <w:fldChar w:fldCharType="begin"/>
        </w:r>
        <w:r w:rsidR="00FF69BD">
          <w:rPr>
            <w:noProof/>
          </w:rPr>
          <w:instrText xml:space="preserve"> PAGEREF _Toc224552556 \h </w:instrText>
        </w:r>
        <w:r w:rsidR="00FF69BD">
          <w:rPr>
            <w:noProof/>
          </w:rPr>
        </w:r>
        <w:r w:rsidR="00FF69BD">
          <w:rPr>
            <w:noProof/>
          </w:rPr>
          <w:fldChar w:fldCharType="separate"/>
        </w:r>
        <w:r w:rsidR="00FF69BD">
          <w:rPr>
            <w:noProof/>
          </w:rPr>
          <w:t>5</w:t>
        </w:r>
        <w:r w:rsidR="00FF69BD">
          <w:rPr>
            <w:noProof/>
          </w:rPr>
          <w:fldChar w:fldCharType="end"/>
        </w:r>
      </w:hyperlink>
    </w:p>
    <w:p w14:paraId="710D372D" w14:textId="7DB5FFB1" w:rsidR="00FF69BD" w:rsidRDefault="00E74EEC">
      <w:pPr>
        <w:pStyle w:val="TM2"/>
        <w:tabs>
          <w:tab w:val="left" w:pos="799"/>
        </w:tabs>
        <w:rPr>
          <w:rFonts w:asciiTheme="minorHAnsi" w:eastAsiaTheme="minorEastAsia" w:hAnsiTheme="minorHAnsi" w:cstheme="minorBidi"/>
          <w:noProof/>
          <w:szCs w:val="22"/>
        </w:rPr>
      </w:pPr>
      <w:hyperlink w:anchor="_Toc224552557" w:history="1">
        <w:r w:rsidR="00FF69BD" w:rsidRPr="002F1492">
          <w:rPr>
            <w:rStyle w:val="Lienhypertexte"/>
            <w:noProof/>
          </w:rPr>
          <w:t>1.4</w:t>
        </w:r>
        <w:r w:rsidR="00FF69BD">
          <w:rPr>
            <w:rFonts w:asciiTheme="minorHAnsi" w:eastAsiaTheme="minorEastAsia" w:hAnsiTheme="minorHAnsi" w:cstheme="minorBidi"/>
            <w:noProof/>
            <w:szCs w:val="22"/>
          </w:rPr>
          <w:tab/>
        </w:r>
        <w:r w:rsidR="00FF69BD" w:rsidRPr="002F1492">
          <w:rPr>
            <w:rStyle w:val="Lienhypertexte"/>
            <w:noProof/>
          </w:rPr>
          <w:t>Prix</w:t>
        </w:r>
        <w:r w:rsidR="00FF69BD">
          <w:rPr>
            <w:noProof/>
          </w:rPr>
          <w:tab/>
        </w:r>
        <w:r w:rsidR="00FF69BD">
          <w:rPr>
            <w:noProof/>
          </w:rPr>
          <w:fldChar w:fldCharType="begin"/>
        </w:r>
        <w:r w:rsidR="00FF69BD">
          <w:rPr>
            <w:noProof/>
          </w:rPr>
          <w:instrText xml:space="preserve"> PAGEREF _Toc224552557 \h </w:instrText>
        </w:r>
        <w:r w:rsidR="00FF69BD">
          <w:rPr>
            <w:noProof/>
          </w:rPr>
        </w:r>
        <w:r w:rsidR="00FF69BD">
          <w:rPr>
            <w:noProof/>
          </w:rPr>
          <w:fldChar w:fldCharType="separate"/>
        </w:r>
        <w:r w:rsidR="00FF69BD">
          <w:rPr>
            <w:noProof/>
          </w:rPr>
          <w:t>5</w:t>
        </w:r>
        <w:r w:rsidR="00FF69BD">
          <w:rPr>
            <w:noProof/>
          </w:rPr>
          <w:fldChar w:fldCharType="end"/>
        </w:r>
      </w:hyperlink>
    </w:p>
    <w:p w14:paraId="230A9C54" w14:textId="48532E92" w:rsidR="00FF69BD" w:rsidRDefault="00E74EEC">
      <w:pPr>
        <w:pStyle w:val="TM3"/>
        <w:tabs>
          <w:tab w:val="left" w:pos="1100"/>
        </w:tabs>
        <w:rPr>
          <w:rFonts w:asciiTheme="minorHAnsi" w:eastAsiaTheme="minorEastAsia" w:hAnsiTheme="minorHAnsi" w:cstheme="minorBidi"/>
          <w:noProof/>
          <w:sz w:val="22"/>
          <w:szCs w:val="22"/>
        </w:rPr>
      </w:pPr>
      <w:hyperlink w:anchor="_Toc224552558" w:history="1">
        <w:r w:rsidR="00FF69BD" w:rsidRPr="002F1492">
          <w:rPr>
            <w:rStyle w:val="Lienhypertexte"/>
            <w:noProof/>
          </w:rPr>
          <w:t>1.4.1</w:t>
        </w:r>
        <w:r w:rsidR="00FF69BD">
          <w:rPr>
            <w:rFonts w:asciiTheme="minorHAnsi" w:eastAsiaTheme="minorEastAsia" w:hAnsiTheme="minorHAnsi" w:cstheme="minorBidi"/>
            <w:noProof/>
            <w:sz w:val="22"/>
            <w:szCs w:val="22"/>
          </w:rPr>
          <w:tab/>
        </w:r>
        <w:r w:rsidR="00FF69BD" w:rsidRPr="002F1492">
          <w:rPr>
            <w:rStyle w:val="Lienhypertexte"/>
            <w:noProof/>
          </w:rPr>
          <w:t>Forme des prix</w:t>
        </w:r>
        <w:r w:rsidR="00FF69BD">
          <w:rPr>
            <w:noProof/>
          </w:rPr>
          <w:tab/>
        </w:r>
        <w:r w:rsidR="00FF69BD">
          <w:rPr>
            <w:noProof/>
          </w:rPr>
          <w:fldChar w:fldCharType="begin"/>
        </w:r>
        <w:r w:rsidR="00FF69BD">
          <w:rPr>
            <w:noProof/>
          </w:rPr>
          <w:instrText xml:space="preserve"> PAGEREF _Toc224552558 \h </w:instrText>
        </w:r>
        <w:r w:rsidR="00FF69BD">
          <w:rPr>
            <w:noProof/>
          </w:rPr>
        </w:r>
        <w:r w:rsidR="00FF69BD">
          <w:rPr>
            <w:noProof/>
          </w:rPr>
          <w:fldChar w:fldCharType="separate"/>
        </w:r>
        <w:r w:rsidR="00FF69BD">
          <w:rPr>
            <w:noProof/>
          </w:rPr>
          <w:t>5</w:t>
        </w:r>
        <w:r w:rsidR="00FF69BD">
          <w:rPr>
            <w:noProof/>
          </w:rPr>
          <w:fldChar w:fldCharType="end"/>
        </w:r>
      </w:hyperlink>
    </w:p>
    <w:p w14:paraId="691C1A68" w14:textId="43D315D1" w:rsidR="00FF69BD" w:rsidRDefault="00E74EEC">
      <w:pPr>
        <w:pStyle w:val="TM3"/>
        <w:tabs>
          <w:tab w:val="left" w:pos="1100"/>
        </w:tabs>
        <w:rPr>
          <w:rFonts w:asciiTheme="minorHAnsi" w:eastAsiaTheme="minorEastAsia" w:hAnsiTheme="minorHAnsi" w:cstheme="minorBidi"/>
          <w:noProof/>
          <w:sz w:val="22"/>
          <w:szCs w:val="22"/>
        </w:rPr>
      </w:pPr>
      <w:hyperlink w:anchor="_Toc224552559" w:history="1">
        <w:r w:rsidR="00FF69BD" w:rsidRPr="002F1492">
          <w:rPr>
            <w:rStyle w:val="Lienhypertexte"/>
            <w:noProof/>
          </w:rPr>
          <w:t>1.4.2</w:t>
        </w:r>
        <w:r w:rsidR="00FF69BD">
          <w:rPr>
            <w:rFonts w:asciiTheme="minorHAnsi" w:eastAsiaTheme="minorEastAsia" w:hAnsiTheme="minorHAnsi" w:cstheme="minorBidi"/>
            <w:noProof/>
            <w:sz w:val="22"/>
            <w:szCs w:val="22"/>
          </w:rPr>
          <w:tab/>
        </w:r>
        <w:r w:rsidR="00FF69BD" w:rsidRPr="002F1492">
          <w:rPr>
            <w:rStyle w:val="Lienhypertexte"/>
            <w:noProof/>
          </w:rPr>
          <w:t>Typologie des prix</w:t>
        </w:r>
        <w:r w:rsidR="00FF69BD">
          <w:rPr>
            <w:noProof/>
          </w:rPr>
          <w:tab/>
        </w:r>
        <w:r w:rsidR="00FF69BD">
          <w:rPr>
            <w:noProof/>
          </w:rPr>
          <w:fldChar w:fldCharType="begin"/>
        </w:r>
        <w:r w:rsidR="00FF69BD">
          <w:rPr>
            <w:noProof/>
          </w:rPr>
          <w:instrText xml:space="preserve"> PAGEREF _Toc224552559 \h </w:instrText>
        </w:r>
        <w:r w:rsidR="00FF69BD">
          <w:rPr>
            <w:noProof/>
          </w:rPr>
        </w:r>
        <w:r w:rsidR="00FF69BD">
          <w:rPr>
            <w:noProof/>
          </w:rPr>
          <w:fldChar w:fldCharType="separate"/>
        </w:r>
        <w:r w:rsidR="00FF69BD">
          <w:rPr>
            <w:noProof/>
          </w:rPr>
          <w:t>5</w:t>
        </w:r>
        <w:r w:rsidR="00FF69BD">
          <w:rPr>
            <w:noProof/>
          </w:rPr>
          <w:fldChar w:fldCharType="end"/>
        </w:r>
      </w:hyperlink>
    </w:p>
    <w:p w14:paraId="762DE417" w14:textId="7A2A779C" w:rsidR="00FF69BD" w:rsidRDefault="00E74EEC">
      <w:pPr>
        <w:pStyle w:val="TM2"/>
        <w:tabs>
          <w:tab w:val="left" w:pos="799"/>
        </w:tabs>
        <w:rPr>
          <w:rFonts w:asciiTheme="minorHAnsi" w:eastAsiaTheme="minorEastAsia" w:hAnsiTheme="minorHAnsi" w:cstheme="minorBidi"/>
          <w:noProof/>
          <w:szCs w:val="22"/>
        </w:rPr>
      </w:pPr>
      <w:hyperlink w:anchor="_Toc224552560" w:history="1">
        <w:r w:rsidR="00FF69BD" w:rsidRPr="002F1492">
          <w:rPr>
            <w:rStyle w:val="Lienhypertexte"/>
            <w:noProof/>
          </w:rPr>
          <w:t>1.5</w:t>
        </w:r>
        <w:r w:rsidR="00FF69BD">
          <w:rPr>
            <w:rFonts w:asciiTheme="minorHAnsi" w:eastAsiaTheme="minorEastAsia" w:hAnsiTheme="minorHAnsi" w:cstheme="minorBidi"/>
            <w:noProof/>
            <w:szCs w:val="22"/>
          </w:rPr>
          <w:tab/>
        </w:r>
        <w:r w:rsidR="00FF69BD" w:rsidRPr="002F1492">
          <w:rPr>
            <w:rStyle w:val="Lienhypertexte"/>
            <w:noProof/>
          </w:rPr>
          <w:t>Modalités essentielles de financement et de paiement</w:t>
        </w:r>
        <w:r w:rsidR="00FF69BD">
          <w:rPr>
            <w:noProof/>
          </w:rPr>
          <w:tab/>
        </w:r>
        <w:r w:rsidR="00FF69BD">
          <w:rPr>
            <w:noProof/>
          </w:rPr>
          <w:fldChar w:fldCharType="begin"/>
        </w:r>
        <w:r w:rsidR="00FF69BD">
          <w:rPr>
            <w:noProof/>
          </w:rPr>
          <w:instrText xml:space="preserve"> PAGEREF _Toc224552560 \h </w:instrText>
        </w:r>
        <w:r w:rsidR="00FF69BD">
          <w:rPr>
            <w:noProof/>
          </w:rPr>
        </w:r>
        <w:r w:rsidR="00FF69BD">
          <w:rPr>
            <w:noProof/>
          </w:rPr>
          <w:fldChar w:fldCharType="separate"/>
        </w:r>
        <w:r w:rsidR="00FF69BD">
          <w:rPr>
            <w:noProof/>
          </w:rPr>
          <w:t>5</w:t>
        </w:r>
        <w:r w:rsidR="00FF69BD">
          <w:rPr>
            <w:noProof/>
          </w:rPr>
          <w:fldChar w:fldCharType="end"/>
        </w:r>
      </w:hyperlink>
    </w:p>
    <w:p w14:paraId="59943E2A" w14:textId="3414F011"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61" w:history="1">
        <w:r w:rsidR="00FF69BD" w:rsidRPr="002F1492">
          <w:rPr>
            <w:rStyle w:val="Lienhypertexte"/>
            <w:noProof/>
          </w:rPr>
          <w:t>2.</w:t>
        </w:r>
        <w:r w:rsidR="00FF69BD">
          <w:rPr>
            <w:rFonts w:asciiTheme="minorHAnsi" w:eastAsiaTheme="minorEastAsia" w:hAnsiTheme="minorHAnsi" w:cstheme="minorBidi"/>
            <w:b w:val="0"/>
            <w:noProof/>
            <w:kern w:val="0"/>
            <w:sz w:val="22"/>
            <w:szCs w:val="22"/>
          </w:rPr>
          <w:tab/>
        </w:r>
        <w:r w:rsidR="00FF69BD" w:rsidRPr="002F1492">
          <w:rPr>
            <w:rStyle w:val="Lienhypertexte"/>
            <w:noProof/>
          </w:rPr>
          <w:t>Modalités de la consultation</w:t>
        </w:r>
        <w:r w:rsidR="00FF69BD">
          <w:rPr>
            <w:noProof/>
          </w:rPr>
          <w:tab/>
        </w:r>
        <w:r w:rsidR="00FF69BD">
          <w:rPr>
            <w:noProof/>
          </w:rPr>
          <w:fldChar w:fldCharType="begin"/>
        </w:r>
        <w:r w:rsidR="00FF69BD">
          <w:rPr>
            <w:noProof/>
          </w:rPr>
          <w:instrText xml:space="preserve"> PAGEREF _Toc224552561 \h </w:instrText>
        </w:r>
        <w:r w:rsidR="00FF69BD">
          <w:rPr>
            <w:noProof/>
          </w:rPr>
        </w:r>
        <w:r w:rsidR="00FF69BD">
          <w:rPr>
            <w:noProof/>
          </w:rPr>
          <w:fldChar w:fldCharType="separate"/>
        </w:r>
        <w:r w:rsidR="00FF69BD">
          <w:rPr>
            <w:noProof/>
          </w:rPr>
          <w:t>5</w:t>
        </w:r>
        <w:r w:rsidR="00FF69BD">
          <w:rPr>
            <w:noProof/>
          </w:rPr>
          <w:fldChar w:fldCharType="end"/>
        </w:r>
      </w:hyperlink>
    </w:p>
    <w:p w14:paraId="2721BC2F" w14:textId="44852F5E" w:rsidR="00FF69BD" w:rsidRDefault="00E74EEC">
      <w:pPr>
        <w:pStyle w:val="TM2"/>
        <w:tabs>
          <w:tab w:val="left" w:pos="799"/>
        </w:tabs>
        <w:rPr>
          <w:rFonts w:asciiTheme="minorHAnsi" w:eastAsiaTheme="minorEastAsia" w:hAnsiTheme="minorHAnsi" w:cstheme="minorBidi"/>
          <w:noProof/>
          <w:szCs w:val="22"/>
        </w:rPr>
      </w:pPr>
      <w:hyperlink w:anchor="_Toc224552562" w:history="1">
        <w:r w:rsidR="00FF69BD" w:rsidRPr="002F1492">
          <w:rPr>
            <w:rStyle w:val="Lienhypertexte"/>
            <w:noProof/>
          </w:rPr>
          <w:t>2.1</w:t>
        </w:r>
        <w:r w:rsidR="00FF69BD">
          <w:rPr>
            <w:rFonts w:asciiTheme="minorHAnsi" w:eastAsiaTheme="minorEastAsia" w:hAnsiTheme="minorHAnsi" w:cstheme="minorBidi"/>
            <w:noProof/>
            <w:szCs w:val="22"/>
          </w:rPr>
          <w:tab/>
        </w:r>
        <w:r w:rsidR="00FF69BD" w:rsidRPr="002F1492">
          <w:rPr>
            <w:rStyle w:val="Lienhypertexte"/>
            <w:noProof/>
          </w:rPr>
          <w:t>Choix de la procédure de passation</w:t>
        </w:r>
        <w:r w:rsidR="00FF69BD">
          <w:rPr>
            <w:noProof/>
          </w:rPr>
          <w:tab/>
        </w:r>
        <w:r w:rsidR="00FF69BD">
          <w:rPr>
            <w:noProof/>
          </w:rPr>
          <w:fldChar w:fldCharType="begin"/>
        </w:r>
        <w:r w:rsidR="00FF69BD">
          <w:rPr>
            <w:noProof/>
          </w:rPr>
          <w:instrText xml:space="preserve"> PAGEREF _Toc224552562 \h </w:instrText>
        </w:r>
        <w:r w:rsidR="00FF69BD">
          <w:rPr>
            <w:noProof/>
          </w:rPr>
        </w:r>
        <w:r w:rsidR="00FF69BD">
          <w:rPr>
            <w:noProof/>
          </w:rPr>
          <w:fldChar w:fldCharType="separate"/>
        </w:r>
        <w:r w:rsidR="00FF69BD">
          <w:rPr>
            <w:noProof/>
          </w:rPr>
          <w:t>5</w:t>
        </w:r>
        <w:r w:rsidR="00FF69BD">
          <w:rPr>
            <w:noProof/>
          </w:rPr>
          <w:fldChar w:fldCharType="end"/>
        </w:r>
      </w:hyperlink>
    </w:p>
    <w:p w14:paraId="543D1244" w14:textId="2E944834" w:rsidR="00FF69BD" w:rsidRDefault="00E74EEC">
      <w:pPr>
        <w:pStyle w:val="TM2"/>
        <w:tabs>
          <w:tab w:val="left" w:pos="799"/>
        </w:tabs>
        <w:rPr>
          <w:rFonts w:asciiTheme="minorHAnsi" w:eastAsiaTheme="minorEastAsia" w:hAnsiTheme="minorHAnsi" w:cstheme="minorBidi"/>
          <w:noProof/>
          <w:szCs w:val="22"/>
        </w:rPr>
      </w:pPr>
      <w:hyperlink w:anchor="_Toc224552563" w:history="1">
        <w:r w:rsidR="00FF69BD" w:rsidRPr="002F1492">
          <w:rPr>
            <w:rStyle w:val="Lienhypertexte"/>
            <w:noProof/>
          </w:rPr>
          <w:t>2.2</w:t>
        </w:r>
        <w:r w:rsidR="00FF69BD">
          <w:rPr>
            <w:rFonts w:asciiTheme="minorHAnsi" w:eastAsiaTheme="minorEastAsia" w:hAnsiTheme="minorHAnsi" w:cstheme="minorBidi"/>
            <w:noProof/>
            <w:szCs w:val="22"/>
          </w:rPr>
          <w:tab/>
        </w:r>
        <w:r w:rsidR="00FF69BD" w:rsidRPr="002F1492">
          <w:rPr>
            <w:rStyle w:val="Lienhypertexte"/>
            <w:noProof/>
          </w:rPr>
          <w:t>Date limite de remise des candidatures et des offres</w:t>
        </w:r>
        <w:r w:rsidR="00FF69BD">
          <w:rPr>
            <w:noProof/>
          </w:rPr>
          <w:tab/>
        </w:r>
        <w:r w:rsidR="00FF69BD">
          <w:rPr>
            <w:noProof/>
          </w:rPr>
          <w:fldChar w:fldCharType="begin"/>
        </w:r>
        <w:r w:rsidR="00FF69BD">
          <w:rPr>
            <w:noProof/>
          </w:rPr>
          <w:instrText xml:space="preserve"> PAGEREF _Toc224552563 \h </w:instrText>
        </w:r>
        <w:r w:rsidR="00FF69BD">
          <w:rPr>
            <w:noProof/>
          </w:rPr>
        </w:r>
        <w:r w:rsidR="00FF69BD">
          <w:rPr>
            <w:noProof/>
          </w:rPr>
          <w:fldChar w:fldCharType="separate"/>
        </w:r>
        <w:r w:rsidR="00FF69BD">
          <w:rPr>
            <w:noProof/>
          </w:rPr>
          <w:t>5</w:t>
        </w:r>
        <w:r w:rsidR="00FF69BD">
          <w:rPr>
            <w:noProof/>
          </w:rPr>
          <w:fldChar w:fldCharType="end"/>
        </w:r>
      </w:hyperlink>
    </w:p>
    <w:p w14:paraId="45F2A793" w14:textId="22D0F12E" w:rsidR="00FF69BD" w:rsidRDefault="00E74EEC">
      <w:pPr>
        <w:pStyle w:val="TM2"/>
        <w:tabs>
          <w:tab w:val="left" w:pos="799"/>
        </w:tabs>
        <w:rPr>
          <w:rFonts w:asciiTheme="minorHAnsi" w:eastAsiaTheme="minorEastAsia" w:hAnsiTheme="minorHAnsi" w:cstheme="minorBidi"/>
          <w:noProof/>
          <w:szCs w:val="22"/>
        </w:rPr>
      </w:pPr>
      <w:hyperlink w:anchor="_Toc224552564" w:history="1">
        <w:r w:rsidR="00FF69BD" w:rsidRPr="002F1492">
          <w:rPr>
            <w:rStyle w:val="Lienhypertexte"/>
            <w:noProof/>
          </w:rPr>
          <w:t>2.3</w:t>
        </w:r>
        <w:r w:rsidR="00FF69BD">
          <w:rPr>
            <w:rFonts w:asciiTheme="minorHAnsi" w:eastAsiaTheme="minorEastAsia" w:hAnsiTheme="minorHAnsi" w:cstheme="minorBidi"/>
            <w:noProof/>
            <w:szCs w:val="22"/>
          </w:rPr>
          <w:tab/>
        </w:r>
        <w:r w:rsidR="00FF69BD" w:rsidRPr="002F1492">
          <w:rPr>
            <w:rStyle w:val="Lienhypertexte"/>
            <w:noProof/>
          </w:rPr>
          <w:t>Variante</w:t>
        </w:r>
        <w:r w:rsidR="00FF69BD">
          <w:rPr>
            <w:noProof/>
          </w:rPr>
          <w:tab/>
        </w:r>
        <w:r w:rsidR="00FF69BD">
          <w:rPr>
            <w:noProof/>
          </w:rPr>
          <w:fldChar w:fldCharType="begin"/>
        </w:r>
        <w:r w:rsidR="00FF69BD">
          <w:rPr>
            <w:noProof/>
          </w:rPr>
          <w:instrText xml:space="preserve"> PAGEREF _Toc224552564 \h </w:instrText>
        </w:r>
        <w:r w:rsidR="00FF69BD">
          <w:rPr>
            <w:noProof/>
          </w:rPr>
        </w:r>
        <w:r w:rsidR="00FF69BD">
          <w:rPr>
            <w:noProof/>
          </w:rPr>
          <w:fldChar w:fldCharType="separate"/>
        </w:r>
        <w:r w:rsidR="00FF69BD">
          <w:rPr>
            <w:noProof/>
          </w:rPr>
          <w:t>6</w:t>
        </w:r>
        <w:r w:rsidR="00FF69BD">
          <w:rPr>
            <w:noProof/>
          </w:rPr>
          <w:fldChar w:fldCharType="end"/>
        </w:r>
      </w:hyperlink>
    </w:p>
    <w:p w14:paraId="09138953" w14:textId="3ECECB57" w:rsidR="00FF69BD" w:rsidRDefault="00E74EEC">
      <w:pPr>
        <w:pStyle w:val="TM2"/>
        <w:tabs>
          <w:tab w:val="left" w:pos="799"/>
        </w:tabs>
        <w:rPr>
          <w:rFonts w:asciiTheme="minorHAnsi" w:eastAsiaTheme="minorEastAsia" w:hAnsiTheme="minorHAnsi" w:cstheme="minorBidi"/>
          <w:noProof/>
          <w:szCs w:val="22"/>
        </w:rPr>
      </w:pPr>
      <w:hyperlink w:anchor="_Toc224552565" w:history="1">
        <w:r w:rsidR="00FF69BD" w:rsidRPr="002F1492">
          <w:rPr>
            <w:rStyle w:val="Lienhypertexte"/>
            <w:noProof/>
          </w:rPr>
          <w:t>2.4</w:t>
        </w:r>
        <w:r w:rsidR="00FF69BD">
          <w:rPr>
            <w:rFonts w:asciiTheme="minorHAnsi" w:eastAsiaTheme="minorEastAsia" w:hAnsiTheme="minorHAnsi" w:cstheme="minorBidi"/>
            <w:noProof/>
            <w:szCs w:val="22"/>
          </w:rPr>
          <w:tab/>
        </w:r>
        <w:r w:rsidR="00FF69BD" w:rsidRPr="002F1492">
          <w:rPr>
            <w:rStyle w:val="Lienhypertexte"/>
            <w:noProof/>
          </w:rPr>
          <w:t>Prestations supplémentaires éventuelles</w:t>
        </w:r>
        <w:r w:rsidR="00FF69BD">
          <w:rPr>
            <w:noProof/>
          </w:rPr>
          <w:tab/>
        </w:r>
        <w:r w:rsidR="00FF69BD">
          <w:rPr>
            <w:noProof/>
          </w:rPr>
          <w:fldChar w:fldCharType="begin"/>
        </w:r>
        <w:r w:rsidR="00FF69BD">
          <w:rPr>
            <w:noProof/>
          </w:rPr>
          <w:instrText xml:space="preserve"> PAGEREF _Toc224552565 \h </w:instrText>
        </w:r>
        <w:r w:rsidR="00FF69BD">
          <w:rPr>
            <w:noProof/>
          </w:rPr>
        </w:r>
        <w:r w:rsidR="00FF69BD">
          <w:rPr>
            <w:noProof/>
          </w:rPr>
          <w:fldChar w:fldCharType="separate"/>
        </w:r>
        <w:r w:rsidR="00FF69BD">
          <w:rPr>
            <w:noProof/>
          </w:rPr>
          <w:t>6</w:t>
        </w:r>
        <w:r w:rsidR="00FF69BD">
          <w:rPr>
            <w:noProof/>
          </w:rPr>
          <w:fldChar w:fldCharType="end"/>
        </w:r>
      </w:hyperlink>
    </w:p>
    <w:p w14:paraId="4D87DD3D" w14:textId="26D1AE5E" w:rsidR="00FF69BD" w:rsidRDefault="00E74EEC">
      <w:pPr>
        <w:pStyle w:val="TM2"/>
        <w:tabs>
          <w:tab w:val="left" w:pos="799"/>
        </w:tabs>
        <w:rPr>
          <w:rFonts w:asciiTheme="minorHAnsi" w:eastAsiaTheme="minorEastAsia" w:hAnsiTheme="minorHAnsi" w:cstheme="minorBidi"/>
          <w:noProof/>
          <w:szCs w:val="22"/>
        </w:rPr>
      </w:pPr>
      <w:hyperlink w:anchor="_Toc224552566" w:history="1">
        <w:r w:rsidR="00FF69BD" w:rsidRPr="002F1492">
          <w:rPr>
            <w:rStyle w:val="Lienhypertexte"/>
            <w:noProof/>
          </w:rPr>
          <w:t>2.5</w:t>
        </w:r>
        <w:r w:rsidR="00FF69BD">
          <w:rPr>
            <w:rFonts w:asciiTheme="minorHAnsi" w:eastAsiaTheme="minorEastAsia" w:hAnsiTheme="minorHAnsi" w:cstheme="minorBidi"/>
            <w:noProof/>
            <w:szCs w:val="22"/>
          </w:rPr>
          <w:tab/>
        </w:r>
        <w:r w:rsidR="00FF69BD" w:rsidRPr="002F1492">
          <w:rPr>
            <w:rStyle w:val="Lienhypertexte"/>
            <w:noProof/>
          </w:rPr>
          <w:t>Délai de validité des candidatures et des offres</w:t>
        </w:r>
        <w:r w:rsidR="00FF69BD">
          <w:rPr>
            <w:noProof/>
          </w:rPr>
          <w:tab/>
        </w:r>
        <w:r w:rsidR="00FF69BD">
          <w:rPr>
            <w:noProof/>
          </w:rPr>
          <w:fldChar w:fldCharType="begin"/>
        </w:r>
        <w:r w:rsidR="00FF69BD">
          <w:rPr>
            <w:noProof/>
          </w:rPr>
          <w:instrText xml:space="preserve"> PAGEREF _Toc224552566 \h </w:instrText>
        </w:r>
        <w:r w:rsidR="00FF69BD">
          <w:rPr>
            <w:noProof/>
          </w:rPr>
        </w:r>
        <w:r w:rsidR="00FF69BD">
          <w:rPr>
            <w:noProof/>
          </w:rPr>
          <w:fldChar w:fldCharType="separate"/>
        </w:r>
        <w:r w:rsidR="00FF69BD">
          <w:rPr>
            <w:noProof/>
          </w:rPr>
          <w:t>6</w:t>
        </w:r>
        <w:r w:rsidR="00FF69BD">
          <w:rPr>
            <w:noProof/>
          </w:rPr>
          <w:fldChar w:fldCharType="end"/>
        </w:r>
      </w:hyperlink>
    </w:p>
    <w:p w14:paraId="703F4DD1" w14:textId="4A5BA5DD" w:rsidR="00FF69BD" w:rsidRDefault="00E74EEC">
      <w:pPr>
        <w:pStyle w:val="TM2"/>
        <w:tabs>
          <w:tab w:val="left" w:pos="799"/>
        </w:tabs>
        <w:rPr>
          <w:rFonts w:asciiTheme="minorHAnsi" w:eastAsiaTheme="minorEastAsia" w:hAnsiTheme="minorHAnsi" w:cstheme="minorBidi"/>
          <w:noProof/>
          <w:szCs w:val="22"/>
        </w:rPr>
      </w:pPr>
      <w:hyperlink w:anchor="_Toc224552567" w:history="1">
        <w:r w:rsidR="00FF69BD" w:rsidRPr="002F1492">
          <w:rPr>
            <w:rStyle w:val="Lienhypertexte"/>
            <w:noProof/>
          </w:rPr>
          <w:t>2.6</w:t>
        </w:r>
        <w:r w:rsidR="00FF69BD">
          <w:rPr>
            <w:rFonts w:asciiTheme="minorHAnsi" w:eastAsiaTheme="minorEastAsia" w:hAnsiTheme="minorHAnsi" w:cstheme="minorBidi"/>
            <w:noProof/>
            <w:szCs w:val="22"/>
          </w:rPr>
          <w:tab/>
        </w:r>
        <w:r w:rsidR="00FF69BD" w:rsidRPr="002F1492">
          <w:rPr>
            <w:rStyle w:val="Lienhypertexte"/>
            <w:noProof/>
          </w:rPr>
          <w:t>Modification du dossier de consultation</w:t>
        </w:r>
        <w:r w:rsidR="00FF69BD">
          <w:rPr>
            <w:noProof/>
          </w:rPr>
          <w:tab/>
        </w:r>
        <w:r w:rsidR="00FF69BD">
          <w:rPr>
            <w:noProof/>
          </w:rPr>
          <w:fldChar w:fldCharType="begin"/>
        </w:r>
        <w:r w:rsidR="00FF69BD">
          <w:rPr>
            <w:noProof/>
          </w:rPr>
          <w:instrText xml:space="preserve"> PAGEREF _Toc224552567 \h </w:instrText>
        </w:r>
        <w:r w:rsidR="00FF69BD">
          <w:rPr>
            <w:noProof/>
          </w:rPr>
        </w:r>
        <w:r w:rsidR="00FF69BD">
          <w:rPr>
            <w:noProof/>
          </w:rPr>
          <w:fldChar w:fldCharType="separate"/>
        </w:r>
        <w:r w:rsidR="00FF69BD">
          <w:rPr>
            <w:noProof/>
          </w:rPr>
          <w:t>6</w:t>
        </w:r>
        <w:r w:rsidR="00FF69BD">
          <w:rPr>
            <w:noProof/>
          </w:rPr>
          <w:fldChar w:fldCharType="end"/>
        </w:r>
      </w:hyperlink>
    </w:p>
    <w:p w14:paraId="479930E7" w14:textId="1F4A25A5" w:rsidR="00FF69BD" w:rsidRDefault="00E74EEC">
      <w:pPr>
        <w:pStyle w:val="TM2"/>
        <w:tabs>
          <w:tab w:val="left" w:pos="799"/>
        </w:tabs>
        <w:rPr>
          <w:rFonts w:asciiTheme="minorHAnsi" w:eastAsiaTheme="minorEastAsia" w:hAnsiTheme="minorHAnsi" w:cstheme="minorBidi"/>
          <w:noProof/>
          <w:szCs w:val="22"/>
        </w:rPr>
      </w:pPr>
      <w:hyperlink w:anchor="_Toc224552568" w:history="1">
        <w:r w:rsidR="00FF69BD" w:rsidRPr="002F1492">
          <w:rPr>
            <w:rStyle w:val="Lienhypertexte"/>
            <w:noProof/>
          </w:rPr>
          <w:t>2.7</w:t>
        </w:r>
        <w:r w:rsidR="00FF69BD">
          <w:rPr>
            <w:rFonts w:asciiTheme="minorHAnsi" w:eastAsiaTheme="minorEastAsia" w:hAnsiTheme="minorHAnsi" w:cstheme="minorBidi"/>
            <w:noProof/>
            <w:szCs w:val="22"/>
          </w:rPr>
          <w:tab/>
        </w:r>
        <w:r w:rsidR="00FF69BD" w:rsidRPr="002F1492">
          <w:rPr>
            <w:rStyle w:val="Lienhypertexte"/>
            <w:noProof/>
          </w:rPr>
          <w:t>Groupement de candidats</w:t>
        </w:r>
        <w:r w:rsidR="00FF69BD">
          <w:rPr>
            <w:noProof/>
          </w:rPr>
          <w:tab/>
        </w:r>
        <w:r w:rsidR="00FF69BD">
          <w:rPr>
            <w:noProof/>
          </w:rPr>
          <w:fldChar w:fldCharType="begin"/>
        </w:r>
        <w:r w:rsidR="00FF69BD">
          <w:rPr>
            <w:noProof/>
          </w:rPr>
          <w:instrText xml:space="preserve"> PAGEREF _Toc224552568 \h </w:instrText>
        </w:r>
        <w:r w:rsidR="00FF69BD">
          <w:rPr>
            <w:noProof/>
          </w:rPr>
        </w:r>
        <w:r w:rsidR="00FF69BD">
          <w:rPr>
            <w:noProof/>
          </w:rPr>
          <w:fldChar w:fldCharType="separate"/>
        </w:r>
        <w:r w:rsidR="00FF69BD">
          <w:rPr>
            <w:noProof/>
          </w:rPr>
          <w:t>6</w:t>
        </w:r>
        <w:r w:rsidR="00FF69BD">
          <w:rPr>
            <w:noProof/>
          </w:rPr>
          <w:fldChar w:fldCharType="end"/>
        </w:r>
      </w:hyperlink>
    </w:p>
    <w:p w14:paraId="5AF5EFFF" w14:textId="2CD6C4C9"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69" w:history="1">
        <w:r w:rsidR="00FF69BD" w:rsidRPr="002F1492">
          <w:rPr>
            <w:rStyle w:val="Lienhypertexte"/>
            <w:noProof/>
          </w:rPr>
          <w:t>3.</w:t>
        </w:r>
        <w:r w:rsidR="00FF69BD">
          <w:rPr>
            <w:rFonts w:asciiTheme="minorHAnsi" w:eastAsiaTheme="minorEastAsia" w:hAnsiTheme="minorHAnsi" w:cstheme="minorBidi"/>
            <w:b w:val="0"/>
            <w:noProof/>
            <w:kern w:val="0"/>
            <w:sz w:val="22"/>
            <w:szCs w:val="22"/>
          </w:rPr>
          <w:tab/>
        </w:r>
        <w:r w:rsidR="00FF69BD" w:rsidRPr="002F1492">
          <w:rPr>
            <w:rStyle w:val="Lienhypertexte"/>
            <w:noProof/>
          </w:rPr>
          <w:t>Constitution des dossiers de candidature et des dossiers d’offre</w:t>
        </w:r>
        <w:r w:rsidR="00FF69BD">
          <w:rPr>
            <w:noProof/>
          </w:rPr>
          <w:tab/>
        </w:r>
        <w:r w:rsidR="00FF69BD">
          <w:rPr>
            <w:noProof/>
          </w:rPr>
          <w:fldChar w:fldCharType="begin"/>
        </w:r>
        <w:r w:rsidR="00FF69BD">
          <w:rPr>
            <w:noProof/>
          </w:rPr>
          <w:instrText xml:space="preserve"> PAGEREF _Toc224552569 \h </w:instrText>
        </w:r>
        <w:r w:rsidR="00FF69BD">
          <w:rPr>
            <w:noProof/>
          </w:rPr>
        </w:r>
        <w:r w:rsidR="00FF69BD">
          <w:rPr>
            <w:noProof/>
          </w:rPr>
          <w:fldChar w:fldCharType="separate"/>
        </w:r>
        <w:r w:rsidR="00FF69BD">
          <w:rPr>
            <w:noProof/>
          </w:rPr>
          <w:t>7</w:t>
        </w:r>
        <w:r w:rsidR="00FF69BD">
          <w:rPr>
            <w:noProof/>
          </w:rPr>
          <w:fldChar w:fldCharType="end"/>
        </w:r>
      </w:hyperlink>
    </w:p>
    <w:p w14:paraId="280500ED" w14:textId="5A11AF21" w:rsidR="00FF69BD" w:rsidRDefault="00E74EEC">
      <w:pPr>
        <w:pStyle w:val="TM2"/>
        <w:tabs>
          <w:tab w:val="left" w:pos="799"/>
        </w:tabs>
        <w:rPr>
          <w:rFonts w:asciiTheme="minorHAnsi" w:eastAsiaTheme="minorEastAsia" w:hAnsiTheme="minorHAnsi" w:cstheme="minorBidi"/>
          <w:noProof/>
          <w:szCs w:val="22"/>
        </w:rPr>
      </w:pPr>
      <w:hyperlink w:anchor="_Toc224552570" w:history="1">
        <w:r w:rsidR="00FF69BD" w:rsidRPr="002F1492">
          <w:rPr>
            <w:rStyle w:val="Lienhypertexte"/>
            <w:noProof/>
          </w:rPr>
          <w:t>3.1</w:t>
        </w:r>
        <w:r w:rsidR="00FF69BD">
          <w:rPr>
            <w:rFonts w:asciiTheme="minorHAnsi" w:eastAsiaTheme="minorEastAsia" w:hAnsiTheme="minorHAnsi" w:cstheme="minorBidi"/>
            <w:noProof/>
            <w:szCs w:val="22"/>
          </w:rPr>
          <w:tab/>
        </w:r>
        <w:r w:rsidR="00FF69BD" w:rsidRPr="002F1492">
          <w:rPr>
            <w:rStyle w:val="Lienhypertexte"/>
            <w:noProof/>
          </w:rPr>
          <w:t>Conditions de langue</w:t>
        </w:r>
        <w:r w:rsidR="00FF69BD">
          <w:rPr>
            <w:noProof/>
          </w:rPr>
          <w:tab/>
        </w:r>
        <w:r w:rsidR="00FF69BD">
          <w:rPr>
            <w:noProof/>
          </w:rPr>
          <w:fldChar w:fldCharType="begin"/>
        </w:r>
        <w:r w:rsidR="00FF69BD">
          <w:rPr>
            <w:noProof/>
          </w:rPr>
          <w:instrText xml:space="preserve"> PAGEREF _Toc224552570 \h </w:instrText>
        </w:r>
        <w:r w:rsidR="00FF69BD">
          <w:rPr>
            <w:noProof/>
          </w:rPr>
        </w:r>
        <w:r w:rsidR="00FF69BD">
          <w:rPr>
            <w:noProof/>
          </w:rPr>
          <w:fldChar w:fldCharType="separate"/>
        </w:r>
        <w:r w:rsidR="00FF69BD">
          <w:rPr>
            <w:noProof/>
          </w:rPr>
          <w:t>7</w:t>
        </w:r>
        <w:r w:rsidR="00FF69BD">
          <w:rPr>
            <w:noProof/>
          </w:rPr>
          <w:fldChar w:fldCharType="end"/>
        </w:r>
      </w:hyperlink>
    </w:p>
    <w:p w14:paraId="63013E2A" w14:textId="32EEE2CD" w:rsidR="00FF69BD" w:rsidRDefault="00E74EEC">
      <w:pPr>
        <w:pStyle w:val="TM2"/>
        <w:tabs>
          <w:tab w:val="left" w:pos="799"/>
        </w:tabs>
        <w:rPr>
          <w:rFonts w:asciiTheme="minorHAnsi" w:eastAsiaTheme="minorEastAsia" w:hAnsiTheme="minorHAnsi" w:cstheme="minorBidi"/>
          <w:noProof/>
          <w:szCs w:val="22"/>
        </w:rPr>
      </w:pPr>
      <w:hyperlink w:anchor="_Toc224552571" w:history="1">
        <w:r w:rsidR="00FF69BD" w:rsidRPr="002F1492">
          <w:rPr>
            <w:rStyle w:val="Lienhypertexte"/>
            <w:noProof/>
          </w:rPr>
          <w:t>3.2</w:t>
        </w:r>
        <w:r w:rsidR="00FF69BD">
          <w:rPr>
            <w:rFonts w:asciiTheme="minorHAnsi" w:eastAsiaTheme="minorEastAsia" w:hAnsiTheme="minorHAnsi" w:cstheme="minorBidi"/>
            <w:noProof/>
            <w:szCs w:val="22"/>
          </w:rPr>
          <w:tab/>
        </w:r>
        <w:r w:rsidR="00FF69BD" w:rsidRPr="002F1492">
          <w:rPr>
            <w:rStyle w:val="Lienhypertexte"/>
            <w:noProof/>
          </w:rPr>
          <w:t>Éléments nécessaires à la sélection des candidatures</w:t>
        </w:r>
        <w:r w:rsidR="00FF69BD" w:rsidRPr="002F1492">
          <w:rPr>
            <w:rStyle w:val="Lienhypertexte"/>
            <w:rFonts w:ascii="Cambria" w:hAnsi="Cambria" w:cs="Cambria"/>
            <w:noProof/>
          </w:rPr>
          <w:t> </w:t>
        </w:r>
        <w:r w:rsidR="00FF69BD" w:rsidRPr="002F1492">
          <w:rPr>
            <w:rStyle w:val="Lienhypertexte"/>
            <w:noProof/>
          </w:rPr>
          <w:t>:</w:t>
        </w:r>
        <w:r w:rsidR="00FF69BD">
          <w:rPr>
            <w:noProof/>
          </w:rPr>
          <w:tab/>
        </w:r>
        <w:r w:rsidR="00FF69BD">
          <w:rPr>
            <w:noProof/>
          </w:rPr>
          <w:fldChar w:fldCharType="begin"/>
        </w:r>
        <w:r w:rsidR="00FF69BD">
          <w:rPr>
            <w:noProof/>
          </w:rPr>
          <w:instrText xml:space="preserve"> PAGEREF _Toc224552571 \h </w:instrText>
        </w:r>
        <w:r w:rsidR="00FF69BD">
          <w:rPr>
            <w:noProof/>
          </w:rPr>
        </w:r>
        <w:r w:rsidR="00FF69BD">
          <w:rPr>
            <w:noProof/>
          </w:rPr>
          <w:fldChar w:fldCharType="separate"/>
        </w:r>
        <w:r w:rsidR="00FF69BD">
          <w:rPr>
            <w:noProof/>
          </w:rPr>
          <w:t>7</w:t>
        </w:r>
        <w:r w:rsidR="00FF69BD">
          <w:rPr>
            <w:noProof/>
          </w:rPr>
          <w:fldChar w:fldCharType="end"/>
        </w:r>
      </w:hyperlink>
    </w:p>
    <w:p w14:paraId="41BAC8B2" w14:textId="54ECC591" w:rsidR="00FF69BD" w:rsidRDefault="00E74EEC">
      <w:pPr>
        <w:pStyle w:val="TM3"/>
        <w:tabs>
          <w:tab w:val="left" w:pos="1100"/>
        </w:tabs>
        <w:rPr>
          <w:rFonts w:asciiTheme="minorHAnsi" w:eastAsiaTheme="minorEastAsia" w:hAnsiTheme="minorHAnsi" w:cstheme="minorBidi"/>
          <w:noProof/>
          <w:sz w:val="22"/>
          <w:szCs w:val="22"/>
        </w:rPr>
      </w:pPr>
      <w:hyperlink w:anchor="_Toc224552572" w:history="1">
        <w:r w:rsidR="00FF69BD" w:rsidRPr="002F1492">
          <w:rPr>
            <w:rStyle w:val="Lienhypertexte"/>
            <w:noProof/>
          </w:rPr>
          <w:t>3.2.1</w:t>
        </w:r>
        <w:r w:rsidR="00FF69BD">
          <w:rPr>
            <w:rFonts w:asciiTheme="minorHAnsi" w:eastAsiaTheme="minorEastAsia" w:hAnsiTheme="minorHAnsi" w:cstheme="minorBidi"/>
            <w:noProof/>
            <w:sz w:val="22"/>
            <w:szCs w:val="22"/>
          </w:rPr>
          <w:tab/>
        </w:r>
        <w:r w:rsidR="00FF69BD" w:rsidRPr="002F1492">
          <w:rPr>
            <w:rStyle w:val="Lienhypertexte"/>
            <w:noProof/>
          </w:rPr>
          <w:t>Situation juridique</w:t>
        </w:r>
        <w:r w:rsidR="00FF69BD">
          <w:rPr>
            <w:noProof/>
          </w:rPr>
          <w:tab/>
        </w:r>
        <w:r w:rsidR="00FF69BD">
          <w:rPr>
            <w:noProof/>
          </w:rPr>
          <w:fldChar w:fldCharType="begin"/>
        </w:r>
        <w:r w:rsidR="00FF69BD">
          <w:rPr>
            <w:noProof/>
          </w:rPr>
          <w:instrText xml:space="preserve"> PAGEREF _Toc224552572 \h </w:instrText>
        </w:r>
        <w:r w:rsidR="00FF69BD">
          <w:rPr>
            <w:noProof/>
          </w:rPr>
        </w:r>
        <w:r w:rsidR="00FF69BD">
          <w:rPr>
            <w:noProof/>
          </w:rPr>
          <w:fldChar w:fldCharType="separate"/>
        </w:r>
        <w:r w:rsidR="00FF69BD">
          <w:rPr>
            <w:noProof/>
          </w:rPr>
          <w:t>7</w:t>
        </w:r>
        <w:r w:rsidR="00FF69BD">
          <w:rPr>
            <w:noProof/>
          </w:rPr>
          <w:fldChar w:fldCharType="end"/>
        </w:r>
      </w:hyperlink>
    </w:p>
    <w:p w14:paraId="35B21CAC" w14:textId="7208D819" w:rsidR="00FF69BD" w:rsidRDefault="00E74EEC">
      <w:pPr>
        <w:pStyle w:val="TM3"/>
        <w:tabs>
          <w:tab w:val="left" w:pos="1100"/>
        </w:tabs>
        <w:rPr>
          <w:rFonts w:asciiTheme="minorHAnsi" w:eastAsiaTheme="minorEastAsia" w:hAnsiTheme="minorHAnsi" w:cstheme="minorBidi"/>
          <w:noProof/>
          <w:sz w:val="22"/>
          <w:szCs w:val="22"/>
        </w:rPr>
      </w:pPr>
      <w:hyperlink w:anchor="_Toc224552573" w:history="1">
        <w:r w:rsidR="00FF69BD" w:rsidRPr="002F1492">
          <w:rPr>
            <w:rStyle w:val="Lienhypertexte"/>
            <w:noProof/>
          </w:rPr>
          <w:t>3.2.2</w:t>
        </w:r>
        <w:r w:rsidR="00FF69BD">
          <w:rPr>
            <w:rFonts w:asciiTheme="minorHAnsi" w:eastAsiaTheme="minorEastAsia" w:hAnsiTheme="minorHAnsi" w:cstheme="minorBidi"/>
            <w:noProof/>
            <w:sz w:val="22"/>
            <w:szCs w:val="22"/>
          </w:rPr>
          <w:tab/>
        </w:r>
        <w:r w:rsidR="00FF69BD" w:rsidRPr="002F1492">
          <w:rPr>
            <w:rStyle w:val="Lienhypertexte"/>
            <w:noProof/>
          </w:rPr>
          <w:t>Capacité technique et professionnelle</w:t>
        </w:r>
        <w:r w:rsidR="00FF69BD">
          <w:rPr>
            <w:noProof/>
          </w:rPr>
          <w:tab/>
        </w:r>
        <w:r w:rsidR="00FF69BD">
          <w:rPr>
            <w:noProof/>
          </w:rPr>
          <w:fldChar w:fldCharType="begin"/>
        </w:r>
        <w:r w:rsidR="00FF69BD">
          <w:rPr>
            <w:noProof/>
          </w:rPr>
          <w:instrText xml:space="preserve"> PAGEREF _Toc224552573 \h </w:instrText>
        </w:r>
        <w:r w:rsidR="00FF69BD">
          <w:rPr>
            <w:noProof/>
          </w:rPr>
        </w:r>
        <w:r w:rsidR="00FF69BD">
          <w:rPr>
            <w:noProof/>
          </w:rPr>
          <w:fldChar w:fldCharType="separate"/>
        </w:r>
        <w:r w:rsidR="00FF69BD">
          <w:rPr>
            <w:noProof/>
          </w:rPr>
          <w:t>7</w:t>
        </w:r>
        <w:r w:rsidR="00FF69BD">
          <w:rPr>
            <w:noProof/>
          </w:rPr>
          <w:fldChar w:fldCharType="end"/>
        </w:r>
      </w:hyperlink>
    </w:p>
    <w:p w14:paraId="0D02BB51" w14:textId="696C82E2" w:rsidR="00FF69BD" w:rsidRDefault="00E74EEC">
      <w:pPr>
        <w:pStyle w:val="TM2"/>
        <w:tabs>
          <w:tab w:val="left" w:pos="799"/>
        </w:tabs>
        <w:rPr>
          <w:rFonts w:asciiTheme="minorHAnsi" w:eastAsiaTheme="minorEastAsia" w:hAnsiTheme="minorHAnsi" w:cstheme="minorBidi"/>
          <w:noProof/>
          <w:szCs w:val="22"/>
        </w:rPr>
      </w:pPr>
      <w:hyperlink w:anchor="_Toc224552574" w:history="1">
        <w:r w:rsidR="00FF69BD" w:rsidRPr="002F1492">
          <w:rPr>
            <w:rStyle w:val="Lienhypertexte"/>
            <w:noProof/>
          </w:rPr>
          <w:t>3.3</w:t>
        </w:r>
        <w:r w:rsidR="00FF69BD">
          <w:rPr>
            <w:rFonts w:asciiTheme="minorHAnsi" w:eastAsiaTheme="minorEastAsia" w:hAnsiTheme="minorHAnsi" w:cstheme="minorBidi"/>
            <w:noProof/>
            <w:szCs w:val="22"/>
          </w:rPr>
          <w:tab/>
        </w:r>
        <w:r w:rsidR="00FF69BD" w:rsidRPr="002F1492">
          <w:rPr>
            <w:rStyle w:val="Lienhypertexte"/>
            <w:noProof/>
          </w:rPr>
          <w:t>Offre technique et financière</w:t>
        </w:r>
        <w:r w:rsidR="00FF69BD">
          <w:rPr>
            <w:noProof/>
          </w:rPr>
          <w:tab/>
        </w:r>
        <w:r w:rsidR="00FF69BD">
          <w:rPr>
            <w:noProof/>
          </w:rPr>
          <w:fldChar w:fldCharType="begin"/>
        </w:r>
        <w:r w:rsidR="00FF69BD">
          <w:rPr>
            <w:noProof/>
          </w:rPr>
          <w:instrText xml:space="preserve"> PAGEREF _Toc224552574 \h </w:instrText>
        </w:r>
        <w:r w:rsidR="00FF69BD">
          <w:rPr>
            <w:noProof/>
          </w:rPr>
        </w:r>
        <w:r w:rsidR="00FF69BD">
          <w:rPr>
            <w:noProof/>
          </w:rPr>
          <w:fldChar w:fldCharType="separate"/>
        </w:r>
        <w:r w:rsidR="00FF69BD">
          <w:rPr>
            <w:noProof/>
          </w:rPr>
          <w:t>9</w:t>
        </w:r>
        <w:r w:rsidR="00FF69BD">
          <w:rPr>
            <w:noProof/>
          </w:rPr>
          <w:fldChar w:fldCharType="end"/>
        </w:r>
      </w:hyperlink>
    </w:p>
    <w:p w14:paraId="3CD8DB2F" w14:textId="0804BB23" w:rsidR="00FF69BD" w:rsidRDefault="00E74EEC">
      <w:pPr>
        <w:pStyle w:val="TM3"/>
        <w:tabs>
          <w:tab w:val="left" w:pos="1100"/>
        </w:tabs>
        <w:rPr>
          <w:rFonts w:asciiTheme="minorHAnsi" w:eastAsiaTheme="minorEastAsia" w:hAnsiTheme="minorHAnsi" w:cstheme="minorBidi"/>
          <w:noProof/>
          <w:sz w:val="22"/>
          <w:szCs w:val="22"/>
        </w:rPr>
      </w:pPr>
      <w:hyperlink w:anchor="_Toc224552575" w:history="1">
        <w:r w:rsidR="00FF69BD" w:rsidRPr="002F1492">
          <w:rPr>
            <w:rStyle w:val="Lienhypertexte"/>
            <w:noProof/>
          </w:rPr>
          <w:t>3.3.1</w:t>
        </w:r>
        <w:r w:rsidR="00FF69BD">
          <w:rPr>
            <w:rFonts w:asciiTheme="minorHAnsi" w:eastAsiaTheme="minorEastAsia" w:hAnsiTheme="minorHAnsi" w:cstheme="minorBidi"/>
            <w:noProof/>
            <w:sz w:val="22"/>
            <w:szCs w:val="22"/>
          </w:rPr>
          <w:tab/>
        </w:r>
        <w:r w:rsidR="00FF69BD" w:rsidRPr="002F1492">
          <w:rPr>
            <w:rStyle w:val="Lienhypertexte"/>
            <w:noProof/>
          </w:rPr>
          <w:t>Documents obligatoires</w:t>
        </w:r>
        <w:r w:rsidR="00FF69BD">
          <w:rPr>
            <w:noProof/>
          </w:rPr>
          <w:tab/>
        </w:r>
        <w:r w:rsidR="00FF69BD">
          <w:rPr>
            <w:noProof/>
          </w:rPr>
          <w:fldChar w:fldCharType="begin"/>
        </w:r>
        <w:r w:rsidR="00FF69BD">
          <w:rPr>
            <w:noProof/>
          </w:rPr>
          <w:instrText xml:space="preserve"> PAGEREF _Toc224552575 \h </w:instrText>
        </w:r>
        <w:r w:rsidR="00FF69BD">
          <w:rPr>
            <w:noProof/>
          </w:rPr>
        </w:r>
        <w:r w:rsidR="00FF69BD">
          <w:rPr>
            <w:noProof/>
          </w:rPr>
          <w:fldChar w:fldCharType="separate"/>
        </w:r>
        <w:r w:rsidR="00FF69BD">
          <w:rPr>
            <w:noProof/>
          </w:rPr>
          <w:t>9</w:t>
        </w:r>
        <w:r w:rsidR="00FF69BD">
          <w:rPr>
            <w:noProof/>
          </w:rPr>
          <w:fldChar w:fldCharType="end"/>
        </w:r>
      </w:hyperlink>
    </w:p>
    <w:p w14:paraId="665D5BDC" w14:textId="6D52B214" w:rsidR="00FF69BD" w:rsidRDefault="00E74EEC">
      <w:pPr>
        <w:pStyle w:val="TM3"/>
        <w:tabs>
          <w:tab w:val="left" w:pos="1100"/>
        </w:tabs>
        <w:rPr>
          <w:rFonts w:asciiTheme="minorHAnsi" w:eastAsiaTheme="minorEastAsia" w:hAnsiTheme="minorHAnsi" w:cstheme="minorBidi"/>
          <w:noProof/>
          <w:sz w:val="22"/>
          <w:szCs w:val="22"/>
        </w:rPr>
      </w:pPr>
      <w:hyperlink w:anchor="_Toc224552576" w:history="1">
        <w:r w:rsidR="00FF69BD" w:rsidRPr="002F1492">
          <w:rPr>
            <w:rStyle w:val="Lienhypertexte"/>
            <w:noProof/>
          </w:rPr>
          <w:t>3.3.2</w:t>
        </w:r>
        <w:r w:rsidR="00FF69BD">
          <w:rPr>
            <w:rFonts w:asciiTheme="minorHAnsi" w:eastAsiaTheme="minorEastAsia" w:hAnsiTheme="minorHAnsi" w:cstheme="minorBidi"/>
            <w:noProof/>
            <w:sz w:val="22"/>
            <w:szCs w:val="22"/>
          </w:rPr>
          <w:tab/>
        </w:r>
        <w:r w:rsidR="00FF69BD" w:rsidRPr="002F1492">
          <w:rPr>
            <w:rStyle w:val="Lienhypertexte"/>
            <w:noProof/>
          </w:rPr>
          <w:t>Documents complémentaires souhaités par l’AP-HP</w:t>
        </w:r>
        <w:r w:rsidR="00FF69BD">
          <w:rPr>
            <w:noProof/>
          </w:rPr>
          <w:tab/>
        </w:r>
        <w:r w:rsidR="00FF69BD">
          <w:rPr>
            <w:noProof/>
          </w:rPr>
          <w:fldChar w:fldCharType="begin"/>
        </w:r>
        <w:r w:rsidR="00FF69BD">
          <w:rPr>
            <w:noProof/>
          </w:rPr>
          <w:instrText xml:space="preserve"> PAGEREF _Toc224552576 \h </w:instrText>
        </w:r>
        <w:r w:rsidR="00FF69BD">
          <w:rPr>
            <w:noProof/>
          </w:rPr>
        </w:r>
        <w:r w:rsidR="00FF69BD">
          <w:rPr>
            <w:noProof/>
          </w:rPr>
          <w:fldChar w:fldCharType="separate"/>
        </w:r>
        <w:r w:rsidR="00FF69BD">
          <w:rPr>
            <w:noProof/>
          </w:rPr>
          <w:t>10</w:t>
        </w:r>
        <w:r w:rsidR="00FF69BD">
          <w:rPr>
            <w:noProof/>
          </w:rPr>
          <w:fldChar w:fldCharType="end"/>
        </w:r>
      </w:hyperlink>
    </w:p>
    <w:p w14:paraId="2699F332" w14:textId="26C00722" w:rsidR="00FF69BD" w:rsidRDefault="00E74EEC">
      <w:pPr>
        <w:pStyle w:val="TM2"/>
        <w:tabs>
          <w:tab w:val="left" w:pos="799"/>
        </w:tabs>
        <w:rPr>
          <w:rFonts w:asciiTheme="minorHAnsi" w:eastAsiaTheme="minorEastAsia" w:hAnsiTheme="minorHAnsi" w:cstheme="minorBidi"/>
          <w:noProof/>
          <w:szCs w:val="22"/>
        </w:rPr>
      </w:pPr>
      <w:hyperlink w:anchor="_Toc224552577" w:history="1">
        <w:r w:rsidR="00FF69BD" w:rsidRPr="002F1492">
          <w:rPr>
            <w:rStyle w:val="Lienhypertexte"/>
            <w:noProof/>
          </w:rPr>
          <w:t>3.4</w:t>
        </w:r>
        <w:r w:rsidR="00FF69BD">
          <w:rPr>
            <w:rFonts w:asciiTheme="minorHAnsi" w:eastAsiaTheme="minorEastAsia" w:hAnsiTheme="minorHAnsi" w:cstheme="minorBidi"/>
            <w:noProof/>
            <w:szCs w:val="22"/>
          </w:rPr>
          <w:tab/>
        </w:r>
        <w:r w:rsidR="00FF69BD" w:rsidRPr="002F1492">
          <w:rPr>
            <w:rStyle w:val="Lienhypertexte"/>
            <w:noProof/>
          </w:rPr>
          <w:t>Présentation des candidatures et des offres dématérialisées</w:t>
        </w:r>
        <w:r w:rsidR="00FF69BD">
          <w:rPr>
            <w:noProof/>
          </w:rPr>
          <w:tab/>
        </w:r>
        <w:r w:rsidR="00FF69BD">
          <w:rPr>
            <w:noProof/>
          </w:rPr>
          <w:fldChar w:fldCharType="begin"/>
        </w:r>
        <w:r w:rsidR="00FF69BD">
          <w:rPr>
            <w:noProof/>
          </w:rPr>
          <w:instrText xml:space="preserve"> PAGEREF _Toc224552577 \h </w:instrText>
        </w:r>
        <w:r w:rsidR="00FF69BD">
          <w:rPr>
            <w:noProof/>
          </w:rPr>
        </w:r>
        <w:r w:rsidR="00FF69BD">
          <w:rPr>
            <w:noProof/>
          </w:rPr>
          <w:fldChar w:fldCharType="separate"/>
        </w:r>
        <w:r w:rsidR="00FF69BD">
          <w:rPr>
            <w:noProof/>
          </w:rPr>
          <w:t>10</w:t>
        </w:r>
        <w:r w:rsidR="00FF69BD">
          <w:rPr>
            <w:noProof/>
          </w:rPr>
          <w:fldChar w:fldCharType="end"/>
        </w:r>
      </w:hyperlink>
    </w:p>
    <w:p w14:paraId="7B138AB2" w14:textId="0B0B72A5"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78" w:history="1">
        <w:r w:rsidR="00FF69BD" w:rsidRPr="002F1492">
          <w:rPr>
            <w:rStyle w:val="Lienhypertexte"/>
            <w:noProof/>
          </w:rPr>
          <w:t>4.</w:t>
        </w:r>
        <w:r w:rsidR="00FF69BD">
          <w:rPr>
            <w:rFonts w:asciiTheme="minorHAnsi" w:eastAsiaTheme="minorEastAsia" w:hAnsiTheme="minorHAnsi" w:cstheme="minorBidi"/>
            <w:b w:val="0"/>
            <w:noProof/>
            <w:kern w:val="0"/>
            <w:sz w:val="22"/>
            <w:szCs w:val="22"/>
          </w:rPr>
          <w:tab/>
        </w:r>
        <w:r w:rsidR="00FF69BD" w:rsidRPr="002F1492">
          <w:rPr>
            <w:rStyle w:val="Lienhypertexte"/>
            <w:noProof/>
          </w:rPr>
          <w:t>Conditions d’envoi et de remise des plis</w:t>
        </w:r>
        <w:r w:rsidR="00FF69BD">
          <w:rPr>
            <w:noProof/>
          </w:rPr>
          <w:tab/>
        </w:r>
        <w:r w:rsidR="00FF69BD">
          <w:rPr>
            <w:noProof/>
          </w:rPr>
          <w:fldChar w:fldCharType="begin"/>
        </w:r>
        <w:r w:rsidR="00FF69BD">
          <w:rPr>
            <w:noProof/>
          </w:rPr>
          <w:instrText xml:space="preserve"> PAGEREF _Toc224552578 \h </w:instrText>
        </w:r>
        <w:r w:rsidR="00FF69BD">
          <w:rPr>
            <w:noProof/>
          </w:rPr>
        </w:r>
        <w:r w:rsidR="00FF69BD">
          <w:rPr>
            <w:noProof/>
          </w:rPr>
          <w:fldChar w:fldCharType="separate"/>
        </w:r>
        <w:r w:rsidR="00FF69BD">
          <w:rPr>
            <w:noProof/>
          </w:rPr>
          <w:t>12</w:t>
        </w:r>
        <w:r w:rsidR="00FF69BD">
          <w:rPr>
            <w:noProof/>
          </w:rPr>
          <w:fldChar w:fldCharType="end"/>
        </w:r>
      </w:hyperlink>
    </w:p>
    <w:p w14:paraId="37BCBE15" w14:textId="5A079748"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79" w:history="1">
        <w:r w:rsidR="00FF69BD" w:rsidRPr="002F1492">
          <w:rPr>
            <w:rStyle w:val="Lienhypertexte"/>
            <w:noProof/>
          </w:rPr>
          <w:t>5.</w:t>
        </w:r>
        <w:r w:rsidR="00FF69BD">
          <w:rPr>
            <w:rFonts w:asciiTheme="minorHAnsi" w:eastAsiaTheme="minorEastAsia" w:hAnsiTheme="minorHAnsi" w:cstheme="minorBidi"/>
            <w:b w:val="0"/>
            <w:noProof/>
            <w:kern w:val="0"/>
            <w:sz w:val="22"/>
            <w:szCs w:val="22"/>
          </w:rPr>
          <w:tab/>
        </w:r>
        <w:r w:rsidR="00FF69BD" w:rsidRPr="002F1492">
          <w:rPr>
            <w:rStyle w:val="Lienhypertexte"/>
            <w:noProof/>
          </w:rPr>
          <w:t>Sélection des candidatures et analyse des offres</w:t>
        </w:r>
        <w:r w:rsidR="00FF69BD">
          <w:rPr>
            <w:noProof/>
          </w:rPr>
          <w:tab/>
        </w:r>
        <w:r w:rsidR="00FF69BD">
          <w:rPr>
            <w:noProof/>
          </w:rPr>
          <w:fldChar w:fldCharType="begin"/>
        </w:r>
        <w:r w:rsidR="00FF69BD">
          <w:rPr>
            <w:noProof/>
          </w:rPr>
          <w:instrText xml:space="preserve"> PAGEREF _Toc224552579 \h </w:instrText>
        </w:r>
        <w:r w:rsidR="00FF69BD">
          <w:rPr>
            <w:noProof/>
          </w:rPr>
        </w:r>
        <w:r w:rsidR="00FF69BD">
          <w:rPr>
            <w:noProof/>
          </w:rPr>
          <w:fldChar w:fldCharType="separate"/>
        </w:r>
        <w:r w:rsidR="00FF69BD">
          <w:rPr>
            <w:noProof/>
          </w:rPr>
          <w:t>14</w:t>
        </w:r>
        <w:r w:rsidR="00FF69BD">
          <w:rPr>
            <w:noProof/>
          </w:rPr>
          <w:fldChar w:fldCharType="end"/>
        </w:r>
      </w:hyperlink>
    </w:p>
    <w:p w14:paraId="5ED5095D" w14:textId="6D01BFA7" w:rsidR="00FF69BD" w:rsidRDefault="00E74EEC">
      <w:pPr>
        <w:pStyle w:val="TM2"/>
        <w:tabs>
          <w:tab w:val="left" w:pos="799"/>
        </w:tabs>
        <w:rPr>
          <w:rFonts w:asciiTheme="minorHAnsi" w:eastAsiaTheme="minorEastAsia" w:hAnsiTheme="minorHAnsi" w:cstheme="minorBidi"/>
          <w:noProof/>
          <w:szCs w:val="22"/>
        </w:rPr>
      </w:pPr>
      <w:hyperlink w:anchor="_Toc224552580" w:history="1">
        <w:r w:rsidR="00FF69BD" w:rsidRPr="002F1492">
          <w:rPr>
            <w:rStyle w:val="Lienhypertexte"/>
            <w:noProof/>
          </w:rPr>
          <w:t>5.1</w:t>
        </w:r>
        <w:r w:rsidR="00FF69BD">
          <w:rPr>
            <w:rFonts w:asciiTheme="minorHAnsi" w:eastAsiaTheme="minorEastAsia" w:hAnsiTheme="minorHAnsi" w:cstheme="minorBidi"/>
            <w:noProof/>
            <w:szCs w:val="22"/>
          </w:rPr>
          <w:tab/>
        </w:r>
        <w:r w:rsidR="00FF69BD" w:rsidRPr="002F1492">
          <w:rPr>
            <w:rStyle w:val="Lienhypertexte"/>
            <w:noProof/>
          </w:rPr>
          <w:t>Sélection des candidatures</w:t>
        </w:r>
        <w:r w:rsidR="00FF69BD">
          <w:rPr>
            <w:noProof/>
          </w:rPr>
          <w:tab/>
        </w:r>
        <w:r w:rsidR="00FF69BD">
          <w:rPr>
            <w:noProof/>
          </w:rPr>
          <w:fldChar w:fldCharType="begin"/>
        </w:r>
        <w:r w:rsidR="00FF69BD">
          <w:rPr>
            <w:noProof/>
          </w:rPr>
          <w:instrText xml:space="preserve"> PAGEREF _Toc224552580 \h </w:instrText>
        </w:r>
        <w:r w:rsidR="00FF69BD">
          <w:rPr>
            <w:noProof/>
          </w:rPr>
        </w:r>
        <w:r w:rsidR="00FF69BD">
          <w:rPr>
            <w:noProof/>
          </w:rPr>
          <w:fldChar w:fldCharType="separate"/>
        </w:r>
        <w:r w:rsidR="00FF69BD">
          <w:rPr>
            <w:noProof/>
          </w:rPr>
          <w:t>14</w:t>
        </w:r>
        <w:r w:rsidR="00FF69BD">
          <w:rPr>
            <w:noProof/>
          </w:rPr>
          <w:fldChar w:fldCharType="end"/>
        </w:r>
      </w:hyperlink>
    </w:p>
    <w:p w14:paraId="2DD5178B" w14:textId="1A5692AB" w:rsidR="00FF69BD" w:rsidRDefault="00E74EEC">
      <w:pPr>
        <w:pStyle w:val="TM2"/>
        <w:tabs>
          <w:tab w:val="left" w:pos="799"/>
        </w:tabs>
        <w:rPr>
          <w:rFonts w:asciiTheme="minorHAnsi" w:eastAsiaTheme="minorEastAsia" w:hAnsiTheme="minorHAnsi" w:cstheme="minorBidi"/>
          <w:noProof/>
          <w:szCs w:val="22"/>
        </w:rPr>
      </w:pPr>
      <w:hyperlink w:anchor="_Toc224552581" w:history="1">
        <w:r w:rsidR="00FF69BD" w:rsidRPr="002F1492">
          <w:rPr>
            <w:rStyle w:val="Lienhypertexte"/>
            <w:noProof/>
          </w:rPr>
          <w:t>5.2</w:t>
        </w:r>
        <w:r w:rsidR="00FF69BD">
          <w:rPr>
            <w:rFonts w:asciiTheme="minorHAnsi" w:eastAsiaTheme="minorEastAsia" w:hAnsiTheme="minorHAnsi" w:cstheme="minorBidi"/>
            <w:noProof/>
            <w:szCs w:val="22"/>
          </w:rPr>
          <w:tab/>
        </w:r>
        <w:r w:rsidR="00FF69BD" w:rsidRPr="002F1492">
          <w:rPr>
            <w:rStyle w:val="Lienhypertexte"/>
            <w:noProof/>
          </w:rPr>
          <w:t>Analyse des offres</w:t>
        </w:r>
        <w:r w:rsidR="00FF69BD">
          <w:rPr>
            <w:noProof/>
          </w:rPr>
          <w:tab/>
        </w:r>
        <w:r w:rsidR="00FF69BD">
          <w:rPr>
            <w:noProof/>
          </w:rPr>
          <w:fldChar w:fldCharType="begin"/>
        </w:r>
        <w:r w:rsidR="00FF69BD">
          <w:rPr>
            <w:noProof/>
          </w:rPr>
          <w:instrText xml:space="preserve"> PAGEREF _Toc224552581 \h </w:instrText>
        </w:r>
        <w:r w:rsidR="00FF69BD">
          <w:rPr>
            <w:noProof/>
          </w:rPr>
        </w:r>
        <w:r w:rsidR="00FF69BD">
          <w:rPr>
            <w:noProof/>
          </w:rPr>
          <w:fldChar w:fldCharType="separate"/>
        </w:r>
        <w:r w:rsidR="00FF69BD">
          <w:rPr>
            <w:noProof/>
          </w:rPr>
          <w:t>14</w:t>
        </w:r>
        <w:r w:rsidR="00FF69BD">
          <w:rPr>
            <w:noProof/>
          </w:rPr>
          <w:fldChar w:fldCharType="end"/>
        </w:r>
      </w:hyperlink>
    </w:p>
    <w:p w14:paraId="62F4F268" w14:textId="64BAEA21"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82" w:history="1">
        <w:r w:rsidR="00FF69BD" w:rsidRPr="002F1492">
          <w:rPr>
            <w:rStyle w:val="Lienhypertexte"/>
            <w:noProof/>
          </w:rPr>
          <w:t>6.</w:t>
        </w:r>
        <w:r w:rsidR="00FF69BD">
          <w:rPr>
            <w:rFonts w:asciiTheme="minorHAnsi" w:eastAsiaTheme="minorEastAsia" w:hAnsiTheme="minorHAnsi" w:cstheme="minorBidi"/>
            <w:b w:val="0"/>
            <w:noProof/>
            <w:kern w:val="0"/>
            <w:sz w:val="22"/>
            <w:szCs w:val="22"/>
          </w:rPr>
          <w:tab/>
        </w:r>
        <w:r w:rsidR="00FF69BD" w:rsidRPr="002F1492">
          <w:rPr>
            <w:rStyle w:val="Lienhypertexte"/>
            <w:noProof/>
          </w:rPr>
          <w:t>Négociation</w:t>
        </w:r>
        <w:r w:rsidR="00FF69BD">
          <w:rPr>
            <w:noProof/>
          </w:rPr>
          <w:tab/>
        </w:r>
        <w:r w:rsidR="00FF69BD">
          <w:rPr>
            <w:noProof/>
          </w:rPr>
          <w:fldChar w:fldCharType="begin"/>
        </w:r>
        <w:r w:rsidR="00FF69BD">
          <w:rPr>
            <w:noProof/>
          </w:rPr>
          <w:instrText xml:space="preserve"> PAGEREF _Toc224552582 \h </w:instrText>
        </w:r>
        <w:r w:rsidR="00FF69BD">
          <w:rPr>
            <w:noProof/>
          </w:rPr>
        </w:r>
        <w:r w:rsidR="00FF69BD">
          <w:rPr>
            <w:noProof/>
          </w:rPr>
          <w:fldChar w:fldCharType="separate"/>
        </w:r>
        <w:r w:rsidR="00FF69BD">
          <w:rPr>
            <w:noProof/>
          </w:rPr>
          <w:t>15</w:t>
        </w:r>
        <w:r w:rsidR="00FF69BD">
          <w:rPr>
            <w:noProof/>
          </w:rPr>
          <w:fldChar w:fldCharType="end"/>
        </w:r>
      </w:hyperlink>
    </w:p>
    <w:p w14:paraId="6A04617C" w14:textId="15BA1860"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83" w:history="1">
        <w:r w:rsidR="00FF69BD" w:rsidRPr="002F1492">
          <w:rPr>
            <w:rStyle w:val="Lienhypertexte"/>
            <w:noProof/>
          </w:rPr>
          <w:t>7.</w:t>
        </w:r>
        <w:r w:rsidR="00FF69BD">
          <w:rPr>
            <w:rFonts w:asciiTheme="minorHAnsi" w:eastAsiaTheme="minorEastAsia" w:hAnsiTheme="minorHAnsi" w:cstheme="minorBidi"/>
            <w:b w:val="0"/>
            <w:noProof/>
            <w:kern w:val="0"/>
            <w:sz w:val="22"/>
            <w:szCs w:val="22"/>
          </w:rPr>
          <w:tab/>
        </w:r>
        <w:r w:rsidR="00FF69BD" w:rsidRPr="002F1492">
          <w:rPr>
            <w:rStyle w:val="Lienhypertexte"/>
            <w:noProof/>
          </w:rPr>
          <w:t>Notification des résultats</w:t>
        </w:r>
        <w:r w:rsidR="00FF69BD">
          <w:rPr>
            <w:noProof/>
          </w:rPr>
          <w:tab/>
        </w:r>
        <w:r w:rsidR="00FF69BD">
          <w:rPr>
            <w:noProof/>
          </w:rPr>
          <w:fldChar w:fldCharType="begin"/>
        </w:r>
        <w:r w:rsidR="00FF69BD">
          <w:rPr>
            <w:noProof/>
          </w:rPr>
          <w:instrText xml:space="preserve"> PAGEREF _Toc224552583 \h </w:instrText>
        </w:r>
        <w:r w:rsidR="00FF69BD">
          <w:rPr>
            <w:noProof/>
          </w:rPr>
        </w:r>
        <w:r w:rsidR="00FF69BD">
          <w:rPr>
            <w:noProof/>
          </w:rPr>
          <w:fldChar w:fldCharType="separate"/>
        </w:r>
        <w:r w:rsidR="00FF69BD">
          <w:rPr>
            <w:noProof/>
          </w:rPr>
          <w:t>15</w:t>
        </w:r>
        <w:r w:rsidR="00FF69BD">
          <w:rPr>
            <w:noProof/>
          </w:rPr>
          <w:fldChar w:fldCharType="end"/>
        </w:r>
      </w:hyperlink>
    </w:p>
    <w:p w14:paraId="451CCCDB" w14:textId="36CB45B5"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84" w:history="1">
        <w:r w:rsidR="00FF69BD" w:rsidRPr="002F1492">
          <w:rPr>
            <w:rStyle w:val="Lienhypertexte"/>
            <w:noProof/>
          </w:rPr>
          <w:t>8.</w:t>
        </w:r>
        <w:r w:rsidR="00FF69BD">
          <w:rPr>
            <w:rFonts w:asciiTheme="minorHAnsi" w:eastAsiaTheme="minorEastAsia" w:hAnsiTheme="minorHAnsi" w:cstheme="minorBidi"/>
            <w:b w:val="0"/>
            <w:noProof/>
            <w:kern w:val="0"/>
            <w:sz w:val="22"/>
            <w:szCs w:val="22"/>
          </w:rPr>
          <w:tab/>
        </w:r>
        <w:r w:rsidR="00FF69BD" w:rsidRPr="002F1492">
          <w:rPr>
            <w:rStyle w:val="Lienhypertexte"/>
            <w:noProof/>
          </w:rPr>
          <w:t>Avances</w:t>
        </w:r>
        <w:r w:rsidR="00FF69BD">
          <w:rPr>
            <w:noProof/>
          </w:rPr>
          <w:tab/>
        </w:r>
        <w:r w:rsidR="00FF69BD">
          <w:rPr>
            <w:noProof/>
          </w:rPr>
          <w:fldChar w:fldCharType="begin"/>
        </w:r>
        <w:r w:rsidR="00FF69BD">
          <w:rPr>
            <w:noProof/>
          </w:rPr>
          <w:instrText xml:space="preserve"> PAGEREF _Toc224552584 \h </w:instrText>
        </w:r>
        <w:r w:rsidR="00FF69BD">
          <w:rPr>
            <w:noProof/>
          </w:rPr>
        </w:r>
        <w:r w:rsidR="00FF69BD">
          <w:rPr>
            <w:noProof/>
          </w:rPr>
          <w:fldChar w:fldCharType="separate"/>
        </w:r>
        <w:r w:rsidR="00FF69BD">
          <w:rPr>
            <w:noProof/>
          </w:rPr>
          <w:t>16</w:t>
        </w:r>
        <w:r w:rsidR="00FF69BD">
          <w:rPr>
            <w:noProof/>
          </w:rPr>
          <w:fldChar w:fldCharType="end"/>
        </w:r>
      </w:hyperlink>
    </w:p>
    <w:p w14:paraId="7CEBBC3B" w14:textId="6F1A798E"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85" w:history="1">
        <w:r w:rsidR="00FF69BD" w:rsidRPr="002F1492">
          <w:rPr>
            <w:rStyle w:val="Lienhypertexte"/>
            <w:noProof/>
          </w:rPr>
          <w:t>9.</w:t>
        </w:r>
        <w:r w:rsidR="00FF69BD">
          <w:rPr>
            <w:rFonts w:asciiTheme="minorHAnsi" w:eastAsiaTheme="minorEastAsia" w:hAnsiTheme="minorHAnsi" w:cstheme="minorBidi"/>
            <w:b w:val="0"/>
            <w:noProof/>
            <w:kern w:val="0"/>
            <w:sz w:val="22"/>
            <w:szCs w:val="22"/>
          </w:rPr>
          <w:tab/>
        </w:r>
        <w:r w:rsidR="00FF69BD" w:rsidRPr="002F1492">
          <w:rPr>
            <w:rStyle w:val="Lienhypertexte"/>
            <w:noProof/>
          </w:rPr>
          <w:t>Voies de recours</w:t>
        </w:r>
        <w:r w:rsidR="00FF69BD">
          <w:rPr>
            <w:noProof/>
          </w:rPr>
          <w:tab/>
        </w:r>
        <w:r w:rsidR="00FF69BD">
          <w:rPr>
            <w:noProof/>
          </w:rPr>
          <w:fldChar w:fldCharType="begin"/>
        </w:r>
        <w:r w:rsidR="00FF69BD">
          <w:rPr>
            <w:noProof/>
          </w:rPr>
          <w:instrText xml:space="preserve"> PAGEREF _Toc224552585 \h </w:instrText>
        </w:r>
        <w:r w:rsidR="00FF69BD">
          <w:rPr>
            <w:noProof/>
          </w:rPr>
        </w:r>
        <w:r w:rsidR="00FF69BD">
          <w:rPr>
            <w:noProof/>
          </w:rPr>
          <w:fldChar w:fldCharType="separate"/>
        </w:r>
        <w:r w:rsidR="00FF69BD">
          <w:rPr>
            <w:noProof/>
          </w:rPr>
          <w:t>16</w:t>
        </w:r>
        <w:r w:rsidR="00FF69BD">
          <w:rPr>
            <w:noProof/>
          </w:rPr>
          <w:fldChar w:fldCharType="end"/>
        </w:r>
      </w:hyperlink>
    </w:p>
    <w:p w14:paraId="7AA118FE" w14:textId="715BF6FD" w:rsidR="00FF69BD" w:rsidRDefault="00E74EEC">
      <w:pPr>
        <w:pStyle w:val="TM1"/>
        <w:tabs>
          <w:tab w:val="left" w:pos="601"/>
        </w:tabs>
        <w:rPr>
          <w:rFonts w:asciiTheme="minorHAnsi" w:eastAsiaTheme="minorEastAsia" w:hAnsiTheme="minorHAnsi" w:cstheme="minorBidi"/>
          <w:b w:val="0"/>
          <w:noProof/>
          <w:kern w:val="0"/>
          <w:sz w:val="22"/>
          <w:szCs w:val="22"/>
        </w:rPr>
      </w:pPr>
      <w:hyperlink w:anchor="_Toc224552586" w:history="1">
        <w:r w:rsidR="00FF69BD" w:rsidRPr="002F1492">
          <w:rPr>
            <w:rStyle w:val="Lienhypertexte"/>
            <w:noProof/>
          </w:rPr>
          <w:t>10.</w:t>
        </w:r>
        <w:r w:rsidR="00FF69BD">
          <w:rPr>
            <w:rFonts w:asciiTheme="minorHAnsi" w:eastAsiaTheme="minorEastAsia" w:hAnsiTheme="minorHAnsi" w:cstheme="minorBidi"/>
            <w:b w:val="0"/>
            <w:noProof/>
            <w:kern w:val="0"/>
            <w:sz w:val="22"/>
            <w:szCs w:val="22"/>
          </w:rPr>
          <w:tab/>
        </w:r>
        <w:r w:rsidR="00FF69BD" w:rsidRPr="002F1492">
          <w:rPr>
            <w:rStyle w:val="Lienhypertexte"/>
            <w:noProof/>
          </w:rPr>
          <w:t>Renseignements complémentaires</w:t>
        </w:r>
        <w:r w:rsidR="00FF69BD">
          <w:rPr>
            <w:noProof/>
          </w:rPr>
          <w:tab/>
        </w:r>
        <w:r w:rsidR="00FF69BD">
          <w:rPr>
            <w:noProof/>
          </w:rPr>
          <w:fldChar w:fldCharType="begin"/>
        </w:r>
        <w:r w:rsidR="00FF69BD">
          <w:rPr>
            <w:noProof/>
          </w:rPr>
          <w:instrText xml:space="preserve"> PAGEREF _Toc224552586 \h </w:instrText>
        </w:r>
        <w:r w:rsidR="00FF69BD">
          <w:rPr>
            <w:noProof/>
          </w:rPr>
        </w:r>
        <w:r w:rsidR="00FF69BD">
          <w:rPr>
            <w:noProof/>
          </w:rPr>
          <w:fldChar w:fldCharType="separate"/>
        </w:r>
        <w:r w:rsidR="00FF69BD">
          <w:rPr>
            <w:noProof/>
          </w:rPr>
          <w:t>17</w:t>
        </w:r>
        <w:r w:rsidR="00FF69BD">
          <w:rPr>
            <w:noProof/>
          </w:rPr>
          <w:fldChar w:fldCharType="end"/>
        </w:r>
      </w:hyperlink>
    </w:p>
    <w:p w14:paraId="1148C854" w14:textId="321971DC" w:rsidR="00FF69BD" w:rsidRDefault="00E74EEC">
      <w:pPr>
        <w:pStyle w:val="TM1"/>
        <w:tabs>
          <w:tab w:val="left" w:pos="1540"/>
        </w:tabs>
        <w:rPr>
          <w:rFonts w:asciiTheme="minorHAnsi" w:eastAsiaTheme="minorEastAsia" w:hAnsiTheme="minorHAnsi" w:cstheme="minorBidi"/>
          <w:b w:val="0"/>
          <w:noProof/>
          <w:kern w:val="0"/>
          <w:sz w:val="22"/>
          <w:szCs w:val="22"/>
        </w:rPr>
      </w:pPr>
      <w:hyperlink w:anchor="_Toc224552587" w:history="1">
        <w:r w:rsidR="00FF69BD" w:rsidRPr="002F1492">
          <w:rPr>
            <w:rStyle w:val="Lienhypertexte"/>
            <w:noProof/>
          </w:rPr>
          <w:t>Annexe 1.</w:t>
        </w:r>
        <w:r w:rsidR="00FF69BD">
          <w:rPr>
            <w:rFonts w:asciiTheme="minorHAnsi" w:eastAsiaTheme="minorEastAsia" w:hAnsiTheme="minorHAnsi" w:cstheme="minorBidi"/>
            <w:b w:val="0"/>
            <w:noProof/>
            <w:kern w:val="0"/>
            <w:sz w:val="22"/>
            <w:szCs w:val="22"/>
          </w:rPr>
          <w:tab/>
        </w:r>
        <w:r w:rsidR="00FF69BD" w:rsidRPr="002F1492">
          <w:rPr>
            <w:rStyle w:val="Lienhypertexte"/>
            <w:noProof/>
          </w:rPr>
          <w:t>Plan pour la remise des copies de sauvegarde et des éventuels échantillons</w:t>
        </w:r>
        <w:r w:rsidR="00FF69BD">
          <w:rPr>
            <w:noProof/>
          </w:rPr>
          <w:tab/>
        </w:r>
        <w:r w:rsidR="00FF69BD">
          <w:rPr>
            <w:noProof/>
          </w:rPr>
          <w:fldChar w:fldCharType="begin"/>
        </w:r>
        <w:r w:rsidR="00FF69BD">
          <w:rPr>
            <w:noProof/>
          </w:rPr>
          <w:instrText xml:space="preserve"> PAGEREF _Toc224552587 \h </w:instrText>
        </w:r>
        <w:r w:rsidR="00FF69BD">
          <w:rPr>
            <w:noProof/>
          </w:rPr>
        </w:r>
        <w:r w:rsidR="00FF69BD">
          <w:rPr>
            <w:noProof/>
          </w:rPr>
          <w:fldChar w:fldCharType="separate"/>
        </w:r>
        <w:r w:rsidR="00FF69BD">
          <w:rPr>
            <w:noProof/>
          </w:rPr>
          <w:t>18</w:t>
        </w:r>
        <w:r w:rsidR="00FF69BD">
          <w:rPr>
            <w:noProof/>
          </w:rPr>
          <w:fldChar w:fldCharType="end"/>
        </w:r>
      </w:hyperlink>
    </w:p>
    <w:p w14:paraId="303A0254" w14:textId="064AE177" w:rsidR="00FF69BD" w:rsidRDefault="00E74EEC">
      <w:pPr>
        <w:pStyle w:val="TM1"/>
        <w:tabs>
          <w:tab w:val="left" w:pos="1540"/>
        </w:tabs>
        <w:rPr>
          <w:rFonts w:asciiTheme="minorHAnsi" w:eastAsiaTheme="minorEastAsia" w:hAnsiTheme="minorHAnsi" w:cstheme="minorBidi"/>
          <w:b w:val="0"/>
          <w:noProof/>
          <w:kern w:val="0"/>
          <w:sz w:val="22"/>
          <w:szCs w:val="22"/>
        </w:rPr>
      </w:pPr>
      <w:hyperlink w:anchor="_Toc224552588" w:history="1">
        <w:r w:rsidR="00FF69BD" w:rsidRPr="002F1492">
          <w:rPr>
            <w:rStyle w:val="Lienhypertexte"/>
            <w:noProof/>
          </w:rPr>
          <w:t>Annexe 2.</w:t>
        </w:r>
        <w:r w:rsidR="00FF69BD">
          <w:rPr>
            <w:rFonts w:asciiTheme="minorHAnsi" w:eastAsiaTheme="minorEastAsia" w:hAnsiTheme="minorHAnsi" w:cstheme="minorBidi"/>
            <w:b w:val="0"/>
            <w:noProof/>
            <w:kern w:val="0"/>
            <w:sz w:val="22"/>
            <w:szCs w:val="22"/>
          </w:rPr>
          <w:tab/>
        </w:r>
        <w:r w:rsidR="00FF69BD" w:rsidRPr="002F1492">
          <w:rPr>
            <w:rStyle w:val="Lienhypertexte"/>
            <w:noProof/>
          </w:rPr>
          <w:t>Modèle type Attestation RUSSIE</w:t>
        </w:r>
        <w:r w:rsidR="00FF69BD">
          <w:rPr>
            <w:noProof/>
          </w:rPr>
          <w:tab/>
        </w:r>
        <w:r w:rsidR="00FF69BD">
          <w:rPr>
            <w:noProof/>
          </w:rPr>
          <w:fldChar w:fldCharType="begin"/>
        </w:r>
        <w:r w:rsidR="00FF69BD">
          <w:rPr>
            <w:noProof/>
          </w:rPr>
          <w:instrText xml:space="preserve"> PAGEREF _Toc224552588 \h </w:instrText>
        </w:r>
        <w:r w:rsidR="00FF69BD">
          <w:rPr>
            <w:noProof/>
          </w:rPr>
        </w:r>
        <w:r w:rsidR="00FF69BD">
          <w:rPr>
            <w:noProof/>
          </w:rPr>
          <w:fldChar w:fldCharType="separate"/>
        </w:r>
        <w:r w:rsidR="00FF69BD">
          <w:rPr>
            <w:noProof/>
          </w:rPr>
          <w:t>19</w:t>
        </w:r>
        <w:r w:rsidR="00FF69BD">
          <w:rPr>
            <w:noProof/>
          </w:rPr>
          <w:fldChar w:fldCharType="end"/>
        </w:r>
      </w:hyperlink>
    </w:p>
    <w:p w14:paraId="4C063264" w14:textId="3C7812C1" w:rsidR="007A0A93" w:rsidRDefault="00615EB1">
      <w:r>
        <w:rPr>
          <w:b/>
          <w:kern w:val="3"/>
          <w:sz w:val="24"/>
        </w:rPr>
        <w:fldChar w:fldCharType="end"/>
      </w:r>
    </w:p>
    <w:p w14:paraId="24C7F800" w14:textId="77777777" w:rsidR="007A0A93" w:rsidRDefault="007A0A93">
      <w:pPr>
        <w:pStyle w:val="RedaliaNormal"/>
        <w:pageBreakBefore/>
      </w:pPr>
    </w:p>
    <w:p w14:paraId="2681F164" w14:textId="77777777" w:rsidR="007A0A93" w:rsidRDefault="00615EB1" w:rsidP="00615EB1">
      <w:pPr>
        <w:pStyle w:val="RedaliaTitre1"/>
      </w:pPr>
      <w:bookmarkStart w:id="1" w:name="__RefHeading___Toc60242_868557434"/>
      <w:bookmarkStart w:id="2" w:name="_Toc224552551"/>
      <w:r>
        <w:t>Contenu du Marché</w:t>
      </w:r>
      <w:bookmarkEnd w:id="1"/>
      <w:bookmarkEnd w:id="2"/>
    </w:p>
    <w:p w14:paraId="55FC1282" w14:textId="326D27B2" w:rsidR="008813BC" w:rsidRDefault="00615EB1" w:rsidP="008813BC">
      <w:pPr>
        <w:pStyle w:val="RedaliaTitre2"/>
        <w:ind w:left="851"/>
      </w:pPr>
      <w:bookmarkStart w:id="3" w:name="_Toc224552552"/>
      <w:bookmarkStart w:id="4" w:name="__RefHeading___Toc60244_868557434"/>
      <w:r>
        <w:t>Obje</w:t>
      </w:r>
      <w:r w:rsidR="008813BC">
        <w:t>t</w:t>
      </w:r>
      <w:bookmarkEnd w:id="3"/>
    </w:p>
    <w:p w14:paraId="19801A56" w14:textId="77777777" w:rsidR="008813BC" w:rsidRDefault="008813BC" w:rsidP="008813BC">
      <w:pPr>
        <w:pStyle w:val="RedaliaNormal"/>
      </w:pPr>
      <w:r>
        <w:t>Le présent marché est un marché de Services courants.</w:t>
      </w:r>
    </w:p>
    <w:p w14:paraId="627F10F5" w14:textId="77777777" w:rsidR="008813BC" w:rsidRDefault="008813BC" w:rsidP="008813BC">
      <w:pPr>
        <w:pStyle w:val="RedaliaNormal"/>
      </w:pPr>
      <w:r>
        <w:t>Le présent marché a pour objet la réalisation de prestations de formation en sécurité incendie, SSIAP et habilitations électriques à destination du personnel de l’Assistance Publique-Hôpitaux de Paris, pour répondre aux besoins de ses différents établissements hospitaliers.</w:t>
      </w:r>
    </w:p>
    <w:p w14:paraId="3FBA7E4A" w14:textId="77777777" w:rsidR="008813BC" w:rsidRDefault="008813BC" w:rsidP="008813BC">
      <w:pPr>
        <w:pStyle w:val="RedaliaNormal"/>
      </w:pPr>
      <w:r>
        <w:t>Le détail des prestations faisant l’objet du marché est précisé dans le cahier des clauses administratives particulières et le cahier des clauses techniques particulières.</w:t>
      </w:r>
    </w:p>
    <w:p w14:paraId="708BBD50" w14:textId="77777777" w:rsidR="008813BC" w:rsidRDefault="008813BC" w:rsidP="008813BC">
      <w:pPr>
        <w:pStyle w:val="RedaliaNormal"/>
      </w:pPr>
      <w:r>
        <w:t>L’Assistance Publique-Hôpitaux de Paris est un établissement public de santé.</w:t>
      </w:r>
    </w:p>
    <w:p w14:paraId="534A435C" w14:textId="7C81EEA4" w:rsidR="008813BC" w:rsidRPr="008813BC" w:rsidRDefault="008813BC" w:rsidP="008813BC">
      <w:pPr>
        <w:pStyle w:val="RedaliaTitre2"/>
        <w:ind w:left="851"/>
      </w:pPr>
      <w:bookmarkStart w:id="5" w:name="_Toc224552553"/>
      <w:bookmarkEnd w:id="4"/>
      <w:r>
        <w:t>Organisation de l’achat</w:t>
      </w:r>
      <w:bookmarkEnd w:id="5"/>
      <w:r>
        <w:t xml:space="preserve"> </w:t>
      </w:r>
    </w:p>
    <w:p w14:paraId="45F59BF2" w14:textId="77777777" w:rsidR="007A0A93" w:rsidRDefault="00615EB1" w:rsidP="008813BC">
      <w:pPr>
        <w:pStyle w:val="RedaliaTitre3"/>
        <w:ind w:left="1134"/>
      </w:pPr>
      <w:bookmarkStart w:id="6" w:name="__RefHeading___Toc60248_868557434"/>
      <w:bookmarkStart w:id="7" w:name="_Toc224552554"/>
      <w:r>
        <w:t>Forme du marché</w:t>
      </w:r>
      <w:bookmarkEnd w:id="6"/>
      <w:bookmarkEnd w:id="7"/>
    </w:p>
    <w:p w14:paraId="7A6C6F5F" w14:textId="77777777" w:rsidR="007A0A93" w:rsidRDefault="00615EB1">
      <w:pPr>
        <w:pStyle w:val="RedaliaNormal"/>
      </w:pPr>
      <w:r>
        <w:t>Le présent marché est conclu sous la forme d’un accord-cadre mono-attributaire à bons de commande au sens de l’article R. 2162-2 du Code de la commande publique.</w:t>
      </w:r>
    </w:p>
    <w:p w14:paraId="2CF99543" w14:textId="77777777" w:rsidR="007A0A93" w:rsidRDefault="00615EB1" w:rsidP="008813BC">
      <w:pPr>
        <w:pStyle w:val="RedaliaTitre3"/>
        <w:ind w:left="1134"/>
      </w:pPr>
      <w:bookmarkStart w:id="8" w:name="__RefHeading___Toc60250_868557434"/>
      <w:bookmarkStart w:id="9" w:name="_Toc224552555"/>
      <w:r>
        <w:t>Allotissement</w:t>
      </w:r>
      <w:bookmarkEnd w:id="8"/>
      <w:bookmarkEnd w:id="9"/>
    </w:p>
    <w:p w14:paraId="7DDFE7A7" w14:textId="77777777" w:rsidR="007A0A93" w:rsidRPr="009D765F" w:rsidRDefault="00615EB1">
      <w:pPr>
        <w:pStyle w:val="RedaliaNormal"/>
      </w:pPr>
      <w:r w:rsidRPr="009D765F">
        <w:t>L’ensemble des prestations sont décomposées en lots comme suit :</w:t>
      </w:r>
    </w:p>
    <w:p w14:paraId="11C6FA57" w14:textId="77777777" w:rsidR="007A0A93" w:rsidRDefault="007A0A93">
      <w:pPr>
        <w:pStyle w:val="RedaliaNormal"/>
        <w:rPr>
          <w:b/>
          <w:bCs/>
          <w:u w:val="single"/>
        </w:rPr>
      </w:pPr>
    </w:p>
    <w:tbl>
      <w:tblPr>
        <w:tblW w:w="8937" w:type="dxa"/>
        <w:tblLayout w:type="fixed"/>
        <w:tblCellMar>
          <w:left w:w="10" w:type="dxa"/>
          <w:right w:w="10" w:type="dxa"/>
        </w:tblCellMar>
        <w:tblLook w:val="0000" w:firstRow="0" w:lastRow="0" w:firstColumn="0" w:lastColumn="0" w:noHBand="0" w:noVBand="0"/>
      </w:tblPr>
      <w:tblGrid>
        <w:gridCol w:w="5532"/>
        <w:gridCol w:w="1367"/>
        <w:gridCol w:w="2038"/>
      </w:tblGrid>
      <w:tr w:rsidR="007A0A93" w14:paraId="7C512A02" w14:textId="77777777">
        <w:trPr>
          <w:trHeight w:val="1007"/>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7E9B13" w14:textId="77777777" w:rsidR="007A0A93" w:rsidRDefault="007A0A93">
            <w:pPr>
              <w:rPr>
                <w:rFonts w:cs="Open Sans"/>
                <w:b/>
                <w:bCs/>
                <w:szCs w:val="18"/>
              </w:rPr>
            </w:pPr>
            <w:bookmarkStart w:id="10" w:name="_Hlk224646293"/>
          </w:p>
          <w:p w14:paraId="290FD59C" w14:textId="349922E4" w:rsidR="007A0A93" w:rsidRDefault="00AF4DFA">
            <w:pPr>
              <w:jc w:val="center"/>
            </w:pPr>
            <w:r>
              <w:rPr>
                <w:rFonts w:cs="Open Sans"/>
                <w:b/>
                <w:szCs w:val="18"/>
              </w:rPr>
              <w:t xml:space="preserve">Lot n°1 : </w:t>
            </w:r>
            <w:r w:rsidR="00615EB1">
              <w:rPr>
                <w:rFonts w:cs="Open Sans"/>
                <w:b/>
                <w:szCs w:val="18"/>
              </w:rPr>
              <w:t>Prestations de formation</w:t>
            </w:r>
            <w:r w:rsidR="00615EB1">
              <w:rPr>
                <w:rFonts w:cs="Open Sans"/>
                <w:b/>
                <w:bCs/>
                <w:szCs w:val="18"/>
              </w:rPr>
              <w:t xml:space="preserve"> </w:t>
            </w:r>
            <w:r w:rsidR="00615EB1">
              <w:rPr>
                <w:rFonts w:cs="Open Sans"/>
                <w:b/>
                <w:szCs w:val="18"/>
              </w:rPr>
              <w:t>habilitations électriques Initial et Recyclage</w:t>
            </w:r>
          </w:p>
          <w:p w14:paraId="5F8293DE" w14:textId="77777777" w:rsidR="007A0A93" w:rsidRDefault="007A0A93">
            <w:pPr>
              <w:jc w:val="center"/>
              <w:rPr>
                <w:rFonts w:cs="Open Sans"/>
                <w:b/>
                <w:szCs w:val="18"/>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6F8F74" w14:textId="77777777" w:rsidR="007A0A93" w:rsidRDefault="007A0A93">
            <w:pPr>
              <w:jc w:val="center"/>
              <w:rPr>
                <w:rFonts w:cs="Open Sans"/>
                <w:b/>
                <w:szCs w:val="18"/>
              </w:rPr>
            </w:pPr>
          </w:p>
          <w:p w14:paraId="65DF2CE1" w14:textId="358A27AE" w:rsidR="007A0A93" w:rsidRDefault="00615EB1">
            <w:pPr>
              <w:jc w:val="center"/>
              <w:rPr>
                <w:rFonts w:cs="Open Sans"/>
                <w:b/>
                <w:szCs w:val="18"/>
              </w:rPr>
            </w:pPr>
            <w:r>
              <w:rPr>
                <w:rFonts w:cs="Open Sans"/>
                <w:b/>
                <w:szCs w:val="18"/>
              </w:rPr>
              <w:t xml:space="preserve">Nombre de jours </w:t>
            </w:r>
            <w:r w:rsidR="003B160C">
              <w:rPr>
                <w:rFonts w:cs="Open Sans"/>
                <w:b/>
                <w:szCs w:val="18"/>
              </w:rPr>
              <w:t>par</w:t>
            </w:r>
            <w:r>
              <w:rPr>
                <w:rFonts w:cs="Open Sans"/>
                <w:b/>
                <w:szCs w:val="18"/>
              </w:rPr>
              <w:t xml:space="preserve"> session</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C9A87A" w14:textId="77777777" w:rsidR="007A0A93" w:rsidRDefault="00615EB1">
            <w:pPr>
              <w:jc w:val="center"/>
              <w:rPr>
                <w:rFonts w:cs="Open Sans"/>
                <w:b/>
                <w:szCs w:val="18"/>
              </w:rPr>
            </w:pPr>
            <w:r>
              <w:rPr>
                <w:rFonts w:cs="Open Sans"/>
                <w:b/>
                <w:szCs w:val="18"/>
              </w:rPr>
              <w:t>Quantités prévisionnelles annuelles de session</w:t>
            </w:r>
          </w:p>
        </w:tc>
      </w:tr>
      <w:tr w:rsidR="007A0A93" w14:paraId="6AEC8A6E" w14:textId="77777777">
        <w:trPr>
          <w:trHeight w:val="256"/>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C578D3" w14:textId="77777777" w:rsidR="007A0A93" w:rsidRDefault="00615EB1">
            <w:pPr>
              <w:jc w:val="center"/>
            </w:pPr>
            <w:r>
              <w:rPr>
                <w:rFonts w:cs="Open Sans"/>
                <w:szCs w:val="18"/>
              </w:rPr>
              <w:t xml:space="preserve">Initial H0 -B0 - </w:t>
            </w:r>
            <w:r>
              <w:rPr>
                <w:rFonts w:cs="Open Sans"/>
                <w:szCs w:val="18"/>
                <w:lang w:val="en-GB"/>
              </w:rPr>
              <w:t>H0V</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B91849" w14:textId="77777777" w:rsidR="007A0A93" w:rsidRDefault="00615EB1">
            <w:pPr>
              <w:jc w:val="center"/>
              <w:rPr>
                <w:rFonts w:cs="Open Sans"/>
                <w:szCs w:val="18"/>
              </w:rPr>
            </w:pPr>
            <w:r>
              <w:rPr>
                <w:rFonts w:cs="Open Sans"/>
                <w:szCs w:val="18"/>
              </w:rPr>
              <w:t>2</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E575FF" w14:textId="77777777" w:rsidR="007A0A93" w:rsidRDefault="00615EB1">
            <w:pPr>
              <w:jc w:val="center"/>
              <w:rPr>
                <w:rFonts w:cs="Open Sans"/>
                <w:szCs w:val="18"/>
              </w:rPr>
            </w:pPr>
            <w:r>
              <w:rPr>
                <w:rFonts w:cs="Open Sans"/>
                <w:szCs w:val="18"/>
              </w:rPr>
              <w:t>2</w:t>
            </w:r>
          </w:p>
        </w:tc>
      </w:tr>
      <w:tr w:rsidR="007A0A93" w14:paraId="0730149E" w14:textId="77777777">
        <w:trPr>
          <w:trHeight w:val="256"/>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879327" w14:textId="77777777" w:rsidR="007A0A93" w:rsidRDefault="00615EB1">
            <w:pPr>
              <w:jc w:val="center"/>
              <w:rPr>
                <w:rFonts w:cs="Open Sans"/>
                <w:szCs w:val="18"/>
                <w:lang w:val="en-GB"/>
              </w:rPr>
            </w:pPr>
            <w:r>
              <w:rPr>
                <w:rFonts w:cs="Open Sans"/>
                <w:szCs w:val="18"/>
                <w:lang w:val="en-GB"/>
              </w:rPr>
              <w:t xml:space="preserve">Initial BS – BE </w:t>
            </w:r>
            <w:proofErr w:type="spellStart"/>
            <w:r>
              <w:rPr>
                <w:rFonts w:cs="Open Sans"/>
                <w:szCs w:val="18"/>
                <w:lang w:val="en-GB"/>
              </w:rPr>
              <w:t>Manœuvre</w:t>
            </w:r>
            <w:proofErr w:type="spellEnd"/>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24F5F0" w14:textId="77777777" w:rsidR="007A0A93" w:rsidRDefault="00615EB1">
            <w:pPr>
              <w:jc w:val="center"/>
              <w:rPr>
                <w:rFonts w:cs="Open Sans"/>
                <w:szCs w:val="18"/>
                <w:lang w:val="en-GB"/>
              </w:rPr>
            </w:pPr>
            <w:r>
              <w:rPr>
                <w:rFonts w:cs="Open Sans"/>
                <w:szCs w:val="18"/>
                <w:lang w:val="en-GB"/>
              </w:rPr>
              <w:t>2</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7FBEFED" w14:textId="77777777" w:rsidR="007A0A93" w:rsidRDefault="00615EB1">
            <w:pPr>
              <w:jc w:val="center"/>
              <w:rPr>
                <w:rFonts w:cs="Open Sans"/>
                <w:szCs w:val="18"/>
                <w:lang w:val="en-GB"/>
              </w:rPr>
            </w:pPr>
            <w:r>
              <w:rPr>
                <w:rFonts w:cs="Open Sans"/>
                <w:szCs w:val="18"/>
                <w:lang w:val="en-GB"/>
              </w:rPr>
              <w:t>8</w:t>
            </w:r>
          </w:p>
        </w:tc>
      </w:tr>
      <w:tr w:rsidR="007A0A93" w14:paraId="2EDED14E" w14:textId="77777777">
        <w:trPr>
          <w:trHeight w:val="247"/>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93A9BE" w14:textId="77777777" w:rsidR="007A0A93" w:rsidRDefault="00615EB1">
            <w:pPr>
              <w:jc w:val="center"/>
              <w:rPr>
                <w:rFonts w:cs="Open Sans"/>
                <w:szCs w:val="18"/>
                <w:lang w:val="en-GB"/>
              </w:rPr>
            </w:pPr>
            <w:r>
              <w:rPr>
                <w:rFonts w:cs="Open Sans"/>
                <w:szCs w:val="18"/>
                <w:lang w:val="en-GB"/>
              </w:rPr>
              <w:t>Initial B2V – B1V – BR – BC</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E3CEA3" w14:textId="77777777" w:rsidR="007A0A93" w:rsidRDefault="00615EB1">
            <w:pPr>
              <w:jc w:val="center"/>
              <w:rPr>
                <w:rFonts w:cs="Open Sans"/>
                <w:szCs w:val="18"/>
                <w:lang w:val="en-GB"/>
              </w:rPr>
            </w:pPr>
            <w:r>
              <w:rPr>
                <w:rFonts w:cs="Open Sans"/>
                <w:szCs w:val="18"/>
                <w:lang w:val="en-GB"/>
              </w:rPr>
              <w:t>3</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7B43A4" w14:textId="77777777" w:rsidR="007A0A93" w:rsidRDefault="00615EB1">
            <w:pPr>
              <w:jc w:val="center"/>
              <w:rPr>
                <w:rFonts w:cs="Open Sans"/>
                <w:szCs w:val="18"/>
                <w:lang w:val="en-GB"/>
              </w:rPr>
            </w:pPr>
            <w:r>
              <w:rPr>
                <w:rFonts w:cs="Open Sans"/>
                <w:szCs w:val="18"/>
                <w:lang w:val="en-GB"/>
              </w:rPr>
              <w:t>21</w:t>
            </w:r>
          </w:p>
        </w:tc>
      </w:tr>
      <w:tr w:rsidR="007A0A93" w14:paraId="442A6A85" w14:textId="77777777">
        <w:trPr>
          <w:trHeight w:val="256"/>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510784D" w14:textId="77777777" w:rsidR="007A0A93" w:rsidRDefault="00615EB1">
            <w:pPr>
              <w:jc w:val="center"/>
              <w:rPr>
                <w:rFonts w:cs="Open Sans"/>
                <w:szCs w:val="18"/>
                <w:lang w:val="en-GB"/>
              </w:rPr>
            </w:pPr>
            <w:r>
              <w:rPr>
                <w:rFonts w:cs="Open Sans"/>
                <w:szCs w:val="18"/>
                <w:lang w:val="en-GB"/>
              </w:rPr>
              <w:t>Initial H2V – H1V - HC – B2V – B1V – BR - BC</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E3E914" w14:textId="77777777" w:rsidR="007A0A93" w:rsidRDefault="00615EB1">
            <w:pPr>
              <w:jc w:val="center"/>
              <w:rPr>
                <w:rFonts w:cs="Open Sans"/>
                <w:szCs w:val="18"/>
                <w:lang w:val="en-GB"/>
              </w:rPr>
            </w:pPr>
            <w:r>
              <w:rPr>
                <w:rFonts w:cs="Open Sans"/>
                <w:szCs w:val="18"/>
                <w:lang w:val="en-GB"/>
              </w:rPr>
              <w:t>4</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718C90" w14:textId="77777777" w:rsidR="007A0A93" w:rsidRDefault="00615EB1">
            <w:pPr>
              <w:jc w:val="center"/>
              <w:rPr>
                <w:rFonts w:cs="Open Sans"/>
                <w:szCs w:val="18"/>
                <w:lang w:val="en-GB"/>
              </w:rPr>
            </w:pPr>
            <w:r>
              <w:rPr>
                <w:rFonts w:cs="Open Sans"/>
                <w:szCs w:val="18"/>
                <w:lang w:val="en-GB"/>
              </w:rPr>
              <w:t>16</w:t>
            </w:r>
          </w:p>
        </w:tc>
      </w:tr>
      <w:tr w:rsidR="007A0A93" w14:paraId="7A7BF8F1" w14:textId="77777777">
        <w:trPr>
          <w:trHeight w:val="256"/>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4553F9" w14:textId="77777777" w:rsidR="007A0A93" w:rsidRDefault="00615EB1">
            <w:pPr>
              <w:jc w:val="center"/>
              <w:rPr>
                <w:rFonts w:cs="Open Sans"/>
                <w:szCs w:val="18"/>
              </w:rPr>
            </w:pPr>
            <w:r>
              <w:rPr>
                <w:rFonts w:cs="Open Sans"/>
                <w:szCs w:val="18"/>
              </w:rPr>
              <w:t>Recyclage H0 B0 H0V</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B34143" w14:textId="77777777" w:rsidR="007A0A93" w:rsidRDefault="00615EB1">
            <w:pPr>
              <w:jc w:val="center"/>
              <w:rPr>
                <w:rFonts w:cs="Open Sans"/>
                <w:szCs w:val="18"/>
              </w:rPr>
            </w:pPr>
            <w:r>
              <w:rPr>
                <w:rFonts w:cs="Open Sans"/>
                <w:szCs w:val="18"/>
              </w:rPr>
              <w:t>1</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DB7DF5" w14:textId="77777777" w:rsidR="007A0A93" w:rsidRDefault="00615EB1">
            <w:pPr>
              <w:jc w:val="center"/>
              <w:rPr>
                <w:rFonts w:cs="Open Sans"/>
                <w:szCs w:val="18"/>
              </w:rPr>
            </w:pPr>
            <w:r>
              <w:rPr>
                <w:rFonts w:cs="Open Sans"/>
                <w:szCs w:val="18"/>
              </w:rPr>
              <w:t>2</w:t>
            </w:r>
          </w:p>
        </w:tc>
      </w:tr>
      <w:tr w:rsidR="007A0A93" w14:paraId="7513F6EE" w14:textId="77777777">
        <w:trPr>
          <w:trHeight w:val="256"/>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10A26B2" w14:textId="77777777" w:rsidR="007A0A93" w:rsidRDefault="00615EB1">
            <w:pPr>
              <w:jc w:val="center"/>
            </w:pPr>
            <w:r>
              <w:rPr>
                <w:rFonts w:cs="Open Sans"/>
                <w:szCs w:val="18"/>
              </w:rPr>
              <w:t xml:space="preserve">Recyclage </w:t>
            </w:r>
            <w:r>
              <w:rPr>
                <w:rFonts w:cs="Open Sans"/>
                <w:szCs w:val="18"/>
                <w:lang w:val="en-GB"/>
              </w:rPr>
              <w:t xml:space="preserve">BS – BE </w:t>
            </w:r>
            <w:proofErr w:type="spellStart"/>
            <w:r>
              <w:rPr>
                <w:rFonts w:cs="Open Sans"/>
                <w:szCs w:val="18"/>
                <w:lang w:val="en-GB"/>
              </w:rPr>
              <w:t>Manœuvre</w:t>
            </w:r>
            <w:proofErr w:type="spellEnd"/>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7B38ED" w14:textId="77777777" w:rsidR="007A0A93" w:rsidRDefault="00615EB1">
            <w:pPr>
              <w:jc w:val="center"/>
              <w:rPr>
                <w:rFonts w:cs="Open Sans"/>
                <w:szCs w:val="18"/>
              </w:rPr>
            </w:pPr>
            <w:r>
              <w:rPr>
                <w:rFonts w:cs="Open Sans"/>
                <w:szCs w:val="18"/>
              </w:rPr>
              <w:t>2</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43DA20" w14:textId="77777777" w:rsidR="007A0A93" w:rsidRDefault="00615EB1">
            <w:pPr>
              <w:jc w:val="center"/>
              <w:rPr>
                <w:rFonts w:cs="Open Sans"/>
                <w:szCs w:val="18"/>
              </w:rPr>
            </w:pPr>
            <w:r>
              <w:rPr>
                <w:rFonts w:cs="Open Sans"/>
                <w:szCs w:val="18"/>
              </w:rPr>
              <w:t>4</w:t>
            </w:r>
          </w:p>
        </w:tc>
      </w:tr>
      <w:tr w:rsidR="007A0A93" w14:paraId="550C28EC" w14:textId="77777777">
        <w:trPr>
          <w:trHeight w:val="247"/>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F50BAA" w14:textId="77777777" w:rsidR="007A0A93" w:rsidRDefault="00615EB1">
            <w:pPr>
              <w:jc w:val="center"/>
            </w:pPr>
            <w:r>
              <w:rPr>
                <w:rFonts w:cs="Open Sans"/>
                <w:szCs w:val="18"/>
              </w:rPr>
              <w:t xml:space="preserve">Recyclage </w:t>
            </w:r>
            <w:r>
              <w:rPr>
                <w:rFonts w:cs="Open Sans"/>
                <w:szCs w:val="18"/>
                <w:lang w:val="en-GB"/>
              </w:rPr>
              <w:t>B2V – B1V – BR – BC</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CD2E54" w14:textId="77777777" w:rsidR="007A0A93" w:rsidRDefault="00615EB1">
            <w:pPr>
              <w:jc w:val="center"/>
              <w:rPr>
                <w:rFonts w:cs="Open Sans"/>
                <w:szCs w:val="18"/>
              </w:rPr>
            </w:pPr>
            <w:r>
              <w:rPr>
                <w:rFonts w:cs="Open Sans"/>
                <w:szCs w:val="18"/>
              </w:rPr>
              <w:t>2</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7747DA" w14:textId="77777777" w:rsidR="007A0A93" w:rsidRDefault="00615EB1">
            <w:pPr>
              <w:jc w:val="center"/>
              <w:rPr>
                <w:rFonts w:cs="Open Sans"/>
                <w:szCs w:val="18"/>
              </w:rPr>
            </w:pPr>
            <w:r>
              <w:rPr>
                <w:rFonts w:cs="Open Sans"/>
                <w:szCs w:val="18"/>
              </w:rPr>
              <w:t>12</w:t>
            </w:r>
          </w:p>
        </w:tc>
      </w:tr>
      <w:tr w:rsidR="007A0A93" w14:paraId="5D3E1E6E" w14:textId="77777777">
        <w:trPr>
          <w:trHeight w:val="256"/>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8ABE73" w14:textId="77777777" w:rsidR="007A0A93" w:rsidRDefault="00615EB1">
            <w:pPr>
              <w:jc w:val="center"/>
            </w:pPr>
            <w:proofErr w:type="spellStart"/>
            <w:r>
              <w:rPr>
                <w:rFonts w:cs="Open Sans"/>
                <w:szCs w:val="18"/>
                <w:lang w:val="en-US"/>
              </w:rPr>
              <w:t>Recyclage</w:t>
            </w:r>
            <w:proofErr w:type="spellEnd"/>
            <w:r>
              <w:rPr>
                <w:rFonts w:cs="Open Sans"/>
                <w:szCs w:val="18"/>
                <w:lang w:val="en-US"/>
              </w:rPr>
              <w:t xml:space="preserve"> </w:t>
            </w:r>
            <w:r>
              <w:rPr>
                <w:rFonts w:cs="Open Sans"/>
                <w:szCs w:val="18"/>
                <w:lang w:val="en-GB"/>
              </w:rPr>
              <w:t>H2V – H1V - HC – B2V – B1V – BR - BC</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B91E04" w14:textId="77777777" w:rsidR="007A0A93" w:rsidRDefault="00615EB1">
            <w:pPr>
              <w:jc w:val="center"/>
              <w:rPr>
                <w:rFonts w:cs="Open Sans"/>
                <w:szCs w:val="18"/>
              </w:rPr>
            </w:pPr>
            <w:r>
              <w:rPr>
                <w:rFonts w:cs="Open Sans"/>
                <w:szCs w:val="18"/>
              </w:rPr>
              <w:t>2</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C149EF" w14:textId="77777777" w:rsidR="007A0A93" w:rsidRDefault="00615EB1">
            <w:pPr>
              <w:jc w:val="center"/>
              <w:rPr>
                <w:rFonts w:cs="Open Sans"/>
                <w:szCs w:val="18"/>
              </w:rPr>
            </w:pPr>
            <w:r>
              <w:rPr>
                <w:rFonts w:cs="Open Sans"/>
                <w:szCs w:val="18"/>
              </w:rPr>
              <w:t>5</w:t>
            </w:r>
          </w:p>
        </w:tc>
      </w:tr>
      <w:bookmarkEnd w:id="10"/>
    </w:tbl>
    <w:p w14:paraId="33223C2D" w14:textId="77777777" w:rsidR="007A0A93" w:rsidRDefault="007A0A93">
      <w:pPr>
        <w:pStyle w:val="RedaliaNormal"/>
        <w:spacing w:before="0"/>
        <w:jc w:val="left"/>
      </w:pPr>
    </w:p>
    <w:tbl>
      <w:tblPr>
        <w:tblW w:w="8937" w:type="dxa"/>
        <w:tblInd w:w="-5" w:type="dxa"/>
        <w:tblLayout w:type="fixed"/>
        <w:tblCellMar>
          <w:left w:w="10" w:type="dxa"/>
          <w:right w:w="10" w:type="dxa"/>
        </w:tblCellMar>
        <w:tblLook w:val="0000" w:firstRow="0" w:lastRow="0" w:firstColumn="0" w:lastColumn="0" w:noHBand="0" w:noVBand="0"/>
      </w:tblPr>
      <w:tblGrid>
        <w:gridCol w:w="4894"/>
        <w:gridCol w:w="610"/>
        <w:gridCol w:w="1736"/>
        <w:gridCol w:w="1657"/>
        <w:gridCol w:w="40"/>
      </w:tblGrid>
      <w:tr w:rsidR="007A0A93" w14:paraId="0B051F9F" w14:textId="77777777">
        <w:trPr>
          <w:trHeight w:val="586"/>
        </w:trPr>
        <w:tc>
          <w:tcPr>
            <w:tcW w:w="5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6B587F" w14:textId="114FBBAC" w:rsidR="007A0A93" w:rsidRDefault="00AF4DFA">
            <w:pPr>
              <w:spacing w:line="276" w:lineRule="auto"/>
              <w:jc w:val="center"/>
              <w:rPr>
                <w:rFonts w:cs="Open Sans"/>
                <w:b/>
                <w:szCs w:val="18"/>
              </w:rPr>
            </w:pPr>
            <w:r>
              <w:rPr>
                <w:rFonts w:cs="Open Sans"/>
                <w:b/>
                <w:szCs w:val="18"/>
              </w:rPr>
              <w:t>Lot n°</w:t>
            </w:r>
            <w:r>
              <w:rPr>
                <w:rFonts w:cs="Open Sans"/>
                <w:b/>
                <w:szCs w:val="18"/>
              </w:rPr>
              <w:t>2</w:t>
            </w:r>
            <w:r>
              <w:rPr>
                <w:rFonts w:cs="Open Sans"/>
                <w:b/>
                <w:szCs w:val="18"/>
              </w:rPr>
              <w:t xml:space="preserve"> : </w:t>
            </w:r>
            <w:r w:rsidR="00615EB1">
              <w:rPr>
                <w:rFonts w:cs="Open Sans"/>
                <w:b/>
                <w:szCs w:val="18"/>
              </w:rPr>
              <w:t>Prestations de formation sécurité incendie</w:t>
            </w:r>
          </w:p>
        </w:tc>
        <w:tc>
          <w:tcPr>
            <w:tcW w:w="3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2EEB4A" w14:textId="77777777" w:rsidR="007A0A93" w:rsidRDefault="00615EB1">
            <w:pPr>
              <w:spacing w:line="276" w:lineRule="auto"/>
              <w:jc w:val="center"/>
              <w:rPr>
                <w:rFonts w:cs="Open Sans"/>
                <w:b/>
                <w:szCs w:val="18"/>
              </w:rPr>
            </w:pPr>
            <w:r>
              <w:rPr>
                <w:rFonts w:cs="Open Sans"/>
                <w:b/>
                <w:szCs w:val="18"/>
              </w:rPr>
              <w:t>Quantités prévisionnelles annuelles</w:t>
            </w:r>
          </w:p>
        </w:tc>
      </w:tr>
      <w:tr w:rsidR="007A0A93" w14:paraId="4F01B8FD" w14:textId="77777777">
        <w:trPr>
          <w:trHeight w:val="503"/>
        </w:trPr>
        <w:tc>
          <w:tcPr>
            <w:tcW w:w="5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E9AD0E8" w14:textId="77777777" w:rsidR="007A0A93" w:rsidRDefault="00615EB1">
            <w:pPr>
              <w:rPr>
                <w:rFonts w:cs="Open Sans"/>
                <w:szCs w:val="18"/>
              </w:rPr>
            </w:pPr>
            <w:r>
              <w:rPr>
                <w:rFonts w:cs="Open Sans"/>
                <w:szCs w:val="18"/>
              </w:rPr>
              <w:t>Formation à la sécurité incendie dans le milieu hospitalier pour l’ensemble du personnel, en unité mobile</w:t>
            </w:r>
          </w:p>
        </w:tc>
        <w:tc>
          <w:tcPr>
            <w:tcW w:w="3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4D2C52" w14:textId="77777777" w:rsidR="007A0A93" w:rsidRDefault="00615EB1">
            <w:pPr>
              <w:jc w:val="center"/>
              <w:rPr>
                <w:rFonts w:cs="Open Sans"/>
                <w:szCs w:val="18"/>
              </w:rPr>
            </w:pPr>
            <w:r>
              <w:rPr>
                <w:rFonts w:cs="Open Sans"/>
                <w:szCs w:val="18"/>
              </w:rPr>
              <w:t>300 sessions de jour</w:t>
            </w:r>
          </w:p>
          <w:p w14:paraId="4FAA3009" w14:textId="77777777" w:rsidR="007A0A93" w:rsidRDefault="00615EB1">
            <w:pPr>
              <w:jc w:val="center"/>
              <w:rPr>
                <w:rFonts w:cs="Open Sans"/>
                <w:szCs w:val="18"/>
              </w:rPr>
            </w:pPr>
            <w:r>
              <w:rPr>
                <w:rFonts w:cs="Open Sans"/>
                <w:szCs w:val="18"/>
              </w:rPr>
              <w:t>30 sessions de nuit</w:t>
            </w:r>
          </w:p>
        </w:tc>
      </w:tr>
      <w:tr w:rsidR="007A0A93" w14:paraId="6A40644D" w14:textId="77777777">
        <w:trPr>
          <w:trHeight w:val="760"/>
        </w:trPr>
        <w:tc>
          <w:tcPr>
            <w:tcW w:w="5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229515" w14:textId="77777777" w:rsidR="007A0A93" w:rsidRDefault="00615EB1">
            <w:pPr>
              <w:rPr>
                <w:rFonts w:cs="Open Sans"/>
                <w:szCs w:val="18"/>
              </w:rPr>
            </w:pPr>
            <w:r>
              <w:rPr>
                <w:rFonts w:cs="Open Sans"/>
                <w:szCs w:val="18"/>
              </w:rPr>
              <w:t>Formation à la sécurité incendie dans le milieu hospitalier pour l’ensemble du personnel, sur site, en salle et sur aire extérieure protégée</w:t>
            </w:r>
          </w:p>
        </w:tc>
        <w:tc>
          <w:tcPr>
            <w:tcW w:w="3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9BE11EF" w14:textId="77777777" w:rsidR="007A0A93" w:rsidRDefault="00615EB1">
            <w:pPr>
              <w:jc w:val="center"/>
              <w:rPr>
                <w:rFonts w:cs="Open Sans"/>
                <w:szCs w:val="18"/>
              </w:rPr>
            </w:pPr>
            <w:r>
              <w:rPr>
                <w:rFonts w:cs="Open Sans"/>
                <w:szCs w:val="18"/>
              </w:rPr>
              <w:t>300 sessions de jour</w:t>
            </w:r>
          </w:p>
          <w:p w14:paraId="2BC2C65B" w14:textId="77777777" w:rsidR="007A0A93" w:rsidRDefault="00615EB1">
            <w:pPr>
              <w:jc w:val="center"/>
              <w:rPr>
                <w:rFonts w:cs="Open Sans"/>
                <w:szCs w:val="18"/>
              </w:rPr>
            </w:pPr>
            <w:r>
              <w:rPr>
                <w:rFonts w:cs="Open Sans"/>
                <w:szCs w:val="18"/>
              </w:rPr>
              <w:t>20 sessions de nuit</w:t>
            </w:r>
          </w:p>
        </w:tc>
      </w:tr>
      <w:tr w:rsidR="007A0A93" w14:paraId="626415FF" w14:textId="77777777">
        <w:trPr>
          <w:trHeight w:val="503"/>
        </w:trPr>
        <w:tc>
          <w:tcPr>
            <w:tcW w:w="5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54D69B" w14:textId="77777777" w:rsidR="007A0A93" w:rsidRDefault="00615EB1">
            <w:pPr>
              <w:rPr>
                <w:rFonts w:cs="Open Sans"/>
                <w:szCs w:val="18"/>
              </w:rPr>
            </w:pPr>
            <w:r>
              <w:rPr>
                <w:rFonts w:cs="Open Sans"/>
                <w:szCs w:val="18"/>
              </w:rPr>
              <w:t>Formations pratiques d’évacuation</w:t>
            </w:r>
          </w:p>
        </w:tc>
        <w:tc>
          <w:tcPr>
            <w:tcW w:w="34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B9E315" w14:textId="77777777" w:rsidR="007A0A93" w:rsidRDefault="00615EB1">
            <w:pPr>
              <w:jc w:val="center"/>
              <w:rPr>
                <w:rFonts w:cs="Open Sans"/>
                <w:szCs w:val="18"/>
              </w:rPr>
            </w:pPr>
            <w:r>
              <w:rPr>
                <w:rFonts w:cs="Open Sans"/>
                <w:szCs w:val="18"/>
              </w:rPr>
              <w:t>16 sessions de</w:t>
            </w:r>
          </w:p>
          <w:p w14:paraId="7E49703F" w14:textId="77777777" w:rsidR="007A0A93" w:rsidRDefault="00615EB1">
            <w:pPr>
              <w:jc w:val="center"/>
              <w:rPr>
                <w:rFonts w:cs="Open Sans"/>
                <w:szCs w:val="18"/>
              </w:rPr>
            </w:pPr>
            <w:r>
              <w:rPr>
                <w:rFonts w:cs="Open Sans"/>
                <w:szCs w:val="18"/>
              </w:rPr>
              <w:t>3 heures 30</w:t>
            </w:r>
          </w:p>
        </w:tc>
      </w:tr>
      <w:tr w:rsidR="007A0A93" w14:paraId="7C7FA483" w14:textId="77777777">
        <w:tc>
          <w:tcPr>
            <w:tcW w:w="5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CD43E" w14:textId="21448D17" w:rsidR="007A0A93" w:rsidRDefault="00AF4DFA">
            <w:pPr>
              <w:autoSpaceDE w:val="0"/>
              <w:spacing w:line="276" w:lineRule="auto"/>
              <w:jc w:val="center"/>
              <w:rPr>
                <w:rFonts w:cs="Open Sans"/>
                <w:b/>
                <w:szCs w:val="18"/>
              </w:rPr>
            </w:pPr>
            <w:r>
              <w:rPr>
                <w:rFonts w:cs="Open Sans"/>
                <w:b/>
                <w:szCs w:val="18"/>
              </w:rPr>
              <w:t>Lot n°</w:t>
            </w:r>
            <w:r>
              <w:rPr>
                <w:rFonts w:cs="Open Sans"/>
                <w:b/>
                <w:szCs w:val="18"/>
              </w:rPr>
              <w:t>3</w:t>
            </w:r>
            <w:r>
              <w:rPr>
                <w:rFonts w:cs="Open Sans"/>
                <w:b/>
                <w:szCs w:val="18"/>
              </w:rPr>
              <w:t xml:space="preserve"> : </w:t>
            </w:r>
            <w:r w:rsidR="00615EB1">
              <w:rPr>
                <w:rFonts w:cs="Open Sans"/>
                <w:b/>
                <w:szCs w:val="18"/>
              </w:rPr>
              <w:t>Prestations de formation SSIAP</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72AFC" w14:textId="77777777" w:rsidR="007A0A93" w:rsidRDefault="00615EB1">
            <w:pPr>
              <w:autoSpaceDE w:val="0"/>
              <w:spacing w:line="276" w:lineRule="auto"/>
              <w:jc w:val="center"/>
              <w:rPr>
                <w:rFonts w:cs="Open Sans"/>
                <w:b/>
                <w:szCs w:val="18"/>
              </w:rPr>
            </w:pPr>
            <w:r>
              <w:rPr>
                <w:rFonts w:cs="Open Sans"/>
                <w:b/>
                <w:szCs w:val="18"/>
              </w:rPr>
              <w:t>Durée</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8E4EE" w14:textId="77777777" w:rsidR="007A0A93" w:rsidRDefault="00615EB1">
            <w:pPr>
              <w:autoSpaceDE w:val="0"/>
              <w:spacing w:line="276" w:lineRule="auto"/>
              <w:jc w:val="center"/>
              <w:rPr>
                <w:rFonts w:cs="Open Sans"/>
                <w:b/>
                <w:szCs w:val="18"/>
              </w:rPr>
            </w:pPr>
            <w:r>
              <w:rPr>
                <w:rFonts w:cs="Open Sans"/>
                <w:b/>
                <w:szCs w:val="18"/>
              </w:rPr>
              <w:t>Nombre annuel de sessions prévisionnelles</w:t>
            </w:r>
          </w:p>
        </w:tc>
        <w:tc>
          <w:tcPr>
            <w:tcW w:w="40" w:type="dxa"/>
            <w:shd w:val="clear" w:color="auto" w:fill="auto"/>
            <w:tcMar>
              <w:top w:w="0" w:type="dxa"/>
              <w:left w:w="10" w:type="dxa"/>
              <w:bottom w:w="0" w:type="dxa"/>
              <w:right w:w="10" w:type="dxa"/>
            </w:tcMar>
          </w:tcPr>
          <w:p w14:paraId="42136111" w14:textId="77777777" w:rsidR="007A0A93" w:rsidRDefault="007A0A93">
            <w:pPr>
              <w:autoSpaceDE w:val="0"/>
              <w:spacing w:line="276" w:lineRule="auto"/>
              <w:jc w:val="center"/>
              <w:rPr>
                <w:rFonts w:cs="Open Sans"/>
                <w:b/>
                <w:szCs w:val="18"/>
              </w:rPr>
            </w:pPr>
          </w:p>
        </w:tc>
      </w:tr>
      <w:tr w:rsidR="007A0A93" w14:paraId="5A8AAA3E"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71F8A" w14:textId="77777777" w:rsidR="007A0A93" w:rsidRDefault="00615EB1">
            <w:pPr>
              <w:autoSpaceDE w:val="0"/>
              <w:spacing w:line="276" w:lineRule="auto"/>
              <w:rPr>
                <w:rFonts w:cs="Open Sans"/>
                <w:szCs w:val="18"/>
              </w:rPr>
            </w:pPr>
            <w:r>
              <w:rPr>
                <w:rFonts w:cs="Open Sans"/>
                <w:szCs w:val="18"/>
              </w:rPr>
              <w:t xml:space="preserve">Initial Agent de sécurité (S.S.I.A.P 1)  </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1C4FB" w14:textId="77777777" w:rsidR="007A0A93" w:rsidRDefault="00615EB1">
            <w:pPr>
              <w:autoSpaceDE w:val="0"/>
              <w:spacing w:line="276" w:lineRule="auto"/>
              <w:jc w:val="center"/>
              <w:rPr>
                <w:rFonts w:cs="Open Sans"/>
                <w:szCs w:val="18"/>
              </w:rPr>
            </w:pPr>
            <w:r>
              <w:rPr>
                <w:rFonts w:cs="Open Sans"/>
                <w:szCs w:val="18"/>
              </w:rPr>
              <w:t>11 jours examen compris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E8E7A" w14:textId="77777777" w:rsidR="007A0A93" w:rsidRDefault="00615EB1">
            <w:pPr>
              <w:autoSpaceDE w:val="0"/>
              <w:spacing w:line="276" w:lineRule="auto"/>
              <w:jc w:val="center"/>
              <w:rPr>
                <w:rFonts w:cs="Open Sans"/>
                <w:szCs w:val="18"/>
              </w:rPr>
            </w:pPr>
            <w:r>
              <w:rPr>
                <w:rFonts w:cs="Open Sans"/>
                <w:szCs w:val="18"/>
              </w:rPr>
              <w:t>2</w:t>
            </w:r>
          </w:p>
        </w:tc>
        <w:tc>
          <w:tcPr>
            <w:tcW w:w="40" w:type="dxa"/>
            <w:shd w:val="clear" w:color="auto" w:fill="auto"/>
            <w:tcMar>
              <w:top w:w="0" w:type="dxa"/>
              <w:left w:w="10" w:type="dxa"/>
              <w:bottom w:w="0" w:type="dxa"/>
              <w:right w:w="10" w:type="dxa"/>
            </w:tcMar>
          </w:tcPr>
          <w:p w14:paraId="42BCA820" w14:textId="77777777" w:rsidR="007A0A93" w:rsidRDefault="007A0A93">
            <w:pPr>
              <w:autoSpaceDE w:val="0"/>
              <w:spacing w:line="276" w:lineRule="auto"/>
              <w:jc w:val="center"/>
              <w:rPr>
                <w:rFonts w:cs="Open Sans"/>
                <w:szCs w:val="18"/>
              </w:rPr>
            </w:pPr>
          </w:p>
        </w:tc>
      </w:tr>
      <w:tr w:rsidR="007A0A93" w14:paraId="7BD6B331"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1E577" w14:textId="77777777" w:rsidR="007A0A93" w:rsidRDefault="00615EB1">
            <w:pPr>
              <w:autoSpaceDE w:val="0"/>
              <w:spacing w:line="276" w:lineRule="auto"/>
              <w:rPr>
                <w:rFonts w:cs="Open Sans"/>
                <w:szCs w:val="18"/>
              </w:rPr>
            </w:pPr>
            <w:r>
              <w:rPr>
                <w:rFonts w:cs="Open Sans"/>
                <w:szCs w:val="18"/>
              </w:rPr>
              <w:t>Initial Chef d’équipe (S.S.I.A.P 2)</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CD103" w14:textId="77777777" w:rsidR="007A0A93" w:rsidRDefault="00615EB1">
            <w:pPr>
              <w:autoSpaceDE w:val="0"/>
              <w:spacing w:line="276" w:lineRule="auto"/>
              <w:jc w:val="center"/>
              <w:rPr>
                <w:rFonts w:cs="Open Sans"/>
                <w:szCs w:val="18"/>
              </w:rPr>
            </w:pPr>
            <w:r>
              <w:rPr>
                <w:rFonts w:cs="Open Sans"/>
                <w:szCs w:val="18"/>
              </w:rPr>
              <w:t>11 jours examen compris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B1E34" w14:textId="77777777" w:rsidR="007A0A93" w:rsidRDefault="00615EB1">
            <w:pPr>
              <w:autoSpaceDE w:val="0"/>
              <w:spacing w:line="276" w:lineRule="auto"/>
              <w:jc w:val="center"/>
              <w:rPr>
                <w:rFonts w:cs="Open Sans"/>
                <w:szCs w:val="18"/>
              </w:rPr>
            </w:pPr>
            <w:r>
              <w:rPr>
                <w:rFonts w:cs="Open Sans"/>
                <w:szCs w:val="18"/>
              </w:rPr>
              <w:t>2</w:t>
            </w:r>
          </w:p>
        </w:tc>
        <w:tc>
          <w:tcPr>
            <w:tcW w:w="40" w:type="dxa"/>
            <w:shd w:val="clear" w:color="auto" w:fill="auto"/>
            <w:tcMar>
              <w:top w:w="0" w:type="dxa"/>
              <w:left w:w="10" w:type="dxa"/>
              <w:bottom w:w="0" w:type="dxa"/>
              <w:right w:w="10" w:type="dxa"/>
            </w:tcMar>
          </w:tcPr>
          <w:p w14:paraId="4CB2A0FC" w14:textId="77777777" w:rsidR="007A0A93" w:rsidRDefault="007A0A93">
            <w:pPr>
              <w:autoSpaceDE w:val="0"/>
              <w:spacing w:line="276" w:lineRule="auto"/>
              <w:jc w:val="center"/>
              <w:rPr>
                <w:rFonts w:cs="Open Sans"/>
                <w:szCs w:val="18"/>
              </w:rPr>
            </w:pPr>
          </w:p>
        </w:tc>
      </w:tr>
      <w:tr w:rsidR="007A0A93" w14:paraId="11137CAE"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56239" w14:textId="77777777" w:rsidR="007A0A93" w:rsidRDefault="00615EB1">
            <w:pPr>
              <w:autoSpaceDE w:val="0"/>
              <w:spacing w:line="276" w:lineRule="auto"/>
              <w:rPr>
                <w:rFonts w:cs="Open Sans"/>
                <w:szCs w:val="18"/>
              </w:rPr>
            </w:pPr>
            <w:r>
              <w:rPr>
                <w:rFonts w:cs="Open Sans"/>
                <w:szCs w:val="18"/>
              </w:rPr>
              <w:t>Initial Chef de service de sécurité incendie (S.S.I.A.P 3)</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615A0" w14:textId="77777777" w:rsidR="007A0A93" w:rsidRDefault="00615EB1">
            <w:pPr>
              <w:autoSpaceDE w:val="0"/>
              <w:spacing w:line="276" w:lineRule="auto"/>
              <w:jc w:val="center"/>
              <w:rPr>
                <w:rFonts w:cs="Open Sans"/>
                <w:szCs w:val="18"/>
              </w:rPr>
            </w:pPr>
            <w:r>
              <w:rPr>
                <w:rFonts w:cs="Open Sans"/>
                <w:szCs w:val="18"/>
              </w:rPr>
              <w:t>32 jours examen compris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86AC7" w14:textId="77777777" w:rsidR="007A0A93" w:rsidRDefault="00615EB1">
            <w:pPr>
              <w:autoSpaceDE w:val="0"/>
              <w:spacing w:line="276" w:lineRule="auto"/>
              <w:jc w:val="center"/>
              <w:rPr>
                <w:rFonts w:cs="Open Sans"/>
                <w:szCs w:val="18"/>
              </w:rPr>
            </w:pPr>
            <w:r>
              <w:rPr>
                <w:rFonts w:cs="Open Sans"/>
                <w:szCs w:val="18"/>
              </w:rPr>
              <w:t>1</w:t>
            </w:r>
          </w:p>
        </w:tc>
        <w:tc>
          <w:tcPr>
            <w:tcW w:w="40" w:type="dxa"/>
            <w:shd w:val="clear" w:color="auto" w:fill="auto"/>
            <w:tcMar>
              <w:top w:w="0" w:type="dxa"/>
              <w:left w:w="10" w:type="dxa"/>
              <w:bottom w:w="0" w:type="dxa"/>
              <w:right w:w="10" w:type="dxa"/>
            </w:tcMar>
          </w:tcPr>
          <w:p w14:paraId="1DD50AFE" w14:textId="77777777" w:rsidR="007A0A93" w:rsidRDefault="007A0A93">
            <w:pPr>
              <w:autoSpaceDE w:val="0"/>
              <w:spacing w:line="276" w:lineRule="auto"/>
              <w:jc w:val="center"/>
              <w:rPr>
                <w:rFonts w:cs="Open Sans"/>
                <w:szCs w:val="18"/>
              </w:rPr>
            </w:pPr>
          </w:p>
        </w:tc>
      </w:tr>
      <w:tr w:rsidR="007A0A93" w14:paraId="5737444D"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2EC5A" w14:textId="77777777" w:rsidR="007A0A93" w:rsidRDefault="00615EB1">
            <w:pPr>
              <w:autoSpaceDE w:val="0"/>
              <w:spacing w:line="276" w:lineRule="auto"/>
              <w:rPr>
                <w:rFonts w:cs="Open Sans"/>
                <w:szCs w:val="18"/>
              </w:rPr>
            </w:pPr>
            <w:r>
              <w:rPr>
                <w:rFonts w:cs="Open Sans"/>
                <w:szCs w:val="18"/>
              </w:rPr>
              <w:lastRenderedPageBreak/>
              <w:t xml:space="preserve">Recyclage agent de sécurité (S.S.I.A.P 1)  </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1FF52" w14:textId="77777777" w:rsidR="007A0A93" w:rsidRDefault="00615EB1">
            <w:pPr>
              <w:autoSpaceDE w:val="0"/>
              <w:spacing w:line="276" w:lineRule="auto"/>
              <w:jc w:val="center"/>
              <w:rPr>
                <w:rFonts w:cs="Open Sans"/>
                <w:szCs w:val="18"/>
              </w:rPr>
            </w:pPr>
            <w:r>
              <w:rPr>
                <w:rFonts w:cs="Open Sans"/>
                <w:szCs w:val="18"/>
              </w:rPr>
              <w:t>2 jours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C949D" w14:textId="77777777" w:rsidR="007A0A93" w:rsidRDefault="00615EB1">
            <w:pPr>
              <w:autoSpaceDE w:val="0"/>
              <w:spacing w:line="276" w:lineRule="auto"/>
              <w:jc w:val="center"/>
              <w:rPr>
                <w:rFonts w:cs="Open Sans"/>
                <w:szCs w:val="18"/>
              </w:rPr>
            </w:pPr>
            <w:r>
              <w:rPr>
                <w:rFonts w:cs="Open Sans"/>
                <w:szCs w:val="18"/>
              </w:rPr>
              <w:t>2</w:t>
            </w:r>
          </w:p>
        </w:tc>
        <w:tc>
          <w:tcPr>
            <w:tcW w:w="40" w:type="dxa"/>
            <w:shd w:val="clear" w:color="auto" w:fill="auto"/>
            <w:tcMar>
              <w:top w:w="0" w:type="dxa"/>
              <w:left w:w="10" w:type="dxa"/>
              <w:bottom w:w="0" w:type="dxa"/>
              <w:right w:w="10" w:type="dxa"/>
            </w:tcMar>
          </w:tcPr>
          <w:p w14:paraId="1D9E267D" w14:textId="77777777" w:rsidR="007A0A93" w:rsidRDefault="007A0A93">
            <w:pPr>
              <w:autoSpaceDE w:val="0"/>
              <w:spacing w:line="276" w:lineRule="auto"/>
              <w:jc w:val="center"/>
              <w:rPr>
                <w:rFonts w:cs="Open Sans"/>
                <w:szCs w:val="18"/>
              </w:rPr>
            </w:pPr>
          </w:p>
        </w:tc>
      </w:tr>
      <w:tr w:rsidR="007A0A93" w14:paraId="310BE6E5"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43554" w14:textId="77777777" w:rsidR="007A0A93" w:rsidRDefault="00615EB1">
            <w:pPr>
              <w:autoSpaceDE w:val="0"/>
              <w:spacing w:line="276" w:lineRule="auto"/>
              <w:rPr>
                <w:rFonts w:cs="Open Sans"/>
                <w:szCs w:val="18"/>
              </w:rPr>
            </w:pPr>
            <w:r>
              <w:rPr>
                <w:rFonts w:cs="Open Sans"/>
                <w:szCs w:val="18"/>
              </w:rPr>
              <w:t>Recyclage chef d’équipe (S.S.I.A.P 2)</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EE548" w14:textId="77777777" w:rsidR="007A0A93" w:rsidRDefault="00615EB1">
            <w:pPr>
              <w:autoSpaceDE w:val="0"/>
              <w:spacing w:line="276" w:lineRule="auto"/>
              <w:jc w:val="center"/>
              <w:rPr>
                <w:rFonts w:cs="Open Sans"/>
                <w:szCs w:val="18"/>
              </w:rPr>
            </w:pPr>
            <w:r>
              <w:rPr>
                <w:rFonts w:cs="Open Sans"/>
                <w:szCs w:val="18"/>
              </w:rPr>
              <w:t>2 jours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EC81B" w14:textId="77777777" w:rsidR="007A0A93" w:rsidRDefault="00615EB1">
            <w:pPr>
              <w:autoSpaceDE w:val="0"/>
              <w:spacing w:line="276" w:lineRule="auto"/>
              <w:jc w:val="center"/>
              <w:rPr>
                <w:rFonts w:cs="Open Sans"/>
                <w:szCs w:val="18"/>
              </w:rPr>
            </w:pPr>
            <w:r>
              <w:rPr>
                <w:rFonts w:cs="Open Sans"/>
                <w:szCs w:val="18"/>
              </w:rPr>
              <w:t>2</w:t>
            </w:r>
          </w:p>
        </w:tc>
        <w:tc>
          <w:tcPr>
            <w:tcW w:w="40" w:type="dxa"/>
            <w:shd w:val="clear" w:color="auto" w:fill="auto"/>
            <w:tcMar>
              <w:top w:w="0" w:type="dxa"/>
              <w:left w:w="10" w:type="dxa"/>
              <w:bottom w:w="0" w:type="dxa"/>
              <w:right w:w="10" w:type="dxa"/>
            </w:tcMar>
          </w:tcPr>
          <w:p w14:paraId="73FFA28D" w14:textId="77777777" w:rsidR="007A0A93" w:rsidRDefault="007A0A93">
            <w:pPr>
              <w:autoSpaceDE w:val="0"/>
              <w:spacing w:line="276" w:lineRule="auto"/>
              <w:jc w:val="center"/>
              <w:rPr>
                <w:rFonts w:cs="Open Sans"/>
                <w:szCs w:val="18"/>
              </w:rPr>
            </w:pPr>
          </w:p>
        </w:tc>
      </w:tr>
      <w:tr w:rsidR="007A0A93" w14:paraId="2C5AFFEC"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5B9C8" w14:textId="77777777" w:rsidR="007A0A93" w:rsidRDefault="00615EB1">
            <w:pPr>
              <w:autoSpaceDE w:val="0"/>
              <w:spacing w:line="276" w:lineRule="auto"/>
              <w:rPr>
                <w:rFonts w:cs="Open Sans"/>
                <w:szCs w:val="18"/>
              </w:rPr>
            </w:pPr>
            <w:r>
              <w:rPr>
                <w:rFonts w:cs="Open Sans"/>
                <w:szCs w:val="18"/>
              </w:rPr>
              <w:t>Recyclage chef de service (S.S.I.A.P 3)</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4F848" w14:textId="77777777" w:rsidR="007A0A93" w:rsidRDefault="00615EB1">
            <w:pPr>
              <w:autoSpaceDE w:val="0"/>
              <w:spacing w:line="276" w:lineRule="auto"/>
              <w:jc w:val="center"/>
              <w:rPr>
                <w:rFonts w:cs="Open Sans"/>
                <w:szCs w:val="18"/>
              </w:rPr>
            </w:pPr>
            <w:r>
              <w:rPr>
                <w:rFonts w:cs="Open Sans"/>
                <w:szCs w:val="18"/>
              </w:rPr>
              <w:t>3 jours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5DF0F" w14:textId="77777777" w:rsidR="007A0A93" w:rsidRDefault="00615EB1">
            <w:pPr>
              <w:autoSpaceDE w:val="0"/>
              <w:spacing w:line="276" w:lineRule="auto"/>
              <w:jc w:val="center"/>
              <w:rPr>
                <w:rFonts w:cs="Open Sans"/>
                <w:szCs w:val="18"/>
              </w:rPr>
            </w:pPr>
            <w:r>
              <w:rPr>
                <w:rFonts w:cs="Open Sans"/>
                <w:szCs w:val="18"/>
              </w:rPr>
              <w:t>1</w:t>
            </w:r>
          </w:p>
        </w:tc>
        <w:tc>
          <w:tcPr>
            <w:tcW w:w="40" w:type="dxa"/>
            <w:shd w:val="clear" w:color="auto" w:fill="auto"/>
            <w:tcMar>
              <w:top w:w="0" w:type="dxa"/>
              <w:left w:w="10" w:type="dxa"/>
              <w:bottom w:w="0" w:type="dxa"/>
              <w:right w:w="10" w:type="dxa"/>
            </w:tcMar>
          </w:tcPr>
          <w:p w14:paraId="448B3AC9" w14:textId="77777777" w:rsidR="007A0A93" w:rsidRDefault="007A0A93">
            <w:pPr>
              <w:autoSpaceDE w:val="0"/>
              <w:spacing w:line="276" w:lineRule="auto"/>
              <w:jc w:val="center"/>
              <w:rPr>
                <w:rFonts w:cs="Open Sans"/>
                <w:szCs w:val="18"/>
              </w:rPr>
            </w:pPr>
          </w:p>
        </w:tc>
      </w:tr>
      <w:tr w:rsidR="007A0A93" w14:paraId="3CD46A56"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8BE7A" w14:textId="77777777" w:rsidR="007A0A93" w:rsidRDefault="00615EB1">
            <w:pPr>
              <w:autoSpaceDE w:val="0"/>
              <w:spacing w:line="276" w:lineRule="auto"/>
              <w:rPr>
                <w:rFonts w:cs="Open Sans"/>
                <w:szCs w:val="18"/>
              </w:rPr>
            </w:pPr>
            <w:r>
              <w:rPr>
                <w:rFonts w:cs="Open Sans"/>
                <w:szCs w:val="18"/>
              </w:rPr>
              <w:t xml:space="preserve">Remise à niveau agent de sécurité (S.S.I.A.P 1)  </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01B92" w14:textId="77777777" w:rsidR="007A0A93" w:rsidRDefault="00615EB1">
            <w:pPr>
              <w:autoSpaceDE w:val="0"/>
              <w:spacing w:line="276" w:lineRule="auto"/>
              <w:jc w:val="center"/>
              <w:rPr>
                <w:rFonts w:cs="Open Sans"/>
                <w:szCs w:val="18"/>
              </w:rPr>
            </w:pPr>
            <w:r>
              <w:rPr>
                <w:rFonts w:cs="Open Sans"/>
                <w:szCs w:val="18"/>
              </w:rPr>
              <w:t>3 jours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E944B" w14:textId="77777777" w:rsidR="007A0A93" w:rsidRDefault="00615EB1">
            <w:pPr>
              <w:autoSpaceDE w:val="0"/>
              <w:spacing w:line="276" w:lineRule="auto"/>
              <w:jc w:val="center"/>
              <w:rPr>
                <w:rFonts w:cs="Open Sans"/>
                <w:szCs w:val="18"/>
              </w:rPr>
            </w:pPr>
            <w:r>
              <w:rPr>
                <w:rFonts w:cs="Open Sans"/>
                <w:szCs w:val="18"/>
              </w:rPr>
              <w:t>2</w:t>
            </w:r>
          </w:p>
        </w:tc>
        <w:tc>
          <w:tcPr>
            <w:tcW w:w="40" w:type="dxa"/>
            <w:shd w:val="clear" w:color="auto" w:fill="auto"/>
            <w:tcMar>
              <w:top w:w="0" w:type="dxa"/>
              <w:left w:w="10" w:type="dxa"/>
              <w:bottom w:w="0" w:type="dxa"/>
              <w:right w:w="10" w:type="dxa"/>
            </w:tcMar>
          </w:tcPr>
          <w:p w14:paraId="19CBDC70" w14:textId="77777777" w:rsidR="007A0A93" w:rsidRDefault="007A0A93">
            <w:pPr>
              <w:autoSpaceDE w:val="0"/>
              <w:spacing w:line="276" w:lineRule="auto"/>
              <w:jc w:val="center"/>
              <w:rPr>
                <w:rFonts w:cs="Open Sans"/>
                <w:szCs w:val="18"/>
              </w:rPr>
            </w:pPr>
          </w:p>
        </w:tc>
      </w:tr>
      <w:tr w:rsidR="007A0A93" w14:paraId="54A3B00B"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0412E" w14:textId="77777777" w:rsidR="007A0A93" w:rsidRDefault="00615EB1">
            <w:pPr>
              <w:autoSpaceDE w:val="0"/>
              <w:spacing w:line="276" w:lineRule="auto"/>
              <w:rPr>
                <w:rFonts w:cs="Open Sans"/>
                <w:szCs w:val="18"/>
              </w:rPr>
            </w:pPr>
            <w:r>
              <w:rPr>
                <w:rFonts w:cs="Open Sans"/>
                <w:szCs w:val="18"/>
              </w:rPr>
              <w:t>Remise à niveau chef d’équipe (S.S.I.A.P 2)</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156AD" w14:textId="77777777" w:rsidR="007A0A93" w:rsidRDefault="00615EB1">
            <w:pPr>
              <w:autoSpaceDE w:val="0"/>
              <w:spacing w:line="276" w:lineRule="auto"/>
              <w:jc w:val="center"/>
              <w:rPr>
                <w:rFonts w:cs="Open Sans"/>
                <w:szCs w:val="18"/>
              </w:rPr>
            </w:pPr>
            <w:r>
              <w:rPr>
                <w:rFonts w:cs="Open Sans"/>
                <w:szCs w:val="18"/>
              </w:rPr>
              <w:t>3 jours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72A4D" w14:textId="77777777" w:rsidR="007A0A93" w:rsidRDefault="00615EB1">
            <w:pPr>
              <w:autoSpaceDE w:val="0"/>
              <w:spacing w:line="276" w:lineRule="auto"/>
              <w:jc w:val="center"/>
              <w:rPr>
                <w:rFonts w:cs="Open Sans"/>
                <w:szCs w:val="18"/>
              </w:rPr>
            </w:pPr>
            <w:r>
              <w:rPr>
                <w:rFonts w:cs="Open Sans"/>
                <w:szCs w:val="18"/>
              </w:rPr>
              <w:t>2</w:t>
            </w:r>
          </w:p>
        </w:tc>
        <w:tc>
          <w:tcPr>
            <w:tcW w:w="40" w:type="dxa"/>
            <w:shd w:val="clear" w:color="auto" w:fill="auto"/>
            <w:tcMar>
              <w:top w:w="0" w:type="dxa"/>
              <w:left w:w="10" w:type="dxa"/>
              <w:bottom w:w="0" w:type="dxa"/>
              <w:right w:w="10" w:type="dxa"/>
            </w:tcMar>
          </w:tcPr>
          <w:p w14:paraId="0A1EA4C4" w14:textId="77777777" w:rsidR="007A0A93" w:rsidRDefault="007A0A93">
            <w:pPr>
              <w:autoSpaceDE w:val="0"/>
              <w:spacing w:line="276" w:lineRule="auto"/>
              <w:jc w:val="center"/>
              <w:rPr>
                <w:rFonts w:cs="Open Sans"/>
                <w:szCs w:val="18"/>
              </w:rPr>
            </w:pPr>
          </w:p>
        </w:tc>
      </w:tr>
      <w:tr w:rsidR="007A0A93" w14:paraId="3977B765" w14:textId="77777777">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582B8" w14:textId="77777777" w:rsidR="007A0A93" w:rsidRDefault="00615EB1">
            <w:pPr>
              <w:autoSpaceDE w:val="0"/>
              <w:spacing w:line="276" w:lineRule="auto"/>
              <w:rPr>
                <w:rFonts w:cs="Open Sans"/>
                <w:szCs w:val="18"/>
              </w:rPr>
            </w:pPr>
            <w:r>
              <w:rPr>
                <w:rFonts w:cs="Open Sans"/>
                <w:szCs w:val="18"/>
              </w:rPr>
              <w:t>Remise à niveau chef de service (S.S.I.A.P 3)</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495D3" w14:textId="77777777" w:rsidR="007A0A93" w:rsidRDefault="00615EB1">
            <w:pPr>
              <w:autoSpaceDE w:val="0"/>
              <w:spacing w:line="276" w:lineRule="auto"/>
              <w:jc w:val="center"/>
              <w:rPr>
                <w:rFonts w:cs="Open Sans"/>
                <w:szCs w:val="18"/>
              </w:rPr>
            </w:pPr>
            <w:r>
              <w:rPr>
                <w:rFonts w:cs="Open Sans"/>
                <w:szCs w:val="18"/>
              </w:rPr>
              <w:t>5 jours</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49657" w14:textId="77777777" w:rsidR="007A0A93" w:rsidRDefault="00615EB1">
            <w:pPr>
              <w:autoSpaceDE w:val="0"/>
              <w:spacing w:line="276" w:lineRule="auto"/>
              <w:jc w:val="center"/>
              <w:rPr>
                <w:rFonts w:cs="Open Sans"/>
                <w:szCs w:val="18"/>
              </w:rPr>
            </w:pPr>
            <w:r>
              <w:rPr>
                <w:rFonts w:cs="Open Sans"/>
                <w:szCs w:val="18"/>
              </w:rPr>
              <w:t>1</w:t>
            </w:r>
          </w:p>
        </w:tc>
        <w:tc>
          <w:tcPr>
            <w:tcW w:w="40" w:type="dxa"/>
            <w:shd w:val="clear" w:color="auto" w:fill="auto"/>
            <w:tcMar>
              <w:top w:w="0" w:type="dxa"/>
              <w:left w:w="10" w:type="dxa"/>
              <w:bottom w:w="0" w:type="dxa"/>
              <w:right w:w="10" w:type="dxa"/>
            </w:tcMar>
          </w:tcPr>
          <w:p w14:paraId="4B488DE0" w14:textId="77777777" w:rsidR="007A0A93" w:rsidRDefault="007A0A93">
            <w:pPr>
              <w:autoSpaceDE w:val="0"/>
              <w:spacing w:line="276" w:lineRule="auto"/>
              <w:jc w:val="center"/>
              <w:rPr>
                <w:rFonts w:cs="Open Sans"/>
                <w:szCs w:val="18"/>
              </w:rPr>
            </w:pPr>
          </w:p>
        </w:tc>
      </w:tr>
    </w:tbl>
    <w:p w14:paraId="40C3828C" w14:textId="77777777" w:rsidR="007A0A93" w:rsidRDefault="00615EB1">
      <w:pPr>
        <w:pStyle w:val="RedaliaNormal"/>
      </w:pPr>
      <w:r>
        <w:t>Les candidats peuvent soumissionner pour tout ou partie des lots.</w:t>
      </w:r>
    </w:p>
    <w:p w14:paraId="2773FB12" w14:textId="77777777" w:rsidR="007A0A93" w:rsidRDefault="00615EB1">
      <w:pPr>
        <w:pStyle w:val="RedaliaNormal"/>
      </w:pPr>
      <w:r>
        <w:t>Les offres des candidats sont appréciées lots par lot.</w:t>
      </w:r>
    </w:p>
    <w:p w14:paraId="27739C96" w14:textId="77777777" w:rsidR="007A0A93" w:rsidRDefault="00615EB1">
      <w:pPr>
        <w:pStyle w:val="RedaliaNormal"/>
      </w:pPr>
      <w:r>
        <w:t>Un opérateur économique peut se voir attribuer la totalité des lots.</w:t>
      </w:r>
    </w:p>
    <w:p w14:paraId="194ADF11" w14:textId="77777777" w:rsidR="007A0A93" w:rsidRDefault="00615EB1" w:rsidP="00A00124">
      <w:pPr>
        <w:pStyle w:val="RedaliaTitre2"/>
        <w:ind w:left="851"/>
      </w:pPr>
      <w:bookmarkStart w:id="11" w:name="__RefHeading___Toc60252_868557434"/>
      <w:bookmarkStart w:id="12" w:name="_Toc224552556"/>
      <w:r>
        <w:t>Durée</w:t>
      </w:r>
      <w:bookmarkEnd w:id="11"/>
      <w:bookmarkEnd w:id="12"/>
    </w:p>
    <w:p w14:paraId="685C47F8" w14:textId="77777777" w:rsidR="007A0A93" w:rsidRDefault="00615EB1">
      <w:pPr>
        <w:pStyle w:val="RedaliaNormal"/>
      </w:pPr>
      <w:r>
        <w:t>Les accords-cadres issus de la consultation sont conclus pour la période d’exécution d’une durée de 4 ans à compter de la notification.</w:t>
      </w:r>
    </w:p>
    <w:p w14:paraId="3741E929" w14:textId="77777777" w:rsidR="007A0A93" w:rsidRDefault="00615EB1">
      <w:pPr>
        <w:pStyle w:val="RedaliaNormal"/>
      </w:pPr>
      <w:r>
        <w:t>La durée totale du marché, période de reconductions éventuelles comprises, ne pourra pas excéder quatre ans à compter de sa date de notification.</w:t>
      </w:r>
    </w:p>
    <w:p w14:paraId="769A8B3B" w14:textId="77777777" w:rsidR="007A0A93" w:rsidRDefault="00615EB1">
      <w:pPr>
        <w:pStyle w:val="RedaliaNormal"/>
      </w:pPr>
      <w:r>
        <w:t>Les bons de de commandes émis avant la date d’échéance des accords-cadres issus de la consultation demeurent exécutables.</w:t>
      </w:r>
    </w:p>
    <w:p w14:paraId="21DC3F43" w14:textId="77777777" w:rsidR="007A0A93" w:rsidRDefault="00615EB1">
      <w:pPr>
        <w:pStyle w:val="RedaliaNormal"/>
      </w:pPr>
      <w:r>
        <w:t>Les marchés issus de la présente consultation seront résiliables sans indemnités à la seule initiative de l’Assistance Publique – Hôpitaux de Paris, 6 mois avant la date de fin du marché.</w:t>
      </w:r>
    </w:p>
    <w:p w14:paraId="1973A550" w14:textId="77777777" w:rsidR="007A0A93" w:rsidRDefault="00615EB1" w:rsidP="00615EB1">
      <w:pPr>
        <w:pStyle w:val="RedaliaTitre2"/>
        <w:ind w:left="851"/>
      </w:pPr>
      <w:bookmarkStart w:id="13" w:name="__RefHeading___Toc60254_868557434"/>
      <w:bookmarkStart w:id="14" w:name="_Toc224552557"/>
      <w:r>
        <w:t>Prix</w:t>
      </w:r>
      <w:bookmarkEnd w:id="13"/>
      <w:bookmarkEnd w:id="14"/>
    </w:p>
    <w:p w14:paraId="0499BBD8" w14:textId="77777777" w:rsidR="007A0A93" w:rsidRDefault="00615EB1" w:rsidP="00615EB1">
      <w:pPr>
        <w:pStyle w:val="RedaliaTitre3"/>
        <w:ind w:left="1134"/>
      </w:pPr>
      <w:bookmarkStart w:id="15" w:name="__RefHeading___Toc60256_868557434"/>
      <w:bookmarkStart w:id="16" w:name="_Toc224552558"/>
      <w:r>
        <w:t>Forme des prix</w:t>
      </w:r>
      <w:bookmarkEnd w:id="15"/>
      <w:bookmarkEnd w:id="16"/>
    </w:p>
    <w:p w14:paraId="18C7EF6A" w14:textId="205698A9" w:rsidR="007A0A93" w:rsidRDefault="00615EB1">
      <w:pPr>
        <w:pStyle w:val="RedaliaNormal"/>
      </w:pPr>
      <w:r>
        <w:t xml:space="preserve">Tous les lots sont à prix unitaires pour l’ensembles </w:t>
      </w:r>
      <w:r w:rsidR="008813BC">
        <w:t>des prestations listées</w:t>
      </w:r>
      <w:r>
        <w:t xml:space="preserve"> au Cahier des clauses techniques particulières (CCTP).</w:t>
      </w:r>
    </w:p>
    <w:p w14:paraId="59A44553" w14:textId="77777777" w:rsidR="007E1234" w:rsidRDefault="007E1234" w:rsidP="007E1234">
      <w:pPr>
        <w:pStyle w:val="RedaliaNormal"/>
      </w:pPr>
      <w:r>
        <w:t>Le marché est conclu sans montant minimum.</w:t>
      </w:r>
    </w:p>
    <w:p w14:paraId="0E047226" w14:textId="77777777" w:rsidR="007E1234" w:rsidRDefault="007E1234" w:rsidP="007E1234">
      <w:pPr>
        <w:pStyle w:val="RedaliaNormal"/>
      </w:pPr>
      <w:r>
        <w:t xml:space="preserve">Le Titulaire s’engage sur un montant maximum représenté par </w:t>
      </w:r>
      <w:r>
        <w:rPr>
          <w:b/>
          <w:bCs/>
        </w:rPr>
        <w:t>300%</w:t>
      </w:r>
      <w:r>
        <w:t xml:space="preserve"> du montant de chaque lot valorisé au niveau de son offre sur la durée totale du marché.</w:t>
      </w:r>
    </w:p>
    <w:p w14:paraId="5B9BCBFB" w14:textId="77777777" w:rsidR="007E1234" w:rsidRPr="00615DA7" w:rsidRDefault="007E1234" w:rsidP="007E1234">
      <w:pPr>
        <w:pStyle w:val="RedaliaNormal"/>
      </w:pPr>
      <w:r w:rsidRPr="00615DA7">
        <w:t>Le Représentant du Pouvoir Adjudicateur se réserve le droit de recourir ultérieurement à la procédure négociée pour la réalisation de prestations similaires au sens de l’article R.2122-7 du Code de la Commande Publique.</w:t>
      </w:r>
      <w:r>
        <w:t xml:space="preserve"> Le montant du marché similaire sera égal au montant du marché.</w:t>
      </w:r>
    </w:p>
    <w:p w14:paraId="352B4FE1" w14:textId="77777777" w:rsidR="007E1234" w:rsidRDefault="007E1234">
      <w:pPr>
        <w:pStyle w:val="RedaliaNormal"/>
      </w:pPr>
    </w:p>
    <w:p w14:paraId="15C12A78" w14:textId="77777777" w:rsidR="007A0A93" w:rsidRDefault="00615EB1" w:rsidP="008D4C89">
      <w:pPr>
        <w:pStyle w:val="RedaliaTitre3"/>
        <w:ind w:left="1276" w:right="139" w:hanging="709"/>
      </w:pPr>
      <w:bookmarkStart w:id="17" w:name="__RefHeading___Toc60258_868557434"/>
      <w:bookmarkStart w:id="18" w:name="_Toc224552559"/>
      <w:r>
        <w:t>Typologie des prix</w:t>
      </w:r>
      <w:bookmarkEnd w:id="17"/>
      <w:bookmarkEnd w:id="18"/>
    </w:p>
    <w:p w14:paraId="2E8700E1" w14:textId="56E5435D" w:rsidR="007A0A93" w:rsidRDefault="00615EB1">
      <w:pPr>
        <w:pStyle w:val="RedaliaNormal"/>
      </w:pPr>
      <w:r>
        <w:t>Pour tous les lots</w:t>
      </w:r>
      <w:r w:rsidR="00A00124">
        <w:t>,</w:t>
      </w:r>
      <w:r>
        <w:t xml:space="preserve"> </w:t>
      </w:r>
      <w:r>
        <w:rPr>
          <w:b/>
          <w:bCs/>
        </w:rPr>
        <w:t>les prix sont fermes</w:t>
      </w:r>
      <w:r>
        <w:t xml:space="preserve"> pour toute la durée du marché.</w:t>
      </w:r>
    </w:p>
    <w:p w14:paraId="183964F0" w14:textId="77777777" w:rsidR="007A0A93" w:rsidRDefault="00615EB1" w:rsidP="008D4C89">
      <w:pPr>
        <w:pStyle w:val="RedaliaTitre2"/>
        <w:ind w:left="-284" w:firstLine="568"/>
      </w:pPr>
      <w:bookmarkStart w:id="19" w:name="__RefHeading___Toc60260_868557434"/>
      <w:bookmarkStart w:id="20" w:name="_Toc224552560"/>
      <w:r>
        <w:t>Modalités essentielles de financement et de paiement</w:t>
      </w:r>
      <w:bookmarkEnd w:id="19"/>
      <w:bookmarkEnd w:id="20"/>
    </w:p>
    <w:p w14:paraId="6CE21BBC" w14:textId="77777777" w:rsidR="007A0A93" w:rsidRDefault="00615EB1">
      <w:pPr>
        <w:pStyle w:val="RedaliaNormal"/>
      </w:pPr>
      <w:r>
        <w:t>L’exécution du marché sera financée par le budget des hôpitaux, des pôles d’intérêt commun et directions du Siège concernés.</w:t>
      </w:r>
    </w:p>
    <w:p w14:paraId="394EDF41" w14:textId="77777777" w:rsidR="007A0A93" w:rsidRDefault="00615EB1">
      <w:pPr>
        <w:pStyle w:val="RedaliaNormal"/>
      </w:pPr>
      <w:r>
        <w:t>Le ou les fournisseurs seront dispensés du versement de la retenue de garantie.</w:t>
      </w:r>
    </w:p>
    <w:p w14:paraId="21D78014" w14:textId="77777777" w:rsidR="007A0A93" w:rsidRDefault="00615EB1">
      <w:pPr>
        <w:pStyle w:val="RedaliaNormal"/>
      </w:pPr>
      <w:r>
        <w:t>Conformément à l’article R. 2112-5 du Code de la Commande Publique, les conditions administratives et techniques auxquelles sont subordonnées l’ordonnancement et le paiement sont précisées dans le CCAP.</w:t>
      </w:r>
    </w:p>
    <w:p w14:paraId="74DEDC70" w14:textId="77777777" w:rsidR="007A0A93" w:rsidRDefault="00615EB1" w:rsidP="00615EB1">
      <w:pPr>
        <w:pStyle w:val="RedaliaTitre1"/>
      </w:pPr>
      <w:bookmarkStart w:id="21" w:name="_Toc64213656"/>
      <w:bookmarkStart w:id="22" w:name="__RefHeading___Toc60262_868557434"/>
      <w:bookmarkStart w:id="23" w:name="_Toc224552561"/>
      <w:r>
        <w:t>Modalités de la consultation</w:t>
      </w:r>
      <w:bookmarkEnd w:id="21"/>
      <w:bookmarkEnd w:id="22"/>
      <w:bookmarkEnd w:id="23"/>
    </w:p>
    <w:p w14:paraId="24BB987E" w14:textId="77777777" w:rsidR="007A0A93" w:rsidRDefault="00615EB1" w:rsidP="008D4C89">
      <w:pPr>
        <w:pStyle w:val="RedaliaTitre2"/>
        <w:ind w:left="709" w:hanging="425"/>
      </w:pPr>
      <w:bookmarkStart w:id="24" w:name="_Toc64213657"/>
      <w:bookmarkStart w:id="25" w:name="__RefHeading___Toc60264_868557434"/>
      <w:bookmarkStart w:id="26" w:name="_Toc224552562"/>
      <w:r>
        <w:t>Choix de la procédure de passation</w:t>
      </w:r>
      <w:bookmarkEnd w:id="24"/>
      <w:bookmarkEnd w:id="25"/>
      <w:bookmarkEnd w:id="26"/>
    </w:p>
    <w:p w14:paraId="4BD5F184" w14:textId="77777777" w:rsidR="007A0A93" w:rsidRDefault="00615EB1">
      <w:pPr>
        <w:pStyle w:val="RedaliaNormal"/>
      </w:pPr>
      <w:r>
        <w:t xml:space="preserve">La présente consultation est mise en œuvre sous la forme suivante : </w:t>
      </w:r>
      <w:r>
        <w:rPr>
          <w:b/>
          <w:bCs/>
        </w:rPr>
        <w:t>Adaptée ouverte</w:t>
      </w:r>
      <w:r>
        <w:t xml:space="preserve">, en application des </w:t>
      </w:r>
      <w:r>
        <w:lastRenderedPageBreak/>
        <w:t>articles R. 2123-1 à R. 2123-7 du Code de la commande publique en vigueur à la date de la publication de l’avis de mise en concurrence.</w:t>
      </w:r>
    </w:p>
    <w:p w14:paraId="699F2353" w14:textId="3456201A" w:rsidR="007A0A93" w:rsidRDefault="00615EB1">
      <w:pPr>
        <w:pStyle w:val="RedaliaNormal"/>
      </w:pPr>
      <w:r>
        <w:t>Lors du téléchargement du dossier de consultation des entreprises (DCE), le candidat est invité à faire part de son nom, d'une adresse, ainsi que du nom d'un correspondant afin qu'il puisse bénéficier de toutes les informations complémentaires diffusées lors du déroulement de la consultation.</w:t>
      </w:r>
    </w:p>
    <w:p w14:paraId="191B2735" w14:textId="77777777" w:rsidR="007A0A93" w:rsidRDefault="00615EB1" w:rsidP="00D73F69">
      <w:pPr>
        <w:pStyle w:val="RedaliaTitre2"/>
        <w:ind w:left="426" w:hanging="142"/>
      </w:pPr>
      <w:bookmarkStart w:id="27" w:name="_Toc7167719"/>
      <w:bookmarkStart w:id="28" w:name="__RefHeading___Toc60266_868557434"/>
      <w:bookmarkStart w:id="29" w:name="_Toc64213658"/>
      <w:bookmarkStart w:id="30" w:name="_Toc224552563"/>
      <w:bookmarkEnd w:id="27"/>
      <w:r>
        <w:t>Date limite de remise des candidatures et des offres</w:t>
      </w:r>
      <w:bookmarkEnd w:id="28"/>
      <w:bookmarkEnd w:id="29"/>
      <w:bookmarkEnd w:id="30"/>
    </w:p>
    <w:p w14:paraId="41BBDFFD" w14:textId="4A5519A6" w:rsidR="007A0A93" w:rsidRPr="00FF69BD" w:rsidRDefault="00615EB1">
      <w:pPr>
        <w:pStyle w:val="RedaliaNormal"/>
      </w:pPr>
      <w:r w:rsidRPr="00E74EEC">
        <w:t xml:space="preserve">La date limite de remise des plis est fixée au : </w:t>
      </w:r>
      <w:r w:rsidR="00E74EEC" w:rsidRPr="00E74EEC">
        <w:rPr>
          <w:b/>
          <w:bCs/>
        </w:rPr>
        <w:t>15</w:t>
      </w:r>
      <w:r w:rsidRPr="00E74EEC">
        <w:rPr>
          <w:b/>
          <w:bCs/>
        </w:rPr>
        <w:t>/04/2026 à 12 :00.</w:t>
      </w:r>
    </w:p>
    <w:p w14:paraId="5F8CCE8A" w14:textId="77777777" w:rsidR="007A0A93" w:rsidRDefault="00615EB1">
      <w:pPr>
        <w:pStyle w:val="RedaliaNormal"/>
      </w:pPr>
      <w:r>
        <w:t>Ce délai peut être prolongé dans les conditions fixées à l’article R. 2151-4 du code de la commande publique :</w:t>
      </w:r>
    </w:p>
    <w:p w14:paraId="37DC77F9" w14:textId="77777777" w:rsidR="007A0A93" w:rsidRDefault="00615EB1">
      <w:pPr>
        <w:pStyle w:val="RdaliaRetraitniveau1"/>
        <w:numPr>
          <w:ilvl w:val="0"/>
          <w:numId w:val="31"/>
        </w:numPr>
      </w:pPr>
      <w:r>
        <w:t>Lorsqu'un complément d'informations, nécessaire à l'élaboration de la candidature et l'offre, demandé en temps utile par l'opérateur économique, n'est pas fourni dans les délais prévus à l'article R. 2132-6 du Code de la commande publique ;</w:t>
      </w:r>
    </w:p>
    <w:p w14:paraId="1FF35E41" w14:textId="77777777" w:rsidR="007A0A93" w:rsidRDefault="00615EB1">
      <w:pPr>
        <w:pStyle w:val="RdaliaRetraitniveau1"/>
        <w:numPr>
          <w:ilvl w:val="0"/>
          <w:numId w:val="14"/>
        </w:numPr>
      </w:pPr>
      <w:r>
        <w:t>Lorsque des modifications importantes sont apportées aux documents de la consultation.</w:t>
      </w:r>
    </w:p>
    <w:p w14:paraId="5673B270" w14:textId="77777777" w:rsidR="007A0A93" w:rsidRDefault="00615EB1">
      <w:pPr>
        <w:pStyle w:val="RdaliaRetraitniveau1"/>
      </w:pPr>
      <w:r>
        <w:t>La durée de la prolongation est proportionnelle à l'importance des informations demandées ou des modifications apportées.</w:t>
      </w:r>
    </w:p>
    <w:p w14:paraId="2F914FD3" w14:textId="77777777" w:rsidR="007A0A93" w:rsidRDefault="00615EB1">
      <w:pPr>
        <w:pStyle w:val="RedaliaNormal"/>
      </w:pPr>
      <w:r>
        <w:t>Les offres reçues hors délais sont éliminées, et ceci, dans l’éventualité même d’un dépassement de quelques secondes de la date limite de remise des offres au moment du dépôt.</w:t>
      </w:r>
    </w:p>
    <w:p w14:paraId="74B02306" w14:textId="77777777" w:rsidR="007A0A93" w:rsidRDefault="00615EB1" w:rsidP="00A00124">
      <w:pPr>
        <w:pStyle w:val="RedaliaTitre2"/>
        <w:ind w:left="426" w:hanging="142"/>
      </w:pPr>
      <w:bookmarkStart w:id="31" w:name="_Toc64213659"/>
      <w:bookmarkStart w:id="32" w:name="__RefHeading___Toc60268_868557434"/>
      <w:bookmarkStart w:id="33" w:name="_Toc224552564"/>
      <w:r>
        <w:t>Variante</w:t>
      </w:r>
      <w:bookmarkEnd w:id="31"/>
      <w:bookmarkEnd w:id="32"/>
      <w:bookmarkEnd w:id="33"/>
    </w:p>
    <w:p w14:paraId="243C8110" w14:textId="77777777" w:rsidR="007A0A93" w:rsidRDefault="00615EB1">
      <w:pPr>
        <w:pStyle w:val="RedaliaNormal"/>
      </w:pPr>
      <w:r>
        <w:t xml:space="preserve">Il n’y a </w:t>
      </w:r>
      <w:r w:rsidRPr="00A00124">
        <w:t>pas de variante</w:t>
      </w:r>
      <w:r>
        <w:t xml:space="preserve"> prévue dans la consultation.</w:t>
      </w:r>
    </w:p>
    <w:p w14:paraId="402FFB3C" w14:textId="77777777" w:rsidR="007A0A93" w:rsidRDefault="00615EB1" w:rsidP="00A00124">
      <w:pPr>
        <w:pStyle w:val="RedaliaTitre2"/>
        <w:ind w:left="426" w:hanging="142"/>
      </w:pPr>
      <w:bookmarkStart w:id="34" w:name="__RefHeading___Toc60270_868557434"/>
      <w:bookmarkStart w:id="35" w:name="_Toc224552565"/>
      <w:bookmarkStart w:id="36" w:name="_Toc64213660"/>
      <w:r>
        <w:t>Prestations supplémentaires éventuelles</w:t>
      </w:r>
      <w:bookmarkEnd w:id="34"/>
      <w:bookmarkEnd w:id="35"/>
    </w:p>
    <w:p w14:paraId="45AEDBC2" w14:textId="2FE3A6FE" w:rsidR="007A0A93" w:rsidRDefault="00615EB1" w:rsidP="00A00124">
      <w:pPr>
        <w:pStyle w:val="RedaliaNormal"/>
      </w:pPr>
      <w:r>
        <w:t>Il n’est pas prévu de prestation supplémentaire éventuelle (PSE).</w:t>
      </w:r>
    </w:p>
    <w:p w14:paraId="6031886D" w14:textId="77777777" w:rsidR="007A0A93" w:rsidRDefault="00615EB1" w:rsidP="00A00124">
      <w:pPr>
        <w:pStyle w:val="RedaliaTitre2"/>
        <w:ind w:left="426" w:hanging="142"/>
      </w:pPr>
      <w:bookmarkStart w:id="37" w:name="__RefHeading___Toc60272_868557434"/>
      <w:bookmarkStart w:id="38" w:name="_Toc224552566"/>
      <w:r>
        <w:t>Délai de validité des candidatures et des offres</w:t>
      </w:r>
      <w:bookmarkEnd w:id="36"/>
      <w:bookmarkEnd w:id="37"/>
      <w:bookmarkEnd w:id="38"/>
    </w:p>
    <w:p w14:paraId="674BAD77" w14:textId="77777777" w:rsidR="007A0A93" w:rsidRDefault="00615EB1">
      <w:pPr>
        <w:pStyle w:val="RedaliaNormal"/>
      </w:pPr>
      <w:r>
        <w:t xml:space="preserve">Le délai de validité des offres est de </w:t>
      </w:r>
      <w:r>
        <w:rPr>
          <w:b/>
          <w:bCs/>
        </w:rPr>
        <w:t>180</w:t>
      </w:r>
      <w:r>
        <w:t xml:space="preserve"> jours à compter de la date limite de remise de l’offre.</w:t>
      </w:r>
    </w:p>
    <w:p w14:paraId="5D4A8F56" w14:textId="77777777" w:rsidR="007A0A93" w:rsidRDefault="00615EB1" w:rsidP="00A00124">
      <w:pPr>
        <w:pStyle w:val="RedaliaTitre2"/>
        <w:ind w:left="426" w:hanging="142"/>
      </w:pPr>
      <w:bookmarkStart w:id="39" w:name="_Toc64213661"/>
      <w:bookmarkStart w:id="40" w:name="__RefHeading___Toc60274_868557434"/>
      <w:bookmarkStart w:id="41" w:name="_Toc224552567"/>
      <w:r>
        <w:t>Modification du dossier de consultation</w:t>
      </w:r>
      <w:bookmarkEnd w:id="39"/>
      <w:bookmarkEnd w:id="40"/>
      <w:bookmarkEnd w:id="41"/>
    </w:p>
    <w:p w14:paraId="1069BFAB" w14:textId="77777777" w:rsidR="007A0A93" w:rsidRDefault="00615EB1">
      <w:pPr>
        <w:pStyle w:val="RedaliaNormal"/>
      </w:pPr>
      <w:r>
        <w:t>Les candidats ne sont pas autorisés à apporter des modifications aux spécifications techniques obligatoires du CCTP dans le cadre de l’offre proposée en solution de base.</w:t>
      </w:r>
    </w:p>
    <w:p w14:paraId="43EACC67" w14:textId="77777777" w:rsidR="007A0A93" w:rsidRDefault="00615EB1">
      <w:pPr>
        <w:pStyle w:val="RedaliaNormal"/>
      </w:pPr>
      <w:r>
        <w:t>Ils doivent respecter l’intégralité des prescriptions.</w:t>
      </w:r>
    </w:p>
    <w:p w14:paraId="21B0579F" w14:textId="77777777" w:rsidR="007A0A93" w:rsidRDefault="00615EB1">
      <w:pPr>
        <w:pStyle w:val="RedaliaNormal"/>
      </w:pPr>
      <w:r>
        <w:t xml:space="preserve">Le représentant du pouvoir adjudicateur se réserve le droit d'apporter </w:t>
      </w:r>
      <w:r>
        <w:rPr>
          <w:b/>
        </w:rPr>
        <w:t>au plus tard 6 jours calendaires avant la date limite fixée pour la réception des offres et des candidatures</w:t>
      </w:r>
      <w:r>
        <w:t>, des modifications de détail au dossier de consultation.</w:t>
      </w:r>
    </w:p>
    <w:p w14:paraId="051E3E31" w14:textId="77777777" w:rsidR="007A0A93" w:rsidRDefault="00615EB1">
      <w:pPr>
        <w:pStyle w:val="RedaliaNormal"/>
      </w:pPr>
      <w:r>
        <w:t>Ces modifications n’altèreront pas les éléments substantiels du marché.</w:t>
      </w:r>
    </w:p>
    <w:p w14:paraId="74447F97" w14:textId="77777777" w:rsidR="007A0A93" w:rsidRDefault="00615EB1">
      <w:pPr>
        <w:pStyle w:val="RedaliaNormal"/>
      </w:pPr>
      <w:r>
        <w:t>Il informera alors tous les candidats dans des conditions respectueuses du principe d’égalité. Les candidats devront alors répondre sur la base du dossier modifié. Si pendant l'étude du dossier par les candidats la date limite ci-dessus est reportée à l’initiative du Pouvoir Adjudicateur, la disposition précédente est applicable en fonction de cette nouvelle date.</w:t>
      </w:r>
    </w:p>
    <w:p w14:paraId="02DFC0FD" w14:textId="77777777" w:rsidR="007A0A93" w:rsidRDefault="00615EB1" w:rsidP="00484DF9">
      <w:pPr>
        <w:pStyle w:val="RedaliaTitre2"/>
        <w:ind w:left="426" w:hanging="142"/>
      </w:pPr>
      <w:bookmarkStart w:id="42" w:name="_Toc64213662"/>
      <w:bookmarkStart w:id="43" w:name="__RefHeading___Toc60276_868557434"/>
      <w:bookmarkStart w:id="44" w:name="_Toc224552568"/>
      <w:r>
        <w:t>Groupement de candidats</w:t>
      </w:r>
      <w:bookmarkEnd w:id="42"/>
      <w:bookmarkEnd w:id="43"/>
      <w:bookmarkEnd w:id="44"/>
    </w:p>
    <w:p w14:paraId="5CFB6A92" w14:textId="77777777" w:rsidR="007A0A93" w:rsidRDefault="00615EB1">
      <w:pPr>
        <w:pStyle w:val="RedaliaNormal"/>
      </w:pPr>
      <w:r>
        <w:t>Le candidat peut se présenter sous forme de groupement sous réserve du respect des règles relatives à la concurrence. Dans ce cas, le formulaire DC1 ou équivalent devra préciser si le groupement est solidaire ou conjoint et être dûment complété. Les actes d’engagement et les annexes financières devront être soit co-signés par l’ensemble des entreprises groupées, soit signés par le mandataire seul dès lors qu’il justifie des habilitations nécessaires pour représenter les membres du groupement. Dans les deux formes de groupement, le nom du mandataire doit être expressément désigné dans l’acte d’engagement.</w:t>
      </w:r>
    </w:p>
    <w:p w14:paraId="343459E1" w14:textId="77777777" w:rsidR="007A0A93" w:rsidRDefault="00615EB1">
      <w:pPr>
        <w:pStyle w:val="RedaliaNormal"/>
      </w:pPr>
      <w:r>
        <w:lastRenderedPageBreak/>
        <w:t>Chaque membre du groupement doit fournir les documents listés à l’article « Constitution des dossiers de candidature et des dossiers d’offre ».</w:t>
      </w:r>
    </w:p>
    <w:p w14:paraId="5768DA5D" w14:textId="77777777" w:rsidR="007A0A93" w:rsidRDefault="00615EB1">
      <w:pPr>
        <w:pStyle w:val="RedaliaNormal"/>
      </w:pPr>
      <w:r>
        <w:t>Un même candidat ne pourra pas être mandataire de plus d’un groupement pour un même marché. De même, le candidat n’est pas autorisé à présenter, pour le marché ou un de ses lots, plusieurs offres en agissant à la fois en qualité de candidat individuel et de membre d’un ou plusieurs groupement(s) ou en qualité de membre de plusieurs groupements.</w:t>
      </w:r>
    </w:p>
    <w:p w14:paraId="6C8E0284" w14:textId="77777777" w:rsidR="007A0A93" w:rsidRDefault="00615EB1">
      <w:pPr>
        <w:pStyle w:val="RedaliaNormal"/>
      </w:pPr>
      <w:r>
        <w:t>Conformément à l’article R. 2142-24 du Code de la commande publique, le mandataire d’un groupement conjoint est solidaire pour l’exécution du marché public, de chacun des membres constitutifs pour ses obligations contractuelles à l’égard de la personne publique.</w:t>
      </w:r>
    </w:p>
    <w:p w14:paraId="1F036EE7" w14:textId="77777777" w:rsidR="007A0A93" w:rsidRDefault="00615EB1">
      <w:pPr>
        <w:pStyle w:val="RedaliaNormal"/>
      </w:pPr>
      <w:r>
        <w:t xml:space="preserve">En cas de groupement un outil de </w:t>
      </w:r>
      <w:proofErr w:type="spellStart"/>
      <w:r>
        <w:t>co-signature</w:t>
      </w:r>
      <w:proofErr w:type="spellEnd"/>
      <w:r>
        <w:t xml:space="preserve"> est disponible sur le site https://www.marches-publics.gouv.fr/ en cliquant sur l’item Outils informatiques.</w:t>
      </w:r>
    </w:p>
    <w:p w14:paraId="61C24B97" w14:textId="77777777" w:rsidR="007A0A93" w:rsidRDefault="00615EB1" w:rsidP="00615EB1">
      <w:pPr>
        <w:pStyle w:val="RedaliaTitre1"/>
      </w:pPr>
      <w:bookmarkStart w:id="45" w:name="_Toc64213665"/>
      <w:bookmarkStart w:id="46" w:name="__RefHeading___Toc60278_868557434"/>
      <w:bookmarkStart w:id="47" w:name="_Toc224552569"/>
      <w:r>
        <w:t>Constitution des dossiers de candidature et des dossiers d’offre</w:t>
      </w:r>
      <w:bookmarkEnd w:id="45"/>
      <w:bookmarkEnd w:id="46"/>
      <w:bookmarkEnd w:id="47"/>
    </w:p>
    <w:p w14:paraId="75DAB81E" w14:textId="77777777" w:rsidR="007A0A93" w:rsidRDefault="00615EB1" w:rsidP="00484DF9">
      <w:pPr>
        <w:pStyle w:val="RedaliaTitre2"/>
        <w:ind w:left="426" w:hanging="142"/>
      </w:pPr>
      <w:bookmarkStart w:id="48" w:name="_Toc64213666"/>
      <w:bookmarkStart w:id="49" w:name="__RefHeading___Toc60280_868557434"/>
      <w:bookmarkStart w:id="50" w:name="_Toc224552570"/>
      <w:r>
        <w:t>Conditions de langue</w:t>
      </w:r>
      <w:bookmarkEnd w:id="48"/>
      <w:bookmarkEnd w:id="49"/>
      <w:bookmarkEnd w:id="50"/>
    </w:p>
    <w:p w14:paraId="62D6560D" w14:textId="77777777" w:rsidR="007A0A93" w:rsidRDefault="00615EB1">
      <w:pPr>
        <w:pStyle w:val="RedaliaNormal"/>
        <w:rPr>
          <w:b/>
          <w:bCs/>
        </w:rPr>
      </w:pPr>
      <w:r>
        <w:rPr>
          <w:b/>
          <w:bCs/>
        </w:rPr>
        <w:t>La langue utilisée pour présenter les candidatures et les offres est le français.</w:t>
      </w:r>
    </w:p>
    <w:p w14:paraId="53B01400" w14:textId="77777777" w:rsidR="007A0A93" w:rsidRDefault="00615EB1">
      <w:pPr>
        <w:pStyle w:val="RedaliaNormal"/>
      </w:pPr>
      <w:r>
        <w:t>Conformément à l’article R. 2143-16 du Code de la commande publique, les pièces accompagnant le dossier de candidature rédigées en langue étrangère seront acceptées uniquement si elles sont accompagnées d’une traduction en langue française.</w:t>
      </w:r>
    </w:p>
    <w:p w14:paraId="24FC37B1" w14:textId="77777777" w:rsidR="007A0A93" w:rsidRDefault="00615EB1" w:rsidP="00484DF9">
      <w:pPr>
        <w:pStyle w:val="RedaliaTitre2"/>
        <w:ind w:left="426" w:hanging="142"/>
      </w:pPr>
      <w:bookmarkStart w:id="51" w:name="__RefHeading___Toc60282_868557434"/>
      <w:bookmarkStart w:id="52" w:name="_Toc224552571"/>
      <w:r>
        <w:t>Éléments nécessaires à la sélection des candidatures</w:t>
      </w:r>
      <w:r w:rsidRPr="00A00124">
        <w:rPr>
          <w:rFonts w:ascii="Cambria" w:hAnsi="Cambria" w:cs="Cambria"/>
        </w:rPr>
        <w:t> </w:t>
      </w:r>
      <w:r>
        <w:t>:</w:t>
      </w:r>
      <w:bookmarkEnd w:id="51"/>
      <w:bookmarkEnd w:id="52"/>
    </w:p>
    <w:p w14:paraId="7AF14628" w14:textId="77777777" w:rsidR="007A0A93" w:rsidRDefault="00615EB1">
      <w:pPr>
        <w:pStyle w:val="RedaliaNormal"/>
      </w:pPr>
      <w:r>
        <w:t>Chaque candidat ou chaque membre de l’équipe candidate devra produire les pièces suivantes :</w:t>
      </w:r>
    </w:p>
    <w:p w14:paraId="151D69F7" w14:textId="77777777" w:rsidR="007A0A93" w:rsidRDefault="00615EB1" w:rsidP="00414C80">
      <w:pPr>
        <w:pStyle w:val="RedaliaTitre3"/>
        <w:ind w:left="851" w:hanging="567"/>
      </w:pPr>
      <w:bookmarkStart w:id="53" w:name="__RefHeading___Toc60284_868557434"/>
      <w:bookmarkStart w:id="54" w:name="_Toc224552572"/>
      <w:r>
        <w:t>Situation juridique</w:t>
      </w:r>
      <w:bookmarkEnd w:id="53"/>
      <w:bookmarkEnd w:id="54"/>
    </w:p>
    <w:p w14:paraId="2476DEE8" w14:textId="3F370344" w:rsidR="007A0A93" w:rsidRDefault="00615EB1" w:rsidP="008A1CE8">
      <w:pPr>
        <w:pStyle w:val="Redaliapuces"/>
        <w:numPr>
          <w:ilvl w:val="0"/>
          <w:numId w:val="37"/>
        </w:numPr>
      </w:pPr>
      <w:r w:rsidRPr="003F47DB">
        <w:rPr>
          <w:b/>
          <w:bCs/>
        </w:rPr>
        <w:t>Formulaire DC1</w:t>
      </w:r>
      <w:r>
        <w:t xml:space="preserve"> ou équivalent : Lettre de candidature - Habilitation du mandataire par ses cotraitants</w:t>
      </w:r>
      <w:r w:rsidR="00A00124">
        <w:t> ;</w:t>
      </w:r>
    </w:p>
    <w:p w14:paraId="7F522A44" w14:textId="75CF0F92" w:rsidR="007A0A93" w:rsidRDefault="00615EB1" w:rsidP="008A1CE8">
      <w:pPr>
        <w:pStyle w:val="Redaliapuces"/>
        <w:numPr>
          <w:ilvl w:val="0"/>
          <w:numId w:val="37"/>
        </w:numPr>
      </w:pPr>
      <w:r w:rsidRPr="003F47DB">
        <w:rPr>
          <w:b/>
          <w:bCs/>
        </w:rPr>
        <w:t>Formulaire DC2</w:t>
      </w:r>
      <w:r>
        <w:t xml:space="preserve"> ou équivalent : Déclaration du candidat individuel ou du membre du groupement</w:t>
      </w:r>
      <w:r w:rsidR="00A00124">
        <w:t> ;</w:t>
      </w:r>
    </w:p>
    <w:p w14:paraId="0E2C778E" w14:textId="2799D600" w:rsidR="007A0A93" w:rsidRDefault="00615EB1" w:rsidP="008A1CE8">
      <w:pPr>
        <w:pStyle w:val="Redaliapuces"/>
        <w:numPr>
          <w:ilvl w:val="0"/>
          <w:numId w:val="37"/>
        </w:numPr>
      </w:pPr>
      <w:r w:rsidRPr="003F47DB">
        <w:rPr>
          <w:b/>
          <w:bCs/>
        </w:rPr>
        <w:t>Attestation Russie</w:t>
      </w:r>
      <w:r>
        <w:t xml:space="preserve"> : Déclaration sur l'honneur sur la situation du candidat vis à vis de la Russie</w:t>
      </w:r>
      <w:r w:rsidR="00A00124">
        <w:t> ;</w:t>
      </w:r>
    </w:p>
    <w:p w14:paraId="53B38914" w14:textId="36BC9738" w:rsidR="00A00124" w:rsidRDefault="003F47DB" w:rsidP="008A1CE8">
      <w:pPr>
        <w:pStyle w:val="Redaliapuces"/>
        <w:numPr>
          <w:ilvl w:val="0"/>
          <w:numId w:val="37"/>
        </w:numPr>
      </w:pPr>
      <w:r w:rsidRPr="003F47DB">
        <w:rPr>
          <w:b/>
          <w:bCs/>
        </w:rPr>
        <w:t>A</w:t>
      </w:r>
      <w:r w:rsidR="00A00124" w:rsidRPr="003F47DB">
        <w:rPr>
          <w:b/>
          <w:bCs/>
        </w:rPr>
        <w:t>ttestation de régularité fiscale</w:t>
      </w:r>
      <w:r w:rsidR="00A00124" w:rsidRPr="004F26E9">
        <w:t xml:space="preserve"> délivrée au 31/12 de l’année n - 1 par le comptable public ou équivalent. L’année n correspond à l’année de publication de la présente consultation ainsi que </w:t>
      </w:r>
      <w:r w:rsidR="00A00124" w:rsidRPr="003F47DB">
        <w:rPr>
          <w:b/>
          <w:bCs/>
        </w:rPr>
        <w:t>l’attestation sociale délivrée par l’URSSAF</w:t>
      </w:r>
      <w:r w:rsidR="00A00124" w:rsidRPr="004F26E9">
        <w:t>.</w:t>
      </w:r>
    </w:p>
    <w:p w14:paraId="6B1E1039" w14:textId="7E247E5C" w:rsidR="003F47DB" w:rsidRDefault="003F47DB" w:rsidP="003F47DB">
      <w:pPr>
        <w:pStyle w:val="Redaliapuces"/>
        <w:numPr>
          <w:ilvl w:val="0"/>
          <w:numId w:val="37"/>
        </w:numPr>
      </w:pPr>
      <w:r>
        <w:rPr>
          <w:b/>
          <w:bCs/>
        </w:rPr>
        <w:t xml:space="preserve">Attestation délivrée par la DREETS </w:t>
      </w:r>
      <w:r>
        <w:t xml:space="preserve">en cas de prestations exonérées de TVA (activités de formation professionnelle continue). </w:t>
      </w:r>
    </w:p>
    <w:p w14:paraId="59109BD6" w14:textId="6C2B6F34" w:rsidR="00AA311E" w:rsidRDefault="00AA311E" w:rsidP="003F47DB">
      <w:pPr>
        <w:pStyle w:val="Redaliapuces"/>
        <w:numPr>
          <w:ilvl w:val="0"/>
          <w:numId w:val="37"/>
        </w:numPr>
      </w:pPr>
      <w:r>
        <w:rPr>
          <w:b/>
          <w:bCs/>
        </w:rPr>
        <w:t xml:space="preserve">Lot 2 : </w:t>
      </w:r>
      <w:r w:rsidRPr="00AA311E">
        <w:rPr>
          <w:b/>
          <w:bCs/>
        </w:rPr>
        <w:t>A</w:t>
      </w:r>
      <w:r w:rsidRPr="00AA311E">
        <w:rPr>
          <w:b/>
          <w:bCs/>
          <w:szCs w:val="18"/>
        </w:rPr>
        <w:t xml:space="preserve">grément </w:t>
      </w:r>
      <w:r w:rsidRPr="009B5E19">
        <w:rPr>
          <w:szCs w:val="18"/>
        </w:rPr>
        <w:t>d’organisme pour la formation des personnels des services de sécurité des Etablissement Recevant du Public (ERP) et des Immeubles de Grande Hauteur (IGH).</w:t>
      </w:r>
    </w:p>
    <w:p w14:paraId="6D8D91C4" w14:textId="77777777" w:rsidR="003F47DB" w:rsidRPr="004F26E9" w:rsidRDefault="003F47DB" w:rsidP="003F47DB">
      <w:pPr>
        <w:pStyle w:val="Redaliapuces"/>
        <w:ind w:left="720"/>
      </w:pPr>
    </w:p>
    <w:p w14:paraId="5AF33802" w14:textId="77777777" w:rsidR="007A0A93" w:rsidRDefault="00615EB1" w:rsidP="00414C80">
      <w:pPr>
        <w:pStyle w:val="RedaliaTitre3"/>
        <w:ind w:left="851" w:hanging="567"/>
      </w:pPr>
      <w:bookmarkStart w:id="55" w:name="__RefHeading___Toc60286_868557434"/>
      <w:bookmarkStart w:id="56" w:name="_Toc224552573"/>
      <w:r>
        <w:t>Capacité technique et professionnelle</w:t>
      </w:r>
      <w:bookmarkEnd w:id="55"/>
      <w:bookmarkEnd w:id="56"/>
    </w:p>
    <w:p w14:paraId="26CA9098" w14:textId="24B7DD00" w:rsidR="007A0A93" w:rsidRDefault="00615EB1" w:rsidP="008A1CE8">
      <w:pPr>
        <w:pStyle w:val="Redaliapuces"/>
        <w:numPr>
          <w:ilvl w:val="0"/>
          <w:numId w:val="37"/>
        </w:numPr>
      </w:pPr>
      <w:r>
        <w:t xml:space="preserve">Déclaration de chiffre d'affaires : </w:t>
      </w:r>
      <w:r w:rsidR="00A00124">
        <w:t>d</w:t>
      </w:r>
      <w:r>
        <w:t>éclaration concernant le chiffre d'affaires global du candidat et le chiffre d'affaires du domaine d'activité faisant l'objet du marché public, portant au maximum sur les trois derniers exercices disponibles en fonction de la date de création de l'entreprise ou du début d'activité de l'opérateur économique.</w:t>
      </w:r>
    </w:p>
    <w:p w14:paraId="31F9C15B" w14:textId="220EFC85" w:rsidR="007A0A93" w:rsidRDefault="00615EB1" w:rsidP="008A1CE8">
      <w:pPr>
        <w:pStyle w:val="Redaliapuces"/>
        <w:numPr>
          <w:ilvl w:val="0"/>
          <w:numId w:val="37"/>
        </w:numPr>
      </w:pPr>
      <w:r>
        <w:t xml:space="preserve">Attestation d'assurance : </w:t>
      </w:r>
      <w:r w:rsidR="00A00124">
        <w:t>d</w:t>
      </w:r>
      <w:r>
        <w:t>éclaration appropriée de banques ou preuve d'une assurance pour les risques professionnels ;</w:t>
      </w:r>
    </w:p>
    <w:p w14:paraId="7FEBD3D2" w14:textId="71EF7865" w:rsidR="007A0A93" w:rsidRDefault="00615EB1" w:rsidP="008A1CE8">
      <w:pPr>
        <w:pStyle w:val="Redaliapuces"/>
        <w:numPr>
          <w:ilvl w:val="0"/>
          <w:numId w:val="37"/>
        </w:numPr>
      </w:pPr>
      <w:r>
        <w:t xml:space="preserve">Déclaration de bilan : </w:t>
      </w:r>
      <w:r w:rsidR="00A00124">
        <w:t>b</w:t>
      </w:r>
      <w:r>
        <w:t>ilans ou extraits de bilans, concernant les trois dernières années, des opérateurs économiques pour lesquels l'établissement des bilans est obligatoire en vertu de la loi ;</w:t>
      </w:r>
    </w:p>
    <w:p w14:paraId="152A1CB9" w14:textId="16F7E285" w:rsidR="007A0A93" w:rsidRDefault="00615EB1" w:rsidP="008A1CE8">
      <w:pPr>
        <w:pStyle w:val="Redaliapuces"/>
        <w:numPr>
          <w:ilvl w:val="0"/>
          <w:numId w:val="37"/>
        </w:numPr>
      </w:pPr>
      <w:r>
        <w:t>Déclaration d'effectifs : déclaration indiquant les effectifs moyens annuels du candidat et l'importance du personnel d'encadrement pour chacune des trois dernières années</w:t>
      </w:r>
      <w:r w:rsidR="00A00124">
        <w:t>.</w:t>
      </w:r>
    </w:p>
    <w:p w14:paraId="3EB9CFCC" w14:textId="06D9ABF6" w:rsidR="004F26E9" w:rsidRDefault="004F26E9" w:rsidP="008A1CE8">
      <w:pPr>
        <w:pStyle w:val="Redaliapuces"/>
        <w:numPr>
          <w:ilvl w:val="0"/>
          <w:numId w:val="37"/>
        </w:numPr>
      </w:pPr>
      <w:r>
        <w:lastRenderedPageBreak/>
        <w:t>Références de service ou fournitures similaires : présentation d'une liste des principales fournitures ou des principaux services effectués au cours des trois dernières années, indiquant le montant, la date et le destinataire public ou privé. Les livraisons et les prestations de services sont prouvées par des attestations du destinataire ou, à défaut, par une déclaration de l'opérateur économique.</w:t>
      </w:r>
    </w:p>
    <w:p w14:paraId="67A6B84F" w14:textId="50B82B8B" w:rsidR="004F26E9" w:rsidRDefault="004F26E9" w:rsidP="008A1CE8">
      <w:pPr>
        <w:pStyle w:val="Redaliapuces"/>
        <w:numPr>
          <w:ilvl w:val="0"/>
          <w:numId w:val="37"/>
        </w:numPr>
      </w:pPr>
      <w:r>
        <w:t>Certificats de qualifications professionnelles : des certificats de qualification professionnelle établis par des organismes indépendants. L'acheteur accepte tout moyen de preuve équivalent ainsi que les certificats équivalents d'organismes établis dans d'autres Etats membres ;</w:t>
      </w:r>
    </w:p>
    <w:p w14:paraId="0BFDBB77" w14:textId="77777777" w:rsidR="00A00124" w:rsidRDefault="00A00124">
      <w:pPr>
        <w:tabs>
          <w:tab w:val="left" w:pos="720"/>
        </w:tabs>
        <w:autoSpaceDE w:val="0"/>
        <w:rPr>
          <w:rFonts w:cs="Open Sans"/>
          <w:color w:val="000000"/>
          <w:szCs w:val="18"/>
        </w:rPr>
      </w:pPr>
    </w:p>
    <w:p w14:paraId="01C93BA7" w14:textId="7171CD39" w:rsidR="007A0A93" w:rsidRDefault="00615EB1">
      <w:pPr>
        <w:tabs>
          <w:tab w:val="left" w:pos="426"/>
        </w:tabs>
        <w:autoSpaceDE w:val="0"/>
        <w:jc w:val="both"/>
      </w:pPr>
      <w:r w:rsidRPr="00BD6F11">
        <w:rPr>
          <w:rFonts w:cs="Open Sans"/>
          <w:color w:val="000000"/>
          <w:szCs w:val="18"/>
        </w:rPr>
        <w:t xml:space="preserve">Pour les candidats établis dans un Etat autre que la France, il sera demandé de produire les documents listés </w:t>
      </w:r>
      <w:r w:rsidRPr="00BD6F11">
        <w:rPr>
          <w:rFonts w:cs="Open Sans"/>
          <w:szCs w:val="18"/>
        </w:rPr>
        <w:t>à l’article R. 2143-5 du Code de la commande publique</w:t>
      </w:r>
      <w:r w:rsidRPr="00BD6F11">
        <w:rPr>
          <w:rFonts w:cs="Open Sans"/>
          <w:color w:val="000000"/>
          <w:szCs w:val="18"/>
        </w:rPr>
        <w:t xml:space="preserve">. </w:t>
      </w:r>
      <w:r w:rsidRPr="00BD6F11">
        <w:rPr>
          <w:rFonts w:cs="Open Sans"/>
          <w:bCs/>
          <w:color w:val="000000"/>
          <w:szCs w:val="18"/>
        </w:rPr>
        <w:t>Ces documents seront accompagnés d’une traduction en français en application des articles précédemment cités</w:t>
      </w:r>
      <w:r w:rsidR="008813BC" w:rsidRPr="00BD6F11">
        <w:rPr>
          <w:rFonts w:cs="Open Sans"/>
          <w:bCs/>
          <w:color w:val="000000"/>
          <w:szCs w:val="18"/>
        </w:rPr>
        <w:t>.</w:t>
      </w:r>
    </w:p>
    <w:p w14:paraId="200226E6" w14:textId="77777777" w:rsidR="007A0A93" w:rsidRDefault="007A0A93">
      <w:pPr>
        <w:tabs>
          <w:tab w:val="left" w:pos="426"/>
        </w:tabs>
        <w:autoSpaceDE w:val="0"/>
        <w:jc w:val="both"/>
        <w:rPr>
          <w:rFonts w:cs="Open Sans"/>
          <w:bCs/>
          <w:color w:val="000000"/>
          <w:szCs w:val="18"/>
        </w:rPr>
      </w:pPr>
    </w:p>
    <w:p w14:paraId="71948D2A" w14:textId="02B0EED4" w:rsidR="007A0A93" w:rsidRPr="00BD6F11" w:rsidRDefault="00A01989" w:rsidP="00A01989">
      <w:pPr>
        <w:pStyle w:val="Paragraphedeliste"/>
        <w:tabs>
          <w:tab w:val="left" w:pos="702"/>
        </w:tabs>
        <w:suppressAutoHyphens w:val="0"/>
        <w:autoSpaceDE w:val="0"/>
        <w:ind w:left="729"/>
        <w:jc w:val="both"/>
        <w:textAlignment w:val="auto"/>
        <w:rPr>
          <w:rFonts w:cs="Open Sans"/>
          <w:iCs/>
          <w:color w:val="000000"/>
          <w:szCs w:val="18"/>
        </w:rPr>
      </w:pPr>
      <w:r w:rsidRPr="00BD6F11">
        <w:rPr>
          <w:rFonts w:cs="Open Sans"/>
          <w:bCs/>
          <w:color w:val="000000"/>
          <w:szCs w:val="18"/>
        </w:rPr>
        <w:t>-</w:t>
      </w:r>
      <w:r w:rsidR="00615EB1" w:rsidRPr="00BD6F11">
        <w:rPr>
          <w:rFonts w:cs="Open Sans"/>
          <w:bCs/>
          <w:color w:val="000000"/>
          <w:szCs w:val="18"/>
        </w:rPr>
        <w:t>Lorsque</w:t>
      </w:r>
      <w:r w:rsidR="00615EB1" w:rsidRPr="00BD6F11">
        <w:rPr>
          <w:rFonts w:cs="Open Sans"/>
          <w:iCs/>
          <w:color w:val="000000"/>
          <w:szCs w:val="18"/>
        </w:rPr>
        <w:t xml:space="preserve"> le candidat est en redressement judiciaire, </w:t>
      </w:r>
      <w:r w:rsidR="00615EB1" w:rsidRPr="00BD6F11">
        <w:rPr>
          <w:rFonts w:cs="Open Sans"/>
          <w:b/>
          <w:iCs/>
          <w:color w:val="000000"/>
          <w:szCs w:val="18"/>
        </w:rPr>
        <w:t>la copie du ou des jugements prononcés</w:t>
      </w:r>
      <w:r w:rsidR="00615EB1" w:rsidRPr="00BD6F11">
        <w:rPr>
          <w:rFonts w:cs="Open Sans"/>
          <w:iCs/>
          <w:color w:val="000000"/>
          <w:szCs w:val="18"/>
        </w:rPr>
        <w:t> ;</w:t>
      </w:r>
    </w:p>
    <w:p w14:paraId="58C6F502" w14:textId="77777777" w:rsidR="00A01989" w:rsidRPr="008813BC" w:rsidRDefault="00A01989" w:rsidP="00A01989">
      <w:pPr>
        <w:pStyle w:val="Paragraphedeliste"/>
        <w:tabs>
          <w:tab w:val="left" w:pos="702"/>
        </w:tabs>
        <w:suppressAutoHyphens w:val="0"/>
        <w:autoSpaceDE w:val="0"/>
        <w:ind w:left="729"/>
        <w:jc w:val="both"/>
        <w:textAlignment w:val="auto"/>
        <w:rPr>
          <w:highlight w:val="cyan"/>
        </w:rPr>
      </w:pPr>
    </w:p>
    <w:p w14:paraId="6AF868CF" w14:textId="444009A0" w:rsidR="007A0A93" w:rsidRPr="00BD6F11" w:rsidRDefault="00A01989" w:rsidP="00A01989">
      <w:pPr>
        <w:pStyle w:val="Paragraphedeliste"/>
        <w:tabs>
          <w:tab w:val="left" w:pos="702"/>
        </w:tabs>
        <w:suppressAutoHyphens w:val="0"/>
        <w:autoSpaceDE w:val="0"/>
        <w:ind w:left="729"/>
        <w:jc w:val="both"/>
        <w:textAlignment w:val="auto"/>
        <w:rPr>
          <w:rFonts w:cs="Open Sans"/>
          <w:iCs/>
          <w:color w:val="000000"/>
          <w:szCs w:val="18"/>
        </w:rPr>
      </w:pPr>
      <w:r w:rsidRPr="00BD6F11">
        <w:rPr>
          <w:rFonts w:cs="Open Sans"/>
          <w:bCs/>
          <w:color w:val="000000"/>
          <w:szCs w:val="18"/>
        </w:rPr>
        <w:t>-</w:t>
      </w:r>
      <w:r w:rsidR="00615EB1" w:rsidRPr="00BD6F11">
        <w:rPr>
          <w:rFonts w:cs="Open Sans"/>
          <w:bCs/>
          <w:color w:val="000000"/>
          <w:szCs w:val="18"/>
        </w:rPr>
        <w:t>Toute</w:t>
      </w:r>
      <w:r w:rsidR="00615EB1" w:rsidRPr="00BD6F11">
        <w:rPr>
          <w:rFonts w:cs="Open Sans"/>
          <w:b/>
          <w:iCs/>
          <w:color w:val="000000"/>
          <w:szCs w:val="18"/>
        </w:rPr>
        <w:t xml:space="preserve"> autre pièce que le candidat estime de nature à appuyer sa candidature</w:t>
      </w:r>
      <w:r w:rsidR="00615EB1" w:rsidRPr="00BD6F11">
        <w:rPr>
          <w:rFonts w:cs="Open Sans"/>
          <w:iCs/>
          <w:color w:val="000000"/>
          <w:szCs w:val="18"/>
        </w:rPr>
        <w:t>, dont notamment des liens avec des entreprises adaptées ou des établissements et services d’aide par le travail ;</w:t>
      </w:r>
    </w:p>
    <w:p w14:paraId="67BE1823" w14:textId="77777777" w:rsidR="00A01989" w:rsidRPr="008813BC" w:rsidRDefault="00A01989" w:rsidP="00A01989">
      <w:pPr>
        <w:pStyle w:val="Paragraphedeliste"/>
        <w:tabs>
          <w:tab w:val="left" w:pos="702"/>
        </w:tabs>
        <w:suppressAutoHyphens w:val="0"/>
        <w:autoSpaceDE w:val="0"/>
        <w:ind w:left="729"/>
        <w:jc w:val="both"/>
        <w:textAlignment w:val="auto"/>
        <w:rPr>
          <w:highlight w:val="cyan"/>
        </w:rPr>
      </w:pPr>
    </w:p>
    <w:p w14:paraId="56D9C469" w14:textId="6D034CCF" w:rsidR="007A0A93" w:rsidRDefault="00615EB1" w:rsidP="00A01989">
      <w:pPr>
        <w:tabs>
          <w:tab w:val="left" w:pos="702"/>
        </w:tabs>
        <w:suppressAutoHyphens w:val="0"/>
        <w:autoSpaceDE w:val="0"/>
        <w:jc w:val="both"/>
        <w:textAlignment w:val="auto"/>
      </w:pPr>
      <w:r w:rsidRPr="00BD6F11">
        <w:rPr>
          <w:rFonts w:cs="Open Sans"/>
          <w:b/>
          <w:color w:val="000000"/>
          <w:szCs w:val="18"/>
        </w:rPr>
        <w:t>Les documents mentionnés dans la partie F1</w:t>
      </w:r>
      <w:r w:rsidRPr="00BD6F11">
        <w:rPr>
          <w:rFonts w:cs="Open Sans"/>
          <w:color w:val="000000"/>
          <w:szCs w:val="18"/>
        </w:rPr>
        <w:t xml:space="preserve">, ou si le candidat est domicilié à l’étranger, dans la partie G du formulaire Noti1 disponible sur le site </w:t>
      </w:r>
      <w:hyperlink r:id="rId9" w:history="1">
        <w:r w:rsidRPr="00BD6F11">
          <w:rPr>
            <w:rStyle w:val="Lienhypertexte"/>
            <w:rFonts w:cs="Open Sans"/>
            <w:color w:val="000000"/>
            <w:szCs w:val="18"/>
          </w:rPr>
          <w:t>http://www.economie.gouv.fr/daj/formulaires</w:t>
        </w:r>
      </w:hyperlink>
    </w:p>
    <w:p w14:paraId="2EEF8ADB" w14:textId="3919157A" w:rsidR="008813BC" w:rsidRDefault="008813BC" w:rsidP="008813BC">
      <w:pPr>
        <w:pStyle w:val="RedaliaNormal"/>
      </w:pPr>
      <w:r>
        <w:t>Le candidat pourra prouver sa capacité par tout autre document considéré comme équivalent par le pouvoir adjudicateur s’il est objectivement dans l’impossibilité de produire l’un des renseignements demandés relatifs à sa capacité financière.</w:t>
      </w:r>
    </w:p>
    <w:p w14:paraId="65561ABC" w14:textId="77777777" w:rsidR="007A0A93" w:rsidRDefault="00615EB1">
      <w:pPr>
        <w:pStyle w:val="RedaliaNormal"/>
      </w:pPr>
      <w:r>
        <w:t>Si, pour justifier de ses capacités, le candidat souhaite faire prévaloir les capacités professionnelles, techniques et financières d’un autre intervenant quel qu’il soit (sous-traitant notamment), il devra produire les pièces relatives à cet intervenant visées au présent article ci-dessus. Il devra également justifier qu’il disposera des capacités de cet intervenant pour l’exécution de l'accord-cadre par un engagement écrit de l’intervenant.</w:t>
      </w:r>
    </w:p>
    <w:p w14:paraId="334C8852" w14:textId="77777777" w:rsidR="007A0A93" w:rsidRDefault="00615EB1">
      <w:pPr>
        <w:pStyle w:val="RedaliaNormal"/>
      </w:pPr>
      <w:r>
        <w:t>En vertu de l’article R. 2143-16 du Code de la commande publique, dans le cadre de leur candidature, il est exigé que les candidats joignent une traduction en français aux éléments rédigés dans une autre langue.</w:t>
      </w:r>
    </w:p>
    <w:p w14:paraId="1A168C74" w14:textId="77777777" w:rsidR="007A0A93" w:rsidRDefault="00615EB1">
      <w:pPr>
        <w:pStyle w:val="RedaliaNormal"/>
      </w:pPr>
      <w:r>
        <w:t>Les entreprises nouvellement créées peuvent produire une copie certifiée du récépissé de dépôt des statuts transmis par le centre de formalités des entreprises. Les entreprises peuvent présenter tout élément factuel et probant permettant d’apprécier leurs capacités financières, techniques et professionnelles.</w:t>
      </w:r>
    </w:p>
    <w:p w14:paraId="6E170FBC" w14:textId="77777777" w:rsidR="007A0A93" w:rsidRDefault="00615EB1">
      <w:pPr>
        <w:pStyle w:val="RedaliaNormal"/>
      </w:pPr>
      <w:r>
        <w:t>Si le signataire des pièces de candidature et des offres n’est pas le représentant légal de la société, un pouvoir au nom du signataire est nécessaire.</w:t>
      </w:r>
    </w:p>
    <w:p w14:paraId="05C39816" w14:textId="77777777" w:rsidR="007A0A93" w:rsidRDefault="00615EB1">
      <w:pPr>
        <w:pStyle w:val="RedaliaNormal"/>
      </w:pPr>
      <w:r>
        <w:t xml:space="preserve">Tout document remis doit comporter la dénomination sociale exacte et complète telle qu’elle figure dans le </w:t>
      </w:r>
      <w:proofErr w:type="spellStart"/>
      <w:r>
        <w:rPr>
          <w:b/>
          <w:bCs/>
        </w:rPr>
        <w:t>Kbis</w:t>
      </w:r>
      <w:proofErr w:type="spellEnd"/>
      <w:r>
        <w:t xml:space="preserve"> à l’exclusion des dénominations abrégées et commerciales.</w:t>
      </w:r>
    </w:p>
    <w:p w14:paraId="3BAE2FFA" w14:textId="77777777" w:rsidR="007A0A93" w:rsidRDefault="00615EB1">
      <w:pPr>
        <w:pStyle w:val="RedaliaNormal"/>
      </w:pPr>
      <w:r>
        <w:t>Les éléments relatifs à la candidature doivent être clairement identifiés comme tels.</w:t>
      </w:r>
    </w:p>
    <w:p w14:paraId="24735533" w14:textId="77777777" w:rsidR="007A0A93" w:rsidRDefault="00615EB1">
      <w:pPr>
        <w:pStyle w:val="RedaliaNormal"/>
      </w:pPr>
      <w:r>
        <w:t>En cas de non présentation dans le dossier de candidatures, ces documents doivent être fournis dans les délais impartis par le RPA et indiqués dans la demande de complément de candidature.</w:t>
      </w:r>
    </w:p>
    <w:p w14:paraId="77985506" w14:textId="77777777" w:rsidR="007A0A93" w:rsidRDefault="00615EB1">
      <w:pPr>
        <w:pStyle w:val="RedaliaNormal"/>
      </w:pPr>
      <w:r>
        <w:t>Il est porté à l’attention des candidats que, conformément aux dispositions de l’article R. 2143-13 du Code de la commande publique, ils ne sont pas tenus de fournir les documents justificatifs et moyens de preuve que l’acheteur peut obtenir directement par le biais :</w:t>
      </w:r>
    </w:p>
    <w:p w14:paraId="2A02BCAB" w14:textId="77777777" w:rsidR="007A0A93" w:rsidRDefault="00615EB1" w:rsidP="008813BC">
      <w:pPr>
        <w:pStyle w:val="RedaliaNormal"/>
        <w:ind w:left="284"/>
      </w:pPr>
      <w:r>
        <w:t>- D'un système électronique de mise à disposition d'informations administré par un organisme officiel à condition que l'accès à celui-ci soit gratuit et, le cas échéant, que figurent dans le dossier de candidature toutes les informations nécessaires à sa consultation ;</w:t>
      </w:r>
    </w:p>
    <w:p w14:paraId="460CBEC4" w14:textId="77777777" w:rsidR="007A0A93" w:rsidRDefault="00615EB1" w:rsidP="008813BC">
      <w:pPr>
        <w:pStyle w:val="RedaliaNormal"/>
        <w:ind w:left="284"/>
      </w:pPr>
      <w:r>
        <w:t>- D'un espace de stockage numérique, à condition que figurent dans le dossier de candidature toutes les informations nécessaires à sa consultation et que l'accès à ceux-ci soit gratuit.</w:t>
      </w:r>
    </w:p>
    <w:p w14:paraId="71FF4C74" w14:textId="77777777" w:rsidR="007A0A93" w:rsidRDefault="00615EB1">
      <w:pPr>
        <w:pStyle w:val="RedaliaNormal"/>
      </w:pPr>
      <w:r>
        <w:t>Les candidats sont invités à utiliser le coffre-fort électronique disponible gratuitement depuis leur compte sur https://www.marches-publics.gouv.fr/.</w:t>
      </w:r>
    </w:p>
    <w:p w14:paraId="6A24E384" w14:textId="77777777" w:rsidR="007A0A93" w:rsidRDefault="00615EB1">
      <w:pPr>
        <w:pStyle w:val="RedaliaNormal"/>
      </w:pPr>
      <w:r>
        <w:t xml:space="preserve">De plus, conformément aux dispositions de l’article R. 2143-14 du Code de la commande publique, les candidats ne sont pas tenus de fournir au pouvoir adjudicateur les documents justificatifs et moyens de </w:t>
      </w:r>
      <w:r>
        <w:lastRenderedPageBreak/>
        <w:t>preuve qui ont déjà été transmis lors d'une précédente consultation et qui demeurent valables.</w:t>
      </w:r>
    </w:p>
    <w:p w14:paraId="24393604" w14:textId="77777777" w:rsidR="007A0A93" w:rsidRDefault="00615EB1">
      <w:pPr>
        <w:pStyle w:val="RedaliaNormal"/>
      </w:pPr>
      <w:r>
        <w:t>Enfin, selon les dispositions de l’article R. 2143-4 du Code de la commande publique, le pouvoir adjudicateur accepte que les candidats présentent leur candidature sous la forme d’un document unique de marché européen (DUME) établi conformément au modèle fixé par le règlement de la Commission européenne établissant le formulaire type pour le document unique de marché européen, en lieu et place de la déclaration sur l'honneur et des renseignements mentionnés à l'article R. 2143-3.</w:t>
      </w:r>
    </w:p>
    <w:p w14:paraId="41DA02FB" w14:textId="77777777" w:rsidR="007A0A93" w:rsidRDefault="00615EB1">
      <w:pPr>
        <w:pStyle w:val="RedaliaNormal"/>
      </w:pPr>
      <w:r>
        <w:t xml:space="preserve">Les candidats peuvent constituer ou réutiliser un DUME dans sa version électronique via l’une des url suivantes : </w:t>
      </w:r>
      <w:hyperlink r:id="rId10" w:history="1">
        <w:r>
          <w:rPr>
            <w:rStyle w:val="Lienhypertexte"/>
          </w:rPr>
          <w:t>https://ec.europa.eu/tools/espd/</w:t>
        </w:r>
      </w:hyperlink>
      <w:r>
        <w:t xml:space="preserve"> OU </w:t>
      </w:r>
      <w:hyperlink r:id="rId11" w:history="1">
        <w:r>
          <w:rPr>
            <w:rStyle w:val="Lienhypertexte"/>
          </w:rPr>
          <w:t>https://dume.chorus-pro.gouv.fr/</w:t>
        </w:r>
      </w:hyperlink>
    </w:p>
    <w:p w14:paraId="63B1349E" w14:textId="77777777" w:rsidR="007A0A93" w:rsidRDefault="00615EB1">
      <w:pPr>
        <w:pStyle w:val="RedaliaNormal"/>
      </w:pPr>
      <w:r>
        <w:t>Il est précisé que le pouvoir adjudicateur n’autorise pas les candidats à se limiter à indiquer dans le document unique de marché européen qu’ils disposent de l’aptitude et des capacités requises sans fournir d’informations particulières sur celles-ci.</w:t>
      </w:r>
    </w:p>
    <w:p w14:paraId="203C7EA5" w14:textId="77777777" w:rsidR="007A0A93" w:rsidRDefault="00615EB1" w:rsidP="00C321B1">
      <w:pPr>
        <w:pStyle w:val="RedaliaTitre2"/>
        <w:ind w:left="709"/>
      </w:pPr>
      <w:bookmarkStart w:id="57" w:name="__RefHeading___Toc60288_868557434"/>
      <w:bookmarkStart w:id="58" w:name="_Toc224552574"/>
      <w:r>
        <w:t>Offre technique et financière</w:t>
      </w:r>
      <w:bookmarkEnd w:id="57"/>
      <w:bookmarkEnd w:id="58"/>
    </w:p>
    <w:p w14:paraId="4BD35356" w14:textId="77777777" w:rsidR="007A0A93" w:rsidRDefault="00615EB1" w:rsidP="00414C80">
      <w:pPr>
        <w:pStyle w:val="RedaliaTitre3"/>
        <w:ind w:left="851" w:hanging="567"/>
      </w:pPr>
      <w:bookmarkStart w:id="59" w:name="__RefHeading___Toc60290_868557434"/>
      <w:bookmarkStart w:id="60" w:name="_Toc224552575"/>
      <w:r>
        <w:t>Documents obligatoires</w:t>
      </w:r>
      <w:bookmarkEnd w:id="59"/>
      <w:bookmarkEnd w:id="60"/>
    </w:p>
    <w:p w14:paraId="0530EA74" w14:textId="77777777" w:rsidR="007A0A93" w:rsidRDefault="00615EB1">
      <w:pPr>
        <w:pStyle w:val="RedaliaNormal"/>
      </w:pPr>
      <w:r>
        <w:t>Pour le choix de l'offre, les candidats doivent produire les documents suivants :</w:t>
      </w:r>
    </w:p>
    <w:p w14:paraId="33A74B12" w14:textId="2F98C595" w:rsidR="007A0A93" w:rsidRDefault="00615EB1" w:rsidP="008A1CE8">
      <w:pPr>
        <w:pStyle w:val="Redaliapuces"/>
        <w:numPr>
          <w:ilvl w:val="0"/>
          <w:numId w:val="34"/>
        </w:numPr>
      </w:pPr>
      <w:r>
        <w:t>Un acte d’engagement (AE) par</w:t>
      </w:r>
      <w:r>
        <w:rPr>
          <w:b/>
          <w:u w:val="single"/>
        </w:rPr>
        <w:t xml:space="preserve"> lot</w:t>
      </w:r>
      <w:r>
        <w:t xml:space="preserve"> (ci-joint à compléter, à dater et à signer électroniquement selon les modalités prescrites dans l’article « conditions d’envoi et de remise des plis » du présent règlement de consultation)</w:t>
      </w:r>
      <w:r w:rsidR="00C321B1">
        <w:t xml:space="preserve">. </w:t>
      </w:r>
      <w:r>
        <w:t>Le candidat précisera également la nature et le montant des prestations qu’il envisage de sous-traiter ainsi que la liste des sous-traitants qu'il se propose de présenter à l'agrément et à l'acceptation du pouvoir adjudicateur</w:t>
      </w:r>
      <w:r w:rsidR="00C321B1">
        <w:t> ;</w:t>
      </w:r>
    </w:p>
    <w:p w14:paraId="33F7B93F" w14:textId="5E8EE70F" w:rsidR="007A0A93" w:rsidRDefault="00615EB1" w:rsidP="008A1CE8">
      <w:pPr>
        <w:pStyle w:val="Redaliapuces"/>
        <w:numPr>
          <w:ilvl w:val="0"/>
          <w:numId w:val="34"/>
        </w:numPr>
      </w:pPr>
      <w:r w:rsidRPr="00C321B1">
        <w:t>Les annexes financières dûment complétées et signées</w:t>
      </w:r>
      <w:r w:rsidR="00C321B1">
        <w:t> ;</w:t>
      </w:r>
    </w:p>
    <w:p w14:paraId="2C97D5F1" w14:textId="08EF669C" w:rsidR="00C321B1" w:rsidRDefault="00C321B1" w:rsidP="008A1CE8">
      <w:pPr>
        <w:pStyle w:val="Redaliapuces"/>
        <w:numPr>
          <w:ilvl w:val="0"/>
          <w:numId w:val="34"/>
        </w:numPr>
      </w:pPr>
      <w:r>
        <w:t>Le cadre de réponse technique dûment renseigné et signé ;</w:t>
      </w:r>
    </w:p>
    <w:p w14:paraId="63401602" w14:textId="0F29B232" w:rsidR="00F16F97" w:rsidRDefault="00F16F97" w:rsidP="008A1CE8">
      <w:pPr>
        <w:pStyle w:val="Redaliapuces"/>
        <w:numPr>
          <w:ilvl w:val="0"/>
          <w:numId w:val="34"/>
        </w:numPr>
      </w:pPr>
      <w:r>
        <w:t xml:space="preserve">Le certificat QUALIOPI </w:t>
      </w:r>
    </w:p>
    <w:p w14:paraId="52C12ADE" w14:textId="475AF186" w:rsidR="00376475" w:rsidRDefault="00376475" w:rsidP="008A1CE8">
      <w:pPr>
        <w:pStyle w:val="Redaliapuces"/>
        <w:numPr>
          <w:ilvl w:val="0"/>
          <w:numId w:val="34"/>
        </w:numPr>
      </w:pPr>
      <w:r>
        <w:t>Imprimé DC4 ou équivalent en cas de sous-traitance (date et signature électroniques obligatoires) ;</w:t>
      </w:r>
    </w:p>
    <w:p w14:paraId="57F7517F" w14:textId="733BAE65" w:rsidR="00C321B1" w:rsidRDefault="00C321B1" w:rsidP="008A1CE8">
      <w:pPr>
        <w:pStyle w:val="Redaliapuces"/>
        <w:numPr>
          <w:ilvl w:val="0"/>
          <w:numId w:val="34"/>
        </w:numPr>
      </w:pPr>
      <w:r>
        <w:t>Un mémoire technique qui comprendra notamment une description des méthodes, moyens et documents pédagogiques. Cette description devra tenir compte des caractéristiques du public concerné</w:t>
      </w:r>
      <w:r w:rsidR="00376475">
        <w:t> ;</w:t>
      </w:r>
    </w:p>
    <w:p w14:paraId="4ABC912D" w14:textId="77777777" w:rsidR="00C321B1" w:rsidRDefault="00C321B1" w:rsidP="008A1CE8">
      <w:pPr>
        <w:pStyle w:val="Redaliapuces"/>
        <w:numPr>
          <w:ilvl w:val="0"/>
          <w:numId w:val="34"/>
        </w:numPr>
      </w:pPr>
      <w:r>
        <w:t xml:space="preserve">La liste des membres du personnel chargé de l’exécution du marché (noms et qualifications professionnelles). Les curriculums vitae des formateurs devront être joints. Ils comporteront à minima : </w:t>
      </w:r>
    </w:p>
    <w:p w14:paraId="260F42E7" w14:textId="7D4492B1" w:rsidR="00C321B1" w:rsidRDefault="00C321B1" w:rsidP="008A1CE8">
      <w:pPr>
        <w:pStyle w:val="Redaliapuces"/>
        <w:numPr>
          <w:ilvl w:val="1"/>
          <w:numId w:val="34"/>
        </w:numPr>
        <w:spacing w:before="0"/>
      </w:pPr>
      <w:r>
        <w:t>La qualification ;</w:t>
      </w:r>
    </w:p>
    <w:p w14:paraId="32864E64" w14:textId="6400CBCB" w:rsidR="00C321B1" w:rsidRDefault="00C321B1" w:rsidP="008A1CE8">
      <w:pPr>
        <w:pStyle w:val="Redaliapuces"/>
        <w:numPr>
          <w:ilvl w:val="1"/>
          <w:numId w:val="34"/>
        </w:numPr>
        <w:spacing w:before="0"/>
      </w:pPr>
      <w:r>
        <w:t>L’expérience professionnelle et pédagogique ;</w:t>
      </w:r>
    </w:p>
    <w:p w14:paraId="657A2E30" w14:textId="77777777" w:rsidR="00C321B1" w:rsidRDefault="00C321B1" w:rsidP="008A1CE8">
      <w:pPr>
        <w:pStyle w:val="Redaliapuces"/>
        <w:numPr>
          <w:ilvl w:val="1"/>
          <w:numId w:val="34"/>
        </w:numPr>
        <w:spacing w:before="0"/>
      </w:pPr>
      <w:r>
        <w:t>Leur nombre ;</w:t>
      </w:r>
    </w:p>
    <w:p w14:paraId="1B4ADBCE" w14:textId="77777777" w:rsidR="00C321B1" w:rsidRDefault="00C321B1" w:rsidP="008A1CE8">
      <w:pPr>
        <w:pStyle w:val="Redaliapuces"/>
        <w:numPr>
          <w:ilvl w:val="1"/>
          <w:numId w:val="34"/>
        </w:numPr>
        <w:spacing w:before="0"/>
      </w:pPr>
      <w:r>
        <w:t>Les expériences sur le même thème ;</w:t>
      </w:r>
    </w:p>
    <w:p w14:paraId="21DF24B0" w14:textId="77777777" w:rsidR="00C321B1" w:rsidRDefault="00C321B1" w:rsidP="008A1CE8">
      <w:pPr>
        <w:pStyle w:val="Redaliapuces"/>
        <w:numPr>
          <w:ilvl w:val="1"/>
          <w:numId w:val="34"/>
        </w:numPr>
        <w:spacing w:before="0"/>
      </w:pPr>
      <w:r>
        <w:t>Les références ;</w:t>
      </w:r>
    </w:p>
    <w:p w14:paraId="088F25EB" w14:textId="77777777" w:rsidR="00C321B1" w:rsidRDefault="00C321B1" w:rsidP="008A1CE8">
      <w:pPr>
        <w:pStyle w:val="Redaliapuces"/>
        <w:numPr>
          <w:ilvl w:val="1"/>
          <w:numId w:val="34"/>
        </w:numPr>
        <w:spacing w:before="0"/>
      </w:pPr>
      <w:r>
        <w:t>L’expérience professionnelle et pédagogique ;</w:t>
      </w:r>
    </w:p>
    <w:p w14:paraId="76AE61C3" w14:textId="77777777" w:rsidR="00C321B1" w:rsidRDefault="00C321B1" w:rsidP="008A1CE8">
      <w:pPr>
        <w:pStyle w:val="Redaliapuces"/>
        <w:numPr>
          <w:ilvl w:val="0"/>
          <w:numId w:val="34"/>
        </w:numPr>
      </w:pPr>
      <w:r>
        <w:t xml:space="preserve">Un modèle du recueil d’instruction générale de sécurité électrique en fonction du niveau d’habilitation visé par chaque formation indiquée au CCTP ; </w:t>
      </w:r>
    </w:p>
    <w:p w14:paraId="0A2B8CB2" w14:textId="2A1B945E" w:rsidR="00C321B1" w:rsidRDefault="00C321B1" w:rsidP="008A1CE8">
      <w:pPr>
        <w:pStyle w:val="Redaliapuces"/>
        <w:numPr>
          <w:ilvl w:val="0"/>
          <w:numId w:val="34"/>
        </w:numPr>
      </w:pPr>
      <w:r>
        <w:t xml:space="preserve">Un descriptif du déroulement de chaque module par journée, ainsi que la durée respectivement consacrée à la partie théorique et à la partie pratique, sachant que cette dernière représente au minimum 25 % de la formation. </w:t>
      </w:r>
    </w:p>
    <w:p w14:paraId="0E756053" w14:textId="299D2C8D" w:rsidR="00376475" w:rsidRPr="00376475" w:rsidRDefault="00376475" w:rsidP="00C321B1">
      <w:pPr>
        <w:pStyle w:val="Redaliapuces"/>
        <w:rPr>
          <w:b/>
          <w:bCs/>
          <w:u w:val="single"/>
        </w:rPr>
      </w:pPr>
      <w:r w:rsidRPr="00376475">
        <w:rPr>
          <w:b/>
          <w:bCs/>
          <w:u w:val="single"/>
        </w:rPr>
        <w:t>En complément de ces éléments</w:t>
      </w:r>
      <w:r>
        <w:rPr>
          <w:b/>
          <w:bCs/>
          <w:u w:val="single"/>
        </w:rPr>
        <w:t xml:space="preserve"> devant être produits pour chaque lot</w:t>
      </w:r>
      <w:r w:rsidR="008A1CE8">
        <w:rPr>
          <w:b/>
          <w:bCs/>
          <w:u w:val="single"/>
        </w:rPr>
        <w:t>,</w:t>
      </w:r>
      <w:r w:rsidRPr="00376475">
        <w:rPr>
          <w:b/>
          <w:bCs/>
          <w:u w:val="single"/>
        </w:rPr>
        <w:t xml:space="preserve"> les candidats </w:t>
      </w:r>
      <w:r>
        <w:rPr>
          <w:b/>
          <w:bCs/>
          <w:u w:val="single"/>
        </w:rPr>
        <w:t>transmettent</w:t>
      </w:r>
      <w:r w:rsidRPr="00376475">
        <w:rPr>
          <w:b/>
          <w:bCs/>
          <w:u w:val="single"/>
        </w:rPr>
        <w:t xml:space="preserve"> les documents suivants selon le lot</w:t>
      </w:r>
      <w:r>
        <w:rPr>
          <w:b/>
          <w:bCs/>
          <w:u w:val="single"/>
        </w:rPr>
        <w:t xml:space="preserve"> </w:t>
      </w:r>
      <w:r w:rsidR="000A2B95">
        <w:rPr>
          <w:b/>
          <w:bCs/>
          <w:u w:val="single"/>
        </w:rPr>
        <w:t>concerné</w:t>
      </w:r>
      <w:r w:rsidRPr="00376475">
        <w:rPr>
          <w:b/>
          <w:bCs/>
          <w:u w:val="single"/>
        </w:rPr>
        <w:t xml:space="preserve"> : </w:t>
      </w:r>
    </w:p>
    <w:p w14:paraId="2E7B6D8E" w14:textId="77777777" w:rsidR="00376475" w:rsidRDefault="00C321B1" w:rsidP="008A1CE8">
      <w:pPr>
        <w:pStyle w:val="Paragraphedeliste"/>
        <w:numPr>
          <w:ilvl w:val="0"/>
          <w:numId w:val="35"/>
        </w:numPr>
        <w:autoSpaceDE w:val="0"/>
        <w:jc w:val="both"/>
        <w:rPr>
          <w:rFonts w:cs="Open Sans"/>
          <w:b/>
          <w:szCs w:val="18"/>
          <w:u w:val="single"/>
        </w:rPr>
      </w:pPr>
      <w:r w:rsidRPr="00376475">
        <w:rPr>
          <w:rFonts w:cs="Open Sans"/>
          <w:b/>
          <w:szCs w:val="18"/>
          <w:u w:val="single"/>
        </w:rPr>
        <w:t xml:space="preserve">Lot 1 : </w:t>
      </w:r>
    </w:p>
    <w:p w14:paraId="652A79E6" w14:textId="2C400137" w:rsidR="00C321B1" w:rsidRPr="00376475" w:rsidRDefault="00C321B1" w:rsidP="008A1CE8">
      <w:pPr>
        <w:pStyle w:val="Redaliapuces"/>
        <w:numPr>
          <w:ilvl w:val="1"/>
          <w:numId w:val="34"/>
        </w:numPr>
        <w:spacing w:before="0"/>
      </w:pPr>
      <w:r w:rsidRPr="00376475">
        <w:t xml:space="preserve">1 Exemplaire du document d’aide destiné à l’encadrement </w:t>
      </w:r>
    </w:p>
    <w:p w14:paraId="29934EB6" w14:textId="500880E0" w:rsidR="00C321B1" w:rsidRPr="00376475" w:rsidRDefault="00C321B1" w:rsidP="008A1CE8">
      <w:pPr>
        <w:pStyle w:val="Redaliapuces"/>
        <w:numPr>
          <w:ilvl w:val="1"/>
          <w:numId w:val="34"/>
        </w:numPr>
        <w:spacing w:before="0"/>
      </w:pPr>
      <w:r w:rsidRPr="00376475">
        <w:t xml:space="preserve">1 Exemplaire du recueil d’instruction générale de sécurité électrique par niveau d’habilitation </w:t>
      </w:r>
    </w:p>
    <w:p w14:paraId="133F7403" w14:textId="7FA3C4BF" w:rsidR="00C321B1" w:rsidRDefault="00C321B1" w:rsidP="008A1CE8">
      <w:pPr>
        <w:pStyle w:val="Redaliapuces"/>
        <w:numPr>
          <w:ilvl w:val="1"/>
          <w:numId w:val="34"/>
        </w:numPr>
        <w:spacing w:before="0"/>
      </w:pPr>
      <w:r w:rsidRPr="00376475">
        <w:t xml:space="preserve">1 Exemplaire de l’évaluation des acquis </w:t>
      </w:r>
    </w:p>
    <w:p w14:paraId="04524D0B" w14:textId="77777777" w:rsidR="00C321B1" w:rsidRDefault="00C321B1" w:rsidP="00C321B1">
      <w:pPr>
        <w:autoSpaceDE w:val="0"/>
        <w:ind w:left="708"/>
        <w:jc w:val="both"/>
        <w:rPr>
          <w:rFonts w:ascii="Century Gothic" w:hAnsi="Century Gothic" w:cs="Open Sans"/>
          <w:bCs/>
          <w:color w:val="000000"/>
          <w:szCs w:val="18"/>
        </w:rPr>
      </w:pPr>
    </w:p>
    <w:p w14:paraId="64624A14" w14:textId="77777777" w:rsidR="00C321B1" w:rsidRPr="00376475" w:rsidRDefault="00C321B1" w:rsidP="008A1CE8">
      <w:pPr>
        <w:pStyle w:val="Paragraphedeliste"/>
        <w:numPr>
          <w:ilvl w:val="0"/>
          <w:numId w:val="35"/>
        </w:numPr>
        <w:autoSpaceDE w:val="0"/>
        <w:jc w:val="both"/>
        <w:rPr>
          <w:rFonts w:cs="Open Sans"/>
          <w:b/>
          <w:bCs/>
          <w:color w:val="000000"/>
          <w:szCs w:val="18"/>
          <w:u w:val="single"/>
        </w:rPr>
      </w:pPr>
      <w:r w:rsidRPr="00376475">
        <w:rPr>
          <w:rFonts w:cs="Open Sans"/>
          <w:b/>
          <w:bCs/>
          <w:color w:val="000000"/>
          <w:szCs w:val="18"/>
          <w:u w:val="single"/>
        </w:rPr>
        <w:t xml:space="preserve">Lots 1 et 2 : </w:t>
      </w:r>
    </w:p>
    <w:p w14:paraId="29C0CC1D" w14:textId="77777777" w:rsidR="00C321B1" w:rsidRPr="00376475" w:rsidRDefault="00C321B1" w:rsidP="008A1CE8">
      <w:pPr>
        <w:pStyle w:val="Redaliapuces"/>
        <w:numPr>
          <w:ilvl w:val="1"/>
          <w:numId w:val="34"/>
        </w:numPr>
        <w:spacing w:before="0"/>
      </w:pPr>
      <w:r w:rsidRPr="00376475">
        <w:lastRenderedPageBreak/>
        <w:t xml:space="preserve">1 exemplaire du document pédagogique remis aux stagiaires </w:t>
      </w:r>
    </w:p>
    <w:p w14:paraId="64634F1F" w14:textId="77777777" w:rsidR="00C321B1" w:rsidRPr="00376475" w:rsidRDefault="00C321B1" w:rsidP="008A1CE8">
      <w:pPr>
        <w:pStyle w:val="Redaliapuces"/>
        <w:numPr>
          <w:ilvl w:val="1"/>
          <w:numId w:val="34"/>
        </w:numPr>
        <w:spacing w:before="0"/>
      </w:pPr>
      <w:r w:rsidRPr="00376475">
        <w:t xml:space="preserve">1 exemplaire des supports pédagogiques utilisés </w:t>
      </w:r>
    </w:p>
    <w:p w14:paraId="195D739C" w14:textId="5FC29A9A" w:rsidR="008A1CE8" w:rsidRDefault="008A1CE8" w:rsidP="008A1CE8">
      <w:pPr>
        <w:pStyle w:val="Redaliapuces"/>
        <w:numPr>
          <w:ilvl w:val="1"/>
          <w:numId w:val="34"/>
        </w:numPr>
        <w:spacing w:before="0"/>
      </w:pPr>
      <w:r>
        <w:rPr>
          <w:noProof/>
        </w:rPr>
        <mc:AlternateContent>
          <mc:Choice Requires="wps">
            <w:drawing>
              <wp:anchor distT="45720" distB="45720" distL="114300" distR="114300" simplePos="0" relativeHeight="251660288" behindDoc="0" locked="0" layoutInCell="1" allowOverlap="1" wp14:anchorId="4C20077A" wp14:editId="590B8293">
                <wp:simplePos x="0" y="0"/>
                <wp:positionH relativeFrom="margin">
                  <wp:align>center</wp:align>
                </wp:positionH>
                <wp:positionV relativeFrom="paragraph">
                  <wp:posOffset>280086</wp:posOffset>
                </wp:positionV>
                <wp:extent cx="5493385" cy="848360"/>
                <wp:effectExtent l="0" t="0" r="12065" b="279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848360"/>
                        </a:xfrm>
                        <a:prstGeom prst="rect">
                          <a:avLst/>
                        </a:prstGeom>
                        <a:solidFill>
                          <a:srgbClr val="FFFFFF"/>
                        </a:solidFill>
                        <a:ln w="9525">
                          <a:solidFill>
                            <a:srgbClr val="C00000"/>
                          </a:solidFill>
                          <a:miter lim="800000"/>
                          <a:headEnd/>
                          <a:tailEnd/>
                        </a:ln>
                      </wps:spPr>
                      <wps:txbx>
                        <w:txbxContent>
                          <w:p w14:paraId="2095CE12" w14:textId="763FB6C3" w:rsidR="008A1CE8" w:rsidRPr="008A1CE8" w:rsidRDefault="008A1CE8" w:rsidP="008A1CE8">
                            <w:pPr>
                              <w:pStyle w:val="RedaliaNormal"/>
                              <w:rPr>
                                <w:b/>
                                <w:bCs/>
                                <w:color w:val="C00000"/>
                              </w:rPr>
                            </w:pPr>
                            <w:r w:rsidRPr="008A1CE8">
                              <w:rPr>
                                <w:b/>
                                <w:bCs/>
                                <w:color w:val="C00000"/>
                              </w:rPr>
                              <w:t>Le candidat sera tenu de déposer une offre dans le cadre d’une formation en intra-entreprise ET en inter-entreprises. Il précisera son prix par groupe et par session pour les formations int</w:t>
                            </w:r>
                            <w:r w:rsidR="00D20BAC">
                              <w:rPr>
                                <w:b/>
                                <w:bCs/>
                                <w:color w:val="C00000"/>
                              </w:rPr>
                              <w:t>er</w:t>
                            </w:r>
                            <w:r w:rsidRPr="008A1CE8">
                              <w:rPr>
                                <w:b/>
                                <w:bCs/>
                                <w:color w:val="C00000"/>
                              </w:rPr>
                              <w:t>–</w:t>
                            </w:r>
                            <w:r w:rsidR="00282C07">
                              <w:rPr>
                                <w:b/>
                                <w:bCs/>
                                <w:color w:val="C00000"/>
                              </w:rPr>
                              <w:t>entreprises</w:t>
                            </w:r>
                            <w:r w:rsidRPr="008A1CE8">
                              <w:rPr>
                                <w:b/>
                                <w:bCs/>
                                <w:color w:val="C00000"/>
                              </w:rPr>
                              <w:t xml:space="preserve"> dans ses locaux ET son prix par stagiaire et par session, pour les formations intr</w:t>
                            </w:r>
                            <w:r w:rsidR="00D20BAC">
                              <w:rPr>
                                <w:b/>
                                <w:bCs/>
                                <w:color w:val="C00000"/>
                              </w:rPr>
                              <w:t>a</w:t>
                            </w:r>
                            <w:r w:rsidRPr="008A1CE8">
                              <w:rPr>
                                <w:b/>
                                <w:bCs/>
                                <w:color w:val="C00000"/>
                              </w:rPr>
                              <w:t>-entreprises</w:t>
                            </w:r>
                            <w:r w:rsidR="007E1234">
                              <w:rPr>
                                <w:b/>
                                <w:bCs/>
                                <w:color w:val="C00000"/>
                              </w:rPr>
                              <w:t xml:space="preserve"> </w:t>
                            </w:r>
                            <w:r w:rsidR="007E1234" w:rsidRPr="008A1CE8">
                              <w:rPr>
                                <w:b/>
                                <w:bCs/>
                                <w:color w:val="C00000"/>
                              </w:rPr>
                              <w:t>dans les locaux de l’AP-HP</w:t>
                            </w:r>
                            <w:r w:rsidRPr="008A1CE8">
                              <w:rPr>
                                <w:b/>
                                <w:bCs/>
                                <w:color w:val="C00000"/>
                              </w:rPr>
                              <w:t xml:space="preserve">. </w:t>
                            </w:r>
                          </w:p>
                          <w:p w14:paraId="722412D9" w14:textId="5642E759" w:rsidR="008A1CE8" w:rsidRDefault="008A1C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0077A" id="_x0000_t202" coordsize="21600,21600" o:spt="202" path="m,l,21600r21600,l21600,xe">
                <v:stroke joinstyle="miter"/>
                <v:path gradientshapeok="t" o:connecttype="rect"/>
              </v:shapetype>
              <v:shape id="Zone de texte 2" o:spid="_x0000_s1026" type="#_x0000_t202" style="position:absolute;left:0;text-align:left;margin-left:0;margin-top:22.05pt;width:432.55pt;height:66.8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" strokecolor="#c00000">
                <v:textbox>
                  <w:txbxContent>
                    <w:p w14:paraId="2095CE12" w14:textId="763FB6C3" w:rsidR="008A1CE8" w:rsidRPr="008A1CE8" w:rsidRDefault="008A1CE8" w:rsidP="008A1CE8">
                      <w:pPr>
                        <w:pStyle w:val="RedaliaNormal"/>
                        <w:rPr>
                          <w:b/>
                          <w:bCs/>
                          <w:color w:val="C00000"/>
                        </w:rPr>
                      </w:pPr>
                      <w:r w:rsidRPr="008A1CE8">
                        <w:rPr>
                          <w:b/>
                          <w:bCs/>
                          <w:color w:val="C00000"/>
                        </w:rPr>
                        <w:t>Le candidat sera tenu de déposer une offre dans le cadre d’une formation en intra-entreprise ET en inter-entreprises. Il précisera son prix par groupe et par session pour les formations int</w:t>
                      </w:r>
                      <w:r w:rsidR="00D20BAC">
                        <w:rPr>
                          <w:b/>
                          <w:bCs/>
                          <w:color w:val="C00000"/>
                        </w:rPr>
                        <w:t>er</w:t>
                      </w:r>
                      <w:r w:rsidRPr="008A1CE8">
                        <w:rPr>
                          <w:b/>
                          <w:bCs/>
                          <w:color w:val="C00000"/>
                        </w:rPr>
                        <w:t>–</w:t>
                      </w:r>
                      <w:r w:rsidR="00282C07">
                        <w:rPr>
                          <w:b/>
                          <w:bCs/>
                          <w:color w:val="C00000"/>
                        </w:rPr>
                        <w:t>entreprises</w:t>
                      </w:r>
                      <w:r w:rsidRPr="008A1CE8">
                        <w:rPr>
                          <w:b/>
                          <w:bCs/>
                          <w:color w:val="C00000"/>
                        </w:rPr>
                        <w:t xml:space="preserve"> dans ses locaux ET son prix par stagiaire et par session, pour les formations intr</w:t>
                      </w:r>
                      <w:r w:rsidR="00D20BAC">
                        <w:rPr>
                          <w:b/>
                          <w:bCs/>
                          <w:color w:val="C00000"/>
                        </w:rPr>
                        <w:t>a</w:t>
                      </w:r>
                      <w:r w:rsidRPr="008A1CE8">
                        <w:rPr>
                          <w:b/>
                          <w:bCs/>
                          <w:color w:val="C00000"/>
                        </w:rPr>
                        <w:t>-entreprises</w:t>
                      </w:r>
                      <w:r w:rsidR="007E1234">
                        <w:rPr>
                          <w:b/>
                          <w:bCs/>
                          <w:color w:val="C00000"/>
                        </w:rPr>
                        <w:t xml:space="preserve"> </w:t>
                      </w:r>
                      <w:r w:rsidR="007E1234" w:rsidRPr="008A1CE8">
                        <w:rPr>
                          <w:b/>
                          <w:bCs/>
                          <w:color w:val="C00000"/>
                        </w:rPr>
                        <w:t>dans les locaux de l’AP-HP</w:t>
                      </w:r>
                      <w:r w:rsidRPr="008A1CE8">
                        <w:rPr>
                          <w:b/>
                          <w:bCs/>
                          <w:color w:val="C00000"/>
                        </w:rPr>
                        <w:t xml:space="preserve">. </w:t>
                      </w:r>
                    </w:p>
                    <w:p w14:paraId="722412D9" w14:textId="5642E759" w:rsidR="008A1CE8" w:rsidRDefault="008A1CE8"/>
                  </w:txbxContent>
                </v:textbox>
                <w10:wrap type="square" anchorx="margin"/>
              </v:shape>
            </w:pict>
          </mc:Fallback>
        </mc:AlternateContent>
      </w:r>
      <w:r w:rsidR="00C321B1" w:rsidRPr="00376475">
        <w:t xml:space="preserve">1 exemplaire de l’évaluation des acquis </w:t>
      </w:r>
    </w:p>
    <w:p w14:paraId="7858BF7E" w14:textId="77777777" w:rsidR="007A0A93" w:rsidRDefault="00615EB1">
      <w:pPr>
        <w:pStyle w:val="RedaliaNormal"/>
      </w:pPr>
      <w:r>
        <w:t>La signature des documents ci-dessus est souhaitée dès le dépôt des plis, cependant l’absence ou l’invalidité de la signature constatée lors de l’ouverture des plis n’est pas éliminatoire. En tout état de cause, le candidat demeure engagé par son offre.</w:t>
      </w:r>
    </w:p>
    <w:p w14:paraId="7FB72B6C" w14:textId="77777777" w:rsidR="007A0A93" w:rsidRDefault="00615EB1">
      <w:pPr>
        <w:pStyle w:val="RedaliaNormal"/>
      </w:pPr>
      <w:r>
        <w:t>Le candidat est tenu de répondre à la totalité des prestations ou des articles désignés</w:t>
      </w:r>
    </w:p>
    <w:p w14:paraId="3109C8BE" w14:textId="77777777" w:rsidR="007A0A93" w:rsidRDefault="00615EB1">
      <w:pPr>
        <w:pStyle w:val="western"/>
      </w:pPr>
      <w:r>
        <w:rPr>
          <w:b/>
          <w:bCs/>
          <w:color w:val="000000"/>
          <w:szCs w:val="18"/>
          <w:u w:val="single"/>
        </w:rPr>
        <w:t>Le candidat est tenu de respecter la présentation des grilles tarifaires définies par l’administration. Tout ajout ou suppression peut entraîner l’élimination du candidat.</w:t>
      </w:r>
    </w:p>
    <w:p w14:paraId="0C9BC2FF" w14:textId="3B3745D3" w:rsidR="007A0A93" w:rsidRDefault="00615EB1">
      <w:pPr>
        <w:pStyle w:val="RedaliaNormal"/>
      </w:pPr>
      <w:r>
        <w:t>Dans le cas de groupement de candidats, l’acte d’engagement ainsi que les annexes financières devront être signés électroniquement soit par le mandataire expressément désigné et tous les membres soit par le mandataire du groupement, s’il justifie des habilitations nécessaires pour représenter ces entreprises.</w:t>
      </w:r>
    </w:p>
    <w:p w14:paraId="7801FA98" w14:textId="77777777" w:rsidR="007A0A93" w:rsidRDefault="00615EB1">
      <w:pPr>
        <w:pStyle w:val="RedaliaNormal"/>
        <w:rPr>
          <w:b/>
          <w:bCs/>
        </w:rPr>
      </w:pPr>
      <w:r>
        <w:rPr>
          <w:b/>
          <w:bCs/>
        </w:rPr>
        <w:t>La production des documents listées ci-dessus dûment complétés conditionnent la validité de l’offre.</w:t>
      </w:r>
    </w:p>
    <w:p w14:paraId="7883FB7C" w14:textId="77777777" w:rsidR="007A0A93" w:rsidRDefault="00615EB1">
      <w:pPr>
        <w:pStyle w:val="RedaliaNormal"/>
      </w:pPr>
      <w:r>
        <w:t>Le CCAP et les documents remis par le pouvoir adjudicateur, à l’exception de ceux visés ci-dessus et leurs annexes ne sont pas à remettre dans l’offre. Seuls les documents détenus par le pouvoir adjudicateur font foi.</w:t>
      </w:r>
    </w:p>
    <w:p w14:paraId="7A53AA52" w14:textId="77777777" w:rsidR="007A0A93" w:rsidRDefault="00615EB1" w:rsidP="00C321B1">
      <w:pPr>
        <w:pStyle w:val="RedaliaTitre3"/>
        <w:ind w:left="993"/>
      </w:pPr>
      <w:bookmarkStart w:id="61" w:name="__RefHeading___Toc60292_868557434"/>
      <w:bookmarkStart w:id="62" w:name="_Toc224552576"/>
      <w:r>
        <w:t>Documents complémentaires souhaités par l’AP-HP</w:t>
      </w:r>
      <w:bookmarkEnd w:id="61"/>
      <w:bookmarkEnd w:id="62"/>
    </w:p>
    <w:p w14:paraId="76BA09BE" w14:textId="427CAF83" w:rsidR="007A0A93" w:rsidRDefault="00615EB1" w:rsidP="008A1CE8">
      <w:pPr>
        <w:pStyle w:val="RdaliaRetraitniveau1"/>
        <w:numPr>
          <w:ilvl w:val="0"/>
          <w:numId w:val="38"/>
        </w:numPr>
      </w:pPr>
      <w:r>
        <w:t xml:space="preserve">Un extrait du </w:t>
      </w:r>
      <w:proofErr w:type="spellStart"/>
      <w:r>
        <w:t>Kbis</w:t>
      </w:r>
      <w:proofErr w:type="spellEnd"/>
      <w:r>
        <w:t xml:space="preserve"> ou équivalent (datant de moins de trois mois à la date d’envoi de la candidature) ainsi que la composition du capital</w:t>
      </w:r>
      <w:r w:rsidR="008813BC">
        <w:t> ;</w:t>
      </w:r>
    </w:p>
    <w:p w14:paraId="5A14A4E6" w14:textId="4DC82121" w:rsidR="007A0A93" w:rsidRDefault="00615EB1" w:rsidP="008A1CE8">
      <w:pPr>
        <w:pStyle w:val="RdaliaRetraitniveau1"/>
        <w:numPr>
          <w:ilvl w:val="0"/>
          <w:numId w:val="38"/>
        </w:numPr>
      </w:pPr>
      <w:r>
        <w:t>Un RIB</w:t>
      </w:r>
      <w:r w:rsidR="008813BC">
        <w:t> ;</w:t>
      </w:r>
    </w:p>
    <w:p w14:paraId="6506F487" w14:textId="28035B2F" w:rsidR="007A0A93" w:rsidRDefault="00615EB1" w:rsidP="008A1CE8">
      <w:pPr>
        <w:pStyle w:val="RdaliaRetraitniveau1"/>
        <w:numPr>
          <w:ilvl w:val="0"/>
          <w:numId w:val="38"/>
        </w:numPr>
      </w:pPr>
      <w:r>
        <w:t>Une facture vierge (les conditions Générales de Ventes sont systématiquement nulles et non avenues)</w:t>
      </w:r>
      <w:r w:rsidR="008813BC">
        <w:t> ;</w:t>
      </w:r>
    </w:p>
    <w:p w14:paraId="56DFCB3D" w14:textId="23CDE35B" w:rsidR="007A0A93" w:rsidRDefault="00615EB1" w:rsidP="008A1CE8">
      <w:pPr>
        <w:pStyle w:val="RdaliaRetraitniveau1"/>
        <w:numPr>
          <w:ilvl w:val="0"/>
          <w:numId w:val="38"/>
        </w:numPr>
      </w:pPr>
      <w:r>
        <w:t>Le Manuel Qualité, si la société est certifiée selon la norme ISO 9001</w:t>
      </w:r>
      <w:r w:rsidR="008813BC">
        <w:t>.</w:t>
      </w:r>
    </w:p>
    <w:p w14:paraId="6284C816" w14:textId="77777777" w:rsidR="007A0A93" w:rsidRDefault="00615EB1">
      <w:pPr>
        <w:pStyle w:val="RedaliaNormal"/>
      </w:pPr>
      <w:r>
        <w:t>Il est rappelé aux candidats que la signature de l’acte d’engagement vaut acceptation de toutes les pièces contractuelles.</w:t>
      </w:r>
    </w:p>
    <w:p w14:paraId="1AFCE789" w14:textId="77777777" w:rsidR="007A0A93" w:rsidRDefault="00615EB1">
      <w:pPr>
        <w:pStyle w:val="RedaliaNormal"/>
      </w:pPr>
      <w:r>
        <w:t>La production des documents listés ci-dessus dûment complétés contribue à la validité de l’offre. La faculté de régularisation des offres, telle que prévue à l’article R 2152-2 du Code de la commande publique, est laissée à la discrétion de l’administration.</w:t>
      </w:r>
    </w:p>
    <w:p w14:paraId="734B29B0" w14:textId="77777777" w:rsidR="007A0A93" w:rsidRDefault="00615EB1">
      <w:pPr>
        <w:pStyle w:val="RedaliaNormal"/>
      </w:pPr>
      <w:r>
        <w:t>L’absence ou l’invalidité de la signature électronique n’entraînera pas l’élimination du candidat mais celui-ci sera invité en cas d’attribution à signer sous forme matérialisée les principaux documents constitutifs de son offre soit l’acte d’engagement et les annexes financières.</w:t>
      </w:r>
    </w:p>
    <w:p w14:paraId="258B4A9D" w14:textId="77777777" w:rsidR="007A0A93" w:rsidRDefault="00615EB1" w:rsidP="00C321B1">
      <w:pPr>
        <w:pStyle w:val="RedaliaTitre2"/>
        <w:ind w:left="851"/>
      </w:pPr>
      <w:bookmarkStart w:id="63" w:name="_Toc64213668"/>
      <w:bookmarkStart w:id="64" w:name="__RefHeading___Toc60294_868557434"/>
      <w:bookmarkStart w:id="65" w:name="_Toc224552577"/>
      <w:r>
        <w:t>Présentation des candidatures et des offres dématérialisées</w:t>
      </w:r>
      <w:bookmarkEnd w:id="63"/>
      <w:bookmarkEnd w:id="64"/>
      <w:bookmarkEnd w:id="65"/>
    </w:p>
    <w:p w14:paraId="6BBA1E4F" w14:textId="77777777" w:rsidR="007A0A93" w:rsidRDefault="00615EB1">
      <w:pPr>
        <w:pStyle w:val="RedaliaNormal"/>
      </w:pPr>
      <w:r>
        <w:t>Lors de la transmission par voie électronique, l’enveloppe du candidat sera constituée de deux dossiers intitulés : :</w:t>
      </w:r>
    </w:p>
    <w:p w14:paraId="5E299C28" w14:textId="77777777" w:rsidR="007A0A93" w:rsidRDefault="00615EB1" w:rsidP="008A1CE8">
      <w:pPr>
        <w:pStyle w:val="Redaliapuces"/>
        <w:numPr>
          <w:ilvl w:val="0"/>
          <w:numId w:val="35"/>
        </w:numPr>
      </w:pPr>
      <w:r>
        <w:t>« </w:t>
      </w:r>
      <w:r>
        <w:rPr>
          <w:b/>
          <w:bCs/>
        </w:rPr>
        <w:t>Candidature</w:t>
      </w:r>
      <w:r>
        <w:t> » comprenant les éléments demandés à l’article relatif aux « éléments nécessaires à la sélection des candidatures »</w:t>
      </w:r>
    </w:p>
    <w:p w14:paraId="7D589440" w14:textId="77777777" w:rsidR="007A0A93" w:rsidRDefault="00615EB1" w:rsidP="008A1CE8">
      <w:pPr>
        <w:pStyle w:val="Redaliapuces"/>
        <w:numPr>
          <w:ilvl w:val="0"/>
          <w:numId w:val="35"/>
        </w:numPr>
      </w:pPr>
      <w:r>
        <w:t>« </w:t>
      </w:r>
      <w:r>
        <w:rPr>
          <w:b/>
          <w:bCs/>
        </w:rPr>
        <w:t>Offre technique et financière</w:t>
      </w:r>
      <w:r>
        <w:t> » comprenant les éléments demandés à l’article relatifs aux « éléments nécessaires au choix de l’offre »</w:t>
      </w:r>
      <w:r>
        <w:rPr>
          <w:i/>
          <w:iCs/>
        </w:rPr>
        <w:t>.</w:t>
      </w:r>
    </w:p>
    <w:p w14:paraId="4A3C66C4" w14:textId="77777777" w:rsidR="007A0A93" w:rsidRDefault="00615EB1">
      <w:pPr>
        <w:pStyle w:val="RedaliaNormal"/>
      </w:pPr>
      <w:r>
        <w:t>Pour garantir au mieux le bon déroulement de cette procédure dématérialisée, le candidat doit tenir compte des indications suivantes :</w:t>
      </w:r>
    </w:p>
    <w:p w14:paraId="0A3F4F70" w14:textId="77777777" w:rsidR="007A0A93" w:rsidRDefault="00615EB1">
      <w:pPr>
        <w:pStyle w:val="RedaliaNormal"/>
        <w:rPr>
          <w:b/>
          <w:bCs/>
          <w:u w:val="single"/>
        </w:rPr>
      </w:pPr>
      <w:r>
        <w:rPr>
          <w:b/>
          <w:bCs/>
          <w:u w:val="single"/>
        </w:rPr>
        <w:lastRenderedPageBreak/>
        <w:t>L’offre doit être présentée selon des formats utilisés dans les documents du DCE</w:t>
      </w:r>
    </w:p>
    <w:p w14:paraId="39D7342F" w14:textId="77777777" w:rsidR="007A0A93" w:rsidRDefault="00615EB1">
      <w:pPr>
        <w:pStyle w:val="RedaliaNormal"/>
      </w:pPr>
      <w:r>
        <w:t>Les documents demandés sont transmis sous la forme de fichiers dans l’un des formats suivants : ZIP, RTF, DOC, XLS, PDF, DWG, DXF.</w:t>
      </w:r>
    </w:p>
    <w:p w14:paraId="0FF9C745" w14:textId="77777777" w:rsidR="007A0A93" w:rsidRDefault="00615EB1">
      <w:pPr>
        <w:pStyle w:val="RedaliaNormal"/>
      </w:pPr>
      <w:r>
        <w:t>Les documents suivants doivent être présentés dans un format et une version informatique a minima compatible avec les fichiers téléchargés sur la plate-forme :</w:t>
      </w:r>
    </w:p>
    <w:p w14:paraId="7C5E4D85" w14:textId="77777777" w:rsidR="007A0A93" w:rsidRDefault="00615EB1">
      <w:pPr>
        <w:pStyle w:val="RedaliaNormal"/>
      </w:pPr>
      <w:r>
        <w:t>https://www.marches-publics.gouv.fr/. :</w:t>
      </w:r>
    </w:p>
    <w:p w14:paraId="48D0F501" w14:textId="77777777" w:rsidR="007A0A93" w:rsidRDefault="00615EB1" w:rsidP="00C321B1">
      <w:pPr>
        <w:pStyle w:val="RedaliaNormal"/>
        <w:spacing w:before="0"/>
        <w:ind w:left="426"/>
      </w:pPr>
      <w:r>
        <w:t>- Acte d’engagement ;</w:t>
      </w:r>
    </w:p>
    <w:p w14:paraId="135413CA" w14:textId="77777777" w:rsidR="007A0A93" w:rsidRDefault="00615EB1" w:rsidP="00C321B1">
      <w:pPr>
        <w:pStyle w:val="RedaliaNormal"/>
        <w:spacing w:before="0"/>
        <w:ind w:left="426"/>
      </w:pPr>
      <w:r>
        <w:t>- Annexes financières ;</w:t>
      </w:r>
    </w:p>
    <w:p w14:paraId="1B87D97E" w14:textId="77777777" w:rsidR="007A0A93" w:rsidRDefault="00615EB1" w:rsidP="00C321B1">
      <w:pPr>
        <w:pStyle w:val="RedaliaNormal"/>
        <w:spacing w:before="0"/>
        <w:ind w:left="426"/>
      </w:pPr>
      <w:r>
        <w:t>- Cadre de réponse technique.</w:t>
      </w:r>
    </w:p>
    <w:p w14:paraId="778B93E6" w14:textId="77777777" w:rsidR="007A0A93" w:rsidRDefault="00615EB1">
      <w:pPr>
        <w:pStyle w:val="RedaliaNormal"/>
      </w:pPr>
      <w:r>
        <w:t>Ce format permettra le traitement par ACHAT, des données transmises. Il est entendu que les documents fournis par le candidat étant certifiés par la signature électronique, ne seront aucunement modifiés par ACHAT (hormis la partie administrative de l’acte d’engagement – p1 et 3).</w:t>
      </w:r>
    </w:p>
    <w:p w14:paraId="40B5D9AA" w14:textId="77777777" w:rsidR="007A0A93" w:rsidRDefault="00615EB1">
      <w:pPr>
        <w:pStyle w:val="RedaliaNormal"/>
        <w:rPr>
          <w:b/>
          <w:bCs/>
          <w:u w:val="single"/>
        </w:rPr>
      </w:pPr>
      <w:r>
        <w:rPr>
          <w:b/>
          <w:bCs/>
          <w:u w:val="single"/>
        </w:rPr>
        <w:t>Les fichiers du pli dématérialisé doivent respecter une règle de nommage</w:t>
      </w:r>
    </w:p>
    <w:p w14:paraId="1B6C1305" w14:textId="77777777" w:rsidR="007A0A93" w:rsidRDefault="00615EB1">
      <w:pPr>
        <w:pStyle w:val="RedaliaNormal"/>
      </w:pPr>
      <w:r>
        <w:t xml:space="preserve">Afin de faciliter le traitement des offres électroniques dans les meilleures conditions, il est demandé aux candidats de se conformer, </w:t>
      </w:r>
      <w:r>
        <w:rPr>
          <w:u w:val="single"/>
        </w:rPr>
        <w:t>si possible</w:t>
      </w:r>
      <w:r>
        <w:t>, au nommage des fichiers de la façon suivante :</w:t>
      </w:r>
    </w:p>
    <w:p w14:paraId="1C226C81" w14:textId="77777777" w:rsidR="007A0A93" w:rsidRDefault="00615EB1">
      <w:pPr>
        <w:pStyle w:val="RedaliaNormal"/>
      </w:pPr>
      <w:r>
        <w:t>- le nom de l’opérateur économique (ex : société, association, personne publique) : il peut être entier, ou bien être raccourci</w:t>
      </w:r>
    </w:p>
    <w:p w14:paraId="6FA9417D" w14:textId="77777777" w:rsidR="007A0A93" w:rsidRDefault="00615EB1">
      <w:pPr>
        <w:pStyle w:val="RedaliaNormal"/>
      </w:pPr>
      <w:r>
        <w:t>Suivi de :</w:t>
      </w:r>
    </w:p>
    <w:p w14:paraId="4B425431" w14:textId="77777777" w:rsidR="007A0A93" w:rsidRDefault="00615EB1">
      <w:pPr>
        <w:pStyle w:val="RedaliaNormal"/>
      </w:pPr>
      <w:r>
        <w:t xml:space="preserve">- la désignation de la pièce qui devra être la plus claire et </w:t>
      </w:r>
      <w:proofErr w:type="gramStart"/>
      <w:r>
        <w:t>la plus simple possible</w:t>
      </w:r>
      <w:proofErr w:type="gramEnd"/>
    </w:p>
    <w:p w14:paraId="4AA4B856" w14:textId="77777777" w:rsidR="007A0A93" w:rsidRDefault="00615EB1">
      <w:pPr>
        <w:pStyle w:val="RedaliaNormal"/>
      </w:pPr>
      <w:r>
        <w:t>Le nom des fichiers des pièces "importantes" sera précédé du _ (tiret du 8), ceci permettant de les faire figurer en début d'arborescence (Cf exemple). Ces pièces sont notamment :</w:t>
      </w:r>
    </w:p>
    <w:p w14:paraId="2C40A199" w14:textId="77777777" w:rsidR="007A0A93" w:rsidRDefault="00615EB1">
      <w:pPr>
        <w:pStyle w:val="RdaliaRetraitniveau1"/>
        <w:numPr>
          <w:ilvl w:val="0"/>
          <w:numId w:val="14"/>
        </w:numPr>
      </w:pPr>
      <w:proofErr w:type="gramStart"/>
      <w:r>
        <w:t>l'Acte</w:t>
      </w:r>
      <w:proofErr w:type="gramEnd"/>
      <w:r>
        <w:t xml:space="preserve"> d'engagement</w:t>
      </w:r>
    </w:p>
    <w:p w14:paraId="468422B4" w14:textId="77777777" w:rsidR="007A0A93" w:rsidRDefault="00615EB1" w:rsidP="00C321B1">
      <w:pPr>
        <w:pStyle w:val="RdaliaRetraitniveau1"/>
        <w:numPr>
          <w:ilvl w:val="0"/>
          <w:numId w:val="14"/>
        </w:numPr>
        <w:spacing w:before="0"/>
      </w:pPr>
      <w:r>
        <w:t>Le CCAP et ses annexes</w:t>
      </w:r>
    </w:p>
    <w:p w14:paraId="56342F1A" w14:textId="77777777" w:rsidR="007A0A93" w:rsidRDefault="00615EB1" w:rsidP="00C321B1">
      <w:pPr>
        <w:pStyle w:val="RdaliaRetraitniveau1"/>
        <w:numPr>
          <w:ilvl w:val="0"/>
          <w:numId w:val="14"/>
        </w:numPr>
        <w:spacing w:before="0"/>
      </w:pPr>
      <w:r>
        <w:t>Le CCTP et ses annexes</w:t>
      </w:r>
    </w:p>
    <w:p w14:paraId="2AFFDEE0" w14:textId="77777777" w:rsidR="007A0A93" w:rsidRDefault="00615EB1" w:rsidP="00C321B1">
      <w:pPr>
        <w:pStyle w:val="RdaliaRetraitniveau1"/>
        <w:numPr>
          <w:ilvl w:val="0"/>
          <w:numId w:val="14"/>
        </w:numPr>
        <w:spacing w:before="0"/>
      </w:pPr>
      <w:proofErr w:type="gramStart"/>
      <w:r>
        <w:t>le</w:t>
      </w:r>
      <w:proofErr w:type="gramEnd"/>
      <w:r>
        <w:t xml:space="preserve"> CDRF</w:t>
      </w:r>
    </w:p>
    <w:p w14:paraId="3515F677" w14:textId="77777777" w:rsidR="007A0A93" w:rsidRDefault="00615EB1" w:rsidP="00C321B1">
      <w:pPr>
        <w:pStyle w:val="RdaliaRetraitniveau1"/>
        <w:numPr>
          <w:ilvl w:val="0"/>
          <w:numId w:val="14"/>
        </w:numPr>
        <w:spacing w:before="0"/>
      </w:pPr>
      <w:proofErr w:type="gramStart"/>
      <w:r>
        <w:t>le</w:t>
      </w:r>
      <w:proofErr w:type="gramEnd"/>
      <w:r>
        <w:t xml:space="preserve"> CDRT</w:t>
      </w:r>
    </w:p>
    <w:p w14:paraId="269D0AD3" w14:textId="77777777" w:rsidR="007A0A93" w:rsidRDefault="00615EB1" w:rsidP="00C321B1">
      <w:pPr>
        <w:pStyle w:val="RdaliaRetraitniveau1"/>
        <w:numPr>
          <w:ilvl w:val="0"/>
          <w:numId w:val="14"/>
        </w:numPr>
        <w:spacing w:before="0"/>
      </w:pPr>
      <w:proofErr w:type="gramStart"/>
      <w:r>
        <w:t>la</w:t>
      </w:r>
      <w:proofErr w:type="gramEnd"/>
      <w:r>
        <w:t xml:space="preserve"> délégation de pouvoir ou de signature</w:t>
      </w:r>
    </w:p>
    <w:p w14:paraId="71B50117" w14:textId="77777777" w:rsidR="007A0A93" w:rsidRDefault="00615EB1" w:rsidP="00C321B1">
      <w:pPr>
        <w:pStyle w:val="RdaliaRetraitniveau1"/>
        <w:numPr>
          <w:ilvl w:val="0"/>
          <w:numId w:val="14"/>
        </w:numPr>
        <w:spacing w:before="0"/>
      </w:pPr>
      <w:proofErr w:type="gramStart"/>
      <w:r>
        <w:t>le</w:t>
      </w:r>
      <w:proofErr w:type="gramEnd"/>
      <w:r>
        <w:t xml:space="preserve"> DC1</w:t>
      </w:r>
    </w:p>
    <w:p w14:paraId="47F7B149" w14:textId="77777777" w:rsidR="007A0A93" w:rsidRDefault="00615EB1" w:rsidP="00C321B1">
      <w:pPr>
        <w:pStyle w:val="RdaliaRetraitniveau1"/>
        <w:numPr>
          <w:ilvl w:val="0"/>
          <w:numId w:val="14"/>
        </w:numPr>
        <w:spacing w:before="0"/>
      </w:pPr>
      <w:proofErr w:type="gramStart"/>
      <w:r>
        <w:t>le</w:t>
      </w:r>
      <w:proofErr w:type="gramEnd"/>
      <w:r>
        <w:t xml:space="preserve"> DC2</w:t>
      </w:r>
    </w:p>
    <w:p w14:paraId="045926F3" w14:textId="77777777" w:rsidR="007A0A93" w:rsidRDefault="00615EB1" w:rsidP="00C321B1">
      <w:pPr>
        <w:pStyle w:val="RdaliaRetraitniveau1"/>
        <w:numPr>
          <w:ilvl w:val="0"/>
          <w:numId w:val="14"/>
        </w:numPr>
        <w:spacing w:before="0"/>
      </w:pPr>
      <w:proofErr w:type="gramStart"/>
      <w:r>
        <w:t>le</w:t>
      </w:r>
      <w:proofErr w:type="gramEnd"/>
      <w:r>
        <w:t xml:space="preserve"> K Bis</w:t>
      </w:r>
    </w:p>
    <w:p w14:paraId="6B37DB31" w14:textId="77777777" w:rsidR="007A0A93" w:rsidRDefault="00615EB1" w:rsidP="00C321B1">
      <w:pPr>
        <w:pStyle w:val="RdaliaRetraitniveau1"/>
        <w:numPr>
          <w:ilvl w:val="0"/>
          <w:numId w:val="14"/>
        </w:numPr>
        <w:spacing w:before="0"/>
      </w:pPr>
      <w:proofErr w:type="gramStart"/>
      <w:r>
        <w:t>l’attestation</w:t>
      </w:r>
      <w:proofErr w:type="gramEnd"/>
      <w:r>
        <w:t xml:space="preserve"> de régularité des certificats fiscaux et sociaux</w:t>
      </w:r>
    </w:p>
    <w:p w14:paraId="58E0D95D" w14:textId="77777777" w:rsidR="007A0A93" w:rsidRDefault="00615EB1" w:rsidP="00C321B1">
      <w:pPr>
        <w:pStyle w:val="RdaliaRetraitniveau1"/>
        <w:numPr>
          <w:ilvl w:val="0"/>
          <w:numId w:val="14"/>
        </w:numPr>
        <w:spacing w:before="0"/>
      </w:pPr>
      <w:proofErr w:type="gramStart"/>
      <w:r>
        <w:t>le</w:t>
      </w:r>
      <w:proofErr w:type="gramEnd"/>
      <w:r>
        <w:t xml:space="preserve"> RIB</w:t>
      </w:r>
    </w:p>
    <w:p w14:paraId="44FFBAA6" w14:textId="77777777" w:rsidR="007A0A93" w:rsidRDefault="007A0A93">
      <w:pPr>
        <w:pStyle w:val="RedaliaNormal"/>
        <w:rPr>
          <w:u w:val="single"/>
        </w:rPr>
      </w:pPr>
    </w:p>
    <w:p w14:paraId="21A8416E" w14:textId="77777777" w:rsidR="007A0A93" w:rsidRDefault="00615EB1">
      <w:pPr>
        <w:pStyle w:val="RedaliaNormal"/>
        <w:rPr>
          <w:u w:val="single"/>
        </w:rPr>
      </w:pPr>
      <w:r>
        <w:rPr>
          <w:u w:val="single"/>
        </w:rPr>
        <w:t>Exemple :</w:t>
      </w:r>
    </w:p>
    <w:p w14:paraId="7275808F" w14:textId="77777777" w:rsidR="007A0A93" w:rsidRDefault="00615EB1">
      <w:pPr>
        <w:pStyle w:val="Redaliapuces"/>
      </w:pPr>
      <w:r>
        <w:t>Pour le dossier relatif aux pièces de candidature :</w:t>
      </w:r>
    </w:p>
    <w:p w14:paraId="2CA50E37" w14:textId="77777777" w:rsidR="007A0A93" w:rsidRDefault="00615EB1">
      <w:pPr>
        <w:spacing w:before="100" w:after="100"/>
        <w:jc w:val="both"/>
      </w:pPr>
      <w:r>
        <w:rPr>
          <w:noProof/>
          <w:sz w:val="20"/>
        </w:rPr>
        <w:drawing>
          <wp:inline distT="0" distB="0" distL="0" distR="0" wp14:anchorId="2AFF5735" wp14:editId="20C1645F">
            <wp:extent cx="2362315" cy="2028962"/>
            <wp:effectExtent l="0" t="0" r="0" b="9388"/>
            <wp:docPr id="3" name="Picture 2_sdbejn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2362315" cy="2028962"/>
                    </a:xfrm>
                    <a:prstGeom prst="rect">
                      <a:avLst/>
                    </a:prstGeom>
                    <a:noFill/>
                    <a:ln>
                      <a:noFill/>
                      <a:prstDash/>
                    </a:ln>
                  </pic:spPr>
                </pic:pic>
              </a:graphicData>
            </a:graphic>
          </wp:inline>
        </w:drawing>
      </w:r>
    </w:p>
    <w:p w14:paraId="531F1F82" w14:textId="77777777" w:rsidR="007A0A93" w:rsidRDefault="00615EB1">
      <w:pPr>
        <w:pStyle w:val="Redaliapuces"/>
      </w:pPr>
      <w:r>
        <w:rPr>
          <w:u w:val="single"/>
        </w:rPr>
        <w:t>Pour le dossier relatif aux pièces de l’offre</w:t>
      </w:r>
    </w:p>
    <w:p w14:paraId="21488FA4" w14:textId="77777777" w:rsidR="007A0A93" w:rsidRDefault="00615EB1">
      <w:pPr>
        <w:spacing w:before="100" w:after="100"/>
        <w:jc w:val="both"/>
      </w:pPr>
      <w:r>
        <w:rPr>
          <w:noProof/>
          <w:sz w:val="20"/>
        </w:rPr>
        <w:lastRenderedPageBreak/>
        <w:drawing>
          <wp:inline distT="0" distB="0" distL="0" distR="0" wp14:anchorId="36345B5E" wp14:editId="11A1EA3C">
            <wp:extent cx="2114641" cy="1704962"/>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2114641" cy="1704962"/>
                    </a:xfrm>
                    <a:prstGeom prst="rect">
                      <a:avLst/>
                    </a:prstGeom>
                    <a:noFill/>
                    <a:ln>
                      <a:noFill/>
                      <a:prstDash/>
                    </a:ln>
                  </pic:spPr>
                </pic:pic>
              </a:graphicData>
            </a:graphic>
          </wp:inline>
        </w:drawing>
      </w:r>
    </w:p>
    <w:p w14:paraId="77BB5A1F" w14:textId="77777777" w:rsidR="007A0A93" w:rsidRDefault="00615EB1">
      <w:pPr>
        <w:pStyle w:val="RedaliaNormal"/>
      </w:pPr>
      <w:r>
        <w:t>Ce format permettra le traitement par ACHAT, des données transmises. Il est entendu que les documents fournis par le candidat étant certifiés par la signature électronique, ne seront aucunement modifiés par ACHAT (hormis la partie administrative de l’acte d’engagement – p1 et 3).</w:t>
      </w:r>
    </w:p>
    <w:p w14:paraId="697D4567" w14:textId="77777777" w:rsidR="007A0A93" w:rsidRDefault="00615EB1" w:rsidP="00615EB1">
      <w:pPr>
        <w:pStyle w:val="RedaliaTitre1"/>
      </w:pPr>
      <w:bookmarkStart w:id="66" w:name="_Toc64213669"/>
      <w:bookmarkStart w:id="67" w:name="__RefHeading___Toc60296_868557434"/>
      <w:bookmarkStart w:id="68" w:name="_Toc224552578"/>
      <w:r>
        <w:t>Conditions d’envoi et de remise des plis</w:t>
      </w:r>
      <w:bookmarkEnd w:id="66"/>
      <w:bookmarkEnd w:id="67"/>
      <w:bookmarkEnd w:id="68"/>
    </w:p>
    <w:p w14:paraId="05DC8139" w14:textId="77777777" w:rsidR="007A0A93" w:rsidRDefault="00615EB1">
      <w:pPr>
        <w:pStyle w:val="RedaliaNormal"/>
        <w:rPr>
          <w:b/>
        </w:rPr>
      </w:pPr>
      <w:r>
        <w:rPr>
          <w:b/>
        </w:rPr>
        <w:t>La remise des plis par voie dématérialisée est obligatoire conformément à l’article R. 2132-7 du Code de la commande publique</w:t>
      </w:r>
    </w:p>
    <w:p w14:paraId="77562465" w14:textId="77777777" w:rsidR="007A0A93" w:rsidRDefault="00615EB1">
      <w:pPr>
        <w:pStyle w:val="RedaliaNormal"/>
      </w:pPr>
      <w:r>
        <w:t>Les offres sont transmises en une seule fois. Si plusieurs offres sont successivement transmises par un même candidat et pour un même lot, seule est ouverte la dernière offre reçue, par le pouvoir adjudicateur dans le délai fixé pour la remise des candidatures et des offres.</w:t>
      </w:r>
    </w:p>
    <w:p w14:paraId="3EBF3BD7" w14:textId="77777777" w:rsidR="007A0A93" w:rsidRDefault="00615EB1">
      <w:pPr>
        <w:pStyle w:val="RedaliaNormal"/>
      </w:pPr>
      <w:r>
        <w:t>La transmission des documents sur support papier ou sur support physique électronique entrainera l’irrégularité de l’offre du candidat (hors dépôt de la copie de sauvegarde).</w:t>
      </w:r>
    </w:p>
    <w:p w14:paraId="49677867" w14:textId="77777777" w:rsidR="007A0A93" w:rsidRDefault="00615EB1">
      <w:pPr>
        <w:pStyle w:val="RedaliaNormal"/>
      </w:pPr>
      <w:r>
        <w:t>En application de l’article R. 2132-7 du Code de la commande publique, les candidats doivent répondre via le site dont l'adresse Internet est https://www.marches-publics.gouv.fr/</w:t>
      </w:r>
    </w:p>
    <w:p w14:paraId="67BA2095" w14:textId="77777777" w:rsidR="00C321B1" w:rsidRDefault="00C321B1" w:rsidP="00C321B1">
      <w:pPr>
        <w:pStyle w:val="RedaliaNormal"/>
        <w:spacing w:before="0"/>
        <w:jc w:val="center"/>
        <w:rPr>
          <w:b/>
        </w:rPr>
      </w:pPr>
    </w:p>
    <w:p w14:paraId="2182E455" w14:textId="726A0120" w:rsidR="007A0A93" w:rsidRDefault="00615EB1" w:rsidP="00C321B1">
      <w:pPr>
        <w:pStyle w:val="RedaliaNormal"/>
        <w:spacing w:before="0"/>
        <w:jc w:val="center"/>
        <w:rPr>
          <w:b/>
        </w:rPr>
      </w:pPr>
      <w:r>
        <w:rPr>
          <w:b/>
        </w:rPr>
        <w:t>Les plis électroniques devront impérativement être déposés</w:t>
      </w:r>
    </w:p>
    <w:p w14:paraId="357E4D59" w14:textId="77777777" w:rsidR="007A0A93" w:rsidRDefault="00615EB1" w:rsidP="00C321B1">
      <w:pPr>
        <w:pStyle w:val="RedaliaNormal"/>
        <w:spacing w:before="0"/>
        <w:jc w:val="center"/>
      </w:pPr>
      <w:proofErr w:type="gramStart"/>
      <w:r>
        <w:rPr>
          <w:b/>
        </w:rPr>
        <w:t>sur</w:t>
      </w:r>
      <w:proofErr w:type="gramEnd"/>
      <w:r>
        <w:rPr>
          <w:b/>
        </w:rPr>
        <w:t xml:space="preserve"> le site </w:t>
      </w:r>
      <w:hyperlink r:id="rId14" w:history="1">
        <w:r>
          <w:rPr>
            <w:rStyle w:val="Lienhypertexte"/>
            <w:b/>
          </w:rPr>
          <w:t>https://www.marches-publics.gouv.fr/</w:t>
        </w:r>
      </w:hyperlink>
    </w:p>
    <w:p w14:paraId="521A297E" w14:textId="77777777" w:rsidR="008813BC" w:rsidRDefault="008813BC">
      <w:pPr>
        <w:pStyle w:val="RedaliaNormal"/>
        <w:rPr>
          <w:b/>
          <w:color w:val="FF0000"/>
        </w:rPr>
      </w:pPr>
    </w:p>
    <w:p w14:paraId="2DD241B6" w14:textId="17708139" w:rsidR="007A0A93" w:rsidRDefault="00615EB1">
      <w:pPr>
        <w:pStyle w:val="RedaliaNormal"/>
      </w:pPr>
      <w:r>
        <w:t xml:space="preserve">Pour répondre sous forme dématérialisée, le candidat doit être inscrit sur le site </w:t>
      </w:r>
      <w:hyperlink r:id="rId15" w:history="1">
        <w:r>
          <w:rPr>
            <w:rStyle w:val="Lienhypertexte"/>
          </w:rPr>
          <w:t>https://www.marches-publics.gouv.fr/</w:t>
        </w:r>
      </w:hyperlink>
      <w:r>
        <w:t xml:space="preserve"> et la personne habilitée à engager le candidat doit être titulaire d’un certificat électronique afin de signer les fichiers composant sa réponse.</w:t>
      </w:r>
    </w:p>
    <w:p w14:paraId="762FAE44" w14:textId="77777777" w:rsidR="007A0A93" w:rsidRDefault="00615EB1">
      <w:pPr>
        <w:pStyle w:val="RedaliaNormal"/>
      </w:pPr>
      <w:r>
        <w:t>Les documents constitutifs de l’offre (acte d’engagement, annexes financières et cadre de réponse technique) devront être signés à l’aide d’un certificat de signature électronique valide.</w:t>
      </w:r>
    </w:p>
    <w:p w14:paraId="1E3D6E07" w14:textId="77777777" w:rsidR="007A0A93" w:rsidRDefault="00615EB1">
      <w:pPr>
        <w:pStyle w:val="RedaliaNormal"/>
      </w:pPr>
      <w:r>
        <w:t>L’absence ou l’invalidité de la signature électronique n’entraînera pas l’élimination du candidat mais celui-ci sera invité en cas d’attribution à signer sous forme matérialisée les principaux documents constitutifs de son offre soit l’acte d’engagement et les annexes financières.</w:t>
      </w:r>
    </w:p>
    <w:p w14:paraId="35B2B7D1" w14:textId="77777777" w:rsidR="007A0A93" w:rsidRDefault="00615EB1">
      <w:pPr>
        <w:pStyle w:val="RedaliaNormal"/>
      </w:pPr>
      <w:r>
        <w:t>Attention, la signature numérisée (numérisation d’un document papier avec signature manuscrite) n’a pas la valeur d’une signature électronique.</w:t>
      </w:r>
    </w:p>
    <w:p w14:paraId="2442AC63" w14:textId="77777777" w:rsidR="007A0A93" w:rsidRDefault="00615EB1">
      <w:pPr>
        <w:pStyle w:val="RedaliaNormal"/>
      </w:pPr>
      <w:r>
        <w:t xml:space="preserve">Le certificat de signature électronique utilisé doit être conforme aux exigences de l’arrêté du 22 mars 2019 (certificat qualifié et conforme au règlement « </w:t>
      </w:r>
      <w:proofErr w:type="spellStart"/>
      <w:r>
        <w:t>eIDAS</w:t>
      </w:r>
      <w:proofErr w:type="spellEnd"/>
      <w:r>
        <w:t xml:space="preserve"> ») ; les formats de signature acceptés sont </w:t>
      </w:r>
      <w:proofErr w:type="spellStart"/>
      <w:r>
        <w:t>XAdES</w:t>
      </w:r>
      <w:proofErr w:type="spellEnd"/>
      <w:r>
        <w:t xml:space="preserve">, </w:t>
      </w:r>
      <w:proofErr w:type="spellStart"/>
      <w:r>
        <w:t>CAdES</w:t>
      </w:r>
      <w:proofErr w:type="spellEnd"/>
      <w:r>
        <w:t xml:space="preserve"> ou </w:t>
      </w:r>
      <w:proofErr w:type="spellStart"/>
      <w:r>
        <w:t>PAdES</w:t>
      </w:r>
      <w:proofErr w:type="spellEnd"/>
      <w:r>
        <w:t>.</w:t>
      </w:r>
    </w:p>
    <w:p w14:paraId="2CDC152D" w14:textId="77777777" w:rsidR="007A0A93" w:rsidRDefault="00615EB1">
      <w:pPr>
        <w:pStyle w:val="RedaliaNormal"/>
      </w:pPr>
      <w:r>
        <w:t>Dans le cas où le certificat de signature électronique utilisé n’émane pas de la liste de confiance française ou d’une liste d’un autre Etat-membre, le candidat doit fournir l’ensemble des éléments nécessaires afin de prouver que le certificat de signature utilisé est bien conforme aux exigences de l’arrêté du 22 mars 2019.</w:t>
      </w:r>
    </w:p>
    <w:p w14:paraId="12253691" w14:textId="77777777" w:rsidR="007A0A93" w:rsidRDefault="00615EB1">
      <w:pPr>
        <w:pStyle w:val="RedaliaNormal"/>
      </w:pPr>
      <w:r>
        <w:t>Les candidats doivent prévoir un délai d’obtention pouvant aller jusqu'à plusieurs semaines selon les fournisseurs. La possession d’un certificat électronique n’est pas requise au stade du retrait du dossier de consultation (DCE) via la plate-forme</w:t>
      </w:r>
    </w:p>
    <w:p w14:paraId="17766964" w14:textId="6CBC49AD" w:rsidR="007A0A93" w:rsidRDefault="00615EB1">
      <w:pPr>
        <w:pStyle w:val="RedaliaNormal"/>
      </w:pPr>
      <w:r>
        <w:t xml:space="preserve">Pour que le candidat puisse procéder à un dépôt de plis électronique et à la signature électronique de ses documents, il doit disposer d’un micro-ordinateur qui respecte les prérequis de la plate-forme de </w:t>
      </w:r>
      <w:r>
        <w:lastRenderedPageBreak/>
        <w:t>dématérialisation</w:t>
      </w:r>
      <w:r>
        <w:rPr>
          <w:rFonts w:ascii="Cambria" w:hAnsi="Cambria" w:cs="Cambria"/>
        </w:rPr>
        <w:t> </w:t>
      </w:r>
      <w:r>
        <w:t>:</w:t>
      </w:r>
    </w:p>
    <w:p w14:paraId="34B5E271" w14:textId="77777777" w:rsidR="007A0A93" w:rsidRDefault="00E74EEC">
      <w:pPr>
        <w:pStyle w:val="RedaliaNormal"/>
        <w:jc w:val="center"/>
      </w:pPr>
      <w:hyperlink r:id="rId16" w:anchor="rubrique_2)" w:history="1">
        <w:r w:rsidR="00615EB1">
          <w:rPr>
            <w:rStyle w:val="Lienhypertexte"/>
          </w:rPr>
          <w:t>https://www.marches-publics.gouv.fr/?page=commun.PrerequisTechniques&amp;calledFrom=entreprise#rubrique_2)</w:t>
        </w:r>
      </w:hyperlink>
    </w:p>
    <w:p w14:paraId="40BCDCF9" w14:textId="77777777" w:rsidR="007A0A93" w:rsidRDefault="007A0A93">
      <w:pPr>
        <w:pStyle w:val="RedaliaNormal"/>
      </w:pPr>
    </w:p>
    <w:p w14:paraId="287600B8" w14:textId="77777777" w:rsidR="007A0A93" w:rsidRDefault="00615EB1">
      <w:pPr>
        <w:pStyle w:val="RedaliaNormal"/>
      </w:pPr>
      <w:r>
        <w:t>Afin d’acquérir ces instruments, les candidats peuvent se référer à l’aide technique en ligne disponible dans la rubrique «</w:t>
      </w:r>
      <w:r>
        <w:rPr>
          <w:rFonts w:ascii="Cambria" w:hAnsi="Cambria" w:cs="Cambria"/>
        </w:rPr>
        <w:t> </w:t>
      </w:r>
      <w:r>
        <w:t>Aide</w:t>
      </w:r>
      <w:r>
        <w:rPr>
          <w:rFonts w:ascii="Cambria" w:hAnsi="Cambria" w:cs="Cambria"/>
        </w:rPr>
        <w:t> </w:t>
      </w:r>
      <w:r>
        <w:rPr>
          <w:rFonts w:cs="Montserrat"/>
        </w:rPr>
        <w:t>»</w:t>
      </w:r>
      <w:r>
        <w:t xml:space="preserve"> sur le site</w:t>
      </w:r>
      <w:r>
        <w:rPr>
          <w:rFonts w:ascii="Cambria" w:hAnsi="Cambria" w:cs="Cambria"/>
        </w:rPr>
        <w:t> </w:t>
      </w:r>
      <w:r>
        <w:t>:</w:t>
      </w:r>
    </w:p>
    <w:p w14:paraId="52065887" w14:textId="77777777" w:rsidR="007A0A93" w:rsidRDefault="00E74EEC">
      <w:pPr>
        <w:pStyle w:val="RedaliaNormal"/>
        <w:jc w:val="center"/>
      </w:pPr>
      <w:hyperlink r:id="rId17" w:history="1">
        <w:r w:rsidR="00615EB1">
          <w:rPr>
            <w:rStyle w:val="Lienhypertexte"/>
          </w:rPr>
          <w:t>https://www.marches-publics.gouv.fr/?page=entreprise.AccueilEntreprise</w:t>
        </w:r>
      </w:hyperlink>
    </w:p>
    <w:p w14:paraId="1729B956" w14:textId="77777777" w:rsidR="00C321B1" w:rsidRDefault="00C321B1">
      <w:pPr>
        <w:pStyle w:val="RedaliaNormal"/>
      </w:pPr>
    </w:p>
    <w:p w14:paraId="1CB0D0B1" w14:textId="0E636BC2" w:rsidR="007A0A93" w:rsidRDefault="00615EB1">
      <w:pPr>
        <w:pStyle w:val="RedaliaNormal"/>
      </w:pPr>
      <w:r>
        <w:t>A l’exception des documents nécessitant d’être co-signés, l’opération d’horodatage et de signature électronique des documents est effectuée sur la plate-forme de dématérialisation lors du dépôt des candidatures. Dans le cas d’un groupement de candidats, l’ensemble des membres du groupement doivent signer en utilisant à tour de rôle l’outil de signature disponible sur la plate-forme de dématérialisation.</w:t>
      </w:r>
    </w:p>
    <w:p w14:paraId="4642CC79" w14:textId="77777777" w:rsidR="007A0A93" w:rsidRDefault="00615EB1">
      <w:pPr>
        <w:pStyle w:val="RedaliaNormal"/>
      </w:pPr>
      <w:r>
        <w:t>Lors de son dépôt, le candidat doit signer individuellement les formulaires constitutifs de sa candidature et de son offre au moyen de son certificat de signature électronique.</w:t>
      </w:r>
    </w:p>
    <w:p w14:paraId="0BAB2450" w14:textId="77777777" w:rsidR="007A0A93" w:rsidRDefault="00615EB1">
      <w:pPr>
        <w:pStyle w:val="RedaliaNormal"/>
      </w:pPr>
      <w:r>
        <w:t>En effet, la signature électronique d’un fichier zip (dossier électronique qui contient plusieurs autres documents électroniques) ne suffit pas. La seule signature d’un fichier zip contenant l’ensemble des documents ne peut être assimilée à la signature électronique de chacun de ces documents.</w:t>
      </w:r>
    </w:p>
    <w:p w14:paraId="3F9CC92F" w14:textId="77777777" w:rsidR="007A0A93" w:rsidRDefault="00615EB1">
      <w:pPr>
        <w:pStyle w:val="RedaliaNormal"/>
      </w:pPr>
      <w:r>
        <w:t>Par ailleurs, si l’un des formulaires constitutifs la candidature ou de l’offre du candidat est modifié après signature, le «</w:t>
      </w:r>
      <w:r>
        <w:rPr>
          <w:rFonts w:ascii="Cambria" w:hAnsi="Cambria" w:cs="Cambria"/>
        </w:rPr>
        <w:t> </w:t>
      </w:r>
      <w:r>
        <w:t>couple</w:t>
      </w:r>
      <w:r>
        <w:rPr>
          <w:rFonts w:ascii="Cambria" w:hAnsi="Cambria" w:cs="Cambria"/>
        </w:rPr>
        <w:t> </w:t>
      </w:r>
      <w:r>
        <w:rPr>
          <w:rFonts w:cs="Montserrat"/>
        </w:rPr>
        <w:t>»</w:t>
      </w:r>
      <w:r>
        <w:t xml:space="preserve"> document signé et document de signature ne seront plus cohérents. La signature du document sera alors invalide. Il faut dans ce cas renouveler l’opération de signature du document modifié.  </w:t>
      </w:r>
    </w:p>
    <w:p w14:paraId="7CDEEBC8" w14:textId="77777777" w:rsidR="007A0A93" w:rsidRDefault="00615EB1">
      <w:pPr>
        <w:pStyle w:val="RedaliaNormal"/>
      </w:pPr>
      <w:r>
        <w:t>Les fichiers constitutifs de la candidature et de l’offre du candidat doivent être signés avec la fonctionnalité de signature individuelle de documents accessible sur la plate-forme https://www.marches-publics.gouv.fr/.</w:t>
      </w:r>
    </w:p>
    <w:p w14:paraId="0F086473" w14:textId="77777777" w:rsidR="007A0A93" w:rsidRDefault="00615EB1">
      <w:pPr>
        <w:pStyle w:val="RedaliaNormal"/>
      </w:pPr>
      <w:r>
        <w:t>Néanmoins, si le candidat utilise un autre outil pour signer électroniquement ses documents, celui-ci transmet, avec les documents signés, les éléments nécessaires pour procéder à la vérification de la validité de la signature et de l’intégrité du document, et ce, gratuitement.</w:t>
      </w:r>
    </w:p>
    <w:p w14:paraId="50024EF1" w14:textId="77777777" w:rsidR="007A0A93" w:rsidRDefault="00615EB1">
      <w:pPr>
        <w:pStyle w:val="RedaliaNormal"/>
      </w:pPr>
      <w:r>
        <w:t>Ce mode d'emploi contient, au moins, les informations suivantes</w:t>
      </w:r>
      <w:r>
        <w:rPr>
          <w:rFonts w:ascii="Cambria" w:hAnsi="Cambria" w:cs="Cambria"/>
        </w:rPr>
        <w:t> </w:t>
      </w:r>
      <w:r>
        <w:t>:</w:t>
      </w:r>
    </w:p>
    <w:p w14:paraId="039B521D" w14:textId="77777777" w:rsidR="007A0A93" w:rsidRDefault="00615EB1" w:rsidP="00C321B1">
      <w:pPr>
        <w:pStyle w:val="RedaliaNormal"/>
        <w:ind w:left="284"/>
      </w:pPr>
      <w:r>
        <w:t>1° La procédure permettant la vérification de la validité de la signature ;</w:t>
      </w:r>
    </w:p>
    <w:p w14:paraId="78A9DED9" w14:textId="77777777" w:rsidR="007A0A93" w:rsidRDefault="00615EB1" w:rsidP="00C321B1">
      <w:pPr>
        <w:pStyle w:val="RedaliaNormal"/>
        <w:ind w:left="284"/>
      </w:pPr>
      <w:r>
        <w:t>2° L'adresse du site internet du référencement du prestataire par le pays d'établissement ou, à défaut, les données publiques relatives au certificat du signataire, qui comportent, au moins, la liste de révocation et le certificat du prestataire de services de certification électronique émetteur.</w:t>
      </w:r>
    </w:p>
    <w:p w14:paraId="27D73381" w14:textId="77777777" w:rsidR="007A0A93" w:rsidRDefault="00615EB1">
      <w:pPr>
        <w:pStyle w:val="RedaliaNormal"/>
      </w:pPr>
      <w:r>
        <w:t>Après la préparation des fichiers, les candidats se connectent sur la plate-forme à l’adresse https://www.marches-publics.gouv.fr/. Ils doivent les déposer dans les espaces qui leur sont réservés sur la page de réponse à cette consultation de la plate-forme, chaque consultation ayant une page spécifique de réponse. Une fois l’ensemble des éléments réunis sur la page de constitution de la réponse, les candidats signent électroniquement l’ensemble des documents, lancent le chiffrement de l’offre complète, et enfin déposent les réponses.</w:t>
      </w:r>
    </w:p>
    <w:p w14:paraId="05DF9B55" w14:textId="77777777" w:rsidR="007A0A93" w:rsidRDefault="00615EB1">
      <w:pPr>
        <w:pStyle w:val="RedaliaNormal"/>
      </w:pPr>
      <w:r>
        <w:t>Les échanges sont sécurisés grâce à l’utilisation du protocole https.</w:t>
      </w:r>
    </w:p>
    <w:p w14:paraId="6E56B995" w14:textId="77777777" w:rsidR="007A0A93" w:rsidRDefault="00615EB1">
      <w:pPr>
        <w:pStyle w:val="RedaliaNormal"/>
      </w:pPr>
      <w:r>
        <w:t>La durée du téléchargement est fonction du débit de l’accès Internet du candidat et de la taille des documents à transmettre.</w:t>
      </w:r>
    </w:p>
    <w:p w14:paraId="101A81B1" w14:textId="77777777" w:rsidR="007A0A93" w:rsidRDefault="00615EB1">
      <w:pPr>
        <w:pStyle w:val="RedaliaNormal"/>
        <w:rPr>
          <w:b/>
        </w:rPr>
      </w:pPr>
      <w:r>
        <w:rPr>
          <w:b/>
        </w:rPr>
        <w:t>Tout fichier constitutif de la candidature et de l’offre, doit être traité préalablement par le candidat par un anti-virus régulièrement mis à jour.</w:t>
      </w:r>
    </w:p>
    <w:p w14:paraId="63EE20D1" w14:textId="77777777" w:rsidR="007A0A93" w:rsidRDefault="00615EB1">
      <w:pPr>
        <w:pStyle w:val="RedaliaNormal"/>
        <w:rPr>
          <w:b/>
          <w:u w:val="single"/>
        </w:rPr>
      </w:pPr>
      <w:r>
        <w:rPr>
          <w:b/>
          <w:u w:val="single"/>
        </w:rPr>
        <w:t>Copie de sauvegarde</w:t>
      </w:r>
    </w:p>
    <w:p w14:paraId="416DD0A3" w14:textId="77777777" w:rsidR="007A0A93" w:rsidRDefault="00615EB1">
      <w:pPr>
        <w:pStyle w:val="RedaliaNormal"/>
      </w:pPr>
      <w:r>
        <w:t>Lorsque, conformément à l’article R. 2132-11 du Code de la commande publique, la candidature et l’offre sont envoyée par voie électronique, une copie de sauvegarde peut être envoyée dans les conditions fixées par arrêté du ministre chargé de l’économie (arrêté du 22 mars 2019 fixant les modalités de mise à disposition des documents de la consultation et de la copie de sauvegarde).</w:t>
      </w:r>
    </w:p>
    <w:p w14:paraId="2CE9C778" w14:textId="77777777" w:rsidR="007A0A93" w:rsidRDefault="00615EB1">
      <w:pPr>
        <w:pStyle w:val="RedaliaNormal"/>
      </w:pPr>
      <w:r>
        <w:t>La copie de sauvegarde doit être placée dans un pli scellé comportant la mention lisible</w:t>
      </w:r>
      <w:r>
        <w:rPr>
          <w:rFonts w:ascii="Cambria" w:hAnsi="Cambria" w:cs="Cambria"/>
        </w:rPr>
        <w:t> </w:t>
      </w:r>
      <w:r>
        <w:t xml:space="preserve">: </w:t>
      </w:r>
      <w:r>
        <w:rPr>
          <w:rFonts w:cs="Montserrat"/>
        </w:rPr>
        <w:t>«</w:t>
      </w:r>
      <w:r>
        <w:rPr>
          <w:rFonts w:ascii="Cambria" w:hAnsi="Cambria" w:cs="Cambria"/>
        </w:rPr>
        <w:t> </w:t>
      </w:r>
      <w:r>
        <w:t xml:space="preserve">copie de </w:t>
      </w:r>
      <w:r>
        <w:lastRenderedPageBreak/>
        <w:t>sauvegarde</w:t>
      </w:r>
      <w:r>
        <w:rPr>
          <w:rFonts w:ascii="Cambria" w:hAnsi="Cambria" w:cs="Cambria"/>
        </w:rPr>
        <w:t> </w:t>
      </w:r>
      <w:r>
        <w:rPr>
          <w:rFonts w:cs="Montserrat"/>
        </w:rPr>
        <w:t>»</w:t>
      </w:r>
      <w:r>
        <w:t>, le num</w:t>
      </w:r>
      <w:r>
        <w:rPr>
          <w:rFonts w:cs="Montserrat"/>
        </w:rPr>
        <w:t>é</w:t>
      </w:r>
      <w:r>
        <w:t>ro et l’intitulé de la consultation et le nom du candidat auxquels elle se rapporte.</w:t>
      </w:r>
    </w:p>
    <w:p w14:paraId="1F9620A9" w14:textId="77777777" w:rsidR="007A0A93" w:rsidRDefault="00615EB1">
      <w:pPr>
        <w:pStyle w:val="RedaliaNormal"/>
      </w:pPr>
      <w:r>
        <w:t>Le candidat qui effectue à la fois une transmission électronique et, à titre de copie de sauvegarde, une transmission sur support physique électronique ou sur support papier doit faire parvenir cette copie dans les délais impartis pour la remise des candidatures ou des offres, à l’adresse suivante</w:t>
      </w:r>
      <w:r>
        <w:rPr>
          <w:rFonts w:ascii="Cambria" w:hAnsi="Cambria" w:cs="Cambria"/>
        </w:rPr>
        <w:t> </w:t>
      </w:r>
      <w:r>
        <w:t>:</w:t>
      </w:r>
    </w:p>
    <w:p w14:paraId="5D6FB39B" w14:textId="77777777" w:rsidR="007A0A93" w:rsidRDefault="00615EB1">
      <w:pPr>
        <w:pStyle w:val="RedaliaNormal"/>
        <w:spacing w:before="0"/>
        <w:jc w:val="center"/>
        <w:rPr>
          <w:b/>
        </w:rPr>
      </w:pPr>
      <w:r>
        <w:rPr>
          <w:b/>
        </w:rPr>
        <w:t>ACHAT</w:t>
      </w:r>
    </w:p>
    <w:p w14:paraId="214A34B3" w14:textId="77777777" w:rsidR="007A0A93" w:rsidRDefault="00615EB1">
      <w:pPr>
        <w:pStyle w:val="RedaliaNormal"/>
        <w:spacing w:before="0"/>
        <w:jc w:val="center"/>
        <w:rPr>
          <w:b/>
        </w:rPr>
      </w:pPr>
      <w:r>
        <w:rPr>
          <w:b/>
        </w:rPr>
        <w:t>CHU de Bicêtre</w:t>
      </w:r>
    </w:p>
    <w:p w14:paraId="36D48661" w14:textId="77777777" w:rsidR="007A0A93" w:rsidRDefault="00615EB1">
      <w:pPr>
        <w:pStyle w:val="RedaliaNormal"/>
        <w:spacing w:before="0"/>
        <w:jc w:val="center"/>
        <w:rPr>
          <w:b/>
        </w:rPr>
      </w:pPr>
      <w:r>
        <w:rPr>
          <w:b/>
        </w:rPr>
        <w:t xml:space="preserve">Bâtiment Pierre </w:t>
      </w:r>
      <w:proofErr w:type="spellStart"/>
      <w:r>
        <w:rPr>
          <w:b/>
        </w:rPr>
        <w:t>Lasjaunias</w:t>
      </w:r>
      <w:proofErr w:type="spellEnd"/>
    </w:p>
    <w:p w14:paraId="1233F86E" w14:textId="77777777" w:rsidR="007A0A93" w:rsidRDefault="00615EB1">
      <w:pPr>
        <w:pStyle w:val="RedaliaNormal"/>
        <w:spacing w:before="0"/>
        <w:jc w:val="center"/>
        <w:rPr>
          <w:b/>
        </w:rPr>
      </w:pPr>
      <w:r>
        <w:rPr>
          <w:b/>
        </w:rPr>
        <w:t>Porte 77</w:t>
      </w:r>
    </w:p>
    <w:p w14:paraId="6ECE487C" w14:textId="77777777" w:rsidR="007A0A93" w:rsidRDefault="00615EB1">
      <w:pPr>
        <w:pStyle w:val="RedaliaNormal"/>
        <w:spacing w:before="0"/>
        <w:jc w:val="center"/>
        <w:rPr>
          <w:b/>
        </w:rPr>
      </w:pPr>
      <w:r>
        <w:rPr>
          <w:b/>
        </w:rPr>
        <w:t>78 rue du Général Leclerc</w:t>
      </w:r>
    </w:p>
    <w:p w14:paraId="7ABFA38C" w14:textId="77777777" w:rsidR="007A0A93" w:rsidRDefault="00615EB1">
      <w:pPr>
        <w:pStyle w:val="RedaliaNormal"/>
        <w:spacing w:before="0"/>
        <w:jc w:val="center"/>
        <w:rPr>
          <w:b/>
        </w:rPr>
      </w:pPr>
      <w:r>
        <w:rPr>
          <w:b/>
        </w:rPr>
        <w:t>94270 LE KREMLIN-BICETRE</w:t>
      </w:r>
    </w:p>
    <w:p w14:paraId="24F21E48" w14:textId="77777777" w:rsidR="007A0A93" w:rsidRDefault="00615EB1">
      <w:pPr>
        <w:pStyle w:val="RedaliaNormal"/>
        <w:spacing w:before="0"/>
        <w:jc w:val="center"/>
        <w:rPr>
          <w:b/>
        </w:rPr>
      </w:pPr>
      <w:r>
        <w:rPr>
          <w:b/>
        </w:rPr>
        <w:t>(Cf. annexe jointe – plan d’accès)</w:t>
      </w:r>
    </w:p>
    <w:p w14:paraId="1849582D" w14:textId="77777777" w:rsidR="007A0A93" w:rsidRDefault="00615EB1">
      <w:pPr>
        <w:pStyle w:val="RedaliaNormal"/>
      </w:pPr>
      <w:r>
        <w:t>La copie de sauvegarde ne peut être ouverte que lorsqu’ACHAT a détecté un programme informatique malveillant dans les candidatures et les offres transmises par voie électronique ou que ces dernières ne sont pas parvenues à ACHAT dans les délais de dépôt des candidatures et des offres malgré un envoi effectué dans ces délais ou en cas d’absence de réussite d’ouverture de ces documents.</w:t>
      </w:r>
    </w:p>
    <w:p w14:paraId="50C86A6C" w14:textId="77777777" w:rsidR="007A0A93" w:rsidRDefault="00615EB1" w:rsidP="00615EB1">
      <w:pPr>
        <w:pStyle w:val="RedaliaTitre1"/>
      </w:pPr>
      <w:bookmarkStart w:id="69" w:name="_Toc64213671"/>
      <w:bookmarkStart w:id="70" w:name="__RefHeading___Toc60298_868557434"/>
      <w:bookmarkStart w:id="71" w:name="_Toc224552579"/>
      <w:r>
        <w:t>Sélection des candidatures et analyse des offres</w:t>
      </w:r>
      <w:bookmarkEnd w:id="69"/>
      <w:bookmarkEnd w:id="70"/>
      <w:bookmarkEnd w:id="71"/>
    </w:p>
    <w:p w14:paraId="33A7944A" w14:textId="77777777" w:rsidR="007A0A93" w:rsidRDefault="00615EB1">
      <w:pPr>
        <w:pStyle w:val="RedaliaNormal"/>
      </w:pPr>
      <w:r>
        <w:t>L’enregistrement et le jugement des offres sont effectués dans les conditions prévues aux articles R. 2152-1 à R2152-13 du Code de la commande publique.</w:t>
      </w:r>
    </w:p>
    <w:p w14:paraId="3EF0B9AB" w14:textId="77777777" w:rsidR="007A0A93" w:rsidRDefault="00615EB1" w:rsidP="000A2B95">
      <w:pPr>
        <w:pStyle w:val="RedaliaTitre2"/>
        <w:ind w:left="709" w:hanging="567"/>
      </w:pPr>
      <w:bookmarkStart w:id="72" w:name="_Toc7167735"/>
      <w:bookmarkStart w:id="73" w:name="_Toc525641126"/>
      <w:bookmarkStart w:id="74" w:name="__RefHeading___Toc60300_868557434"/>
      <w:bookmarkStart w:id="75" w:name="_Toc224552580"/>
      <w:bookmarkEnd w:id="72"/>
      <w:bookmarkEnd w:id="73"/>
      <w:r>
        <w:t>Sélection des candidatures</w:t>
      </w:r>
      <w:bookmarkEnd w:id="74"/>
      <w:bookmarkEnd w:id="75"/>
    </w:p>
    <w:p w14:paraId="340FA658" w14:textId="77777777" w:rsidR="007A0A93" w:rsidRDefault="00615EB1">
      <w:pPr>
        <w:pStyle w:val="RedaliaNormal"/>
      </w:pPr>
      <w:r>
        <w:t>Les candidatures sont appréciées selon les capacités techniques, professionnelles et financières du candidat.</w:t>
      </w:r>
    </w:p>
    <w:p w14:paraId="576D53E9" w14:textId="77777777" w:rsidR="007A0A93" w:rsidRDefault="00615EB1" w:rsidP="000A2B95">
      <w:pPr>
        <w:pStyle w:val="RedaliaTitre2"/>
        <w:ind w:left="709" w:hanging="567"/>
      </w:pPr>
      <w:bookmarkStart w:id="76" w:name="__RefHeading___Toc60302_868557434"/>
      <w:bookmarkStart w:id="77" w:name="_Toc224552581"/>
      <w:r>
        <w:t>Analyse des offres</w:t>
      </w:r>
      <w:bookmarkEnd w:id="76"/>
      <w:bookmarkEnd w:id="77"/>
    </w:p>
    <w:p w14:paraId="1838F899" w14:textId="77777777" w:rsidR="007A0A93" w:rsidRDefault="00615EB1">
      <w:pPr>
        <w:pStyle w:val="RedaliaNormal"/>
      </w:pPr>
      <w:r>
        <w:t>Pour le jugement, le Représentant du Pouvoir Adjudicateur (RPA) procède comme indiqué aux articles R. 2152-6 à R. 2152-7 du Code de la commande publique.</w:t>
      </w:r>
    </w:p>
    <w:p w14:paraId="5CA5CF16" w14:textId="77777777" w:rsidR="007A0A93" w:rsidRDefault="00615EB1">
      <w:pPr>
        <w:pStyle w:val="RedaliaNormal"/>
      </w:pPr>
      <w:r>
        <w:t>Les critères intervenant pour le jugement des offres sont pondérés de la manière suivante :</w:t>
      </w:r>
    </w:p>
    <w:p w14:paraId="60066019" w14:textId="77777777" w:rsidR="007A0A93" w:rsidRDefault="007A0A93">
      <w:pPr>
        <w:pStyle w:val="RedaliaNormal"/>
      </w:pPr>
    </w:p>
    <w:p w14:paraId="559D6744" w14:textId="0F594773" w:rsidR="00C321B1" w:rsidRDefault="00615EB1" w:rsidP="00C321B1">
      <w:pPr>
        <w:pStyle w:val="RedaliaNormal"/>
        <w:spacing w:before="0"/>
        <w:jc w:val="center"/>
        <w:rPr>
          <w:rFonts w:ascii="Cambria" w:hAnsi="Cambria" w:cs="Cambria"/>
          <w:b/>
          <w:bCs/>
          <w:color w:val="C00000"/>
          <w:u w:val="single"/>
        </w:rPr>
      </w:pPr>
      <w:r w:rsidRPr="00C321B1">
        <w:rPr>
          <w:rFonts w:ascii="Montserrat" w:hAnsi="Montserrat"/>
          <w:b/>
          <w:bCs/>
          <w:color w:val="C00000"/>
          <w:u w:val="single"/>
        </w:rPr>
        <w:t xml:space="preserve">Lot </w:t>
      </w:r>
      <w:r w:rsidR="00B73F88" w:rsidRPr="00C321B1">
        <w:rPr>
          <w:rFonts w:ascii="Montserrat" w:hAnsi="Montserrat"/>
          <w:b/>
          <w:bCs/>
          <w:color w:val="C00000"/>
          <w:u w:val="single"/>
        </w:rPr>
        <w:t xml:space="preserve">1 </w:t>
      </w:r>
      <w:r w:rsidR="00B73F88">
        <w:rPr>
          <w:rFonts w:ascii="Montserrat" w:hAnsi="Montserrat"/>
          <w:b/>
          <w:bCs/>
          <w:color w:val="C00000"/>
          <w:u w:val="single"/>
        </w:rPr>
        <w:t xml:space="preserve">formation </w:t>
      </w:r>
      <w:r w:rsidRPr="00C321B1">
        <w:rPr>
          <w:rFonts w:ascii="Montserrat" w:hAnsi="Montserrat"/>
          <w:b/>
          <w:bCs/>
          <w:color w:val="C00000"/>
          <w:u w:val="single"/>
        </w:rPr>
        <w:t>Habilitations électriques</w:t>
      </w:r>
    </w:p>
    <w:p w14:paraId="60F12EF9" w14:textId="77777777" w:rsidR="00C321B1" w:rsidRPr="00C321B1" w:rsidRDefault="00C321B1" w:rsidP="00C321B1">
      <w:pPr>
        <w:pStyle w:val="RedaliaNormal"/>
        <w:spacing w:before="0"/>
        <w:jc w:val="center"/>
        <w:rPr>
          <w:rFonts w:ascii="Cambria" w:hAnsi="Cambria" w:cs="Cambria"/>
          <w:b/>
          <w:bCs/>
          <w:color w:val="C00000"/>
          <w:u w:val="single"/>
        </w:rPr>
      </w:pPr>
    </w:p>
    <w:tbl>
      <w:tblPr>
        <w:tblW w:w="9286" w:type="dxa"/>
        <w:tblLayout w:type="fixed"/>
        <w:tblCellMar>
          <w:left w:w="10" w:type="dxa"/>
          <w:right w:w="10" w:type="dxa"/>
        </w:tblCellMar>
        <w:tblLook w:val="0000" w:firstRow="0" w:lastRow="0" w:firstColumn="0" w:lastColumn="0" w:noHBand="0" w:noVBand="0"/>
      </w:tblPr>
      <w:tblGrid>
        <w:gridCol w:w="7194"/>
        <w:gridCol w:w="2092"/>
      </w:tblGrid>
      <w:tr w:rsidR="007A0A93" w:rsidRPr="00C321B1" w14:paraId="1357E221"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22FEAC82" w14:textId="77777777" w:rsidR="007A0A93" w:rsidRPr="00C321B1" w:rsidRDefault="00615EB1" w:rsidP="00C321B1">
            <w:pPr>
              <w:pStyle w:val="RedaliaNormal"/>
              <w:spacing w:before="0"/>
              <w:jc w:val="left"/>
              <w:rPr>
                <w:szCs w:val="18"/>
              </w:rPr>
            </w:pPr>
            <w:r w:rsidRPr="00C321B1">
              <w:rPr>
                <w:b/>
                <w:szCs w:val="18"/>
              </w:rPr>
              <w:t>Critère n° 1</w:t>
            </w:r>
            <w:r w:rsidRPr="00C321B1">
              <w:rPr>
                <w:rFonts w:cs="Calibri"/>
                <w:b/>
                <w:szCs w:val="18"/>
              </w:rPr>
              <w:t> </w:t>
            </w:r>
            <w:r w:rsidRPr="00C321B1">
              <w:rPr>
                <w:b/>
                <w:szCs w:val="18"/>
              </w:rPr>
              <w:t xml:space="preserve">: </w:t>
            </w:r>
            <w:r w:rsidRPr="00C321B1">
              <w:rPr>
                <w:rFonts w:cs="Calibri"/>
                <w:b/>
                <w:szCs w:val="18"/>
              </w:rPr>
              <w:t>Prix</w:t>
            </w:r>
          </w:p>
        </w:tc>
        <w:tc>
          <w:tcPr>
            <w:tcW w:w="2092"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1F2CC395" w14:textId="77777777" w:rsidR="007A0A93" w:rsidRPr="00C321B1" w:rsidRDefault="00615EB1" w:rsidP="00C321B1">
            <w:pPr>
              <w:pStyle w:val="RedaliaNormal"/>
              <w:spacing w:before="0"/>
              <w:jc w:val="center"/>
              <w:rPr>
                <w:b/>
                <w:szCs w:val="18"/>
              </w:rPr>
            </w:pPr>
            <w:r w:rsidRPr="00C321B1">
              <w:rPr>
                <w:b/>
                <w:szCs w:val="18"/>
              </w:rPr>
              <w:t>45%</w:t>
            </w:r>
          </w:p>
        </w:tc>
      </w:tr>
      <w:tr w:rsidR="007A0A93" w:rsidRPr="00C321B1" w14:paraId="35916629"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tcPr>
          <w:p w14:paraId="2D8ACBE7" w14:textId="77777777" w:rsidR="007A0A93" w:rsidRPr="00C321B1" w:rsidRDefault="00615EB1" w:rsidP="00C321B1">
            <w:pPr>
              <w:pStyle w:val="RedaliaNormal"/>
              <w:spacing w:before="0"/>
              <w:jc w:val="left"/>
              <w:rPr>
                <w:szCs w:val="18"/>
              </w:rPr>
            </w:pPr>
            <w:r w:rsidRPr="00C321B1">
              <w:rPr>
                <w:b/>
                <w:szCs w:val="18"/>
              </w:rPr>
              <w:t>Critère n° 2</w:t>
            </w:r>
            <w:r w:rsidRPr="00C321B1">
              <w:rPr>
                <w:rFonts w:cs="Calibri"/>
                <w:b/>
                <w:szCs w:val="18"/>
              </w:rPr>
              <w:t> </w:t>
            </w:r>
            <w:r w:rsidRPr="00C321B1">
              <w:rPr>
                <w:b/>
                <w:szCs w:val="18"/>
              </w:rPr>
              <w:t xml:space="preserve">: </w:t>
            </w:r>
            <w:r w:rsidRPr="00C321B1">
              <w:rPr>
                <w:rFonts w:cs="Calibri"/>
                <w:b/>
                <w:szCs w:val="18"/>
              </w:rPr>
              <w:t>Qualité technique de l'offre</w:t>
            </w:r>
          </w:p>
        </w:tc>
        <w:tc>
          <w:tcPr>
            <w:tcW w:w="2092"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40BD346F" w14:textId="77777777" w:rsidR="007A0A93" w:rsidRPr="00C321B1" w:rsidRDefault="00615EB1" w:rsidP="00C321B1">
            <w:pPr>
              <w:pStyle w:val="RedaliaNormal"/>
              <w:spacing w:before="0"/>
              <w:jc w:val="center"/>
              <w:rPr>
                <w:b/>
                <w:szCs w:val="18"/>
              </w:rPr>
            </w:pPr>
            <w:r w:rsidRPr="00C321B1">
              <w:rPr>
                <w:b/>
                <w:szCs w:val="18"/>
              </w:rPr>
              <w:t>50 %</w:t>
            </w:r>
          </w:p>
        </w:tc>
      </w:tr>
      <w:tr w:rsidR="007A0A93" w:rsidRPr="00C321B1" w14:paraId="379BFCA5" w14:textId="77777777" w:rsidTr="00C321B1">
        <w:tc>
          <w:tcPr>
            <w:tcW w:w="71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8F296" w14:textId="77777777" w:rsidR="007A0A93" w:rsidRPr="00C321B1" w:rsidRDefault="00615EB1" w:rsidP="00C321B1">
            <w:pPr>
              <w:pStyle w:val="RedaliaNormal"/>
              <w:spacing w:before="0"/>
              <w:rPr>
                <w:rFonts w:cs="Calibri"/>
                <w:szCs w:val="18"/>
              </w:rPr>
            </w:pPr>
            <w:r w:rsidRPr="00C321B1">
              <w:rPr>
                <w:rFonts w:cs="Calibri"/>
                <w:szCs w:val="18"/>
              </w:rPr>
              <w:t>Sous-critère a : Qualité pédagogique de l’offre et adéquation aux exigences réglementaires</w:t>
            </w:r>
          </w:p>
        </w:tc>
        <w:tc>
          <w:tcPr>
            <w:tcW w:w="20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F271B" w14:textId="77777777" w:rsidR="007A0A93" w:rsidRPr="00C321B1" w:rsidRDefault="00615EB1" w:rsidP="00C321B1">
            <w:pPr>
              <w:pStyle w:val="RedaliaNormal"/>
              <w:spacing w:before="0"/>
              <w:jc w:val="center"/>
              <w:rPr>
                <w:rFonts w:cs="Calibri"/>
                <w:szCs w:val="18"/>
              </w:rPr>
            </w:pPr>
            <w:r w:rsidRPr="00C321B1">
              <w:rPr>
                <w:rFonts w:cs="Calibri"/>
                <w:szCs w:val="18"/>
              </w:rPr>
              <w:t>50%</w:t>
            </w:r>
          </w:p>
        </w:tc>
      </w:tr>
      <w:tr w:rsidR="007A0A93" w:rsidRPr="00C321B1" w14:paraId="697598DA"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80481" w14:textId="77777777" w:rsidR="007A0A93" w:rsidRPr="00C321B1" w:rsidRDefault="00615EB1" w:rsidP="00C321B1">
            <w:pPr>
              <w:pStyle w:val="RedaliaNormal"/>
              <w:spacing w:before="0"/>
              <w:rPr>
                <w:rFonts w:cs="Calibri"/>
                <w:szCs w:val="18"/>
              </w:rPr>
            </w:pPr>
            <w:r w:rsidRPr="00C321B1">
              <w:rPr>
                <w:rFonts w:cs="Calibri"/>
                <w:szCs w:val="18"/>
              </w:rPr>
              <w:t>Sous critère b : Organisation et ressources dédiées</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1BC67" w14:textId="77777777" w:rsidR="007A0A93" w:rsidRPr="00C321B1" w:rsidRDefault="00615EB1" w:rsidP="00C321B1">
            <w:pPr>
              <w:pStyle w:val="RedaliaNormal"/>
              <w:spacing w:before="0"/>
              <w:jc w:val="center"/>
              <w:rPr>
                <w:szCs w:val="18"/>
              </w:rPr>
            </w:pPr>
            <w:r w:rsidRPr="00C321B1">
              <w:rPr>
                <w:rFonts w:cs="Calibri"/>
                <w:szCs w:val="18"/>
              </w:rPr>
              <w:t>40%</w:t>
            </w:r>
          </w:p>
        </w:tc>
      </w:tr>
      <w:tr w:rsidR="007A0A93" w:rsidRPr="00C321B1" w14:paraId="7DC9BF9E"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5D070" w14:textId="77777777" w:rsidR="007A0A93" w:rsidRPr="00C321B1" w:rsidRDefault="00615EB1" w:rsidP="00C321B1">
            <w:pPr>
              <w:pStyle w:val="RedaliaNormal"/>
              <w:spacing w:before="0"/>
              <w:rPr>
                <w:rFonts w:cs="Calibri"/>
                <w:szCs w:val="18"/>
              </w:rPr>
            </w:pPr>
            <w:r w:rsidRPr="00C321B1">
              <w:rPr>
                <w:rFonts w:cs="Calibri"/>
                <w:szCs w:val="18"/>
              </w:rPr>
              <w:t>Sous critère c : Evaluation et titres d'habilitation</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A5272" w14:textId="77777777" w:rsidR="007A0A93" w:rsidRPr="00C321B1" w:rsidRDefault="00615EB1" w:rsidP="00C321B1">
            <w:pPr>
              <w:pStyle w:val="RedaliaNormal"/>
              <w:spacing w:before="0"/>
              <w:jc w:val="center"/>
              <w:rPr>
                <w:szCs w:val="18"/>
              </w:rPr>
            </w:pPr>
            <w:r w:rsidRPr="00C321B1">
              <w:rPr>
                <w:rFonts w:cs="Calibri"/>
                <w:szCs w:val="18"/>
              </w:rPr>
              <w:t>10%</w:t>
            </w:r>
          </w:p>
        </w:tc>
      </w:tr>
      <w:tr w:rsidR="007A0A93" w:rsidRPr="00C321B1" w14:paraId="7DDBA004"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tcPr>
          <w:p w14:paraId="20DC26B1" w14:textId="77777777" w:rsidR="007A0A93" w:rsidRPr="00C321B1" w:rsidRDefault="00615EB1" w:rsidP="00C321B1">
            <w:pPr>
              <w:pStyle w:val="RedaliaNormal"/>
              <w:spacing w:before="0"/>
              <w:rPr>
                <w:szCs w:val="18"/>
              </w:rPr>
            </w:pPr>
            <w:r w:rsidRPr="00C321B1">
              <w:rPr>
                <w:b/>
                <w:szCs w:val="18"/>
              </w:rPr>
              <w:t>Critère n° 3</w:t>
            </w:r>
            <w:r w:rsidRPr="00C321B1">
              <w:rPr>
                <w:rFonts w:cs="Calibri"/>
                <w:b/>
                <w:szCs w:val="18"/>
              </w:rPr>
              <w:t> </w:t>
            </w:r>
            <w:r w:rsidRPr="00C321B1">
              <w:rPr>
                <w:b/>
                <w:szCs w:val="18"/>
              </w:rPr>
              <w:t xml:space="preserve">: </w:t>
            </w:r>
            <w:r w:rsidRPr="00C321B1">
              <w:rPr>
                <w:rFonts w:cs="Calibri"/>
                <w:b/>
                <w:szCs w:val="18"/>
              </w:rPr>
              <w:t>Qualité durable de l'offre</w:t>
            </w:r>
          </w:p>
        </w:tc>
        <w:tc>
          <w:tcPr>
            <w:tcW w:w="2092"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38C522FA" w14:textId="77777777" w:rsidR="007A0A93" w:rsidRPr="00C321B1" w:rsidRDefault="00615EB1" w:rsidP="00C321B1">
            <w:pPr>
              <w:pStyle w:val="RedaliaNormal"/>
              <w:spacing w:before="0"/>
              <w:jc w:val="center"/>
              <w:rPr>
                <w:b/>
                <w:szCs w:val="18"/>
              </w:rPr>
            </w:pPr>
            <w:r w:rsidRPr="00C321B1">
              <w:rPr>
                <w:b/>
                <w:szCs w:val="18"/>
              </w:rPr>
              <w:t>5 %</w:t>
            </w:r>
          </w:p>
        </w:tc>
      </w:tr>
      <w:tr w:rsidR="00B73F88" w:rsidRPr="00C321B1" w14:paraId="29C21C2F" w14:textId="77777777" w:rsidTr="00C321B1">
        <w:tc>
          <w:tcPr>
            <w:tcW w:w="71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6B96E" w14:textId="72587BFB" w:rsidR="00B73F88" w:rsidRPr="00C321B1" w:rsidRDefault="00B73F88" w:rsidP="00B73F88">
            <w:pPr>
              <w:pStyle w:val="RedaliaNormal"/>
              <w:spacing w:before="0"/>
              <w:rPr>
                <w:rFonts w:cs="Calibri"/>
                <w:szCs w:val="18"/>
              </w:rPr>
            </w:pPr>
            <w:r w:rsidRPr="00C321B1">
              <w:rPr>
                <w:rFonts w:cs="Calibri"/>
                <w:szCs w:val="18"/>
              </w:rPr>
              <w:t>Sous-critère a : Engagement écologique</w:t>
            </w:r>
            <w:r>
              <w:rPr>
                <w:rFonts w:cs="Calibri"/>
                <w:szCs w:val="18"/>
              </w:rPr>
              <w:t xml:space="preserve"> dans le cadre de l’exécution du marché : </w:t>
            </w:r>
            <w:r w:rsidRPr="00B73F88">
              <w:rPr>
                <w:bCs/>
                <w:iCs/>
                <w:szCs w:val="18"/>
              </w:rPr>
              <w:t>utilisation de supports numériques, la réduction des ressources papier, et des pratiques plus respectueuses de l'environnement</w:t>
            </w:r>
            <w:r>
              <w:rPr>
                <w:bCs/>
                <w:iCs/>
                <w:szCs w:val="18"/>
              </w:rPr>
              <w:t xml:space="preserve">, </w:t>
            </w:r>
            <w:r w:rsidRPr="00B73F88">
              <w:rPr>
                <w:bCs/>
                <w:iCs/>
                <w:szCs w:val="18"/>
              </w:rPr>
              <w:t>méthodes de déplacement des formateurs</w:t>
            </w:r>
          </w:p>
        </w:tc>
        <w:tc>
          <w:tcPr>
            <w:tcW w:w="20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49417" w14:textId="77777777" w:rsidR="00B73F88" w:rsidRPr="00C321B1" w:rsidRDefault="00B73F88" w:rsidP="00B73F88">
            <w:pPr>
              <w:pStyle w:val="RedaliaNormal"/>
              <w:spacing w:before="0"/>
              <w:jc w:val="center"/>
              <w:rPr>
                <w:szCs w:val="18"/>
              </w:rPr>
            </w:pPr>
            <w:r w:rsidRPr="00C321B1">
              <w:rPr>
                <w:rFonts w:cs="Calibri"/>
                <w:szCs w:val="18"/>
              </w:rPr>
              <w:t>50 %</w:t>
            </w:r>
          </w:p>
        </w:tc>
      </w:tr>
      <w:tr w:rsidR="00B73F88" w:rsidRPr="00C321B1" w14:paraId="0486BD06"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00B26" w14:textId="5D25D9F4" w:rsidR="00B73F88" w:rsidRPr="00C321B1" w:rsidRDefault="00B73F88" w:rsidP="00B73F88">
            <w:pPr>
              <w:pStyle w:val="RedaliaNormal"/>
              <w:spacing w:before="0"/>
              <w:rPr>
                <w:rFonts w:cs="Calibri"/>
                <w:szCs w:val="18"/>
              </w:rPr>
            </w:pPr>
            <w:r w:rsidRPr="00C321B1">
              <w:rPr>
                <w:rFonts w:cs="Calibri"/>
                <w:szCs w:val="18"/>
              </w:rPr>
              <w:t>Sous-critère b : Politique RSO de l’organisme de formation</w:t>
            </w:r>
            <w:r>
              <w:rPr>
                <w:rFonts w:cs="Calibri"/>
                <w:szCs w:val="18"/>
              </w:rPr>
              <w:t xml:space="preserve"> mise en œuvre dans le cadre de l’exécution du marché </w:t>
            </w:r>
            <w:r>
              <w:t xml:space="preserve">: </w:t>
            </w:r>
            <w:r w:rsidRPr="00B73F88">
              <w:rPr>
                <w:rFonts w:cs="Calibri"/>
                <w:szCs w:val="18"/>
              </w:rPr>
              <w:t>Cette politique comprend des engagements en matière d’éthique, d’équité sociale, de bien-être des employés</w:t>
            </w:r>
            <w:r>
              <w:rPr>
                <w:rFonts w:cs="Calibri"/>
                <w:szCs w:val="18"/>
              </w:rPr>
              <w:t xml:space="preserve"> (avantages, mesures QVT, …)</w:t>
            </w:r>
            <w:r w:rsidRPr="00B73F88">
              <w:rPr>
                <w:rFonts w:cs="Calibri"/>
                <w:szCs w:val="18"/>
              </w:rPr>
              <w:t>, et d'impact social.</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85CA3" w14:textId="77777777" w:rsidR="00B73F88" w:rsidRPr="00C321B1" w:rsidRDefault="00B73F88" w:rsidP="00B73F88">
            <w:pPr>
              <w:pStyle w:val="RedaliaNormal"/>
              <w:spacing w:before="0"/>
              <w:jc w:val="center"/>
              <w:rPr>
                <w:szCs w:val="18"/>
              </w:rPr>
            </w:pPr>
            <w:r w:rsidRPr="00C321B1">
              <w:rPr>
                <w:rFonts w:cs="Calibri"/>
                <w:szCs w:val="18"/>
              </w:rPr>
              <w:t>50 %</w:t>
            </w:r>
          </w:p>
        </w:tc>
      </w:tr>
    </w:tbl>
    <w:p w14:paraId="2EC85A37" w14:textId="77777777" w:rsidR="00C321B1" w:rsidRDefault="00C321B1" w:rsidP="00C321B1">
      <w:pPr>
        <w:pStyle w:val="RedaliaNormal"/>
        <w:spacing w:before="0"/>
        <w:jc w:val="center"/>
        <w:rPr>
          <w:rFonts w:ascii="Montserrat" w:hAnsi="Montserrat"/>
          <w:b/>
          <w:bCs/>
          <w:color w:val="C00000"/>
          <w:u w:val="single"/>
        </w:rPr>
      </w:pPr>
    </w:p>
    <w:p w14:paraId="5072988C" w14:textId="77777777" w:rsidR="00B73F88" w:rsidRDefault="00B73F88" w:rsidP="00C321B1">
      <w:pPr>
        <w:pStyle w:val="RedaliaNormal"/>
        <w:spacing w:before="0"/>
        <w:jc w:val="center"/>
        <w:rPr>
          <w:rFonts w:ascii="Montserrat" w:hAnsi="Montserrat"/>
          <w:b/>
          <w:bCs/>
          <w:color w:val="C00000"/>
          <w:u w:val="single"/>
        </w:rPr>
      </w:pPr>
    </w:p>
    <w:p w14:paraId="2A96441F" w14:textId="77777777" w:rsidR="00B73F88" w:rsidRDefault="00B73F88" w:rsidP="00C321B1">
      <w:pPr>
        <w:pStyle w:val="RedaliaNormal"/>
        <w:spacing w:before="0"/>
        <w:jc w:val="center"/>
        <w:rPr>
          <w:rFonts w:ascii="Montserrat" w:hAnsi="Montserrat"/>
          <w:b/>
          <w:bCs/>
          <w:color w:val="C00000"/>
          <w:u w:val="single"/>
        </w:rPr>
      </w:pPr>
    </w:p>
    <w:p w14:paraId="21228FE9" w14:textId="77777777" w:rsidR="00B73F88" w:rsidRDefault="00B73F88" w:rsidP="00C321B1">
      <w:pPr>
        <w:pStyle w:val="RedaliaNormal"/>
        <w:spacing w:before="0"/>
        <w:jc w:val="center"/>
        <w:rPr>
          <w:rFonts w:ascii="Montserrat" w:hAnsi="Montserrat"/>
          <w:b/>
          <w:bCs/>
          <w:color w:val="C00000"/>
          <w:u w:val="single"/>
        </w:rPr>
      </w:pPr>
    </w:p>
    <w:p w14:paraId="4783ED0B" w14:textId="77777777" w:rsidR="00B73F88" w:rsidRDefault="00B73F88" w:rsidP="00C321B1">
      <w:pPr>
        <w:pStyle w:val="RedaliaNormal"/>
        <w:spacing w:before="0"/>
        <w:jc w:val="center"/>
        <w:rPr>
          <w:rFonts w:ascii="Montserrat" w:hAnsi="Montserrat"/>
          <w:b/>
          <w:bCs/>
          <w:color w:val="C00000"/>
          <w:u w:val="single"/>
        </w:rPr>
      </w:pPr>
    </w:p>
    <w:p w14:paraId="75B3BD18" w14:textId="77777777" w:rsidR="00B73F88" w:rsidRDefault="00B73F88" w:rsidP="00C321B1">
      <w:pPr>
        <w:pStyle w:val="RedaliaNormal"/>
        <w:spacing w:before="0"/>
        <w:jc w:val="center"/>
        <w:rPr>
          <w:rFonts w:ascii="Montserrat" w:hAnsi="Montserrat"/>
          <w:b/>
          <w:bCs/>
          <w:color w:val="C00000"/>
          <w:u w:val="single"/>
        </w:rPr>
      </w:pPr>
    </w:p>
    <w:p w14:paraId="02E65526" w14:textId="77777777" w:rsidR="00B73F88" w:rsidRDefault="00B73F88" w:rsidP="00C321B1">
      <w:pPr>
        <w:pStyle w:val="RedaliaNormal"/>
        <w:spacing w:before="0"/>
        <w:jc w:val="center"/>
        <w:rPr>
          <w:rFonts w:ascii="Montserrat" w:hAnsi="Montserrat"/>
          <w:b/>
          <w:bCs/>
          <w:color w:val="C00000"/>
          <w:u w:val="single"/>
        </w:rPr>
      </w:pPr>
    </w:p>
    <w:p w14:paraId="695E3557" w14:textId="77777777" w:rsidR="00B73F88" w:rsidRDefault="00B73F88" w:rsidP="00C321B1">
      <w:pPr>
        <w:pStyle w:val="RedaliaNormal"/>
        <w:spacing w:before="0"/>
        <w:jc w:val="center"/>
        <w:rPr>
          <w:rFonts w:ascii="Montserrat" w:hAnsi="Montserrat"/>
          <w:b/>
          <w:bCs/>
          <w:color w:val="C00000"/>
          <w:u w:val="single"/>
        </w:rPr>
      </w:pPr>
    </w:p>
    <w:p w14:paraId="1F2A7142" w14:textId="77777777" w:rsidR="00B73F88" w:rsidRDefault="00B73F88" w:rsidP="00C321B1">
      <w:pPr>
        <w:pStyle w:val="RedaliaNormal"/>
        <w:spacing w:before="0"/>
        <w:jc w:val="center"/>
        <w:rPr>
          <w:rFonts w:ascii="Montserrat" w:hAnsi="Montserrat"/>
          <w:b/>
          <w:bCs/>
          <w:color w:val="C00000"/>
          <w:u w:val="single"/>
        </w:rPr>
      </w:pPr>
    </w:p>
    <w:p w14:paraId="400E408F" w14:textId="1703D1B9" w:rsidR="007A0A93" w:rsidRDefault="00615EB1" w:rsidP="00C321B1">
      <w:pPr>
        <w:pStyle w:val="RedaliaNormal"/>
        <w:spacing w:before="0"/>
        <w:jc w:val="center"/>
        <w:rPr>
          <w:rFonts w:ascii="Montserrat" w:hAnsi="Montserrat"/>
          <w:b/>
          <w:bCs/>
          <w:color w:val="C00000"/>
          <w:u w:val="single"/>
        </w:rPr>
      </w:pPr>
      <w:r w:rsidRPr="00C321B1">
        <w:rPr>
          <w:rFonts w:ascii="Montserrat" w:hAnsi="Montserrat"/>
          <w:b/>
          <w:bCs/>
          <w:color w:val="C00000"/>
          <w:u w:val="single"/>
        </w:rPr>
        <w:lastRenderedPageBreak/>
        <w:t xml:space="preserve">Lot 2 et 3 </w:t>
      </w:r>
      <w:r w:rsidR="003B160C">
        <w:rPr>
          <w:rFonts w:ascii="Montserrat" w:hAnsi="Montserrat"/>
          <w:b/>
          <w:bCs/>
          <w:color w:val="C00000"/>
          <w:u w:val="single"/>
        </w:rPr>
        <w:t>formations</w:t>
      </w:r>
      <w:r w:rsidR="00B73F88">
        <w:rPr>
          <w:rFonts w:ascii="Montserrat" w:hAnsi="Montserrat"/>
          <w:b/>
          <w:bCs/>
          <w:color w:val="C00000"/>
          <w:u w:val="single"/>
        </w:rPr>
        <w:t xml:space="preserve"> </w:t>
      </w:r>
      <w:r w:rsidRPr="00C321B1">
        <w:rPr>
          <w:rFonts w:ascii="Montserrat" w:hAnsi="Montserrat"/>
          <w:b/>
          <w:bCs/>
          <w:color w:val="C00000"/>
          <w:u w:val="single"/>
        </w:rPr>
        <w:t xml:space="preserve">Sécurité incendie et SSIAP </w:t>
      </w:r>
    </w:p>
    <w:p w14:paraId="76CCD990" w14:textId="77777777" w:rsidR="00C321B1" w:rsidRPr="00C321B1" w:rsidRDefault="00C321B1" w:rsidP="00C321B1">
      <w:pPr>
        <w:pStyle w:val="RedaliaNormal"/>
        <w:spacing w:before="0"/>
        <w:jc w:val="center"/>
        <w:rPr>
          <w:rFonts w:ascii="Montserrat" w:hAnsi="Montserrat"/>
          <w:b/>
          <w:bCs/>
          <w:color w:val="C00000"/>
          <w:u w:val="single"/>
        </w:rPr>
      </w:pPr>
    </w:p>
    <w:tbl>
      <w:tblPr>
        <w:tblW w:w="9286" w:type="dxa"/>
        <w:tblLayout w:type="fixed"/>
        <w:tblCellMar>
          <w:left w:w="10" w:type="dxa"/>
          <w:right w:w="10" w:type="dxa"/>
        </w:tblCellMar>
        <w:tblLook w:val="0000" w:firstRow="0" w:lastRow="0" w:firstColumn="0" w:lastColumn="0" w:noHBand="0" w:noVBand="0"/>
      </w:tblPr>
      <w:tblGrid>
        <w:gridCol w:w="7194"/>
        <w:gridCol w:w="2092"/>
      </w:tblGrid>
      <w:tr w:rsidR="007A0A93" w:rsidRPr="00C321B1" w14:paraId="2EA70348"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7DCF7C52" w14:textId="77777777" w:rsidR="007A0A93" w:rsidRPr="00C321B1" w:rsidRDefault="00615EB1" w:rsidP="00C321B1">
            <w:pPr>
              <w:pStyle w:val="RedaliaNormal"/>
              <w:spacing w:before="0"/>
              <w:jc w:val="left"/>
              <w:rPr>
                <w:szCs w:val="18"/>
              </w:rPr>
            </w:pPr>
            <w:r w:rsidRPr="00C321B1">
              <w:rPr>
                <w:b/>
                <w:szCs w:val="18"/>
              </w:rPr>
              <w:t>Critère n° 1</w:t>
            </w:r>
            <w:r w:rsidRPr="00C321B1">
              <w:rPr>
                <w:rFonts w:cs="Calibri"/>
                <w:b/>
                <w:szCs w:val="18"/>
              </w:rPr>
              <w:t> </w:t>
            </w:r>
            <w:r w:rsidRPr="00C321B1">
              <w:rPr>
                <w:b/>
                <w:szCs w:val="18"/>
              </w:rPr>
              <w:t xml:space="preserve">: </w:t>
            </w:r>
            <w:r w:rsidRPr="00C321B1">
              <w:rPr>
                <w:rFonts w:cs="Calibri"/>
                <w:b/>
                <w:szCs w:val="18"/>
              </w:rPr>
              <w:t>Prix</w:t>
            </w:r>
          </w:p>
        </w:tc>
        <w:tc>
          <w:tcPr>
            <w:tcW w:w="2092"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1BE155D8" w14:textId="77777777" w:rsidR="007A0A93" w:rsidRPr="00C321B1" w:rsidRDefault="00615EB1" w:rsidP="00C321B1">
            <w:pPr>
              <w:pStyle w:val="RedaliaNormal"/>
              <w:spacing w:before="0"/>
              <w:jc w:val="center"/>
              <w:rPr>
                <w:b/>
                <w:szCs w:val="18"/>
              </w:rPr>
            </w:pPr>
            <w:r w:rsidRPr="00C321B1">
              <w:rPr>
                <w:b/>
                <w:szCs w:val="18"/>
              </w:rPr>
              <w:t>45%</w:t>
            </w:r>
          </w:p>
        </w:tc>
      </w:tr>
      <w:tr w:rsidR="007A0A93" w:rsidRPr="00C321B1" w14:paraId="11AF5688"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5835A364" w14:textId="77777777" w:rsidR="007A0A93" w:rsidRPr="00C321B1" w:rsidRDefault="00615EB1" w:rsidP="00C321B1">
            <w:pPr>
              <w:pStyle w:val="RedaliaNormal"/>
              <w:spacing w:before="0"/>
              <w:rPr>
                <w:szCs w:val="18"/>
              </w:rPr>
            </w:pPr>
            <w:r w:rsidRPr="00C321B1">
              <w:rPr>
                <w:b/>
                <w:szCs w:val="18"/>
              </w:rPr>
              <w:t>Critère n° 2</w:t>
            </w:r>
            <w:r w:rsidRPr="00C321B1">
              <w:rPr>
                <w:rFonts w:cs="Calibri"/>
                <w:b/>
                <w:szCs w:val="18"/>
              </w:rPr>
              <w:t> </w:t>
            </w:r>
            <w:r w:rsidRPr="00C321B1">
              <w:rPr>
                <w:b/>
                <w:szCs w:val="18"/>
              </w:rPr>
              <w:t xml:space="preserve">: </w:t>
            </w:r>
            <w:r w:rsidRPr="00C321B1">
              <w:rPr>
                <w:rFonts w:cs="Calibri"/>
                <w:b/>
                <w:szCs w:val="18"/>
              </w:rPr>
              <w:t>Qualité technique de l'offre</w:t>
            </w:r>
          </w:p>
        </w:tc>
        <w:tc>
          <w:tcPr>
            <w:tcW w:w="2092"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1CCA230C" w14:textId="77777777" w:rsidR="007A0A93" w:rsidRPr="00C321B1" w:rsidRDefault="00615EB1" w:rsidP="00C321B1">
            <w:pPr>
              <w:pStyle w:val="RedaliaNormal"/>
              <w:spacing w:before="0"/>
              <w:jc w:val="center"/>
              <w:rPr>
                <w:b/>
                <w:szCs w:val="18"/>
              </w:rPr>
            </w:pPr>
            <w:r w:rsidRPr="00C321B1">
              <w:rPr>
                <w:b/>
                <w:szCs w:val="18"/>
              </w:rPr>
              <w:t>50 %</w:t>
            </w:r>
          </w:p>
        </w:tc>
      </w:tr>
      <w:tr w:rsidR="007A0A93" w:rsidRPr="00C321B1" w14:paraId="3EEB038D" w14:textId="77777777" w:rsidTr="00C321B1">
        <w:tc>
          <w:tcPr>
            <w:tcW w:w="71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76AB6" w14:textId="77777777" w:rsidR="007A0A93" w:rsidRPr="00C321B1" w:rsidRDefault="00615EB1" w:rsidP="00C321B1">
            <w:pPr>
              <w:pStyle w:val="RedaliaNormal"/>
              <w:spacing w:before="0"/>
              <w:rPr>
                <w:rFonts w:cs="Calibri"/>
                <w:szCs w:val="18"/>
              </w:rPr>
            </w:pPr>
            <w:r w:rsidRPr="00C321B1">
              <w:rPr>
                <w:rFonts w:cs="Calibri"/>
                <w:szCs w:val="18"/>
              </w:rPr>
              <w:t>Sous-critère a : Qualité pédagogique de l’offre et adéquation aux exigences réglementaires</w:t>
            </w:r>
          </w:p>
        </w:tc>
        <w:tc>
          <w:tcPr>
            <w:tcW w:w="20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590A5" w14:textId="77777777" w:rsidR="007A0A93" w:rsidRPr="00C321B1" w:rsidRDefault="00615EB1" w:rsidP="00C321B1">
            <w:pPr>
              <w:pStyle w:val="RedaliaNormal"/>
              <w:spacing w:before="0"/>
              <w:jc w:val="center"/>
              <w:rPr>
                <w:rFonts w:cs="Calibri"/>
                <w:szCs w:val="18"/>
              </w:rPr>
            </w:pPr>
            <w:r w:rsidRPr="00C321B1">
              <w:rPr>
                <w:rFonts w:cs="Calibri"/>
                <w:szCs w:val="18"/>
              </w:rPr>
              <w:t>50%</w:t>
            </w:r>
          </w:p>
        </w:tc>
      </w:tr>
      <w:tr w:rsidR="007A0A93" w:rsidRPr="00C321B1" w14:paraId="26F4C47B"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40A7E" w14:textId="77777777" w:rsidR="007A0A93" w:rsidRPr="00C321B1" w:rsidRDefault="00615EB1" w:rsidP="00C321B1">
            <w:pPr>
              <w:pStyle w:val="RedaliaNormal"/>
              <w:spacing w:before="0"/>
              <w:rPr>
                <w:rFonts w:cs="Calibri"/>
                <w:szCs w:val="18"/>
              </w:rPr>
            </w:pPr>
            <w:r w:rsidRPr="00C321B1">
              <w:rPr>
                <w:rFonts w:cs="Calibri"/>
                <w:szCs w:val="18"/>
              </w:rPr>
              <w:t>Sous critère b : Organisation et ressources dédiées</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36E8C" w14:textId="77777777" w:rsidR="007A0A93" w:rsidRPr="00C321B1" w:rsidRDefault="00615EB1" w:rsidP="00C321B1">
            <w:pPr>
              <w:pStyle w:val="RedaliaNormal"/>
              <w:spacing w:before="0"/>
              <w:jc w:val="center"/>
              <w:rPr>
                <w:szCs w:val="18"/>
              </w:rPr>
            </w:pPr>
            <w:r w:rsidRPr="00C321B1">
              <w:rPr>
                <w:rFonts w:cs="Calibri"/>
                <w:szCs w:val="18"/>
              </w:rPr>
              <w:t>40%</w:t>
            </w:r>
          </w:p>
        </w:tc>
      </w:tr>
      <w:tr w:rsidR="007A0A93" w:rsidRPr="00C321B1" w14:paraId="3B1C0844"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27170" w14:textId="77777777" w:rsidR="007A0A93" w:rsidRPr="00C321B1" w:rsidRDefault="00615EB1" w:rsidP="00C321B1">
            <w:pPr>
              <w:pStyle w:val="RedaliaNormal"/>
              <w:spacing w:before="0"/>
              <w:rPr>
                <w:rFonts w:cs="Calibri"/>
                <w:szCs w:val="18"/>
              </w:rPr>
            </w:pPr>
            <w:r w:rsidRPr="00C321B1">
              <w:rPr>
                <w:rFonts w:cs="Calibri"/>
                <w:szCs w:val="18"/>
              </w:rPr>
              <w:t>Sous critère c : Evaluation et attestation</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6857E" w14:textId="77777777" w:rsidR="007A0A93" w:rsidRPr="00C321B1" w:rsidRDefault="00615EB1" w:rsidP="00C321B1">
            <w:pPr>
              <w:pStyle w:val="RedaliaNormal"/>
              <w:spacing w:before="0"/>
              <w:jc w:val="center"/>
              <w:rPr>
                <w:szCs w:val="18"/>
              </w:rPr>
            </w:pPr>
            <w:r w:rsidRPr="00C321B1">
              <w:rPr>
                <w:rFonts w:cs="Calibri"/>
                <w:szCs w:val="18"/>
              </w:rPr>
              <w:t>10%</w:t>
            </w:r>
          </w:p>
        </w:tc>
      </w:tr>
      <w:tr w:rsidR="007A0A93" w:rsidRPr="00C321B1" w14:paraId="44FCFA9F"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tcPr>
          <w:p w14:paraId="72595F7B" w14:textId="77777777" w:rsidR="007A0A93" w:rsidRPr="00C321B1" w:rsidRDefault="00615EB1" w:rsidP="00C321B1">
            <w:pPr>
              <w:pStyle w:val="RedaliaNormal"/>
              <w:spacing w:before="0"/>
              <w:rPr>
                <w:szCs w:val="18"/>
              </w:rPr>
            </w:pPr>
            <w:r w:rsidRPr="00C321B1">
              <w:rPr>
                <w:b/>
                <w:szCs w:val="18"/>
              </w:rPr>
              <w:t>Critère n° 3</w:t>
            </w:r>
            <w:r w:rsidRPr="00C321B1">
              <w:rPr>
                <w:rFonts w:cs="Calibri"/>
                <w:b/>
                <w:szCs w:val="18"/>
              </w:rPr>
              <w:t> </w:t>
            </w:r>
            <w:r w:rsidRPr="00C321B1">
              <w:rPr>
                <w:b/>
                <w:szCs w:val="18"/>
              </w:rPr>
              <w:t xml:space="preserve">: </w:t>
            </w:r>
            <w:r w:rsidRPr="00C321B1">
              <w:rPr>
                <w:rFonts w:cs="Calibri"/>
                <w:b/>
                <w:szCs w:val="18"/>
              </w:rPr>
              <w:t>Qualité durable de l'offre</w:t>
            </w:r>
          </w:p>
        </w:tc>
        <w:tc>
          <w:tcPr>
            <w:tcW w:w="2092" w:type="dxa"/>
            <w:tcBorders>
              <w:top w:val="single" w:sz="4" w:space="0" w:color="000000"/>
              <w:left w:val="single" w:sz="4" w:space="0" w:color="000000"/>
              <w:bottom w:val="single" w:sz="4" w:space="0" w:color="000000"/>
              <w:right w:val="single" w:sz="4" w:space="0" w:color="000000"/>
            </w:tcBorders>
            <w:shd w:val="clear" w:color="auto" w:fill="1F3864"/>
            <w:tcMar>
              <w:top w:w="0" w:type="dxa"/>
              <w:left w:w="108" w:type="dxa"/>
              <w:bottom w:w="0" w:type="dxa"/>
              <w:right w:w="108" w:type="dxa"/>
            </w:tcMar>
            <w:vAlign w:val="center"/>
          </w:tcPr>
          <w:p w14:paraId="69B0F6E7" w14:textId="77777777" w:rsidR="007A0A93" w:rsidRPr="00C321B1" w:rsidRDefault="00615EB1" w:rsidP="00C321B1">
            <w:pPr>
              <w:pStyle w:val="RedaliaNormal"/>
              <w:spacing w:before="0"/>
              <w:jc w:val="center"/>
              <w:rPr>
                <w:b/>
                <w:szCs w:val="18"/>
              </w:rPr>
            </w:pPr>
            <w:r w:rsidRPr="00C321B1">
              <w:rPr>
                <w:b/>
                <w:szCs w:val="18"/>
              </w:rPr>
              <w:t>5 %</w:t>
            </w:r>
          </w:p>
        </w:tc>
      </w:tr>
      <w:tr w:rsidR="003F47DB" w:rsidRPr="00C321B1" w14:paraId="53AD1C26" w14:textId="77777777" w:rsidTr="00C321B1">
        <w:tc>
          <w:tcPr>
            <w:tcW w:w="71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78585" w14:textId="44430486" w:rsidR="003F47DB" w:rsidRPr="00C321B1" w:rsidRDefault="003F47DB" w:rsidP="003F47DB">
            <w:pPr>
              <w:pStyle w:val="RedaliaNormal"/>
              <w:spacing w:before="0"/>
              <w:rPr>
                <w:rFonts w:cs="Calibri"/>
                <w:szCs w:val="18"/>
              </w:rPr>
            </w:pPr>
            <w:r w:rsidRPr="00C321B1">
              <w:rPr>
                <w:rFonts w:cs="Calibri"/>
                <w:szCs w:val="18"/>
              </w:rPr>
              <w:t>Sous-critère a : Engagement écologique</w:t>
            </w:r>
            <w:r>
              <w:rPr>
                <w:rFonts w:cs="Calibri"/>
                <w:szCs w:val="18"/>
              </w:rPr>
              <w:t xml:space="preserve"> dans le cadre de l’exécution du marché</w:t>
            </w:r>
            <w:r w:rsidR="00B73F88">
              <w:rPr>
                <w:rFonts w:cs="Calibri"/>
                <w:szCs w:val="18"/>
              </w:rPr>
              <w:t xml:space="preserve"> : </w:t>
            </w:r>
            <w:r w:rsidR="00B73F88" w:rsidRPr="00B73F88">
              <w:rPr>
                <w:bCs/>
                <w:iCs/>
                <w:szCs w:val="18"/>
              </w:rPr>
              <w:t>utilisation de supports numériques, la réduction des ressources papier, et des pratiques plus respectueuses de l'environnement</w:t>
            </w:r>
            <w:r w:rsidR="00B73F88">
              <w:rPr>
                <w:bCs/>
                <w:iCs/>
                <w:szCs w:val="18"/>
              </w:rPr>
              <w:t xml:space="preserve">, </w:t>
            </w:r>
            <w:r w:rsidR="00B73F88" w:rsidRPr="00B73F88">
              <w:rPr>
                <w:bCs/>
                <w:iCs/>
                <w:szCs w:val="18"/>
              </w:rPr>
              <w:t>méthodes de déplacement des formateurs</w:t>
            </w:r>
          </w:p>
        </w:tc>
        <w:tc>
          <w:tcPr>
            <w:tcW w:w="20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A1E66" w14:textId="77777777" w:rsidR="003F47DB" w:rsidRPr="00C321B1" w:rsidRDefault="003F47DB" w:rsidP="003F47DB">
            <w:pPr>
              <w:pStyle w:val="RedaliaNormal"/>
              <w:spacing w:before="0"/>
              <w:jc w:val="center"/>
              <w:rPr>
                <w:szCs w:val="18"/>
              </w:rPr>
            </w:pPr>
            <w:r w:rsidRPr="00C321B1">
              <w:rPr>
                <w:rFonts w:cs="Calibri"/>
                <w:szCs w:val="18"/>
              </w:rPr>
              <w:t>50 %</w:t>
            </w:r>
          </w:p>
        </w:tc>
      </w:tr>
      <w:tr w:rsidR="003F47DB" w:rsidRPr="00C321B1" w14:paraId="07DCD430" w14:textId="77777777" w:rsidTr="00C321B1">
        <w:tc>
          <w:tcPr>
            <w:tcW w:w="71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C9A1" w14:textId="21429BD7" w:rsidR="003F47DB" w:rsidRPr="00C321B1" w:rsidRDefault="003F47DB" w:rsidP="003F47DB">
            <w:pPr>
              <w:pStyle w:val="RedaliaNormal"/>
              <w:spacing w:before="0"/>
              <w:rPr>
                <w:rFonts w:cs="Calibri"/>
                <w:szCs w:val="18"/>
              </w:rPr>
            </w:pPr>
            <w:r w:rsidRPr="00C321B1">
              <w:rPr>
                <w:rFonts w:cs="Calibri"/>
                <w:szCs w:val="18"/>
              </w:rPr>
              <w:t>Sous-critère b : Politique RSO de l’organisme de formation</w:t>
            </w:r>
            <w:r>
              <w:rPr>
                <w:rFonts w:cs="Calibri"/>
                <w:szCs w:val="18"/>
              </w:rPr>
              <w:t xml:space="preserve"> mise en œuvre dans le cadre de l’exécution du marché</w:t>
            </w:r>
            <w:r w:rsidR="00B73F88">
              <w:rPr>
                <w:rFonts w:cs="Calibri"/>
                <w:szCs w:val="18"/>
              </w:rPr>
              <w:t> </w:t>
            </w:r>
            <w:r w:rsidR="00B73F88">
              <w:t xml:space="preserve">: </w:t>
            </w:r>
            <w:r w:rsidR="00B73F88" w:rsidRPr="00B73F88">
              <w:rPr>
                <w:rFonts w:cs="Calibri"/>
                <w:szCs w:val="18"/>
              </w:rPr>
              <w:t>Cette politique comprend des engagements en matière d’éthique, d’équité sociale, de bien-être des employés</w:t>
            </w:r>
            <w:r w:rsidR="00B73F88">
              <w:rPr>
                <w:rFonts w:cs="Calibri"/>
                <w:szCs w:val="18"/>
              </w:rPr>
              <w:t xml:space="preserve"> (avantages, mesures QVT, …)</w:t>
            </w:r>
            <w:r w:rsidR="00B73F88" w:rsidRPr="00B73F88">
              <w:rPr>
                <w:rFonts w:cs="Calibri"/>
                <w:szCs w:val="18"/>
              </w:rPr>
              <w:t>, et d'impact social.</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CE794" w14:textId="77777777" w:rsidR="003F47DB" w:rsidRPr="00C321B1" w:rsidRDefault="003F47DB" w:rsidP="003F47DB">
            <w:pPr>
              <w:pStyle w:val="RedaliaNormal"/>
              <w:spacing w:before="0"/>
              <w:jc w:val="center"/>
              <w:rPr>
                <w:szCs w:val="18"/>
              </w:rPr>
            </w:pPr>
            <w:r w:rsidRPr="00C321B1">
              <w:rPr>
                <w:rFonts w:cs="Calibri"/>
                <w:szCs w:val="18"/>
              </w:rPr>
              <w:t>50 %</w:t>
            </w:r>
          </w:p>
        </w:tc>
      </w:tr>
    </w:tbl>
    <w:p w14:paraId="3DC4EA7D" w14:textId="77777777" w:rsidR="007A0A93" w:rsidRDefault="007A0A93">
      <w:pPr>
        <w:pStyle w:val="RedaliaNormal"/>
      </w:pPr>
    </w:p>
    <w:p w14:paraId="466487F7" w14:textId="0BFF98E5" w:rsidR="007A0A93" w:rsidRDefault="00615EB1">
      <w:pPr>
        <w:pStyle w:val="RedaliaNormal"/>
        <w:rPr>
          <w:b/>
          <w:u w:val="single"/>
        </w:rPr>
      </w:pPr>
      <w:r>
        <w:rPr>
          <w:b/>
          <w:u w:val="single"/>
        </w:rPr>
        <w:t>Précisions sur l’analyse des offres :</w:t>
      </w:r>
    </w:p>
    <w:p w14:paraId="4E5C3D69" w14:textId="77777777" w:rsidR="008813BC" w:rsidRPr="00A01989" w:rsidRDefault="008813BC" w:rsidP="008813BC">
      <w:pPr>
        <w:pStyle w:val="RedaliaNormal"/>
        <w:rPr>
          <w:b/>
          <w:bCs/>
          <w:color w:val="FF0000"/>
        </w:rPr>
      </w:pPr>
      <w:r w:rsidRPr="00A01989">
        <w:rPr>
          <w:b/>
          <w:bCs/>
          <w:color w:val="FF0000"/>
        </w:rPr>
        <w:t>Toute note inférieure à 12/20 sur le critère 2 « Qualité technique de l’offre » entraînera l’élimination du candidat.</w:t>
      </w:r>
    </w:p>
    <w:p w14:paraId="171D2C6E" w14:textId="77777777" w:rsidR="007A0A93" w:rsidRDefault="00615EB1">
      <w:pPr>
        <w:pStyle w:val="RedaliaNormal"/>
      </w:pPr>
      <w:r>
        <w:t>Au vu des critères pondérés de jugement des offres, le Représentant du Pouvoir Adjudicateur classe les offres des soumissionnaires par ordre décroissant. Il retient l’offre économiquement la plus avantageuse, la mieux classée.</w:t>
      </w:r>
    </w:p>
    <w:p w14:paraId="553E467C" w14:textId="77777777" w:rsidR="007A0A93" w:rsidRDefault="00615EB1">
      <w:pPr>
        <w:pStyle w:val="RedaliaNormal"/>
      </w:pPr>
      <w:r>
        <w:t>Les offres sont examinées lot par lot.</w:t>
      </w:r>
    </w:p>
    <w:p w14:paraId="5122EAAC" w14:textId="77777777" w:rsidR="007A0A93" w:rsidRDefault="00615EB1">
      <w:pPr>
        <w:pStyle w:val="RedaliaNormal"/>
      </w:pPr>
      <w:r>
        <w:t>Dans le cas où des erreurs de multiplication, d’addition ou de reports seraient constatées dans la décomposition d’un prix figurant dans l’offre d’un candidat, il n’en est pas tenu compte dans le jugement de la consultation.</w:t>
      </w:r>
    </w:p>
    <w:p w14:paraId="4391AA57" w14:textId="77777777" w:rsidR="007A0A93" w:rsidRDefault="00615EB1">
      <w:pPr>
        <w:pStyle w:val="RedaliaNormal"/>
      </w:pPr>
      <w:r>
        <w:t>Toutefois, si le candidat concerné est sur le point d’être retenu, il sera invité à rectifier cette décomposition pour la mettre en harmonie avec le prix. En cas de refus, son offre est éliminée comme irrégulière.</w:t>
      </w:r>
    </w:p>
    <w:p w14:paraId="4640ADFC" w14:textId="77777777" w:rsidR="007A0A93" w:rsidRDefault="00615EB1">
      <w:pPr>
        <w:pStyle w:val="RedaliaNormal"/>
      </w:pPr>
      <w:r>
        <w:t>Une offre peut être déclarée inacceptable si son prix excède les crédits budgétaires alloués au marché, déterminés et établis avant le lancement de la procédure.</w:t>
      </w:r>
    </w:p>
    <w:p w14:paraId="3A5F8958" w14:textId="77777777" w:rsidR="007A0A93" w:rsidRDefault="00615EB1">
      <w:pPr>
        <w:pStyle w:val="RedaliaNormal"/>
      </w:pPr>
      <w:r>
        <w:t>Le représentant du pouvoir adjudicateur peut déclarer la consultation infructueuse.</w:t>
      </w:r>
    </w:p>
    <w:p w14:paraId="7E24C4EA" w14:textId="77777777" w:rsidR="007A0A93" w:rsidRDefault="00615EB1">
      <w:pPr>
        <w:pStyle w:val="RedaliaNormal"/>
      </w:pPr>
      <w:r>
        <w:t>En application des articles R. 2185-1 à R. 2185-2 du Code de la commande publique, la procédure peut être déclarée sans suite par le Représentant du Pouvoir Adjudicateur.</w:t>
      </w:r>
    </w:p>
    <w:p w14:paraId="03C062A0" w14:textId="77777777" w:rsidR="007A0A93" w:rsidRDefault="00615EB1" w:rsidP="00615EB1">
      <w:pPr>
        <w:pStyle w:val="RedaliaTitre1"/>
      </w:pPr>
      <w:bookmarkStart w:id="78" w:name="_Toc224552582"/>
      <w:bookmarkStart w:id="79" w:name="__RefHeading___Toc60304_868557434"/>
      <w:r>
        <w:t>Négociation</w:t>
      </w:r>
      <w:bookmarkEnd w:id="78"/>
      <w:r>
        <w:rPr>
          <w:rFonts w:ascii="Cambria" w:hAnsi="Cambria" w:cs="Cambria"/>
        </w:rPr>
        <w:t> </w:t>
      </w:r>
    </w:p>
    <w:p w14:paraId="069435C6" w14:textId="68FA71B3" w:rsidR="007A0A93" w:rsidRDefault="00615EB1" w:rsidP="008813BC">
      <w:pPr>
        <w:pStyle w:val="RedaliaNormal"/>
      </w:pPr>
      <w:r>
        <w:t xml:space="preserve">Le Représentant du Pouvoir Adjudicateur se réserve la possibilité d’attribuer le marché public sur la base des offres initiales sans négociation. Le nombre de candidats admis à participer à la négociation sera de 3 maximum par lot. </w:t>
      </w:r>
    </w:p>
    <w:p w14:paraId="7EDF8F65" w14:textId="032EC165" w:rsidR="007A0A93" w:rsidRDefault="00615EB1" w:rsidP="008813BC">
      <w:pPr>
        <w:pStyle w:val="RedaliaNormal"/>
      </w:pPr>
      <w:r>
        <w:t xml:space="preserve">Le représentant du pouvoir adjudicateur se réserve la possibilité de négocier avec un nombre inférieur de candidats si moins de </w:t>
      </w:r>
      <w:r w:rsidR="003F47DB">
        <w:t>trois</w:t>
      </w:r>
      <w:r>
        <w:t xml:space="preserve"> candidats ont remis une offre. </w:t>
      </w:r>
    </w:p>
    <w:p w14:paraId="185D6A59" w14:textId="42FC6088" w:rsidR="003F47DB" w:rsidRDefault="003F47DB" w:rsidP="003F47DB">
      <w:pPr>
        <w:pStyle w:val="RedaliaNormal"/>
      </w:pPr>
      <w:r>
        <w:t xml:space="preserve">Le représentant du pouvoir adjudicateur se réserve la possibilité de négocier avec </w:t>
      </w:r>
      <w:r>
        <w:t>l’ensemble</w:t>
      </w:r>
      <w:r>
        <w:t xml:space="preserve"> de</w:t>
      </w:r>
      <w:r>
        <w:t>s</w:t>
      </w:r>
      <w:r>
        <w:t xml:space="preserve"> candidats si </w:t>
      </w:r>
      <w:r>
        <w:t>un classement n’a pas pu être établi après analyse des offres</w:t>
      </w:r>
      <w:r>
        <w:t xml:space="preserve">. </w:t>
      </w:r>
    </w:p>
    <w:p w14:paraId="618D04CF" w14:textId="77777777" w:rsidR="007A0A93" w:rsidRDefault="007A0A93">
      <w:pPr>
        <w:rPr>
          <w:b/>
        </w:rPr>
      </w:pPr>
    </w:p>
    <w:p w14:paraId="78854790" w14:textId="77777777" w:rsidR="008813BC" w:rsidRDefault="00615EB1">
      <w:r>
        <w:t>Les négociations porteront notamment sur les points suivants :</w:t>
      </w:r>
    </w:p>
    <w:p w14:paraId="3D178CE2" w14:textId="4C7CA791" w:rsidR="007A0A93" w:rsidRDefault="00615EB1" w:rsidP="008813BC">
      <w:pPr>
        <w:pStyle w:val="RedaliaRetraitPuceniveau3"/>
      </w:pPr>
      <w:r>
        <w:t xml:space="preserve">Un échange sur les moyens d’améliorer la qualité des offres en faisant évoluer les Cahiers des Clauses Particulières initiaux et/ou le cadre de réponse financier, ou l’acte d’engagement tout en respectant l’égalité des candidats ; </w:t>
      </w:r>
    </w:p>
    <w:p w14:paraId="37CD7A7E" w14:textId="3C5DBE3F" w:rsidR="007A0A93" w:rsidRDefault="00615EB1" w:rsidP="008813BC">
      <w:pPr>
        <w:pStyle w:val="RedaliaRetraitPuceniveau3"/>
      </w:pPr>
      <w:r>
        <w:t xml:space="preserve">L’effort tarifaire demandé au candidat pour se mettre en conformité avec le budget de la personne </w:t>
      </w:r>
      <w:r>
        <w:lastRenderedPageBreak/>
        <w:t>publique.</w:t>
      </w:r>
    </w:p>
    <w:p w14:paraId="3225109E" w14:textId="09F08FB3" w:rsidR="007A0A93" w:rsidRDefault="00615EB1" w:rsidP="008813BC">
      <w:pPr>
        <w:pStyle w:val="RedaliaNormal"/>
      </w:pPr>
      <w:r>
        <w:t xml:space="preserve"> Dans ce cas, les cahiers des clauses particulières pourront être modifiés par l’administration contractante suite à ces négociations.</w:t>
      </w:r>
    </w:p>
    <w:p w14:paraId="0D5D4735" w14:textId="73584F4D" w:rsidR="007A0A93" w:rsidRDefault="00615EB1" w:rsidP="008813BC">
      <w:pPr>
        <w:pStyle w:val="RedaliaNormal"/>
      </w:pPr>
      <w:r>
        <w:t xml:space="preserve">Les candidats sélectionnés seront alors invités à télécharger les nouveaux Cahier des Clauses Particulières et un nouvel acte d’engagement, puis invités à remettre une nouvelle offre conformément aux conditions définies à l’article 4 du présent Règlement de Consultation. </w:t>
      </w:r>
    </w:p>
    <w:p w14:paraId="59F264B6" w14:textId="77777777" w:rsidR="007A0A93" w:rsidRDefault="00615EB1" w:rsidP="008813BC">
      <w:pPr>
        <w:pStyle w:val="RedaliaNormal"/>
      </w:pPr>
      <w:r>
        <w:t xml:space="preserve">Les candidats seront informés de la date, de l’heure et du lieu des entretiens par téléphone ou par mail, confirmé par courrier d’ACHAT transmis par voie électronique. </w:t>
      </w:r>
    </w:p>
    <w:p w14:paraId="1F774DAA" w14:textId="77777777" w:rsidR="007A0A93" w:rsidRDefault="00615EB1" w:rsidP="008813BC">
      <w:pPr>
        <w:pStyle w:val="RedaliaNormal"/>
      </w:pPr>
      <w:r>
        <w:t xml:space="preserve">Si plusieurs candidats sont retenus, ils sont entendus dans des conditions équivalentes (durée de l’entretien, locaux…). </w:t>
      </w:r>
    </w:p>
    <w:p w14:paraId="62624CB6" w14:textId="77777777" w:rsidR="007A0A93" w:rsidRDefault="00615EB1" w:rsidP="008813BC">
      <w:pPr>
        <w:pStyle w:val="RedaliaNormal"/>
      </w:pPr>
      <w:r>
        <w:t xml:space="preserve">ACHAT reçoit chaque candidat représenté au minimum par une personne habilitée à engager la société. Le temps imparti à chaque candidat est équivalent. Il est déterminé en fonction des points de l’offre à négocier. </w:t>
      </w:r>
    </w:p>
    <w:p w14:paraId="7025CEC3" w14:textId="77777777" w:rsidR="007A0A93" w:rsidRDefault="00615EB1" w:rsidP="008813BC">
      <w:pPr>
        <w:pStyle w:val="RedaliaNormal"/>
      </w:pPr>
      <w:r>
        <w:t xml:space="preserve">Les dates et heures limites de remise des nouvelles offres suite à négociation seront confirmées par courrier de la Directrice d’ACHAT transmis par voie électronique. </w:t>
      </w:r>
    </w:p>
    <w:p w14:paraId="630DD3DE" w14:textId="77777777" w:rsidR="007A0A93" w:rsidRDefault="00615EB1" w:rsidP="008813BC">
      <w:pPr>
        <w:pStyle w:val="RedaliaNormal"/>
      </w:pPr>
      <w:r>
        <w:t xml:space="preserve">A compter de la mise à disposition du nouveau dossier de consultation, modifié sur le site https://www.marches-publics.gouv.fr/, un délai identique est accordé aux candidats afin de déposer une nouvelle offre dans les conditions définies à l’article sur « les conditions d’envoi et de remise des offres » du présent Règlement de Consultation. </w:t>
      </w:r>
    </w:p>
    <w:p w14:paraId="3CDEC819" w14:textId="77777777" w:rsidR="007A0A93" w:rsidRDefault="00615EB1" w:rsidP="008813BC">
      <w:pPr>
        <w:pStyle w:val="RedaliaNormal"/>
      </w:pPr>
      <w:r>
        <w:t>La non-présentation aux entretiens de négociations pour tout candidat convoqué entrainera l’élimination de la première offre présentée par le candidat</w:t>
      </w:r>
      <w:r w:rsidRPr="008813BC">
        <w:t xml:space="preserve">. </w:t>
      </w:r>
    </w:p>
    <w:p w14:paraId="61C80183" w14:textId="77777777" w:rsidR="007A0A93" w:rsidRDefault="00615EB1" w:rsidP="008813BC">
      <w:pPr>
        <w:pStyle w:val="RedaliaNormal"/>
      </w:pPr>
      <w:r>
        <w:t>Pour le jugement de ces offres, le Représentant du Pouvoir Adjudicateur (RPA) procède comme indiqué « Analyse des offres » du présent règlement de consultation L’absence de remise d’une nouvelle offre suite aux entretiens de négociation entrainera l’élimination du candidat.</w:t>
      </w:r>
    </w:p>
    <w:p w14:paraId="50EED97A" w14:textId="77777777" w:rsidR="007A0A93" w:rsidRDefault="00615EB1" w:rsidP="00615EB1">
      <w:pPr>
        <w:pStyle w:val="RedaliaTitre1"/>
      </w:pPr>
      <w:bookmarkStart w:id="80" w:name="_Toc224552583"/>
      <w:r>
        <w:t>Notification des résultats</w:t>
      </w:r>
      <w:bookmarkEnd w:id="0"/>
      <w:bookmarkEnd w:id="79"/>
      <w:bookmarkEnd w:id="80"/>
    </w:p>
    <w:p w14:paraId="761A03D2" w14:textId="77777777" w:rsidR="007A0A93" w:rsidRDefault="00615EB1">
      <w:pPr>
        <w:pStyle w:val="RedaliaNormal"/>
      </w:pPr>
      <w:r>
        <w:t>En cas d’absence des attestations de régularité fiscale et sociale ou équivalent mentionnés ci-dessus, le candidat attributaire devra obligatoirement produire ces documents sous un délai de 5 jours à compter de la date de réception de la demande confirmée par lettre avec accusé de réception.</w:t>
      </w:r>
    </w:p>
    <w:p w14:paraId="5F117BB5" w14:textId="77777777" w:rsidR="007A0A93" w:rsidRDefault="00615EB1">
      <w:pPr>
        <w:pStyle w:val="RedaliaNormal"/>
      </w:pPr>
      <w:r>
        <w:t>Au cas où ces documents ne parviendraient pas à ACHAT dans les délais impartis, la même demande sera faite au candidat classé n° 2 et le candidat classé n° 1 sera éliminé (article R. 2144-7 du Code de la commande publique).</w:t>
      </w:r>
    </w:p>
    <w:p w14:paraId="3CC3C8AA" w14:textId="77777777" w:rsidR="007A0A93" w:rsidRDefault="00615EB1">
      <w:pPr>
        <w:pStyle w:val="RedaliaNormal"/>
      </w:pPr>
      <w:r>
        <w:t>Le candidat auquel il est envisagé d’attribuer le marché produit en outre dans les mêmes conditions les pièces prévues aux articles D.8222-5 et D.8222-7 du Code du travail (Les documents mentionnés dans la partie F1, ou si le candidat est domicilié à l’étranger, dans la partie G du formulaire NOTI 1 ou équivalent).</w:t>
      </w:r>
    </w:p>
    <w:p w14:paraId="3DF5E98A" w14:textId="77777777" w:rsidR="007A0A93" w:rsidRDefault="00615EB1">
      <w:pPr>
        <w:pStyle w:val="RedaliaNormal"/>
      </w:pPr>
      <w:r>
        <w:t>Dès réception des imprimés OUV7 et des attestations de régularité fiscale et sociale ou équivalent (pièces prévues aux articles D8222-5 et D8222-7 du Code du travail), l’ensemble des candidats est informé par courrier transmis par voie électronique.</w:t>
      </w:r>
    </w:p>
    <w:p w14:paraId="1E0D2D6C" w14:textId="77777777" w:rsidR="007A0A93" w:rsidRDefault="00615EB1">
      <w:pPr>
        <w:pStyle w:val="RedaliaNormal"/>
        <w:rPr>
          <w:b/>
          <w:bCs/>
        </w:rPr>
      </w:pPr>
      <w:r>
        <w:rPr>
          <w:b/>
          <w:bCs/>
        </w:rPr>
        <w:t>Si la signature électronique est invalide, l’attributaire du marché devra signer l’acte d’engagement et ses annexes financières, cette signature conditionnera la validité du marché.</w:t>
      </w:r>
    </w:p>
    <w:p w14:paraId="7A945D5A" w14:textId="77777777" w:rsidR="007A0A93" w:rsidRDefault="00615EB1">
      <w:pPr>
        <w:pStyle w:val="RedaliaNormal"/>
      </w:pPr>
      <w:r>
        <w:t>Après signature du marché par les autorités compétentes, le candidat retenu reçoit via la plate-forme de dématérialisation une copie de l’acte d’engagement. S’il souhaite procéder au nantissement des créances nées de l’exécution du marché, il lui appartient de solliciter la remise d’une copie revêtue de la mention « exemplaire unique ».</w:t>
      </w:r>
    </w:p>
    <w:p w14:paraId="28CE2CB9" w14:textId="77777777" w:rsidR="007A0A93" w:rsidRDefault="00615EB1" w:rsidP="00615EB1">
      <w:pPr>
        <w:pStyle w:val="RedaliaTitre1"/>
      </w:pPr>
      <w:bookmarkStart w:id="81" w:name="__RefHeading___Toc60306_868557434"/>
      <w:bookmarkStart w:id="82" w:name="_Toc224552584"/>
      <w:bookmarkStart w:id="83" w:name="_Toc64213674"/>
      <w:r>
        <w:t>Avances</w:t>
      </w:r>
      <w:bookmarkEnd w:id="81"/>
      <w:bookmarkEnd w:id="82"/>
    </w:p>
    <w:p w14:paraId="089685C2" w14:textId="77777777" w:rsidR="007A0A93" w:rsidRDefault="00615EB1">
      <w:pPr>
        <w:pStyle w:val="RedaliaNormal"/>
      </w:pPr>
      <w:r>
        <w:t>Le titulaire ou son sous-traitant admis au paiement direct bénéficient d'une avance calculée en application du code de la commande publique dès lors que le marché respecte les conditions mentionnées à l'article R. 2191-3.</w:t>
      </w:r>
    </w:p>
    <w:p w14:paraId="11962112" w14:textId="77777777" w:rsidR="007A0A93" w:rsidRDefault="00615EB1">
      <w:pPr>
        <w:pStyle w:val="RedaliaNormal"/>
      </w:pPr>
      <w:r>
        <w:lastRenderedPageBreak/>
        <w:t xml:space="preserve">Lorsque le titulaire ou le sous-traitant est une petite ou moyenne entreprise au sens du code de la commande publique, le taux de l'avance mentionné à l'article R. 2191-10 est fixé à </w:t>
      </w:r>
      <w:r>
        <w:rPr>
          <w:b/>
          <w:bCs/>
        </w:rPr>
        <w:t>30 %</w:t>
      </w:r>
      <w:r>
        <w:t>.</w:t>
      </w:r>
    </w:p>
    <w:p w14:paraId="477F6EDA" w14:textId="77777777" w:rsidR="007A0A93" w:rsidRDefault="00615EB1">
      <w:pPr>
        <w:pStyle w:val="RedaliaNormal"/>
      </w:pPr>
      <w:r>
        <w:t xml:space="preserve">Lorsque le titulaire ou le sous-traitant n'est pas une petite ou moyenne entreprise au sens du code de la commande publique, le taux de l'avance est fixé au taux minimal de </w:t>
      </w:r>
      <w:r>
        <w:rPr>
          <w:b/>
          <w:bCs/>
        </w:rPr>
        <w:t>5%</w:t>
      </w:r>
      <w:r>
        <w:t xml:space="preserve"> prévu à l'article R. 2191-7 du code de la commande publique.</w:t>
      </w:r>
    </w:p>
    <w:p w14:paraId="7ECC8DB0" w14:textId="77777777" w:rsidR="007A0A93" w:rsidRDefault="00615EB1">
      <w:pPr>
        <w:pStyle w:val="RedaliaNormal"/>
      </w:pPr>
      <w:r>
        <w:t>L'avance est versée et remboursée selon les dispositions du code de la commande publique.</w:t>
      </w:r>
    </w:p>
    <w:p w14:paraId="086499BE" w14:textId="77777777" w:rsidR="007A0A93" w:rsidRDefault="00615EB1" w:rsidP="00615EB1">
      <w:pPr>
        <w:pStyle w:val="RedaliaTitre1"/>
      </w:pPr>
      <w:bookmarkStart w:id="84" w:name="__RefHeading___Toc60308_868557434"/>
      <w:bookmarkStart w:id="85" w:name="_Toc224552585"/>
      <w:r>
        <w:t>Voies de recours</w:t>
      </w:r>
      <w:bookmarkEnd w:id="83"/>
      <w:bookmarkEnd w:id="84"/>
      <w:bookmarkEnd w:id="85"/>
    </w:p>
    <w:p w14:paraId="166ACACB" w14:textId="0606A35F" w:rsidR="007A0A93" w:rsidRDefault="00615EB1">
      <w:pPr>
        <w:pStyle w:val="RedaliaNormal"/>
      </w:pPr>
      <w:r>
        <w:t>Cette consultation peut faire l’objet :</w:t>
      </w:r>
    </w:p>
    <w:p w14:paraId="19F28D23" w14:textId="22AAEC5E" w:rsidR="007A0A93" w:rsidRDefault="00615EB1" w:rsidP="008813BC">
      <w:pPr>
        <w:pStyle w:val="RedaliaNormal"/>
        <w:ind w:left="284"/>
      </w:pPr>
      <w:r>
        <w:t>- d'un référé précontractuel : avant la conclusion du marché et jusqu'à sa date de notification dans les conditions prévues à l'article L 551-1 à L551-12 du code de justice administrative ;</w:t>
      </w:r>
    </w:p>
    <w:p w14:paraId="091D44D2" w14:textId="77777777" w:rsidR="007A0A93" w:rsidRDefault="00615EB1" w:rsidP="008813BC">
      <w:pPr>
        <w:pStyle w:val="RedaliaNormal"/>
        <w:ind w:left="284"/>
      </w:pPr>
      <w:r>
        <w:t>- d’un référé contractuel : dans les conditions définies aux articles L551-13 et L.551-23 et suivants du Code de Justice Administrative ;</w:t>
      </w:r>
    </w:p>
    <w:p w14:paraId="42E5DC3E" w14:textId="77777777" w:rsidR="007A0A93" w:rsidRDefault="00615EB1" w:rsidP="008813BC">
      <w:pPr>
        <w:pStyle w:val="RedaliaNormal"/>
        <w:ind w:left="284"/>
      </w:pPr>
      <w:r>
        <w:t>- d'un recours de plein contentieux : dans un délai de deux mois à compter de l'accomplissement des mesures de publicité concernant l'attribution du marché public.</w:t>
      </w:r>
    </w:p>
    <w:p w14:paraId="073F19F5" w14:textId="77777777" w:rsidR="007A0A93" w:rsidRDefault="00615EB1">
      <w:pPr>
        <w:pStyle w:val="RedaliaNormal"/>
      </w:pPr>
      <w:r>
        <w:t>Auprès du Tribunal Administratif de Paris – 7 rue de Jouy – 75181 Paris Cedex 04.</w:t>
      </w:r>
    </w:p>
    <w:p w14:paraId="1AD380E8" w14:textId="77777777" w:rsidR="007A0A93" w:rsidRDefault="00615EB1">
      <w:pPr>
        <w:pStyle w:val="RedaliaNormal"/>
      </w:pPr>
      <w:r>
        <w:t>Courrier électronique : greffe.ta-paris@juradm.fr</w:t>
      </w:r>
    </w:p>
    <w:p w14:paraId="3F0500E6" w14:textId="77777777" w:rsidR="007A0A93" w:rsidRDefault="00615EB1">
      <w:pPr>
        <w:pStyle w:val="RedaliaNormal"/>
      </w:pPr>
      <w:r>
        <w:t>Téléphone : 01 44 59 44 00</w:t>
      </w:r>
    </w:p>
    <w:p w14:paraId="3E004F5F" w14:textId="77777777" w:rsidR="007A0A93" w:rsidRDefault="00615EB1">
      <w:pPr>
        <w:pStyle w:val="RedaliaNormal"/>
      </w:pPr>
      <w:r>
        <w:t>Télécopie : 01 44 59 46 46</w:t>
      </w:r>
    </w:p>
    <w:p w14:paraId="2CF1C4DB" w14:textId="77777777" w:rsidR="007A0A93" w:rsidRDefault="00615EB1">
      <w:pPr>
        <w:pStyle w:val="RedaliaNormal"/>
      </w:pPr>
      <w:r>
        <w:t>Organe chargé des procédures de médiation :</w:t>
      </w:r>
    </w:p>
    <w:p w14:paraId="5219DB20" w14:textId="77777777" w:rsidR="007A0A93" w:rsidRDefault="00615EB1">
      <w:pPr>
        <w:pStyle w:val="RedaliaNormal"/>
      </w:pPr>
      <w:r>
        <w:t>Médiateur de la république</w:t>
      </w:r>
    </w:p>
    <w:p w14:paraId="44F84519" w14:textId="77777777" w:rsidR="007A0A93" w:rsidRDefault="00615EB1">
      <w:pPr>
        <w:pStyle w:val="RedaliaNormal"/>
      </w:pPr>
      <w:r>
        <w:t>Contact : consulter la rubrique « où trouver les délégués ? » sur http://www.mediateur-republique.fr/</w:t>
      </w:r>
    </w:p>
    <w:p w14:paraId="037FAE32" w14:textId="77777777" w:rsidR="007A0A93" w:rsidRDefault="00615EB1">
      <w:pPr>
        <w:pStyle w:val="RedaliaNormal"/>
      </w:pPr>
      <w:r>
        <w:t>En cas de litige, le droit français est seul applicable.</w:t>
      </w:r>
    </w:p>
    <w:p w14:paraId="544A6D09" w14:textId="77777777" w:rsidR="007A0A93" w:rsidRDefault="00615EB1">
      <w:pPr>
        <w:pStyle w:val="RedaliaNormal"/>
        <w:rPr>
          <w:b/>
          <w:bCs/>
        </w:rPr>
      </w:pPr>
      <w:r>
        <w:rPr>
          <w:b/>
          <w:bCs/>
        </w:rPr>
        <w:t>Médiation interne au Pôle d’Intérêt Commun ACHAT : Achats Centraux, Hôteliers, Alimentaires et Technologiques</w:t>
      </w:r>
    </w:p>
    <w:p w14:paraId="4645C6F0" w14:textId="77777777" w:rsidR="007A0A93" w:rsidRDefault="00615EB1">
      <w:pPr>
        <w:pStyle w:val="RedaliaNormal"/>
      </w:pPr>
      <w:r>
        <w:t>Il est possible, pour les parties au présent contrat, de saisir le médiateur interne à ACHAT concernant les difficultés dans l’exécution du présent marché.</w:t>
      </w:r>
    </w:p>
    <w:p w14:paraId="7DEDC8C4" w14:textId="77777777" w:rsidR="007A0A93" w:rsidRDefault="00615EB1">
      <w:pPr>
        <w:pStyle w:val="RedaliaNormal"/>
      </w:pPr>
      <w:proofErr w:type="spellStart"/>
      <w:r>
        <w:t>E mail</w:t>
      </w:r>
      <w:proofErr w:type="spellEnd"/>
      <w:r>
        <w:t xml:space="preserve"> : </w:t>
      </w:r>
      <w:hyperlink r:id="rId18" w:history="1">
        <w:r>
          <w:rPr>
            <w:rStyle w:val="Lienhypertexte"/>
          </w:rPr>
          <w:t>mediation.interne.aca@aphp.fr</w:t>
        </w:r>
      </w:hyperlink>
    </w:p>
    <w:p w14:paraId="263BF068" w14:textId="77777777" w:rsidR="007A0A93" w:rsidRDefault="007A0A93">
      <w:pPr>
        <w:pStyle w:val="RedaliaNormal"/>
      </w:pPr>
    </w:p>
    <w:p w14:paraId="64827A27" w14:textId="77777777" w:rsidR="007A0A93" w:rsidRDefault="00615EB1" w:rsidP="00615EB1">
      <w:pPr>
        <w:pStyle w:val="RedaliaTitre1"/>
      </w:pPr>
      <w:bookmarkStart w:id="86" w:name="_Toc64213675"/>
      <w:bookmarkStart w:id="87" w:name="__RefHeading___Toc60310_868557434"/>
      <w:bookmarkStart w:id="88" w:name="_Toc224552586"/>
      <w:r>
        <w:t>Renseignements complémentaires</w:t>
      </w:r>
      <w:bookmarkEnd w:id="86"/>
      <w:bookmarkEnd w:id="87"/>
      <w:bookmarkEnd w:id="88"/>
    </w:p>
    <w:p w14:paraId="7C952918" w14:textId="055FB57F" w:rsidR="007A0A93" w:rsidRDefault="00615EB1">
      <w:pPr>
        <w:pStyle w:val="RedaliaNormal"/>
      </w:pPr>
      <w:r>
        <w:rPr>
          <w:color w:val="000000"/>
        </w:rPr>
        <w:t xml:space="preserve">Pour tous les renseignements complémentaires qui leur seraient nécessaires en vue de répondre </w:t>
      </w:r>
      <w:r>
        <w:t xml:space="preserve">à la présente consultation, les candidats peuvent poser une question sur un fichier informatique type Word ou PDF au plus tard </w:t>
      </w:r>
      <w:r w:rsidRPr="00E74EEC">
        <w:t xml:space="preserve">le </w:t>
      </w:r>
      <w:r w:rsidR="00E74EEC" w:rsidRPr="00E74EEC">
        <w:rPr>
          <w:b/>
          <w:bCs/>
        </w:rPr>
        <w:t>02</w:t>
      </w:r>
      <w:r w:rsidRPr="00E74EEC">
        <w:rPr>
          <w:b/>
          <w:bCs/>
        </w:rPr>
        <w:t>/0</w:t>
      </w:r>
      <w:r w:rsidR="00E74EEC" w:rsidRPr="00E74EEC">
        <w:rPr>
          <w:b/>
          <w:bCs/>
        </w:rPr>
        <w:t>4</w:t>
      </w:r>
      <w:r w:rsidRPr="00E74EEC">
        <w:rPr>
          <w:b/>
          <w:bCs/>
        </w:rPr>
        <w:t>/2026</w:t>
      </w:r>
      <w:r w:rsidR="00E74EEC" w:rsidRPr="00E74EEC">
        <w:rPr>
          <w:b/>
          <w:bCs/>
        </w:rPr>
        <w:t xml:space="preserve"> à 12h00</w:t>
      </w:r>
      <w:r w:rsidRPr="00FF69BD">
        <w:t xml:space="preserve"> </w:t>
      </w:r>
      <w:r>
        <w:t>à l’adresse suivante : https://www.marches-publics.gouv.fr/ au niveau de cette consultation dans la section « Question ».</w:t>
      </w:r>
    </w:p>
    <w:p w14:paraId="01567263" w14:textId="77777777" w:rsidR="007A0A93" w:rsidRDefault="00615EB1">
      <w:pPr>
        <w:pStyle w:val="RedaliaNormal"/>
      </w:pPr>
      <w:r>
        <w:t xml:space="preserve">ACHAT transmet les réponses à ces questions </w:t>
      </w:r>
      <w:r>
        <w:rPr>
          <w:b/>
          <w:bCs/>
        </w:rPr>
        <w:t>au plus tard 6 jours</w:t>
      </w:r>
      <w:r>
        <w:t xml:space="preserve"> avant la date de remise des offres par courriel via la plateforme de dématérialisation à l’adresse indiquée par les candidats lors du téléchargement du dossier sur le site </w:t>
      </w:r>
      <w:hyperlink r:id="rId19" w:history="1">
        <w:r>
          <w:rPr>
            <w:rStyle w:val="Lienhypertexte"/>
          </w:rPr>
          <w:t>https://www.marches-publics.gouv.fr/</w:t>
        </w:r>
      </w:hyperlink>
    </w:p>
    <w:p w14:paraId="6C6EEC65" w14:textId="77777777" w:rsidR="007A0A93" w:rsidRDefault="007A0A93">
      <w:pPr>
        <w:pStyle w:val="RedaliaNormal"/>
        <w:pageBreakBefore/>
      </w:pPr>
    </w:p>
    <w:p w14:paraId="766FD3E1" w14:textId="77777777" w:rsidR="007A0A93" w:rsidRDefault="00615EB1" w:rsidP="008A1CE8">
      <w:pPr>
        <w:pStyle w:val="RedaliaAnnexe"/>
        <w:numPr>
          <w:ilvl w:val="0"/>
          <w:numId w:val="32"/>
        </w:numPr>
      </w:pPr>
      <w:bookmarkStart w:id="89" w:name="_Toc224552587"/>
      <w:r>
        <w:t>Plan pour la remise des copies de sauvegarde et des éventuels échantillons</w:t>
      </w:r>
      <w:bookmarkEnd w:id="89"/>
    </w:p>
    <w:p w14:paraId="3B20476A" w14:textId="77777777" w:rsidR="007A0A93" w:rsidRDefault="00615EB1">
      <w:pPr>
        <w:pStyle w:val="RedaliaNormal"/>
      </w:pPr>
      <w:r>
        <w:rPr>
          <w:noProof/>
          <w:szCs w:val="18"/>
        </w:rPr>
        <w:drawing>
          <wp:inline distT="0" distB="0" distL="0" distR="0" wp14:anchorId="0BA3C569" wp14:editId="24D8F6CF">
            <wp:extent cx="5781595" cy="7562883"/>
            <wp:effectExtent l="0" t="0" r="0" b="0"/>
            <wp:docPr id="5"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5781595" cy="7562883"/>
                    </a:xfrm>
                    <a:prstGeom prst="rect">
                      <a:avLst/>
                    </a:prstGeom>
                    <a:noFill/>
                    <a:ln>
                      <a:noFill/>
                      <a:prstDash/>
                    </a:ln>
                  </pic:spPr>
                </pic:pic>
              </a:graphicData>
            </a:graphic>
          </wp:inline>
        </w:drawing>
      </w:r>
    </w:p>
    <w:p w14:paraId="60607DE7" w14:textId="77777777" w:rsidR="007A0A93" w:rsidRDefault="007A0A93">
      <w:pPr>
        <w:pStyle w:val="RedaliaNormal"/>
        <w:rPr>
          <w:rFonts w:ascii="Arial" w:hAnsi="Arial" w:cs="Arial"/>
          <w:sz w:val="20"/>
        </w:rPr>
      </w:pPr>
    </w:p>
    <w:p w14:paraId="70CB034C" w14:textId="77777777" w:rsidR="007A0A93" w:rsidRDefault="007A0A93">
      <w:pPr>
        <w:pStyle w:val="RedaliaNormal"/>
        <w:pageBreakBefore/>
        <w:rPr>
          <w:rFonts w:ascii="Arial" w:hAnsi="Arial" w:cs="Arial"/>
          <w:sz w:val="20"/>
        </w:rPr>
      </w:pPr>
    </w:p>
    <w:p w14:paraId="374A6888" w14:textId="77777777" w:rsidR="007A0A93" w:rsidRDefault="00615EB1" w:rsidP="00615EB1">
      <w:pPr>
        <w:pStyle w:val="RedaliaAnnexe"/>
      </w:pPr>
      <w:bookmarkStart w:id="90" w:name="_Toc224552588"/>
      <w:r>
        <w:t>Modèle type Attestation RUSSIE</w:t>
      </w:r>
      <w:bookmarkEnd w:id="90"/>
    </w:p>
    <w:tbl>
      <w:tblPr>
        <w:tblW w:w="10173" w:type="dxa"/>
        <w:tblLayout w:type="fixed"/>
        <w:tblCellMar>
          <w:left w:w="10" w:type="dxa"/>
          <w:right w:w="10" w:type="dxa"/>
        </w:tblCellMar>
        <w:tblLook w:val="0000" w:firstRow="0" w:lastRow="0" w:firstColumn="0" w:lastColumn="0" w:noHBand="0" w:noVBand="0"/>
      </w:tblPr>
      <w:tblGrid>
        <w:gridCol w:w="2660"/>
        <w:gridCol w:w="7513"/>
      </w:tblGrid>
      <w:tr w:rsidR="007A0A93" w14:paraId="4553E961"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8EEDE" w14:textId="77777777" w:rsidR="007A0A93" w:rsidRDefault="00615EB1">
            <w:pPr>
              <w:pStyle w:val="Tableau8gche"/>
            </w:pPr>
            <w:r>
              <w:t>ACHATS CENTRAUX HOTELIERS, ALIMENTAIRES</w:t>
            </w:r>
          </w:p>
          <w:p w14:paraId="52107CBC" w14:textId="77777777" w:rsidR="007A0A93" w:rsidRDefault="00615EB1">
            <w:pPr>
              <w:pStyle w:val="Tableau8gche"/>
            </w:pPr>
            <w:r>
              <w:t>ET TECHNOLOGIQUES</w:t>
            </w:r>
          </w:p>
          <w:p w14:paraId="5D8E1A14" w14:textId="77777777" w:rsidR="007A0A93" w:rsidRDefault="00615EB1">
            <w:pPr>
              <w:pStyle w:val="Tableau8gche"/>
            </w:pPr>
            <w:r>
              <w:t>Hôpital Bicêtre</w:t>
            </w:r>
          </w:p>
          <w:p w14:paraId="2F8B4CAE" w14:textId="77777777" w:rsidR="007A0A93" w:rsidRDefault="00615EB1">
            <w:pPr>
              <w:pStyle w:val="Tableau8gche"/>
            </w:pPr>
            <w:r>
              <w:t>78, rue du Général Leclerc</w:t>
            </w:r>
          </w:p>
          <w:p w14:paraId="0E0979C5" w14:textId="77777777" w:rsidR="007A0A93" w:rsidRDefault="00615EB1">
            <w:pPr>
              <w:pStyle w:val="Tableau8gche"/>
            </w:pPr>
            <w:r>
              <w:t>94270 Le Kremlin Bicêtre</w:t>
            </w:r>
          </w:p>
          <w:p w14:paraId="1C9123C8" w14:textId="77777777" w:rsidR="007A0A93" w:rsidRDefault="00615EB1">
            <w:pPr>
              <w:pStyle w:val="Tableau8gche"/>
            </w:pPr>
            <w:r>
              <w:t>Tél. : 01 53 14 69 00</w:t>
            </w:r>
          </w:p>
          <w:p w14:paraId="07165F64" w14:textId="77777777" w:rsidR="007A0A93" w:rsidRDefault="00615EB1">
            <w:pPr>
              <w:pStyle w:val="Tableau8gche"/>
            </w:pPr>
            <w:r>
              <w:t>Fax : 01 53 14 69 99</w:t>
            </w:r>
          </w:p>
        </w:tc>
        <w:tc>
          <w:tcPr>
            <w:tcW w:w="7513" w:type="dxa"/>
            <w:tcBorders>
              <w:left w:val="single" w:sz="4" w:space="0" w:color="000000"/>
            </w:tcBorders>
            <w:shd w:val="clear" w:color="auto" w:fill="auto"/>
            <w:tcMar>
              <w:top w:w="0" w:type="dxa"/>
              <w:left w:w="108" w:type="dxa"/>
              <w:bottom w:w="0" w:type="dxa"/>
              <w:right w:w="108" w:type="dxa"/>
            </w:tcMar>
            <w:vAlign w:val="center"/>
          </w:tcPr>
          <w:tbl>
            <w:tblPr>
              <w:tblW w:w="2780" w:type="dxa"/>
              <w:tblInd w:w="1747" w:type="dxa"/>
              <w:tblLayout w:type="fixed"/>
              <w:tblCellMar>
                <w:left w:w="10" w:type="dxa"/>
                <w:right w:w="10" w:type="dxa"/>
              </w:tblCellMar>
              <w:tblLook w:val="0000" w:firstRow="0" w:lastRow="0" w:firstColumn="0" w:lastColumn="0" w:noHBand="0" w:noVBand="0"/>
            </w:tblPr>
            <w:tblGrid>
              <w:gridCol w:w="2780"/>
            </w:tblGrid>
            <w:tr w:rsidR="007A0A93" w14:paraId="0435CE0A" w14:textId="77777777">
              <w:trPr>
                <w:trHeight w:val="640"/>
              </w:trPr>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56277E" w14:textId="77777777" w:rsidR="007A0A93" w:rsidRDefault="00615EB1">
                  <w:pPr>
                    <w:pStyle w:val="RedaliaNormal"/>
                    <w:jc w:val="center"/>
                  </w:pPr>
                  <w:r>
                    <w:t>Identification du candidat</w:t>
                  </w:r>
                </w:p>
              </w:tc>
            </w:tr>
          </w:tbl>
          <w:p w14:paraId="1F2E1121" w14:textId="77777777" w:rsidR="007A0A93" w:rsidRDefault="007A0A93">
            <w:pPr>
              <w:pStyle w:val="RedaliaNormal"/>
              <w:jc w:val="center"/>
            </w:pPr>
          </w:p>
        </w:tc>
      </w:tr>
      <w:tr w:rsidR="007A0A93" w14:paraId="6B08E83F" w14:textId="77777777">
        <w:trPr>
          <w:trHeight w:val="240"/>
        </w:trPr>
        <w:tc>
          <w:tcPr>
            <w:tcW w:w="2660" w:type="dxa"/>
            <w:tcBorders>
              <w:top w:val="single" w:sz="4" w:space="0" w:color="000000"/>
              <w:bottom w:val="single" w:sz="4" w:space="0" w:color="000000"/>
            </w:tcBorders>
            <w:shd w:val="clear" w:color="auto" w:fill="auto"/>
            <w:tcMar>
              <w:top w:w="0" w:type="dxa"/>
              <w:left w:w="108" w:type="dxa"/>
              <w:bottom w:w="0" w:type="dxa"/>
              <w:right w:w="108" w:type="dxa"/>
            </w:tcMar>
          </w:tcPr>
          <w:p w14:paraId="3F2CFF59" w14:textId="77777777" w:rsidR="007A0A93" w:rsidRDefault="007A0A93">
            <w:pPr>
              <w:pStyle w:val="RedaliaNormal"/>
            </w:pPr>
          </w:p>
        </w:tc>
        <w:tc>
          <w:tcPr>
            <w:tcW w:w="7513" w:type="dxa"/>
            <w:shd w:val="clear" w:color="auto" w:fill="auto"/>
            <w:tcMar>
              <w:top w:w="0" w:type="dxa"/>
              <w:left w:w="108" w:type="dxa"/>
              <w:bottom w:w="0" w:type="dxa"/>
              <w:right w:w="108" w:type="dxa"/>
            </w:tcMar>
          </w:tcPr>
          <w:p w14:paraId="3C4CD80B" w14:textId="77777777" w:rsidR="007A0A93" w:rsidRDefault="007A0A93">
            <w:pPr>
              <w:pStyle w:val="RedaliaNormal"/>
            </w:pPr>
          </w:p>
        </w:tc>
      </w:tr>
      <w:tr w:rsidR="007A0A93" w14:paraId="31D0322D"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2B950" w14:textId="77777777" w:rsidR="007A0A93" w:rsidRDefault="00615EB1">
            <w:pPr>
              <w:pStyle w:val="RedaliaNormal"/>
              <w:spacing w:before="0"/>
            </w:pPr>
            <w:r>
              <w:t>Muriel BROSSARD-LAHMY</w:t>
            </w:r>
          </w:p>
          <w:p w14:paraId="7C4C18C9" w14:textId="77777777" w:rsidR="007A0A93" w:rsidRDefault="00615EB1">
            <w:pPr>
              <w:pStyle w:val="RedaliaNormal"/>
              <w:spacing w:before="0"/>
            </w:pPr>
            <w:r>
              <w:t>Directrice</w:t>
            </w:r>
          </w:p>
          <w:p w14:paraId="0E5FD859" w14:textId="77777777" w:rsidR="007A0A93" w:rsidRDefault="00615EB1">
            <w:pPr>
              <w:pStyle w:val="RedaliaNormal"/>
              <w:spacing w:before="0"/>
            </w:pPr>
            <w:r>
              <w:t>Tel : 01.53.14.69.61</w:t>
            </w:r>
          </w:p>
          <w:p w14:paraId="0DFB9598" w14:textId="77777777" w:rsidR="007A0A93" w:rsidRDefault="00615EB1">
            <w:pPr>
              <w:pStyle w:val="RedaliaNormal"/>
              <w:spacing w:before="0"/>
            </w:pPr>
            <w:proofErr w:type="spellStart"/>
            <w:r>
              <w:t>Secr</w:t>
            </w:r>
            <w:proofErr w:type="spellEnd"/>
            <w:r>
              <w:t> :01.53.14.69.60</w:t>
            </w:r>
          </w:p>
        </w:tc>
        <w:tc>
          <w:tcPr>
            <w:tcW w:w="7513" w:type="dxa"/>
            <w:tcBorders>
              <w:left w:val="single" w:sz="4" w:space="0" w:color="000000"/>
            </w:tcBorders>
            <w:shd w:val="clear" w:color="auto" w:fill="auto"/>
            <w:tcMar>
              <w:top w:w="0" w:type="dxa"/>
              <w:left w:w="108" w:type="dxa"/>
              <w:bottom w:w="0" w:type="dxa"/>
              <w:right w:w="108" w:type="dxa"/>
            </w:tcMar>
          </w:tcPr>
          <w:p w14:paraId="07A691BC" w14:textId="77777777" w:rsidR="007A0A93" w:rsidRDefault="00615EB1">
            <w:pPr>
              <w:pStyle w:val="RedaliaNormal"/>
              <w:jc w:val="center"/>
              <w:rPr>
                <w:b/>
                <w:u w:val="single"/>
              </w:rPr>
            </w:pPr>
            <w:r>
              <w:rPr>
                <w:b/>
                <w:u w:val="single"/>
              </w:rPr>
              <w:t>ATTESTATION</w:t>
            </w:r>
          </w:p>
          <w:p w14:paraId="1C317E8A" w14:textId="77777777" w:rsidR="007A0A93" w:rsidRDefault="00615EB1">
            <w:pPr>
              <w:pStyle w:val="RedaliaNormal"/>
              <w:jc w:val="left"/>
            </w:pPr>
            <w:r>
              <w:t>Le……………………</w:t>
            </w:r>
            <w:proofErr w:type="gramStart"/>
            <w:r>
              <w:t>…….</w:t>
            </w:r>
            <w:proofErr w:type="gramEnd"/>
            <w:r>
              <w:t>.</w:t>
            </w:r>
          </w:p>
        </w:tc>
      </w:tr>
      <w:tr w:rsidR="007A0A93" w14:paraId="18509A8A" w14:textId="77777777">
        <w:tc>
          <w:tcPr>
            <w:tcW w:w="2660" w:type="dxa"/>
            <w:tcBorders>
              <w:top w:val="single" w:sz="4" w:space="0" w:color="000000"/>
            </w:tcBorders>
            <w:shd w:val="clear" w:color="auto" w:fill="auto"/>
            <w:tcMar>
              <w:top w:w="0" w:type="dxa"/>
              <w:left w:w="108" w:type="dxa"/>
              <w:bottom w:w="0" w:type="dxa"/>
              <w:right w:w="108" w:type="dxa"/>
            </w:tcMar>
          </w:tcPr>
          <w:p w14:paraId="1B21AB1D" w14:textId="77777777" w:rsidR="007A0A93" w:rsidRDefault="007A0A93">
            <w:pPr>
              <w:pStyle w:val="RedaliaNormal"/>
              <w:spacing w:before="0"/>
            </w:pPr>
          </w:p>
        </w:tc>
        <w:tc>
          <w:tcPr>
            <w:tcW w:w="7513" w:type="dxa"/>
            <w:shd w:val="clear" w:color="auto" w:fill="auto"/>
            <w:tcMar>
              <w:top w:w="0" w:type="dxa"/>
              <w:left w:w="108" w:type="dxa"/>
              <w:bottom w:w="0" w:type="dxa"/>
              <w:right w:w="108" w:type="dxa"/>
            </w:tcMar>
          </w:tcPr>
          <w:p w14:paraId="75AE24F0" w14:textId="77777777" w:rsidR="007A0A93" w:rsidRDefault="00615EB1">
            <w:pPr>
              <w:pStyle w:val="RedaliaNormal"/>
            </w:pPr>
            <w:r>
              <w:t>Je soussigné, …………………………………………</w:t>
            </w:r>
            <w:proofErr w:type="gramStart"/>
            <w:r>
              <w:t>…….</w:t>
            </w:r>
            <w:proofErr w:type="gramEnd"/>
            <w:r>
              <w:t>., représentant légal de la société ………………………………………………,</w:t>
            </w:r>
          </w:p>
          <w:p w14:paraId="34CC0E3D" w14:textId="77777777" w:rsidR="007A0A93" w:rsidRDefault="00615EB1">
            <w:pPr>
              <w:pStyle w:val="RedaliaNormal"/>
            </w:pPr>
            <w:r>
              <w:t xml:space="preserve">Candidat à l’attribution du marché issu de la consultation n° 25.110 </w:t>
            </w:r>
            <w:proofErr w:type="gramStart"/>
            <w:r>
              <w:t>relative</w:t>
            </w:r>
            <w:proofErr w:type="gramEnd"/>
            <w:r>
              <w:t xml:space="preserve"> à Prestations de formation sécurité incendie, SSIAP et habilitations électriques publiée par l’Assistance publique – hôpitaux de Paris ;</w:t>
            </w:r>
          </w:p>
          <w:p w14:paraId="134B082A" w14:textId="77777777" w:rsidR="007A0A93" w:rsidRDefault="00615EB1">
            <w:pPr>
              <w:pStyle w:val="RedaliaNormal"/>
            </w:pPr>
            <w:proofErr w:type="gramStart"/>
            <w:r>
              <w:rPr>
                <w:color w:val="FF0000"/>
              </w:rPr>
              <w:t>Ou</w:t>
            </w:r>
            <w:proofErr w:type="gramEnd"/>
          </w:p>
          <w:p w14:paraId="4084EA1B" w14:textId="77777777" w:rsidR="007A0A93" w:rsidRDefault="00615EB1">
            <w:pPr>
              <w:pStyle w:val="RedaliaNormal"/>
            </w:pPr>
            <w:r>
              <w:rPr>
                <w:color w:val="FF0000"/>
              </w:rPr>
              <w:t>Agissant en qualité de sous-traitant de l’entreprise XXX candidat à l’attribution du marché relatif à</w:t>
            </w:r>
          </w:p>
          <w:p w14:paraId="4615E626" w14:textId="77777777" w:rsidR="007A0A93" w:rsidRDefault="00615EB1">
            <w:pPr>
              <w:pStyle w:val="RedaliaNormal"/>
            </w:pPr>
            <w:r>
              <w:t>Déclare sur l’honneur :</w:t>
            </w:r>
          </w:p>
          <w:p w14:paraId="512B1F90" w14:textId="77777777" w:rsidR="007A0A93" w:rsidRDefault="00615EB1">
            <w:pPr>
              <w:pStyle w:val="RdaliaRetraitniveau1"/>
              <w:numPr>
                <w:ilvl w:val="0"/>
                <w:numId w:val="14"/>
              </w:numPr>
            </w:pPr>
            <w:r>
              <w:t>Ne pas être un ressortissant russe ou une personne physique ou morale, une entité ou un organisme établi sur le territoire russe ;</w:t>
            </w:r>
          </w:p>
          <w:p w14:paraId="7E66B665" w14:textId="77777777" w:rsidR="007A0A93" w:rsidRDefault="007A0A93">
            <w:pPr>
              <w:pStyle w:val="RdaliaRetraitniveau1"/>
              <w:ind w:left="720"/>
              <w:rPr>
                <w:rFonts w:ascii="Times New Roman" w:hAnsi="Times New Roman"/>
                <w:sz w:val="24"/>
                <w:szCs w:val="24"/>
              </w:rPr>
            </w:pPr>
          </w:p>
          <w:p w14:paraId="45702DC9" w14:textId="77777777" w:rsidR="007A0A93" w:rsidRDefault="00615EB1">
            <w:pPr>
              <w:pStyle w:val="RdaliaRetraitniveau1"/>
              <w:numPr>
                <w:ilvl w:val="0"/>
                <w:numId w:val="14"/>
              </w:numPr>
            </w:pPr>
            <w:r>
              <w:rPr>
                <w:color w:val="000000"/>
              </w:rPr>
              <w:t>Ne pas être détenu à plus de 50 %, et ce, de manière directe ou indirecte, par une entité établie sur le territoire russe ;</w:t>
            </w:r>
          </w:p>
          <w:p w14:paraId="7B9963D7" w14:textId="77777777" w:rsidR="007A0A93" w:rsidRDefault="007A0A93">
            <w:pPr>
              <w:pStyle w:val="RdaliaRetraitniveau1"/>
              <w:ind w:left="720"/>
              <w:rPr>
                <w:rFonts w:ascii="Times New Roman" w:hAnsi="Times New Roman"/>
                <w:sz w:val="24"/>
                <w:szCs w:val="24"/>
              </w:rPr>
            </w:pPr>
          </w:p>
          <w:p w14:paraId="4698178E" w14:textId="77777777" w:rsidR="007A0A93" w:rsidRDefault="00615EB1">
            <w:pPr>
              <w:pStyle w:val="RdaliaRetraitniveau1"/>
              <w:numPr>
                <w:ilvl w:val="0"/>
                <w:numId w:val="14"/>
              </w:numPr>
            </w:pPr>
            <w:r>
              <w:rPr>
                <w:color w:val="000000"/>
              </w:rPr>
              <w:t>Ne pas agir pour le compte ou sur instruction d’une entité établie sur le territoire russe ou d’une entité détenue à plus de 50 % par une entité elle-même établie sur le territoire russe ;</w:t>
            </w:r>
          </w:p>
          <w:p w14:paraId="53CC8484" w14:textId="77777777" w:rsidR="007A0A93" w:rsidRDefault="007A0A93">
            <w:pPr>
              <w:pStyle w:val="RdaliaRetraitniveau1"/>
              <w:ind w:left="720"/>
              <w:rPr>
                <w:rFonts w:ascii="Times New Roman" w:hAnsi="Times New Roman"/>
                <w:sz w:val="24"/>
                <w:szCs w:val="24"/>
              </w:rPr>
            </w:pPr>
          </w:p>
          <w:p w14:paraId="6804A54D" w14:textId="77777777" w:rsidR="007A0A93" w:rsidRDefault="00615EB1">
            <w:pPr>
              <w:pStyle w:val="RdaliaRetraitniveau1"/>
              <w:numPr>
                <w:ilvl w:val="0"/>
                <w:numId w:val="14"/>
              </w:numPr>
            </w:pPr>
            <w:r>
              <w:rPr>
                <w:color w:val="000000"/>
              </w:rPr>
              <w:t xml:space="preserve">Ne pas avoir </w:t>
            </w:r>
            <w:proofErr w:type="gramStart"/>
            <w:r>
              <w:rPr>
                <w:color w:val="000000"/>
              </w:rPr>
              <w:t>recours</w:t>
            </w:r>
            <w:proofErr w:type="gramEnd"/>
            <w:r>
              <w:rPr>
                <w:color w:val="000000"/>
              </w:rPr>
              <w:t xml:space="preserve"> à un ou des sous-traitant, fournisseur ou toute entité aux capacités de laquelle il est recouru pour exécuter ce marché qui se trouve dans l’un des trois cas susmentionnés, et dont le montant des prestations ou fournitures représente plus de 10 % de la valeur du marché.</w:t>
            </w:r>
          </w:p>
          <w:p w14:paraId="154663A7" w14:textId="77777777" w:rsidR="007A0A93" w:rsidRDefault="00615EB1">
            <w:pPr>
              <w:pStyle w:val="RedaliaNormal"/>
            </w:pPr>
            <w:r>
              <w:t>Je suis par ailleurs informé(e) que l’établissement d’une fausse déclaration, incomplète ou erronée m’expose à des sanctions pénales et à la résiliation du marché dont je suis titulaire.</w:t>
            </w:r>
          </w:p>
          <w:p w14:paraId="4869A7A1" w14:textId="77777777" w:rsidR="007A0A93" w:rsidRDefault="00615EB1">
            <w:pPr>
              <w:pStyle w:val="RedaliaNormal"/>
              <w:jc w:val="right"/>
            </w:pPr>
            <w:r>
              <w:t>Date et signature de la personne habilitée</w:t>
            </w:r>
          </w:p>
        </w:tc>
      </w:tr>
    </w:tbl>
    <w:p w14:paraId="67456BCF" w14:textId="77777777" w:rsidR="007A0A93" w:rsidRDefault="007A0A93">
      <w:pPr>
        <w:pStyle w:val="RedaliaNormal"/>
      </w:pPr>
    </w:p>
    <w:sectPr w:rsidR="007A0A93">
      <w:footerReference w:type="default" r:id="rId21"/>
      <w:pgSz w:w="11906" w:h="16838"/>
      <w:pgMar w:top="1134" w:right="1418" w:bottom="992" w:left="141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0F77" w14:textId="77777777" w:rsidR="00063B4F" w:rsidRDefault="00615EB1">
      <w:r>
        <w:separator/>
      </w:r>
    </w:p>
  </w:endnote>
  <w:endnote w:type="continuationSeparator" w:id="0">
    <w:p w14:paraId="346BAE65" w14:textId="77777777" w:rsidR="00063B4F" w:rsidRDefault="0061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2000505000000020004"/>
    <w:charset w:val="00"/>
    <w:family w:val="auto"/>
    <w:pitch w:val="variable"/>
    <w:sig w:usb0="8000002F" w:usb1="4000204A" w:usb2="00000000" w:usb3="00000000" w:csb0="00000001" w:csb1="00000000"/>
  </w:font>
  <w:font w:name="Liberation Sans">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2" w:type="dxa"/>
      <w:tblLayout w:type="fixed"/>
      <w:tblCellMar>
        <w:left w:w="10" w:type="dxa"/>
        <w:right w:w="10" w:type="dxa"/>
      </w:tblCellMar>
      <w:tblLook w:val="0000" w:firstRow="0" w:lastRow="0" w:firstColumn="0" w:lastColumn="0" w:noHBand="0" w:noVBand="0"/>
    </w:tblPr>
    <w:tblGrid>
      <w:gridCol w:w="3070"/>
      <w:gridCol w:w="3071"/>
      <w:gridCol w:w="3071"/>
    </w:tblGrid>
    <w:tr w:rsidR="001472BE" w14:paraId="094F9C65" w14:textId="77777777">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9B83D" w14:textId="77777777" w:rsidR="001472BE" w:rsidRDefault="00615EB1">
          <w:pPr>
            <w:jc w:val="center"/>
            <w:rPr>
              <w:sz w:val="16"/>
              <w:szCs w:val="16"/>
            </w:rPr>
          </w:pPr>
          <w:r>
            <w:rPr>
              <w:sz w:val="16"/>
              <w:szCs w:val="16"/>
            </w:rPr>
            <w:t>AP-HP</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DC49D" w14:textId="77777777" w:rsidR="001472BE" w:rsidRDefault="00615EB1">
          <w:pPr>
            <w:jc w:val="center"/>
            <w:rPr>
              <w:sz w:val="16"/>
              <w:szCs w:val="16"/>
            </w:rPr>
          </w:pPr>
          <w:r>
            <w:rPr>
              <w:sz w:val="16"/>
              <w:szCs w:val="16"/>
            </w:rPr>
            <w:t>Consultation n°25.110</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CADAC" w14:textId="77777777" w:rsidR="001472BE" w:rsidRDefault="00615EB1">
          <w:pPr>
            <w:jc w:val="center"/>
            <w:rPr>
              <w:sz w:val="16"/>
              <w:szCs w:val="16"/>
            </w:rPr>
          </w:pPr>
          <w:r>
            <w:rPr>
              <w:sz w:val="16"/>
              <w:szCs w:val="16"/>
            </w:rPr>
            <w:t>ACHAT</w:t>
          </w:r>
        </w:p>
      </w:tc>
    </w:tr>
    <w:tr w:rsidR="001472BE" w14:paraId="6DF07926" w14:textId="77777777">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F7A4D" w14:textId="77777777" w:rsidR="001472BE" w:rsidRDefault="00615EB1">
          <w:pPr>
            <w:jc w:val="center"/>
            <w:rPr>
              <w:sz w:val="16"/>
              <w:szCs w:val="16"/>
            </w:rPr>
          </w:pPr>
          <w:r>
            <w:rPr>
              <w:sz w:val="16"/>
              <w:szCs w:val="16"/>
            </w:rPr>
            <w:t>RC.16</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3AAE0" w14:textId="77777777" w:rsidR="001472BE" w:rsidRDefault="00615EB1">
          <w:pPr>
            <w:jc w:val="center"/>
            <w:rPr>
              <w:sz w:val="16"/>
              <w:szCs w:val="16"/>
            </w:rPr>
          </w:pPr>
          <w:r>
            <w:rPr>
              <w:sz w:val="16"/>
              <w:szCs w:val="16"/>
            </w:rPr>
            <w:t>Dernière mise à jour du : 10/03/2026</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F111F" w14:textId="77777777" w:rsidR="001472BE" w:rsidRDefault="00615EB1">
          <w:pPr>
            <w:jc w:val="center"/>
          </w:pPr>
          <w:r>
            <w:rPr>
              <w:sz w:val="16"/>
              <w:szCs w:val="16"/>
            </w:rPr>
            <w:t xml:space="preserve">Page </w:t>
          </w:r>
          <w:r>
            <w:rPr>
              <w:b/>
              <w:bCs/>
              <w:sz w:val="16"/>
              <w:szCs w:val="16"/>
            </w:rPr>
            <w:fldChar w:fldCharType="begin"/>
          </w:r>
          <w:r>
            <w:rPr>
              <w:b/>
              <w:bCs/>
              <w:sz w:val="16"/>
              <w:szCs w:val="16"/>
            </w:rPr>
            <w:instrText xml:space="preserve"> PAGE \* ARABIC </w:instrText>
          </w:r>
          <w:r>
            <w:rPr>
              <w:b/>
              <w:bCs/>
              <w:sz w:val="16"/>
              <w:szCs w:val="16"/>
            </w:rPr>
            <w:fldChar w:fldCharType="separate"/>
          </w:r>
          <w:r>
            <w:rPr>
              <w:b/>
              <w:bCs/>
              <w:sz w:val="16"/>
              <w:szCs w:val="16"/>
            </w:rPr>
            <w:t>16</w:t>
          </w:r>
          <w:r>
            <w:rPr>
              <w:b/>
              <w:bCs/>
              <w:sz w:val="16"/>
              <w:szCs w:val="16"/>
            </w:rPr>
            <w:fldChar w:fldCharType="end"/>
          </w:r>
          <w:r>
            <w:rPr>
              <w:sz w:val="16"/>
              <w:szCs w:val="16"/>
            </w:rPr>
            <w:t xml:space="preserve"> sur </w:t>
          </w:r>
          <w:r>
            <w:rPr>
              <w:b/>
              <w:bCs/>
              <w:sz w:val="16"/>
              <w:szCs w:val="16"/>
            </w:rPr>
            <w:fldChar w:fldCharType="begin"/>
          </w:r>
          <w:r>
            <w:rPr>
              <w:b/>
              <w:bCs/>
              <w:sz w:val="16"/>
              <w:szCs w:val="16"/>
            </w:rPr>
            <w:instrText xml:space="preserve"> NUMPAGES \* ARABIC </w:instrText>
          </w:r>
          <w:r>
            <w:rPr>
              <w:b/>
              <w:bCs/>
              <w:sz w:val="16"/>
              <w:szCs w:val="16"/>
            </w:rPr>
            <w:fldChar w:fldCharType="separate"/>
          </w:r>
          <w:r>
            <w:rPr>
              <w:b/>
              <w:bCs/>
              <w:sz w:val="16"/>
              <w:szCs w:val="16"/>
            </w:rPr>
            <w:t>16</w:t>
          </w:r>
          <w:r>
            <w:rPr>
              <w:b/>
              <w:bCs/>
              <w:sz w:val="16"/>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11660" w14:textId="77777777" w:rsidR="00063B4F" w:rsidRDefault="00615EB1">
      <w:r>
        <w:rPr>
          <w:color w:val="000000"/>
        </w:rPr>
        <w:separator/>
      </w:r>
    </w:p>
  </w:footnote>
  <w:footnote w:type="continuationSeparator" w:id="0">
    <w:p w14:paraId="5DE66C24" w14:textId="77777777" w:rsidR="00063B4F" w:rsidRDefault="00615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6BC1"/>
    <w:multiLevelType w:val="multilevel"/>
    <w:tmpl w:val="42BA4FCA"/>
    <w:styleLink w:val="LFO33"/>
    <w:lvl w:ilvl="0">
      <w:start w:val="1"/>
      <w:numFmt w:val="decimal"/>
      <w:pStyle w:val="LIAParagraphe1"/>
      <w:lvlText w:val="%1."/>
      <w:lvlJc w:val="left"/>
      <w:pPr>
        <w:ind w:left="36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9F06D58"/>
    <w:multiLevelType w:val="multilevel"/>
    <w:tmpl w:val="549EC118"/>
    <w:styleLink w:val="LFO23"/>
    <w:lvl w:ilvl="0">
      <w:numFmt w:val="bullet"/>
      <w:pStyle w:val="RedaliaRetrait2avecpuce"/>
      <w:lvlText w:val=""/>
      <w:lvlJc w:val="left"/>
      <w:pPr>
        <w:ind w:left="72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2" w15:restartNumberingAfterBreak="0">
    <w:nsid w:val="163F29F5"/>
    <w:multiLevelType w:val="multilevel"/>
    <w:tmpl w:val="A32EACBE"/>
    <w:styleLink w:val="WWOutlineListStyle5"/>
    <w:lvl w:ilvl="0">
      <w:start w:val="1"/>
      <w:numFmt w:val="decimal"/>
      <w:lvlText w:val="%1."/>
      <w:lvlJc w:val="left"/>
      <w:pPr>
        <w:ind w:left="6876" w:hanging="360"/>
      </w:pPr>
    </w:lvl>
    <w:lvl w:ilvl="1">
      <w:start w:val="1"/>
      <w:numFmt w:val="decimal"/>
      <w:lvlText w:val="%1.%2"/>
      <w:lvlJc w:val="left"/>
      <w:pPr>
        <w:ind w:left="2699" w:hanging="360"/>
      </w:pPr>
    </w:lvl>
    <w:lvl w:ilvl="2">
      <w:start w:val="1"/>
      <w:numFmt w:val="decimal"/>
      <w:lvlText w:val="%1.%2.%3"/>
      <w:lvlJc w:val="left"/>
      <w:pPr>
        <w:ind w:left="6309"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BBE02BA"/>
    <w:multiLevelType w:val="multilevel"/>
    <w:tmpl w:val="84E2383A"/>
    <w:styleLink w:val="LFO7"/>
    <w:lvl w:ilvl="0">
      <w:numFmt w:val="bullet"/>
      <w:pStyle w:val="RdaliaRetraitPuceniveau2"/>
      <w:lvlText w:val=""/>
      <w:lvlJc w:val="left"/>
      <w:pPr>
        <w:ind w:left="1213" w:hanging="362"/>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BC57A17"/>
    <w:multiLevelType w:val="multilevel"/>
    <w:tmpl w:val="30DA7644"/>
    <w:styleLink w:val="WWOutlineListStyle7"/>
    <w:lvl w:ilvl="0">
      <w:start w:val="1"/>
      <w:numFmt w:val="decimal"/>
      <w:pStyle w:val="RedaliaTitre1"/>
      <w:lvlText w:val="%1."/>
      <w:lvlJc w:val="left"/>
      <w:pPr>
        <w:ind w:left="6876" w:hanging="360"/>
      </w:pPr>
    </w:lvl>
    <w:lvl w:ilvl="1">
      <w:start w:val="1"/>
      <w:numFmt w:val="decimal"/>
      <w:pStyle w:val="RedaliaTitre2"/>
      <w:lvlText w:val="%1.%2"/>
      <w:lvlJc w:val="left"/>
      <w:pPr>
        <w:ind w:left="2699" w:hanging="360"/>
      </w:pPr>
    </w:lvl>
    <w:lvl w:ilvl="2">
      <w:start w:val="1"/>
      <w:numFmt w:val="decimal"/>
      <w:pStyle w:val="RedaliaTitre3"/>
      <w:lvlText w:val="%1.%2.%3"/>
      <w:lvlJc w:val="left"/>
      <w:pPr>
        <w:ind w:left="6309" w:hanging="360"/>
      </w:pPr>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7505372"/>
    <w:multiLevelType w:val="multilevel"/>
    <w:tmpl w:val="28EC672E"/>
    <w:styleLink w:val="LFO24"/>
    <w:lvl w:ilvl="0">
      <w:numFmt w:val="bullet"/>
      <w:pStyle w:val="RdaliaTextemasqu"/>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94D2735"/>
    <w:multiLevelType w:val="multilevel"/>
    <w:tmpl w:val="B5B0ABA4"/>
    <w:styleLink w:val="LFO35"/>
    <w:lvl w:ilvl="0">
      <w:start w:val="1"/>
      <w:numFmt w:val="upperLetter"/>
      <w:pStyle w:val="LIAParagraphe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3A2C54"/>
    <w:multiLevelType w:val="multilevel"/>
    <w:tmpl w:val="BC9C6322"/>
    <w:styleLink w:val="LFO5"/>
    <w:lvl w:ilvl="0">
      <w:numFmt w:val="bullet"/>
      <w:pStyle w:val="RedaliaRetraitavecpuce"/>
      <w:lvlText w:val=""/>
      <w:lvlJc w:val="left"/>
      <w:pPr>
        <w:ind w:left="72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8" w15:restartNumberingAfterBreak="0">
    <w:nsid w:val="2DDC1C44"/>
    <w:multiLevelType w:val="multilevel"/>
    <w:tmpl w:val="4B0C93D0"/>
    <w:styleLink w:val="LFO31"/>
    <w:lvl w:ilvl="0">
      <w:start w:val="1"/>
      <w:numFmt w:val="decimal"/>
      <w:pStyle w:val="RedaliaTitredocument"/>
      <w:lvlText w:val="Annexe %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31457278"/>
    <w:multiLevelType w:val="multilevel"/>
    <w:tmpl w:val="7BC6D7D6"/>
    <w:styleLink w:val="LFO8"/>
    <w:lvl w:ilvl="0">
      <w:start w:val="1"/>
      <w:numFmt w:val="decimal"/>
      <w:pStyle w:val="RedaliaTitre4"/>
      <w:suff w:val="space"/>
      <w:lvlText w:val="%1."/>
      <w:lvlJc w:val="left"/>
      <w:pPr>
        <w:ind w:left="360" w:hanging="360"/>
      </w:pPr>
      <w:rPr>
        <w:rFonts w:ascii="Symbol" w:hAnsi="Symbol"/>
      </w:rPr>
    </w:lvl>
    <w:lvl w:ilvl="1">
      <w:start w:val="1"/>
      <w:numFmt w:val="decimal"/>
      <w:suff w:val="space"/>
      <w:lvlText w:val="%1.%2."/>
      <w:lvlJc w:val="left"/>
      <w:pPr>
        <w:ind w:left="792" w:hanging="432"/>
      </w:pPr>
      <w:rPr>
        <w:rFonts w:cs="Times New Roman"/>
      </w:rPr>
    </w:lvl>
    <w:lvl w:ilvl="2">
      <w:start w:val="1"/>
      <w:numFmt w:val="decimal"/>
      <w:suff w:val="space"/>
      <w:lvlText w:val="%1.%2.%3."/>
      <w:lvlJc w:val="left"/>
      <w:pPr>
        <w:ind w:left="1224" w:hanging="504"/>
      </w:pPr>
      <w:rPr>
        <w:rFonts w:cs="Times New Roman"/>
      </w:rPr>
    </w:lvl>
    <w:lvl w:ilvl="3">
      <w:start w:val="1"/>
      <w:numFmt w:val="upperLetter"/>
      <w:suff w:val="space"/>
      <w:lvlText w:val="%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3B60AB5"/>
    <w:multiLevelType w:val="multilevel"/>
    <w:tmpl w:val="C7047582"/>
    <w:styleLink w:val="NumberingABC"/>
    <w:lvl w:ilvl="0">
      <w:start w:val="1"/>
      <w:numFmt w:val="upperLetter"/>
      <w:pStyle w:val="Redaliaencadre"/>
      <w:suff w:val="space"/>
      <w:lvlText w:val="%1)"/>
      <w:lvlJc w:val="left"/>
      <w:pPr>
        <w:ind w:left="283" w:firstLine="74"/>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11" w15:restartNumberingAfterBreak="0">
    <w:nsid w:val="35E139B8"/>
    <w:multiLevelType w:val="multilevel"/>
    <w:tmpl w:val="1A688472"/>
    <w:styleLink w:val="Numbering123"/>
    <w:lvl w:ilvl="0">
      <w:start w:val="1"/>
      <w:numFmt w:val="decimal"/>
      <w:pStyle w:val="RedaliaAnnexe"/>
      <w:lvlText w:val="Annexe %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2" w15:restartNumberingAfterBreak="0">
    <w:nsid w:val="37590FDB"/>
    <w:multiLevelType w:val="multilevel"/>
    <w:tmpl w:val="F3DE2E4C"/>
    <w:styleLink w:val="LFO36"/>
    <w:lvl w:ilvl="0">
      <w:start w:val="1"/>
      <w:numFmt w:val="decimal"/>
      <w:lvlText w:val="Annexe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98506A"/>
    <w:multiLevelType w:val="multilevel"/>
    <w:tmpl w:val="8F32FA6E"/>
    <w:styleLink w:val="WWOutlineListStyle3"/>
    <w:lvl w:ilvl="0">
      <w:start w:val="1"/>
      <w:numFmt w:val="decimal"/>
      <w:lvlText w:val="%1."/>
      <w:lvlJc w:val="left"/>
      <w:pPr>
        <w:ind w:left="4897" w:hanging="360"/>
      </w:pPr>
    </w:lvl>
    <w:lvl w:ilvl="1">
      <w:start w:val="1"/>
      <w:numFmt w:val="decimal"/>
      <w:lvlText w:val="%1.%2"/>
      <w:lvlJc w:val="left"/>
      <w:pPr>
        <w:ind w:left="720" w:hanging="360"/>
      </w:pPr>
    </w:lvl>
    <w:lvl w:ilvl="2">
      <w:start w:val="1"/>
      <w:numFmt w:val="decimal"/>
      <w:lvlText w:val="%1.%2.%3"/>
      <w:lvlJc w:val="left"/>
      <w:pPr>
        <w:ind w:left="433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D731709"/>
    <w:multiLevelType w:val="multilevel"/>
    <w:tmpl w:val="E690A3BA"/>
    <w:styleLink w:val="LFO2"/>
    <w:lvl w:ilvl="0">
      <w:numFmt w:val="bullet"/>
      <w:pStyle w:val="RdaliaRetraitGrandepuce"/>
      <w:lvlText w:val=""/>
      <w:lvlJc w:val="left"/>
      <w:pPr>
        <w:ind w:left="106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3F7D56A9"/>
    <w:multiLevelType w:val="multilevel"/>
    <w:tmpl w:val="D4CC49AC"/>
    <w:styleLink w:val="LFO3"/>
    <w:lvl w:ilvl="0">
      <w:numFmt w:val="bullet"/>
      <w:pStyle w:val="RedaliaRetraitPuceniveau3"/>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3FDC112F"/>
    <w:multiLevelType w:val="multilevel"/>
    <w:tmpl w:val="DA548764"/>
    <w:styleLink w:val="LFO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5BE4EB7"/>
    <w:multiLevelType w:val="multilevel"/>
    <w:tmpl w:val="29642C36"/>
    <w:styleLink w:val="WWOutlineListStyle4"/>
    <w:lvl w:ilvl="0">
      <w:start w:val="1"/>
      <w:numFmt w:val="decimal"/>
      <w:lvlText w:val="%1."/>
      <w:lvlJc w:val="left"/>
      <w:pPr>
        <w:ind w:left="4897" w:hanging="360"/>
      </w:pPr>
    </w:lvl>
    <w:lvl w:ilvl="1">
      <w:start w:val="1"/>
      <w:numFmt w:val="decimal"/>
      <w:lvlText w:val="%1.%2"/>
      <w:lvlJc w:val="left"/>
      <w:pPr>
        <w:ind w:left="720" w:hanging="360"/>
      </w:pPr>
    </w:lvl>
    <w:lvl w:ilvl="2">
      <w:start w:val="1"/>
      <w:numFmt w:val="decimal"/>
      <w:lvlText w:val="%1.%2.%3"/>
      <w:lvlJc w:val="left"/>
      <w:pPr>
        <w:ind w:left="433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486216BB"/>
    <w:multiLevelType w:val="multilevel"/>
    <w:tmpl w:val="6F6E581A"/>
    <w:styleLink w:val="LFO6"/>
    <w:lvl w:ilvl="0">
      <w:numFmt w:val="bullet"/>
      <w:pStyle w:val="RedaliaRetraitsanspuce"/>
      <w:lvlText w:val=""/>
      <w:lvlJc w:val="left"/>
      <w:pPr>
        <w:ind w:left="992" w:hanging="284"/>
      </w:pPr>
      <w:rPr>
        <w:rFonts w:ascii="Symbol" w:hAnsi="Symbol"/>
      </w:rPr>
    </w:lvl>
    <w:lvl w:ilvl="1">
      <w:numFmt w:val="bullet"/>
      <w:lvlText w:val="o"/>
      <w:lvlJc w:val="left"/>
      <w:pPr>
        <w:ind w:left="1581" w:hanging="360"/>
      </w:pPr>
      <w:rPr>
        <w:rFonts w:ascii="Courier New" w:hAnsi="Courier New"/>
      </w:rPr>
    </w:lvl>
    <w:lvl w:ilvl="2">
      <w:numFmt w:val="bullet"/>
      <w:lvlText w:val=""/>
      <w:lvlJc w:val="left"/>
      <w:pPr>
        <w:ind w:left="2301" w:hanging="360"/>
      </w:pPr>
      <w:rPr>
        <w:rFonts w:ascii="Wingdings" w:hAnsi="Wingdings"/>
      </w:rPr>
    </w:lvl>
    <w:lvl w:ilvl="3">
      <w:numFmt w:val="bullet"/>
      <w:lvlText w:val=""/>
      <w:lvlJc w:val="left"/>
      <w:pPr>
        <w:ind w:left="3021" w:hanging="360"/>
      </w:pPr>
      <w:rPr>
        <w:rFonts w:ascii="Symbol" w:hAnsi="Symbol"/>
      </w:rPr>
    </w:lvl>
    <w:lvl w:ilvl="4">
      <w:numFmt w:val="bullet"/>
      <w:lvlText w:val="o"/>
      <w:lvlJc w:val="left"/>
      <w:pPr>
        <w:ind w:left="3741" w:hanging="360"/>
      </w:pPr>
      <w:rPr>
        <w:rFonts w:ascii="Courier New" w:hAnsi="Courier New"/>
      </w:rPr>
    </w:lvl>
    <w:lvl w:ilvl="5">
      <w:numFmt w:val="bullet"/>
      <w:lvlText w:val=""/>
      <w:lvlJc w:val="left"/>
      <w:pPr>
        <w:ind w:left="4461" w:hanging="360"/>
      </w:pPr>
      <w:rPr>
        <w:rFonts w:ascii="Wingdings" w:hAnsi="Wingdings"/>
      </w:rPr>
    </w:lvl>
    <w:lvl w:ilvl="6">
      <w:numFmt w:val="bullet"/>
      <w:lvlText w:val=""/>
      <w:lvlJc w:val="left"/>
      <w:pPr>
        <w:ind w:left="5181" w:hanging="360"/>
      </w:pPr>
      <w:rPr>
        <w:rFonts w:ascii="Symbol" w:hAnsi="Symbol"/>
      </w:rPr>
    </w:lvl>
    <w:lvl w:ilvl="7">
      <w:numFmt w:val="bullet"/>
      <w:lvlText w:val="o"/>
      <w:lvlJc w:val="left"/>
      <w:pPr>
        <w:ind w:left="5901" w:hanging="360"/>
      </w:pPr>
      <w:rPr>
        <w:rFonts w:ascii="Courier New" w:hAnsi="Courier New"/>
      </w:rPr>
    </w:lvl>
    <w:lvl w:ilvl="8">
      <w:numFmt w:val="bullet"/>
      <w:lvlText w:val=""/>
      <w:lvlJc w:val="left"/>
      <w:pPr>
        <w:ind w:left="6621" w:hanging="360"/>
      </w:pPr>
      <w:rPr>
        <w:rFonts w:ascii="Wingdings" w:hAnsi="Wingdings"/>
      </w:rPr>
    </w:lvl>
  </w:abstractNum>
  <w:abstractNum w:abstractNumId="19" w15:restartNumberingAfterBreak="0">
    <w:nsid w:val="50A5115D"/>
    <w:multiLevelType w:val="hybridMultilevel"/>
    <w:tmpl w:val="BA1E88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A63D2D"/>
    <w:multiLevelType w:val="multilevel"/>
    <w:tmpl w:val="4258871E"/>
    <w:styleLink w:val="LFO22"/>
    <w:lvl w:ilvl="0">
      <w:numFmt w:val="bullet"/>
      <w:lvlText w:val=""/>
      <w:lvlJc w:val="left"/>
      <w:pPr>
        <w:ind w:left="965" w:hanging="114"/>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21" w15:restartNumberingAfterBreak="0">
    <w:nsid w:val="524325EF"/>
    <w:multiLevelType w:val="hybridMultilevel"/>
    <w:tmpl w:val="BC78C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350597E"/>
    <w:multiLevelType w:val="multilevel"/>
    <w:tmpl w:val="10E2319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573020F6"/>
    <w:multiLevelType w:val="hybridMultilevel"/>
    <w:tmpl w:val="59AC9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EB35A9"/>
    <w:multiLevelType w:val="multilevel"/>
    <w:tmpl w:val="8B54BA40"/>
    <w:styleLink w:val="LFO25"/>
    <w:lvl w:ilvl="0">
      <w:numFmt w:val="bullet"/>
      <w:pStyle w:val="RdaliaRetraitniveau2"/>
      <w:lvlText w:val=""/>
      <w:lvlJc w:val="left"/>
      <w:pPr>
        <w:ind w:left="106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5CF27FBD"/>
    <w:multiLevelType w:val="multilevel"/>
    <w:tmpl w:val="77B25568"/>
    <w:styleLink w:val="WWOutlineListStyl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0352686"/>
    <w:multiLevelType w:val="multilevel"/>
    <w:tmpl w:val="2E3C0F38"/>
    <w:styleLink w:val="WWOutlineListStyle6"/>
    <w:lvl w:ilvl="0">
      <w:start w:val="1"/>
      <w:numFmt w:val="decimal"/>
      <w:lvlText w:val="%1."/>
      <w:lvlJc w:val="left"/>
      <w:pPr>
        <w:ind w:left="6876" w:hanging="360"/>
      </w:pPr>
    </w:lvl>
    <w:lvl w:ilvl="1">
      <w:start w:val="1"/>
      <w:numFmt w:val="decimal"/>
      <w:lvlText w:val="%1.%2"/>
      <w:lvlJc w:val="left"/>
      <w:pPr>
        <w:ind w:left="2699" w:hanging="360"/>
      </w:pPr>
    </w:lvl>
    <w:lvl w:ilvl="2">
      <w:start w:val="1"/>
      <w:numFmt w:val="decimal"/>
      <w:lvlText w:val="%1.%2.%3"/>
      <w:lvlJc w:val="left"/>
      <w:pPr>
        <w:ind w:left="6309"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0513BF1"/>
    <w:multiLevelType w:val="multilevel"/>
    <w:tmpl w:val="A10E294E"/>
    <w:lvl w:ilvl="0">
      <w:start w:val="9"/>
      <w:numFmt w:val="bullet"/>
      <w:lvlText w:val="-"/>
      <w:lvlJc w:val="left"/>
      <w:pPr>
        <w:ind w:left="1146" w:hanging="360"/>
      </w:pPr>
      <w:rPr>
        <w:rFonts w:ascii="Open Sans" w:eastAsia="Times New Roman" w:hAnsi="Open Sans" w:cs="Open Sans" w:hint="default"/>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60C948BC"/>
    <w:multiLevelType w:val="multilevel"/>
    <w:tmpl w:val="52FE4A6A"/>
    <w:styleLink w:val="LFO11"/>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611116E6"/>
    <w:multiLevelType w:val="multilevel"/>
    <w:tmpl w:val="325698FA"/>
    <w:styleLink w:val="LFO26"/>
    <w:lvl w:ilvl="0">
      <w:numFmt w:val="bullet"/>
      <w:pStyle w:val="RdaliaTableau"/>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6A9D4477"/>
    <w:multiLevelType w:val="multilevel"/>
    <w:tmpl w:val="9410B74E"/>
    <w:styleLink w:val="LFO10"/>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70EC5195"/>
    <w:multiLevelType w:val="multilevel"/>
    <w:tmpl w:val="1B40AD20"/>
    <w:styleLink w:val="LFO4"/>
    <w:lvl w:ilvl="0">
      <w:numFmt w:val="bullet"/>
      <w:lvlText w:val=""/>
      <w:lvlJc w:val="left"/>
      <w:pPr>
        <w:ind w:left="284" w:hanging="114"/>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32" w15:restartNumberingAfterBreak="0">
    <w:nsid w:val="73125546"/>
    <w:multiLevelType w:val="multilevel"/>
    <w:tmpl w:val="275C5E88"/>
    <w:styleLink w:val="WWOutlineListStyle2"/>
    <w:lvl w:ilvl="0">
      <w:start w:val="1"/>
      <w:numFmt w:val="decimal"/>
      <w:lvlText w:val="%1."/>
      <w:lvlJc w:val="left"/>
      <w:pPr>
        <w:ind w:left="4897" w:hanging="360"/>
      </w:pPr>
    </w:lvl>
    <w:lvl w:ilvl="1">
      <w:start w:val="1"/>
      <w:numFmt w:val="decimal"/>
      <w:lvlText w:val="%1.%2"/>
      <w:lvlJc w:val="left"/>
      <w:pPr>
        <w:ind w:left="720" w:hanging="360"/>
      </w:pPr>
    </w:lvl>
    <w:lvl w:ilvl="2">
      <w:start w:val="1"/>
      <w:numFmt w:val="decimal"/>
      <w:lvlText w:val="%1.%2.%3"/>
      <w:lvlJc w:val="left"/>
      <w:pPr>
        <w:ind w:left="433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94E7D77"/>
    <w:multiLevelType w:val="multilevel"/>
    <w:tmpl w:val="2788D15E"/>
    <w:styleLink w:val="WWOutlineListStyle1"/>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433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F7A3579"/>
    <w:multiLevelType w:val="multilevel"/>
    <w:tmpl w:val="25488EA8"/>
    <w:styleLink w:val="Outlin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4"/>
  </w:num>
  <w:num w:numId="2">
    <w:abstractNumId w:val="26"/>
  </w:num>
  <w:num w:numId="3">
    <w:abstractNumId w:val="2"/>
  </w:num>
  <w:num w:numId="4">
    <w:abstractNumId w:val="17"/>
  </w:num>
  <w:num w:numId="5">
    <w:abstractNumId w:val="13"/>
  </w:num>
  <w:num w:numId="6">
    <w:abstractNumId w:val="32"/>
  </w:num>
  <w:num w:numId="7">
    <w:abstractNumId w:val="33"/>
  </w:num>
  <w:num w:numId="8">
    <w:abstractNumId w:val="25"/>
  </w:num>
  <w:num w:numId="9">
    <w:abstractNumId w:val="34"/>
  </w:num>
  <w:num w:numId="10">
    <w:abstractNumId w:val="11"/>
  </w:num>
  <w:num w:numId="11">
    <w:abstractNumId w:val="10"/>
  </w:num>
  <w:num w:numId="12">
    <w:abstractNumId w:val="16"/>
  </w:num>
  <w:num w:numId="13">
    <w:abstractNumId w:val="14"/>
  </w:num>
  <w:num w:numId="14">
    <w:abstractNumId w:val="15"/>
  </w:num>
  <w:num w:numId="15">
    <w:abstractNumId w:val="31"/>
  </w:num>
  <w:num w:numId="16">
    <w:abstractNumId w:val="7"/>
  </w:num>
  <w:num w:numId="17">
    <w:abstractNumId w:val="18"/>
  </w:num>
  <w:num w:numId="18">
    <w:abstractNumId w:val="3"/>
  </w:num>
  <w:num w:numId="19">
    <w:abstractNumId w:val="9"/>
  </w:num>
  <w:num w:numId="20">
    <w:abstractNumId w:val="30"/>
  </w:num>
  <w:num w:numId="21">
    <w:abstractNumId w:val="28"/>
  </w:num>
  <w:num w:numId="22">
    <w:abstractNumId w:val="8"/>
  </w:num>
  <w:num w:numId="23">
    <w:abstractNumId w:val="0"/>
  </w:num>
  <w:num w:numId="24">
    <w:abstractNumId w:val="12"/>
  </w:num>
  <w:num w:numId="25">
    <w:abstractNumId w:val="20"/>
  </w:num>
  <w:num w:numId="26">
    <w:abstractNumId w:val="1"/>
  </w:num>
  <w:num w:numId="27">
    <w:abstractNumId w:val="5"/>
  </w:num>
  <w:num w:numId="28">
    <w:abstractNumId w:val="24"/>
  </w:num>
  <w:num w:numId="29">
    <w:abstractNumId w:val="29"/>
  </w:num>
  <w:num w:numId="30">
    <w:abstractNumId w:val="6"/>
  </w:num>
  <w:num w:numId="31">
    <w:abstractNumId w:val="15"/>
  </w:num>
  <w:num w:numId="32">
    <w:abstractNumId w:val="11"/>
    <w:lvlOverride w:ilvl="0">
      <w:startOverride w:val="1"/>
    </w:lvlOverride>
  </w:num>
  <w:num w:numId="33">
    <w:abstractNumId w:val="27"/>
  </w:num>
  <w:num w:numId="34">
    <w:abstractNumId w:val="19"/>
  </w:num>
  <w:num w:numId="35">
    <w:abstractNumId w:val="21"/>
  </w:num>
  <w:num w:numId="36">
    <w:abstractNumId w:val="4"/>
  </w:num>
  <w:num w:numId="37">
    <w:abstractNumId w:val="23"/>
  </w:num>
  <w:num w:numId="3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93"/>
    <w:rsid w:val="00063B4F"/>
    <w:rsid w:val="000A2B95"/>
    <w:rsid w:val="00282C07"/>
    <w:rsid w:val="00346AA8"/>
    <w:rsid w:val="00376475"/>
    <w:rsid w:val="003B160C"/>
    <w:rsid w:val="003F47DB"/>
    <w:rsid w:val="00414C80"/>
    <w:rsid w:val="00484DF9"/>
    <w:rsid w:val="004F26E9"/>
    <w:rsid w:val="00591496"/>
    <w:rsid w:val="00615EB1"/>
    <w:rsid w:val="007A0A93"/>
    <w:rsid w:val="007E1234"/>
    <w:rsid w:val="008813BC"/>
    <w:rsid w:val="008A1CE8"/>
    <w:rsid w:val="008D4C89"/>
    <w:rsid w:val="009D765F"/>
    <w:rsid w:val="00A00124"/>
    <w:rsid w:val="00A01989"/>
    <w:rsid w:val="00AA311E"/>
    <w:rsid w:val="00AF4DFA"/>
    <w:rsid w:val="00B73F88"/>
    <w:rsid w:val="00BD6F11"/>
    <w:rsid w:val="00C321B1"/>
    <w:rsid w:val="00D20BAC"/>
    <w:rsid w:val="00D73F69"/>
    <w:rsid w:val="00E74EEC"/>
    <w:rsid w:val="00F16F97"/>
    <w:rsid w:val="00FB4DDA"/>
    <w:rsid w:val="00FC1E3F"/>
    <w:rsid w:val="00FF0581"/>
    <w:rsid w:val="00FF69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06C9"/>
  <w15:docId w15:val="{C0FC24C3-DAFF-4E85-AEE0-EAED927A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Open Sans" w:eastAsia="Arial" w:hAnsi="Open Sans" w:cs="Arial"/>
      <w:sz w:val="18"/>
    </w:rPr>
  </w:style>
  <w:style w:type="paragraph" w:styleId="Titre1">
    <w:name w:val="heading 1"/>
    <w:basedOn w:val="Normal"/>
    <w:next w:val="Normal"/>
    <w:uiPriority w:val="9"/>
    <w:qFormat/>
    <w:pPr>
      <w:keepNext/>
      <w:spacing w:before="240" w:after="160"/>
      <w:outlineLvl w:val="0"/>
    </w:pPr>
    <w:rPr>
      <w:b/>
      <w:kern w:val="3"/>
      <w:sz w:val="32"/>
    </w:rPr>
  </w:style>
  <w:style w:type="paragraph" w:styleId="Titre2">
    <w:name w:val="heading 2"/>
    <w:basedOn w:val="Normal"/>
    <w:next w:val="Normal"/>
    <w:uiPriority w:val="9"/>
    <w:semiHidden/>
    <w:unhideWhenUsed/>
    <w:qFormat/>
    <w:pPr>
      <w:keepNext/>
      <w:spacing w:before="240" w:after="160"/>
      <w:outlineLvl w:val="1"/>
    </w:pPr>
    <w:rPr>
      <w:sz w:val="28"/>
      <w:u w:val="single"/>
    </w:rPr>
  </w:style>
  <w:style w:type="paragraph" w:styleId="Titre3">
    <w:name w:val="heading 3"/>
    <w:basedOn w:val="Normal"/>
    <w:next w:val="Normal"/>
    <w:uiPriority w:val="9"/>
    <w:semiHidden/>
    <w:unhideWhenUsed/>
    <w:qFormat/>
    <w:pPr>
      <w:keepNext/>
      <w:spacing w:before="240" w:after="160"/>
      <w:outlineLvl w:val="2"/>
    </w:pPr>
    <w:rPr>
      <w:sz w:val="24"/>
      <w:u w:val="single"/>
    </w:rPr>
  </w:style>
  <w:style w:type="paragraph" w:styleId="Titre4">
    <w:name w:val="heading 4"/>
    <w:basedOn w:val="Normal"/>
    <w:next w:val="Normal"/>
    <w:uiPriority w:val="9"/>
    <w:semiHidden/>
    <w:unhideWhenUsed/>
    <w:qFormat/>
    <w:pPr>
      <w:keepNext/>
      <w:spacing w:before="240" w:after="60"/>
      <w:ind w:left="567"/>
      <w:outlineLvl w:val="3"/>
    </w:pPr>
    <w:rPr>
      <w:i/>
      <w:sz w:val="24"/>
    </w:rPr>
  </w:style>
  <w:style w:type="paragraph" w:styleId="Titre5">
    <w:name w:val="heading 5"/>
    <w:basedOn w:val="Normal"/>
    <w:next w:val="Normal"/>
    <w:uiPriority w:val="9"/>
    <w:semiHidden/>
    <w:unhideWhenUsed/>
    <w:qFormat/>
    <w:pPr>
      <w:spacing w:before="240" w:after="60"/>
      <w:ind w:left="1134"/>
      <w:outlineLvl w:val="4"/>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7">
    <w:name w:val="WW_OutlineListStyle_7"/>
    <w:basedOn w:val="Aucuneliste"/>
    <w:pPr>
      <w:numPr>
        <w:numId w:val="1"/>
      </w:numPr>
    </w:pPr>
  </w:style>
  <w:style w:type="paragraph" w:customStyle="1" w:styleId="RedaliaTitre1">
    <w:name w:val="Redalia Titre 1"/>
    <w:basedOn w:val="Normal"/>
    <w:autoRedefine/>
    <w:rsid w:val="00615EB1"/>
    <w:pPr>
      <w:numPr>
        <w:numId w:val="1"/>
      </w:numPr>
      <w:spacing w:before="240" w:after="160"/>
      <w:ind w:left="426"/>
      <w:outlineLvl w:val="0"/>
    </w:pPr>
    <w:rPr>
      <w:rFonts w:ascii="Montserrat" w:eastAsia="Montserrat" w:hAnsi="Montserrat" w:cs="Montserrat"/>
      <w:b/>
      <w:sz w:val="24"/>
    </w:rPr>
  </w:style>
  <w:style w:type="paragraph" w:customStyle="1" w:styleId="RedaliaTitre2">
    <w:name w:val="Redalia Titre 2"/>
    <w:basedOn w:val="Normal"/>
    <w:next w:val="Normal"/>
    <w:pPr>
      <w:numPr>
        <w:ilvl w:val="1"/>
        <w:numId w:val="1"/>
      </w:numPr>
      <w:spacing w:before="240" w:after="160"/>
      <w:outlineLvl w:val="1"/>
    </w:pPr>
    <w:rPr>
      <w:rFonts w:ascii="Montserrat" w:eastAsia="Montserrat" w:hAnsi="Montserrat" w:cs="Montserrat"/>
      <w:b/>
      <w:sz w:val="20"/>
      <w:u w:val="single"/>
    </w:rPr>
  </w:style>
  <w:style w:type="paragraph" w:customStyle="1" w:styleId="RedaliaTitre3">
    <w:name w:val="Redalia Titre 3"/>
    <w:basedOn w:val="Normal"/>
    <w:pPr>
      <w:numPr>
        <w:ilvl w:val="2"/>
        <w:numId w:val="1"/>
      </w:numPr>
      <w:overflowPunct w:val="0"/>
      <w:autoSpaceDE w:val="0"/>
      <w:spacing w:before="240" w:after="160"/>
      <w:jc w:val="both"/>
      <w:outlineLvl w:val="2"/>
    </w:pPr>
    <w:rPr>
      <w:rFonts w:ascii="Montserrat" w:eastAsia="Montserrat" w:hAnsi="Montserrat" w:cs="Montserrat"/>
      <w:sz w:val="20"/>
      <w:u w:val="single"/>
    </w:rPr>
  </w:style>
  <w:style w:type="paragraph" w:customStyle="1" w:styleId="TitreN4">
    <w:name w:val="Titre N4"/>
    <w:basedOn w:val="Titre4"/>
    <w:pPr>
      <w:ind w:left="850" w:hanging="283"/>
    </w:pPr>
  </w:style>
  <w:style w:type="paragraph" w:customStyle="1" w:styleId="TitreN5">
    <w:name w:val="Titre N5"/>
    <w:basedOn w:val="Titre5"/>
    <w:pPr>
      <w:ind w:left="1417" w:hanging="283"/>
    </w:p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customStyle="1" w:styleId="Courriercivilit">
    <w:name w:val="Courrier civilité"/>
    <w:basedOn w:val="Normal"/>
    <w:pPr>
      <w:tabs>
        <w:tab w:val="left" w:pos="1134"/>
      </w:tabs>
    </w:pPr>
  </w:style>
  <w:style w:type="paragraph" w:customStyle="1" w:styleId="Courrierdate">
    <w:name w:val="Courrier date"/>
    <w:basedOn w:val="Normal"/>
    <w:pPr>
      <w:jc w:val="right"/>
    </w:pPr>
  </w:style>
  <w:style w:type="paragraph" w:customStyle="1" w:styleId="Courrierdest">
    <w:name w:val="Courrier dest"/>
    <w:basedOn w:val="Normal"/>
  </w:style>
  <w:style w:type="paragraph" w:customStyle="1" w:styleId="Courriersign">
    <w:name w:val="Courrier sign"/>
    <w:basedOn w:val="Courrierdest"/>
    <w:rPr>
      <w:caps/>
    </w:rPr>
  </w:style>
  <w:style w:type="paragraph" w:customStyle="1" w:styleId="Courriertext">
    <w:name w:val="Courrier text"/>
    <w:basedOn w:val="Normal"/>
    <w:pPr>
      <w:jc w:val="both"/>
    </w:pPr>
  </w:style>
  <w:style w:type="paragraph" w:customStyle="1" w:styleId="Dossierune">
    <w:name w:val="Dossier une"/>
    <w:basedOn w:val="Normal"/>
    <w:pPr>
      <w:jc w:val="center"/>
    </w:pPr>
    <w:rPr>
      <w:sz w:val="72"/>
    </w:rPr>
  </w:style>
  <w:style w:type="paragraph" w:customStyle="1" w:styleId="Dossierobjet">
    <w:name w:val="Dossier objet"/>
    <w:basedOn w:val="Dossierune"/>
    <w:rPr>
      <w:sz w:val="48"/>
    </w:rPr>
  </w:style>
  <w:style w:type="paragraph" w:customStyle="1" w:styleId="DossierobjetRdalia">
    <w:name w:val="Dossier objet Rédalia"/>
    <w:basedOn w:val="Dossierobjet"/>
    <w:next w:val="Normal"/>
    <w:rPr>
      <w:sz w:val="36"/>
    </w:rPr>
  </w:style>
  <w:style w:type="paragraph" w:customStyle="1" w:styleId="Dossiertitre">
    <w:name w:val="Dossier titre"/>
    <w:basedOn w:val="Dossierobjet"/>
    <w:pPr>
      <w:pBdr>
        <w:bottom w:val="single" w:sz="6" w:space="1" w:color="000000"/>
      </w:pBdr>
    </w:pPr>
    <w:rPr>
      <w:sz w:val="40"/>
    </w:rPr>
  </w:style>
  <w:style w:type="paragraph" w:customStyle="1" w:styleId="DossiertitreRedalia">
    <w:name w:val="Dossier titre Redalia"/>
    <w:basedOn w:val="Dossiertitre"/>
    <w:pPr>
      <w:jc w:val="left"/>
    </w:pPr>
    <w:rPr>
      <w:sz w:val="32"/>
    </w:rPr>
  </w:style>
  <w:style w:type="paragraph" w:customStyle="1" w:styleId="Enttecentre">
    <w:name w:val="Entête centre"/>
    <w:basedOn w:val="Normal"/>
    <w:pPr>
      <w:jc w:val="center"/>
    </w:pPr>
  </w:style>
  <w:style w:type="paragraph" w:customStyle="1" w:styleId="Enttedrte">
    <w:name w:val="Entête drte"/>
    <w:basedOn w:val="Normal"/>
    <w:pPr>
      <w:jc w:val="right"/>
    </w:pPr>
  </w:style>
  <w:style w:type="paragraph" w:customStyle="1" w:styleId="Enttegche">
    <w:name w:val="Entête gche"/>
    <w:basedOn w:val="Normal"/>
  </w:style>
  <w:style w:type="paragraph" w:customStyle="1" w:styleId="Enttemilieu">
    <w:name w:val="Entête milieu"/>
    <w:basedOn w:val="Normal"/>
    <w:pPr>
      <w:jc w:val="center"/>
    </w:pPr>
    <w:rPr>
      <w:sz w:val="28"/>
    </w:rPr>
  </w:style>
  <w:style w:type="paragraph" w:customStyle="1" w:styleId="PagedegardeRdalia">
    <w:name w:val="Page de garde Rédalia"/>
    <w:basedOn w:val="Normal"/>
    <w:next w:val="Normal"/>
    <w:rPr>
      <w:b/>
      <w:sz w:val="28"/>
    </w:rPr>
  </w:style>
  <w:style w:type="paragraph" w:customStyle="1" w:styleId="Piedpagecentre">
    <w:name w:val="Piedpage centre"/>
    <w:basedOn w:val="Normal"/>
    <w:pPr>
      <w:jc w:val="center"/>
    </w:pPr>
  </w:style>
  <w:style w:type="paragraph" w:customStyle="1" w:styleId="Piedpagedrte">
    <w:name w:val="Piedpage drte"/>
    <w:basedOn w:val="Normal"/>
    <w:pPr>
      <w:jc w:val="right"/>
    </w:pPr>
  </w:style>
  <w:style w:type="paragraph" w:customStyle="1" w:styleId="Piedpagegche">
    <w:name w:val="Piedpage gche"/>
    <w:basedOn w:val="Normal"/>
  </w:style>
  <w:style w:type="paragraph" w:customStyle="1" w:styleId="Tableau10centre">
    <w:name w:val="Tableau 10 centre"/>
    <w:basedOn w:val="Normal"/>
    <w:pPr>
      <w:jc w:val="center"/>
    </w:pPr>
  </w:style>
  <w:style w:type="paragraph" w:customStyle="1" w:styleId="Tableau10drte">
    <w:name w:val="Tableau 10 drte"/>
    <w:basedOn w:val="Normal"/>
    <w:pPr>
      <w:jc w:val="right"/>
    </w:pPr>
  </w:style>
  <w:style w:type="paragraph" w:customStyle="1" w:styleId="Tableau10gche">
    <w:name w:val="Tableau 10 gche"/>
    <w:basedOn w:val="Normal"/>
  </w:style>
  <w:style w:type="paragraph" w:customStyle="1" w:styleId="Tableau11centre">
    <w:name w:val="Tableau 11 centre"/>
    <w:basedOn w:val="Normal"/>
    <w:pPr>
      <w:jc w:val="center"/>
    </w:pPr>
  </w:style>
  <w:style w:type="paragraph" w:customStyle="1" w:styleId="Tableau11drte">
    <w:name w:val="Tableau 11 drte"/>
    <w:basedOn w:val="Normal"/>
    <w:pPr>
      <w:jc w:val="right"/>
    </w:pPr>
  </w:style>
  <w:style w:type="paragraph" w:customStyle="1" w:styleId="Tableau11gche">
    <w:name w:val="Tableau 11 gche"/>
    <w:basedOn w:val="Normal"/>
  </w:style>
  <w:style w:type="paragraph" w:customStyle="1" w:styleId="Tableau8centre">
    <w:name w:val="Tableau 8 centre"/>
    <w:basedOn w:val="Normal"/>
    <w:pPr>
      <w:jc w:val="center"/>
    </w:pPr>
    <w:rPr>
      <w:sz w:val="16"/>
    </w:rPr>
  </w:style>
  <w:style w:type="paragraph" w:customStyle="1" w:styleId="Tableau8drte">
    <w:name w:val="Tableau 8 drte"/>
    <w:basedOn w:val="Normal"/>
    <w:pPr>
      <w:jc w:val="right"/>
    </w:pPr>
    <w:rPr>
      <w:sz w:val="16"/>
    </w:rPr>
  </w:style>
  <w:style w:type="paragraph" w:customStyle="1" w:styleId="Tableau8gche">
    <w:name w:val="Tableau 8 gche"/>
    <w:basedOn w:val="Normal"/>
    <w:rPr>
      <w:sz w:val="16"/>
    </w:rPr>
  </w:style>
  <w:style w:type="paragraph" w:customStyle="1" w:styleId="TableContents">
    <w:name w:val="Table Contents"/>
    <w:basedOn w:val="Standard"/>
    <w:pPr>
      <w:widowControl w:val="0"/>
      <w:suppressLineNumbers/>
    </w:pPr>
  </w:style>
  <w:style w:type="paragraph" w:customStyle="1" w:styleId="TableHeading">
    <w:name w:val="Table Heading"/>
    <w:basedOn w:val="Tableau11centre"/>
    <w:rPr>
      <w:b/>
    </w:rPr>
  </w:style>
  <w:style w:type="paragraph" w:customStyle="1" w:styleId="TitreN1">
    <w:name w:val="Titre N1"/>
    <w:basedOn w:val="Titre1"/>
    <w:pPr>
      <w:ind w:left="283" w:hanging="283"/>
    </w:pPr>
  </w:style>
  <w:style w:type="paragraph" w:customStyle="1" w:styleId="TitreN2">
    <w:name w:val="Titre N2"/>
    <w:basedOn w:val="Titre2"/>
    <w:pPr>
      <w:ind w:left="283" w:hanging="283"/>
    </w:pPr>
  </w:style>
  <w:style w:type="paragraph" w:customStyle="1" w:styleId="TitreN3">
    <w:name w:val="Titre N3"/>
    <w:basedOn w:val="Titre3"/>
    <w:pPr>
      <w:ind w:left="283" w:hanging="283"/>
    </w:pPr>
  </w:style>
  <w:style w:type="paragraph" w:styleId="TM1">
    <w:name w:val="toc 1"/>
    <w:basedOn w:val="Titre1"/>
    <w:next w:val="Normal"/>
    <w:uiPriority w:val="39"/>
    <w:pPr>
      <w:keepNext w:val="0"/>
      <w:tabs>
        <w:tab w:val="right" w:leader="dot" w:pos="9072"/>
      </w:tabs>
      <w:spacing w:before="120" w:after="0"/>
    </w:pPr>
    <w:rPr>
      <w:sz w:val="24"/>
    </w:rPr>
  </w:style>
  <w:style w:type="paragraph" w:styleId="TM2">
    <w:name w:val="toc 2"/>
    <w:basedOn w:val="Titre2"/>
    <w:next w:val="Normal"/>
    <w:uiPriority w:val="39"/>
    <w:pPr>
      <w:keepNext w:val="0"/>
      <w:tabs>
        <w:tab w:val="right" w:leader="dot" w:pos="9072"/>
      </w:tabs>
      <w:spacing w:before="120" w:after="0"/>
      <w:ind w:left="198"/>
    </w:pPr>
    <w:rPr>
      <w:sz w:val="22"/>
      <w:u w:val="none"/>
    </w:rPr>
  </w:style>
  <w:style w:type="paragraph" w:styleId="TM3">
    <w:name w:val="toc 3"/>
    <w:basedOn w:val="Titre3"/>
    <w:next w:val="Normal"/>
    <w:uiPriority w:val="39"/>
    <w:pPr>
      <w:keepNext w:val="0"/>
      <w:tabs>
        <w:tab w:val="right" w:leader="dot" w:pos="9072"/>
      </w:tabs>
      <w:spacing w:before="120" w:after="0"/>
      <w:ind w:left="403"/>
    </w:pPr>
    <w:rPr>
      <w:sz w:val="20"/>
      <w:u w:val="none"/>
    </w:rPr>
  </w:style>
  <w:style w:type="paragraph" w:styleId="TM4">
    <w:name w:val="toc 4"/>
    <w:basedOn w:val="Titre4"/>
    <w:next w:val="Normal"/>
    <w:pPr>
      <w:keepNext w:val="0"/>
      <w:tabs>
        <w:tab w:val="right" w:leader="dot" w:pos="9072"/>
      </w:tabs>
      <w:spacing w:before="120" w:after="0"/>
      <w:ind w:left="601"/>
    </w:pPr>
    <w:rPr>
      <w:sz w:val="22"/>
    </w:rPr>
  </w:style>
  <w:style w:type="paragraph" w:styleId="TM5">
    <w:name w:val="toc 5"/>
    <w:basedOn w:val="Titre5"/>
    <w:next w:val="Normal"/>
    <w:pPr>
      <w:tabs>
        <w:tab w:val="right" w:leader="dot" w:pos="9072"/>
      </w:tabs>
      <w:spacing w:before="120" w:after="0"/>
      <w:ind w:left="799"/>
    </w:pPr>
  </w:style>
  <w:style w:type="paragraph" w:customStyle="1" w:styleId="CondInsert">
    <w:name w:val="Cond Insert"/>
    <w:basedOn w:val="Normal"/>
    <w:next w:val="Normal"/>
    <w:pPr>
      <w:tabs>
        <w:tab w:val="right" w:leader="dot" w:pos="9000"/>
      </w:tabs>
    </w:pPr>
    <w:rPr>
      <w:b/>
      <w:bCs/>
      <w:color w:val="0000FF"/>
    </w:rPr>
  </w:style>
  <w:style w:type="paragraph" w:customStyle="1" w:styleId="RdaliaCondens">
    <w:name w:val="Rédalia : Condensé"/>
    <w:basedOn w:val="Normal"/>
    <w:pPr>
      <w:spacing w:before="40"/>
      <w:jc w:val="both"/>
    </w:pPr>
    <w:rPr>
      <w:sz w:val="16"/>
    </w:rPr>
  </w:style>
  <w:style w:type="paragraph" w:customStyle="1" w:styleId="RdaliaLgende">
    <w:name w:val="Rédalia : Légende"/>
    <w:basedOn w:val="Normal"/>
    <w:pPr>
      <w:ind w:left="284" w:hanging="284"/>
      <w:jc w:val="both"/>
    </w:pPr>
    <w:rPr>
      <w:i/>
      <w:sz w:val="16"/>
    </w:rPr>
  </w:style>
  <w:style w:type="paragraph" w:customStyle="1" w:styleId="RedaliaNormal">
    <w:name w:val="Redalia : Normal"/>
    <w:basedOn w:val="Normal"/>
    <w:pPr>
      <w:tabs>
        <w:tab w:val="left" w:leader="dot" w:pos="8505"/>
      </w:tabs>
      <w:spacing w:before="113"/>
      <w:jc w:val="both"/>
    </w:pPr>
    <w:rPr>
      <w:rFonts w:eastAsia="Open Sans" w:cs="Open Sans"/>
    </w:rPr>
  </w:style>
  <w:style w:type="paragraph" w:customStyle="1" w:styleId="RdaliaRetraitniveau1">
    <w:name w:val="Rédalia : Retrait niveau 1"/>
    <w:basedOn w:val="RedaliaNormal"/>
  </w:style>
  <w:style w:type="paragraph" w:customStyle="1" w:styleId="RdaliaRetraitniveau2">
    <w:name w:val="Rédalia : Retrait niveau 2"/>
    <w:basedOn w:val="RedaliaNormal"/>
    <w:pPr>
      <w:numPr>
        <w:numId w:val="28"/>
      </w:numPr>
    </w:pPr>
  </w:style>
  <w:style w:type="paragraph" w:customStyle="1" w:styleId="RdaliaTableau">
    <w:name w:val="Rédalia : Tableau"/>
    <w:basedOn w:val="RedaliaNormal"/>
    <w:pPr>
      <w:numPr>
        <w:numId w:val="29"/>
      </w:numPr>
    </w:pPr>
    <w:rPr>
      <w:b/>
      <w:color w:val="0000FF"/>
    </w:rPr>
  </w:style>
  <w:style w:type="paragraph" w:customStyle="1" w:styleId="RdaliaTextemasqu">
    <w:name w:val="Rédalia : Texte masqué"/>
    <w:basedOn w:val="RdaliaRetraitniveau1"/>
    <w:pPr>
      <w:numPr>
        <w:numId w:val="27"/>
      </w:numPr>
      <w:shd w:val="clear" w:color="auto" w:fill="FFFFFF"/>
    </w:pPr>
    <w:rPr>
      <w:vanish/>
      <w:sz w:val="20"/>
    </w:rPr>
  </w:style>
  <w:style w:type="paragraph" w:customStyle="1" w:styleId="RdaliaTitredestableaux">
    <w:name w:val="Rédalia : Titre des tableaux"/>
    <w:basedOn w:val="RedaliaNormal"/>
    <w:pPr>
      <w:jc w:val="center"/>
    </w:pPr>
    <w:rPr>
      <w:b/>
    </w:rPr>
  </w:style>
  <w:style w:type="paragraph" w:customStyle="1" w:styleId="RdaliaTitredossier">
    <w:name w:val="Rédalia : Titre dossier"/>
    <w:basedOn w:val="Dossierune"/>
    <w:rPr>
      <w:sz w:val="48"/>
    </w:rPr>
  </w:style>
  <w:style w:type="paragraph" w:customStyle="1" w:styleId="RdaliaTitreparagraphe">
    <w:name w:val="Rédalia : Titre paragraphe"/>
    <w:basedOn w:val="Dossiertitre"/>
    <w:pPr>
      <w:spacing w:before="320" w:after="240"/>
      <w:jc w:val="left"/>
    </w:pPr>
    <w:rPr>
      <w:sz w:val="32"/>
    </w:rPr>
  </w:style>
  <w:style w:type="paragraph" w:customStyle="1" w:styleId="RdaliaTitretableaucondens">
    <w:name w:val="Rédalia : Titre tableau condensé"/>
    <w:basedOn w:val="Normal"/>
    <w:pPr>
      <w:spacing w:before="40"/>
      <w:jc w:val="both"/>
    </w:pPr>
    <w:rPr>
      <w:b/>
    </w:rPr>
  </w:style>
  <w:style w:type="paragraph" w:customStyle="1" w:styleId="RdaliaZonecandidat">
    <w:name w:val="Rédalia : Zone candidat"/>
    <w:basedOn w:val="Normal"/>
    <w:pPr>
      <w:shd w:val="clear" w:color="auto" w:fill="00FFFF"/>
      <w:spacing w:before="40"/>
      <w:jc w:val="center"/>
    </w:pPr>
  </w:style>
  <w:style w:type="paragraph" w:customStyle="1" w:styleId="DCENormal">
    <w:name w:val="DCE Normal"/>
    <w:basedOn w:val="Normal"/>
    <w:pPr>
      <w:jc w:val="both"/>
    </w:pPr>
    <w:rPr>
      <w:sz w:val="24"/>
    </w:rPr>
  </w:style>
  <w:style w:type="paragraph" w:customStyle="1" w:styleId="Etat-icone">
    <w:name w:val="Etat - icone"/>
    <w:basedOn w:val="Normal"/>
    <w:rPr>
      <w:rFonts w:ascii="Webdings" w:eastAsia="Webdings" w:hAnsi="Webdings" w:cs="Webdings"/>
    </w:rPr>
  </w:style>
  <w:style w:type="paragraph" w:customStyle="1" w:styleId="STabCentre">
    <w:name w:val="STab Centre"/>
    <w:basedOn w:val="Normal"/>
    <w:pPr>
      <w:jc w:val="center"/>
    </w:pPr>
  </w:style>
  <w:style w:type="paragraph" w:customStyle="1" w:styleId="LiaLibell">
    <w:name w:val="Lia_Libellé"/>
    <w:basedOn w:val="Normal"/>
    <w:rPr>
      <w:b/>
    </w:rPr>
  </w:style>
  <w:style w:type="paragraph" w:customStyle="1" w:styleId="LiaDescription">
    <w:name w:val="Lia_Description"/>
    <w:basedOn w:val="Normal"/>
  </w:style>
  <w:style w:type="paragraph" w:customStyle="1" w:styleId="LiaUnit">
    <w:name w:val="Lia_Unité"/>
    <w:basedOn w:val="Normal"/>
    <w:rPr>
      <w:i/>
    </w:rPr>
  </w:style>
  <w:style w:type="paragraph" w:customStyle="1" w:styleId="Redaliapuces">
    <w:name w:val="Redalia : puces"/>
    <w:basedOn w:val="RedaliaNormal"/>
  </w:style>
  <w:style w:type="paragraph" w:customStyle="1" w:styleId="DCETableau">
    <w:name w:val="DCE Tableau"/>
    <w:basedOn w:val="Normal"/>
  </w:style>
  <w:style w:type="paragraph" w:customStyle="1" w:styleId="DCETitreTableau">
    <w:name w:val="DCE TitreTableau"/>
    <w:basedOn w:val="Normal"/>
    <w:pPr>
      <w:jc w:val="center"/>
    </w:pPr>
    <w:rPr>
      <w:b/>
    </w:rPr>
  </w:style>
  <w:style w:type="paragraph" w:customStyle="1" w:styleId="GnliaMarquedeparagraphe">
    <w:name w:val="Génélia : Marque de paragraphe"/>
    <w:basedOn w:val="Normal"/>
    <w:pPr>
      <w:keepNext/>
      <w:keepLines/>
      <w:tabs>
        <w:tab w:val="right" w:leader="dot" w:pos="10205"/>
      </w:tabs>
      <w:spacing w:before="40"/>
      <w:ind w:left="-1134"/>
      <w:jc w:val="both"/>
    </w:pPr>
    <w:rPr>
      <w:b/>
      <w:color w:val="008080"/>
    </w:rPr>
  </w:style>
  <w:style w:type="paragraph" w:customStyle="1" w:styleId="DGATitre1">
    <w:name w:val="DGA Titre1"/>
    <w:basedOn w:val="Titre1"/>
    <w:pPr>
      <w:tabs>
        <w:tab w:val="left" w:pos="360"/>
      </w:tabs>
      <w:overflowPunct w:val="0"/>
      <w:autoSpaceDE w:val="0"/>
      <w:ind w:left="360" w:hanging="360"/>
    </w:pPr>
    <w:rPr>
      <w:sz w:val="28"/>
    </w:rPr>
  </w:style>
  <w:style w:type="paragraph" w:customStyle="1" w:styleId="RedaliaContenudetableau">
    <w:name w:val="Redalia : Contenu de tableau"/>
    <w:basedOn w:val="RedaliaNormal"/>
    <w:rPr>
      <w:szCs w:val="18"/>
    </w:rPr>
  </w:style>
  <w:style w:type="paragraph" w:customStyle="1" w:styleId="RedaliaPartievaloriser">
    <w:name w:val="Redalia : Partie à valoriser"/>
    <w:basedOn w:val="RedaliaNormal"/>
    <w:next w:val="RedaliaNormal"/>
    <w:pPr>
      <w:tabs>
        <w:tab w:val="left" w:leader="dot" w:pos="8820"/>
      </w:tabs>
      <w:spacing w:before="240" w:line="360" w:lineRule="auto"/>
    </w:pPr>
  </w:style>
  <w:style w:type="paragraph" w:customStyle="1" w:styleId="RedaliaRetraitavecpuce">
    <w:name w:val="Redalia : Retrait avec puce"/>
    <w:basedOn w:val="RedaliaNormal"/>
    <w:pPr>
      <w:numPr>
        <w:numId w:val="16"/>
      </w:numPr>
    </w:pPr>
  </w:style>
  <w:style w:type="paragraph" w:customStyle="1" w:styleId="RedaliaCentr">
    <w:name w:val="Redalia : Centré"/>
    <w:basedOn w:val="RedaliaNormal"/>
    <w:next w:val="RedaliaNormal"/>
    <w:pPr>
      <w:jc w:val="center"/>
    </w:pPr>
  </w:style>
  <w:style w:type="paragraph" w:customStyle="1" w:styleId="RedaliaRetrait2avecpuce">
    <w:name w:val="Redalia : Retrait 2 avec puce"/>
    <w:basedOn w:val="RedaliaRetraitavecpuce"/>
    <w:pPr>
      <w:numPr>
        <w:numId w:val="26"/>
      </w:numPr>
      <w:tabs>
        <w:tab w:val="clear" w:pos="8505"/>
        <w:tab w:val="left" w:pos="-4779"/>
        <w:tab w:val="left" w:leader="dot" w:pos="2025"/>
      </w:tabs>
    </w:pPr>
  </w:style>
  <w:style w:type="paragraph" w:customStyle="1" w:styleId="RdaliaDrogations">
    <w:name w:val="Rédalia : Dérogations"/>
    <w:basedOn w:val="RedaliaNormal"/>
    <w:next w:val="RedaliaNormal"/>
    <w:rPr>
      <w:szCs w:val="18"/>
    </w:rPr>
  </w:style>
  <w:style w:type="paragraph" w:customStyle="1" w:styleId="RdaliaCommentairesAE">
    <w:name w:val="Rédalia : Commentaires AE"/>
    <w:basedOn w:val="RedaliaNormal"/>
    <w:pPr>
      <w:overflowPunct w:val="0"/>
      <w:autoSpaceDE w:val="0"/>
    </w:pPr>
    <w:rPr>
      <w:rFonts w:ascii="Verdana" w:eastAsia="Verdana" w:hAnsi="Verdana" w:cs="Verdana"/>
      <w:i/>
      <w:iCs/>
      <w:color w:val="808080"/>
      <w:sz w:val="14"/>
      <w:szCs w:val="14"/>
    </w:rPr>
  </w:style>
  <w:style w:type="paragraph" w:customStyle="1" w:styleId="RedaliaSoustitredocument">
    <w:name w:val="Redalia : Sous titre document"/>
    <w:basedOn w:val="RedaliaNormal"/>
    <w:next w:val="RedaliaNormal"/>
    <w:pPr>
      <w:jc w:val="center"/>
    </w:pPr>
    <w:rPr>
      <w:sz w:val="28"/>
    </w:rPr>
  </w:style>
  <w:style w:type="paragraph" w:customStyle="1" w:styleId="RedaliaTitredocument">
    <w:name w:val="Redalia : Titre document"/>
    <w:basedOn w:val="RedaliaNormal"/>
    <w:pPr>
      <w:numPr>
        <w:numId w:val="22"/>
      </w:numPr>
      <w:tabs>
        <w:tab w:val="clear" w:pos="8505"/>
        <w:tab w:val="left" w:leader="dot" w:pos="-4739"/>
        <w:tab w:val="left" w:leader="dot" w:pos="-4172"/>
        <w:tab w:val="left" w:leader="dot" w:pos="3199"/>
      </w:tabs>
      <w:jc w:val="center"/>
      <w:outlineLvl w:val="0"/>
    </w:pPr>
    <w:rPr>
      <w:b/>
      <w:sz w:val="40"/>
    </w:rPr>
  </w:style>
  <w:style w:type="paragraph" w:customStyle="1" w:styleId="05ARTICLENiv1-Texte">
    <w:name w:val="05_ARTICLE_Niv1 - Texte"/>
    <w:pPr>
      <w:suppressAutoHyphens/>
      <w:spacing w:after="240"/>
      <w:jc w:val="both"/>
    </w:pPr>
    <w:rPr>
      <w:rFonts w:ascii="Verdana" w:eastAsia="Verdana" w:hAnsi="Verdana" w:cs="Verdana"/>
      <w:spacing w:val="-6"/>
      <w:sz w:val="18"/>
      <w:szCs w:val="18"/>
    </w:rPr>
  </w:style>
  <w:style w:type="paragraph" w:customStyle="1" w:styleId="TAB1">
    <w:name w:val="TAB 1"/>
    <w:basedOn w:val="Normal"/>
    <w:pPr>
      <w:spacing w:after="240"/>
      <w:ind w:left="360" w:hanging="180"/>
      <w:jc w:val="both"/>
    </w:pPr>
    <w:rPr>
      <w:rFonts w:ascii="Verdana" w:eastAsia="Verdana" w:hAnsi="Verdana" w:cs="Verdana"/>
      <w:spacing w:val="-6"/>
      <w:szCs w:val="18"/>
    </w:rPr>
  </w:style>
  <w:style w:type="paragraph" w:customStyle="1" w:styleId="RedaliaRetraitPuceniveau3">
    <w:name w:val="Redalia : Retrait Puce niveau 3"/>
    <w:basedOn w:val="RdaliaRetraitPuceniveau2"/>
    <w:pPr>
      <w:numPr>
        <w:numId w:val="14"/>
      </w:numPr>
      <w:tabs>
        <w:tab w:val="clear" w:pos="-9704"/>
        <w:tab w:val="left" w:pos="-5481"/>
        <w:tab w:val="left" w:pos="-5040"/>
      </w:tabs>
    </w:pPr>
  </w:style>
  <w:style w:type="paragraph" w:customStyle="1" w:styleId="RdaliaRetraitPuceniveau2">
    <w:name w:val="Rédalia : Retrait Puce niveau 2"/>
    <w:basedOn w:val="RedaliaNormal"/>
    <w:pPr>
      <w:numPr>
        <w:numId w:val="18"/>
      </w:numPr>
      <w:tabs>
        <w:tab w:val="clear" w:pos="8505"/>
        <w:tab w:val="left" w:pos="-9704"/>
      </w:tabs>
    </w:pPr>
  </w:style>
  <w:style w:type="paragraph" w:customStyle="1" w:styleId="RdaliaRetraitGrandepuce">
    <w:name w:val="Rédalia : Retrait Grande puce"/>
    <w:basedOn w:val="RedaliaNormal"/>
    <w:pPr>
      <w:numPr>
        <w:numId w:val="13"/>
      </w:numPr>
      <w:tabs>
        <w:tab w:val="clear" w:pos="8505"/>
        <w:tab w:val="left" w:pos="-8196"/>
        <w:tab w:val="left" w:pos="-7420"/>
      </w:tabs>
    </w:pPr>
  </w:style>
  <w:style w:type="paragraph" w:customStyle="1" w:styleId="RedaliaRetraitPuceniveau1">
    <w:name w:val="Redalia : Retrait Puce niveau 1"/>
    <w:basedOn w:val="RedaliaNormal"/>
    <w:pPr>
      <w:tabs>
        <w:tab w:val="clear" w:pos="8505"/>
        <w:tab w:val="left" w:pos="-1276"/>
      </w:tabs>
    </w:pPr>
  </w:style>
  <w:style w:type="paragraph" w:customStyle="1" w:styleId="RedaliaRetraitsanspuce">
    <w:name w:val="Redalia : Retrait sans puce"/>
    <w:basedOn w:val="RedaliaRetraitPuceniveau1"/>
    <w:pPr>
      <w:numPr>
        <w:numId w:val="17"/>
      </w:numPr>
      <w:tabs>
        <w:tab w:val="clear" w:pos="-1276"/>
        <w:tab w:val="left" w:pos="-5243"/>
      </w:tabs>
    </w:pPr>
  </w:style>
  <w:style w:type="paragraph" w:customStyle="1" w:styleId="RedaliaTitre4">
    <w:name w:val="Redalia Titre 4"/>
    <w:basedOn w:val="RedaliaTitre3"/>
    <w:pPr>
      <w:numPr>
        <w:ilvl w:val="0"/>
        <w:numId w:val="19"/>
      </w:numPr>
      <w:spacing w:before="120" w:after="120"/>
    </w:pPr>
  </w:style>
  <w:style w:type="paragraph" w:customStyle="1" w:styleId="Redaliamini">
    <w:name w:val="Redalia mini"/>
    <w:pPr>
      <w:suppressAutoHyphens/>
      <w:jc w:val="both"/>
    </w:pPr>
    <w:rPr>
      <w:rFonts w:ascii="Verdana" w:eastAsia="Verdana" w:hAnsi="Verdana" w:cs="Verdana"/>
      <w:sz w:val="8"/>
      <w:szCs w:val="8"/>
    </w:rPr>
  </w:style>
  <w:style w:type="paragraph" w:customStyle="1" w:styleId="adresse">
    <w:name w:val="adresse"/>
    <w:basedOn w:val="Normal"/>
    <w:pPr>
      <w:overflowPunct w:val="0"/>
      <w:autoSpaceDE w:val="0"/>
    </w:pPr>
    <w:rPr>
      <w:color w:val="000000"/>
    </w:rPr>
  </w:style>
  <w:style w:type="paragraph" w:customStyle="1" w:styleId="Concilianormal">
    <w:name w:val="Concilia normal"/>
    <w:basedOn w:val="Normal"/>
    <w:rPr>
      <w:szCs w:val="22"/>
    </w:rPr>
  </w:style>
  <w:style w:type="paragraph" w:customStyle="1" w:styleId="Conciliatitre">
    <w:name w:val="Concilia titre"/>
    <w:basedOn w:val="Concilianormal"/>
    <w:pPr>
      <w:jc w:val="center"/>
    </w:pPr>
    <w:rPr>
      <w:b/>
      <w:bCs/>
      <w:sz w:val="32"/>
      <w:szCs w:val="32"/>
    </w:rPr>
  </w:style>
  <w:style w:type="paragraph" w:styleId="Date">
    <w:name w:val="Date"/>
    <w:basedOn w:val="Normal"/>
    <w:pPr>
      <w:overflowPunct w:val="0"/>
      <w:autoSpaceDE w:val="0"/>
      <w:spacing w:after="3940"/>
      <w:ind w:right="1701"/>
      <w:jc w:val="right"/>
    </w:pPr>
    <w:rPr>
      <w:color w:val="000000"/>
    </w:rPr>
  </w:style>
  <w:style w:type="paragraph" w:customStyle="1" w:styleId="HeaderandFooter">
    <w:name w:val="Header and Footer"/>
    <w:basedOn w:val="Standard"/>
    <w:pPr>
      <w:suppressLineNumbers/>
      <w:tabs>
        <w:tab w:val="center" w:pos="4819"/>
        <w:tab w:val="right" w:pos="9638"/>
      </w:tabs>
    </w:pPr>
  </w:style>
  <w:style w:type="paragraph" w:styleId="En-tte">
    <w:name w:val="header"/>
    <w:basedOn w:val="Normal"/>
    <w:pPr>
      <w:tabs>
        <w:tab w:val="center" w:pos="4536"/>
        <w:tab w:val="right" w:pos="9072"/>
      </w:tabs>
    </w:pPr>
  </w:style>
  <w:style w:type="paragraph" w:customStyle="1" w:styleId="LIANormal">
    <w:name w:val="LIA : Normal"/>
    <w:basedOn w:val="Normal"/>
    <w:pPr>
      <w:overflowPunct w:val="0"/>
      <w:autoSpaceDE w:val="0"/>
      <w:jc w:val="both"/>
    </w:pPr>
    <w:rPr>
      <w:szCs w:val="18"/>
    </w:rPr>
  </w:style>
  <w:style w:type="paragraph" w:customStyle="1" w:styleId="LIACasecocher">
    <w:name w:val="LIA : Case à cocher"/>
    <w:basedOn w:val="LIANormal"/>
    <w:rPr>
      <w:rFonts w:ascii="Wingdings" w:eastAsia="Wingdings" w:hAnsi="Wingdings" w:cs="Wingdings"/>
    </w:rPr>
  </w:style>
  <w:style w:type="paragraph" w:customStyle="1" w:styleId="LIACondense">
    <w:name w:val="LIA : Condense"/>
    <w:basedOn w:val="LIANormal"/>
    <w:autoRedefine/>
    <w:pPr>
      <w:spacing w:before="120" w:after="120"/>
    </w:pPr>
    <w:rPr>
      <w:szCs w:val="16"/>
    </w:rPr>
  </w:style>
  <w:style w:type="paragraph" w:customStyle="1" w:styleId="LIAErreur">
    <w:name w:val="LIA : Erreur"/>
    <w:basedOn w:val="LIANormal"/>
    <w:pPr>
      <w:jc w:val="center"/>
    </w:pPr>
    <w:rPr>
      <w:b/>
      <w:bCs/>
      <w:i/>
      <w:iCs/>
      <w:sz w:val="24"/>
      <w:szCs w:val="24"/>
    </w:rPr>
  </w:style>
  <w:style w:type="paragraph" w:customStyle="1" w:styleId="LIARetrait">
    <w:name w:val="LIA : Retrait"/>
    <w:basedOn w:val="LIANormal"/>
    <w:pPr>
      <w:ind w:firstLine="709"/>
    </w:pPr>
    <w:rPr>
      <w:sz w:val="20"/>
      <w:szCs w:val="20"/>
    </w:rPr>
  </w:style>
  <w:style w:type="paragraph" w:customStyle="1" w:styleId="LiaTitre">
    <w:name w:val="Lia : Titre"/>
    <w:basedOn w:val="Normal"/>
    <w:pPr>
      <w:tabs>
        <w:tab w:val="left" w:leader="dot" w:pos="8505"/>
      </w:tabs>
      <w:overflowPunct w:val="0"/>
      <w:autoSpaceDE w:val="0"/>
      <w:spacing w:before="40"/>
      <w:jc w:val="both"/>
    </w:pPr>
    <w:rPr>
      <w:b/>
      <w:bCs/>
      <w:i/>
      <w:iCs/>
    </w:rPr>
  </w:style>
  <w:style w:type="paragraph" w:customStyle="1" w:styleId="LIATOTAL">
    <w:name w:val="LIA : TOTAL"/>
    <w:basedOn w:val="Normal"/>
    <w:pPr>
      <w:jc w:val="right"/>
    </w:pPr>
    <w:rPr>
      <w:b/>
      <w:bCs/>
    </w:rPr>
  </w:style>
  <w:style w:type="paragraph" w:customStyle="1" w:styleId="LILIATitre1">
    <w:name w:val="LILIA : Titre 1"/>
    <w:basedOn w:val="LiaTitre"/>
    <w:pPr>
      <w:jc w:val="center"/>
    </w:pPr>
    <w:rPr>
      <w:caps/>
    </w:rPr>
  </w:style>
  <w:style w:type="paragraph" w:customStyle="1" w:styleId="LILIATitre2">
    <w:name w:val="LILIA : Titre 2"/>
    <w:basedOn w:val="LILIATitre1"/>
    <w:next w:val="Normal"/>
    <w:pPr>
      <w:jc w:val="left"/>
    </w:pPr>
  </w:style>
  <w:style w:type="paragraph" w:styleId="Pieddepage">
    <w:name w:val="footer"/>
    <w:basedOn w:val="Normal"/>
    <w:pPr>
      <w:tabs>
        <w:tab w:val="center" w:pos="4536"/>
        <w:tab w:val="right" w:pos="9072"/>
      </w:tabs>
    </w:pPr>
  </w:style>
  <w:style w:type="paragraph" w:customStyle="1" w:styleId="rfrence">
    <w:name w:val="référence"/>
    <w:basedOn w:val="Normal"/>
    <w:pPr>
      <w:overflowPunct w:val="0"/>
      <w:autoSpaceDE w:val="0"/>
    </w:pPr>
    <w:rPr>
      <w:color w:val="000000"/>
      <w:sz w:val="16"/>
      <w:szCs w:val="16"/>
    </w:rPr>
  </w:style>
  <w:style w:type="paragraph" w:styleId="Lgende">
    <w:name w:val="caption"/>
    <w:basedOn w:val="Standard"/>
    <w:pPr>
      <w:suppressLineNumbers/>
      <w:spacing w:before="120" w:after="120"/>
    </w:pPr>
    <w:rPr>
      <w:i/>
      <w:iCs/>
    </w:rPr>
  </w:style>
  <w:style w:type="paragraph" w:customStyle="1" w:styleId="Table">
    <w:name w:val="Table"/>
    <w:basedOn w:val="Normal"/>
    <w:rPr>
      <w:sz w:val="16"/>
      <w:szCs w:val="16"/>
    </w:rPr>
  </w:style>
  <w:style w:type="paragraph" w:customStyle="1" w:styleId="texte">
    <w:name w:val="texte"/>
    <w:basedOn w:val="Normal"/>
    <w:pPr>
      <w:overflowPunct w:val="0"/>
      <w:autoSpaceDE w:val="0"/>
      <w:spacing w:before="120" w:after="120"/>
      <w:ind w:firstLine="680"/>
      <w:jc w:val="both"/>
    </w:pPr>
    <w:rPr>
      <w:color w:val="000000"/>
    </w:rPr>
  </w:style>
  <w:style w:type="paragraph" w:customStyle="1" w:styleId="Textepardfaut">
    <w:name w:val="Texte par défaut"/>
    <w:basedOn w:val="Normal"/>
    <w:pPr>
      <w:overflowPunct w:val="0"/>
      <w:autoSpaceDE w:val="0"/>
    </w:pPr>
    <w:rPr>
      <w:color w:val="000000"/>
    </w:rPr>
  </w:style>
  <w:style w:type="paragraph" w:customStyle="1" w:styleId="LIANomdecolonne">
    <w:name w:val="LIA : Nom de colonne"/>
    <w:basedOn w:val="LIANormal"/>
    <w:autoRedefine/>
    <w:pPr>
      <w:spacing w:before="120" w:after="120"/>
      <w:jc w:val="center"/>
    </w:pPr>
    <w:rPr>
      <w:rFonts w:cs="Verdana"/>
      <w:b/>
      <w:bCs/>
      <w:szCs w:val="22"/>
    </w:rPr>
  </w:style>
  <w:style w:type="paragraph" w:customStyle="1" w:styleId="titre1c">
    <w:name w:val="titre 1c"/>
    <w:basedOn w:val="Normal"/>
    <w:next w:val="Normal"/>
    <w:pPr>
      <w:keepLines/>
      <w:spacing w:before="1920"/>
      <w:jc w:val="center"/>
    </w:pPr>
    <w:rPr>
      <w:rFonts w:ascii="Verdana" w:eastAsia="Verdana" w:hAnsi="Verdana" w:cs="Verdana"/>
      <w:sz w:val="28"/>
      <w:szCs w:val="28"/>
    </w:rPr>
  </w:style>
  <w:style w:type="paragraph" w:customStyle="1" w:styleId="LIATITREPPAL">
    <w:name w:val="LIA : TITRE PPAL"/>
    <w:basedOn w:val="LIANormal"/>
    <w:autoRedefine/>
    <w:pPr>
      <w:jc w:val="center"/>
    </w:pPr>
    <w:rPr>
      <w:b/>
      <w:bCs/>
      <w:sz w:val="40"/>
      <w:szCs w:val="40"/>
    </w:rPr>
  </w:style>
  <w:style w:type="paragraph" w:customStyle="1" w:styleId="LIATitre0">
    <w:name w:val="LIA : Titre"/>
    <w:basedOn w:val="LIANormal"/>
    <w:next w:val="LIANormal"/>
    <w:autoRedefine/>
    <w:rPr>
      <w:b/>
      <w:sz w:val="24"/>
      <w:szCs w:val="24"/>
    </w:rPr>
  </w:style>
  <w:style w:type="paragraph" w:customStyle="1" w:styleId="LIAParagrapheA">
    <w:name w:val="LIA Paragraphe A"/>
    <w:basedOn w:val="Normal"/>
    <w:autoRedefine/>
    <w:pPr>
      <w:numPr>
        <w:numId w:val="30"/>
      </w:numPr>
      <w:tabs>
        <w:tab w:val="left" w:pos="-7353"/>
      </w:tabs>
      <w:spacing w:before="120" w:after="120"/>
      <w:jc w:val="both"/>
    </w:pPr>
    <w:rPr>
      <w:rFonts w:cs="Calibri"/>
      <w:b/>
      <w:bCs/>
      <w:sz w:val="24"/>
      <w:szCs w:val="28"/>
    </w:rPr>
  </w:style>
  <w:style w:type="paragraph" w:customStyle="1" w:styleId="LIALgende">
    <w:name w:val="LIA : Légende"/>
    <w:basedOn w:val="LIANormal"/>
    <w:autoRedefine/>
    <w:rPr>
      <w:rFonts w:cs="Calibri"/>
      <w:i/>
      <w:iCs/>
      <w:sz w:val="16"/>
      <w:szCs w:val="16"/>
    </w:rPr>
  </w:style>
  <w:style w:type="paragraph" w:customStyle="1" w:styleId="LIASSTITRE">
    <w:name w:val="LIA : SS TITRE"/>
    <w:basedOn w:val="LIATITREPPAL"/>
    <w:autoRedefine/>
    <w:pPr>
      <w:jc w:val="right"/>
    </w:pPr>
    <w:rPr>
      <w:sz w:val="28"/>
      <w:szCs w:val="28"/>
      <w:u w:val="single"/>
    </w:rPr>
  </w:style>
  <w:style w:type="paragraph" w:customStyle="1" w:styleId="LIAParagraphe1">
    <w:name w:val="LIA Paragraphe 1"/>
    <w:basedOn w:val="Normal"/>
    <w:autoRedefine/>
    <w:pPr>
      <w:numPr>
        <w:numId w:val="23"/>
      </w:numPr>
      <w:tabs>
        <w:tab w:val="left" w:pos="-3393"/>
      </w:tabs>
      <w:spacing w:before="120" w:after="120"/>
      <w:jc w:val="both"/>
    </w:pPr>
    <w:rPr>
      <w:rFonts w:cs="Calibri"/>
      <w:b/>
      <w:bCs/>
      <w:sz w:val="24"/>
      <w:szCs w:val="28"/>
    </w:rPr>
  </w:style>
  <w:style w:type="paragraph" w:styleId="NormalWeb">
    <w:name w:val="Normal (Web)"/>
    <w:basedOn w:val="Normal"/>
    <w:pPr>
      <w:spacing w:before="100" w:after="100"/>
      <w:jc w:val="both"/>
    </w:pPr>
    <w:rPr>
      <w:rFonts w:ascii="Times New Roman" w:eastAsia="Times New Roman" w:hAnsi="Times New Roman" w:cs="Times New Roman"/>
      <w:sz w:val="24"/>
      <w:szCs w:val="24"/>
    </w:rPr>
  </w:style>
  <w:style w:type="paragraph" w:customStyle="1" w:styleId="western">
    <w:name w:val="western"/>
    <w:basedOn w:val="Normal"/>
    <w:pPr>
      <w:spacing w:before="100" w:after="100"/>
      <w:jc w:val="both"/>
    </w:pPr>
  </w:style>
  <w:style w:type="paragraph" w:customStyle="1" w:styleId="sdfootnote-western">
    <w:name w:val="sdfootnote-western"/>
    <w:basedOn w:val="Normal"/>
    <w:pPr>
      <w:spacing w:before="100" w:after="100"/>
    </w:pPr>
    <w:rPr>
      <w:rFonts w:ascii="Times New Roman" w:eastAsia="Times New Roman" w:hAnsi="Times New Roman" w:cs="Times New Roman"/>
      <w:sz w:val="20"/>
    </w:rPr>
  </w:style>
  <w:style w:type="paragraph" w:styleId="En-ttedetabledesmatires">
    <w:name w:val="TOC Heading"/>
    <w:basedOn w:val="Titre1"/>
    <w:next w:val="Normal"/>
    <w:pPr>
      <w:keepLines/>
      <w:spacing w:before="0" w:after="0"/>
    </w:pPr>
    <w:rPr>
      <w:rFonts w:ascii="Calibri Light" w:eastAsia="Calibri Light" w:hAnsi="Calibri Light" w:cs="Calibri Light"/>
      <w:b w:val="0"/>
      <w:color w:val="2F5496"/>
      <w:kern w:val="0"/>
      <w:szCs w:val="32"/>
    </w:rPr>
  </w:style>
  <w:style w:type="paragraph" w:customStyle="1" w:styleId="RedaliaAnnexe">
    <w:name w:val="Redalia Annexe"/>
    <w:basedOn w:val="RedaliaTitre1"/>
    <w:next w:val="RedaliaNormal"/>
    <w:pPr>
      <w:numPr>
        <w:numId w:val="10"/>
      </w:numPr>
    </w:pPr>
  </w:style>
  <w:style w:type="paragraph" w:customStyle="1" w:styleId="Redaliaencadre">
    <w:name w:val="Redalia : encadre"/>
    <w:basedOn w:val="RedaliaNormal"/>
    <w:next w:val="RedaliaNormal"/>
    <w:pPr>
      <w:numPr>
        <w:numId w:val="11"/>
      </w:numPr>
      <w:pBdr>
        <w:top w:val="single" w:sz="12" w:space="1" w:color="000000"/>
        <w:left w:val="single" w:sz="12" w:space="1" w:color="000000"/>
        <w:bottom w:val="single" w:sz="12" w:space="1" w:color="000000"/>
        <w:right w:val="single" w:sz="12" w:space="1" w:color="000000"/>
      </w:pBdr>
      <w:shd w:val="clear" w:color="auto" w:fill="CCCCCC"/>
      <w:tabs>
        <w:tab w:val="clear" w:pos="8505"/>
      </w:tabs>
      <w:jc w:val="center"/>
    </w:pPr>
    <w:rPr>
      <w:rFonts w:ascii="Montserrat" w:eastAsia="Montserrat" w:hAnsi="Montserrat" w:cs="Montserrat"/>
      <w:b/>
      <w:caps/>
      <w:sz w:val="28"/>
    </w:rPr>
  </w:style>
  <w:style w:type="paragraph" w:customStyle="1" w:styleId="Redaliainttableau">
    <w:name w:val="Redalia int tableau"/>
    <w:basedOn w:val="RedaliaNormal"/>
    <w:pPr>
      <w:shd w:val="clear" w:color="auto" w:fill="B46161"/>
    </w:pPr>
    <w:rPr>
      <w:color w:val="3465A4"/>
    </w:rPr>
  </w:style>
  <w:style w:type="character" w:customStyle="1" w:styleId="Titre1Car">
    <w:name w:val="Titre 1 Car"/>
    <w:rPr>
      <w:rFonts w:ascii="Arial" w:eastAsia="Arial" w:hAnsi="Arial" w:cs="Arial"/>
      <w:b/>
      <w:kern w:val="3"/>
      <w:sz w:val="32"/>
    </w:rPr>
  </w:style>
  <w:style w:type="character" w:customStyle="1" w:styleId="Titre2Car">
    <w:name w:val="Titre 2 Car"/>
    <w:rPr>
      <w:rFonts w:ascii="Arial" w:eastAsia="Arial" w:hAnsi="Arial" w:cs="Arial"/>
      <w:sz w:val="28"/>
      <w:u w:val="single"/>
    </w:rPr>
  </w:style>
  <w:style w:type="character" w:customStyle="1" w:styleId="Titre3Car">
    <w:name w:val="Titre 3 Car"/>
    <w:rPr>
      <w:rFonts w:ascii="Arial" w:eastAsia="Arial" w:hAnsi="Arial" w:cs="Arial"/>
      <w:sz w:val="24"/>
      <w:u w:val="single"/>
    </w:rPr>
  </w:style>
  <w:style w:type="character" w:customStyle="1" w:styleId="Titre4Car">
    <w:name w:val="Titre 4 Car"/>
    <w:rPr>
      <w:rFonts w:ascii="Arial" w:eastAsia="Arial" w:hAnsi="Arial" w:cs="Arial"/>
      <w:i/>
      <w:sz w:val="24"/>
    </w:rPr>
  </w:style>
  <w:style w:type="character" w:customStyle="1" w:styleId="Titre5Car">
    <w:name w:val="Titre 5 Car"/>
    <w:rPr>
      <w:rFonts w:ascii="Arial" w:eastAsia="Arial" w:hAnsi="Arial" w:cs="Arial"/>
      <w:i/>
      <w:sz w:val="22"/>
    </w:rPr>
  </w:style>
  <w:style w:type="character" w:customStyle="1" w:styleId="Titre6Car">
    <w:name w:val="Titre 6 Car"/>
    <w:rPr>
      <w:rFonts w:ascii="Arial" w:eastAsia="Arial" w:hAnsi="Arial" w:cs="Arial"/>
      <w:b/>
      <w:bCs/>
      <w:sz w:val="22"/>
    </w:rPr>
  </w:style>
  <w:style w:type="character" w:customStyle="1" w:styleId="IconeWeb">
    <w:name w:val="IconeWeb"/>
    <w:rPr>
      <w:rFonts w:ascii="Webdings" w:eastAsia="Webdings" w:hAnsi="Webdings" w:cs="Webdings"/>
    </w:rPr>
  </w:style>
  <w:style w:type="character" w:customStyle="1" w:styleId="05ARTICLENiv1-TexteCar">
    <w:name w:val="05_ARTICLE_Niv1 - Texte Car"/>
    <w:rPr>
      <w:rFonts w:ascii="Verdana" w:eastAsia="Verdana" w:hAnsi="Verdana" w:cs="Verdana"/>
      <w:spacing w:val="-6"/>
      <w:sz w:val="18"/>
      <w:lang w:val="fr-FR" w:eastAsia="fr-FR"/>
    </w:rPr>
  </w:style>
  <w:style w:type="character" w:customStyle="1" w:styleId="DateCar">
    <w:name w:val="Date Car"/>
    <w:rPr>
      <w:rFonts w:ascii="Arial" w:eastAsia="Arial" w:hAnsi="Arial" w:cs="Arial"/>
      <w:sz w:val="22"/>
    </w:rPr>
  </w:style>
  <w:style w:type="character" w:customStyle="1" w:styleId="En-tteCar">
    <w:name w:val="En-tête Car"/>
    <w:rPr>
      <w:rFonts w:ascii="Arial" w:eastAsia="Arial" w:hAnsi="Arial" w:cs="Arial"/>
      <w:sz w:val="22"/>
    </w:rPr>
  </w:style>
  <w:style w:type="character" w:styleId="Numrodepage">
    <w:name w:val="page number"/>
    <w:rPr>
      <w:rFonts w:ascii="Times New Roman" w:eastAsia="Times New Roman" w:hAnsi="Times New Roman" w:cs="Times New Roman"/>
    </w:rPr>
  </w:style>
  <w:style w:type="character" w:customStyle="1" w:styleId="PieddepageCar">
    <w:name w:val="Pied de page Car"/>
    <w:rPr>
      <w:rFonts w:ascii="Arial" w:eastAsia="Arial" w:hAnsi="Arial" w:cs="Arial"/>
      <w:sz w:val="22"/>
    </w:rPr>
  </w:style>
  <w:style w:type="character" w:customStyle="1" w:styleId="EmailStyle1411">
    <w:name w:val="EmailStyle1411"/>
    <w:rPr>
      <w:rFonts w:ascii="Century Gothic" w:eastAsia="Century Gothic" w:hAnsi="Century Gothic" w:cs="Century Gothic"/>
      <w:color w:val="auto"/>
      <w:sz w:val="20"/>
    </w:rPr>
  </w:style>
  <w:style w:type="character" w:customStyle="1" w:styleId="EmailStyle1421">
    <w:name w:val="EmailStyle1421"/>
    <w:rPr>
      <w:rFonts w:ascii="Arial" w:eastAsia="Arial" w:hAnsi="Arial" w:cs="Arial"/>
      <w:color w:val="auto"/>
      <w:sz w:val="16"/>
    </w:rPr>
  </w:style>
  <w:style w:type="character" w:customStyle="1" w:styleId="EmailStyle143">
    <w:name w:val="EmailStyle143"/>
    <w:rPr>
      <w:rFonts w:ascii="Century Gothic" w:eastAsia="Century Gothic" w:hAnsi="Century Gothic" w:cs="Century Gothic"/>
      <w:color w:val="auto"/>
      <w:sz w:val="20"/>
    </w:rPr>
  </w:style>
  <w:style w:type="character" w:customStyle="1" w:styleId="EmailStyle144">
    <w:name w:val="EmailStyle144"/>
    <w:rPr>
      <w:rFonts w:ascii="Arial" w:eastAsia="Arial" w:hAnsi="Arial" w:cs="Arial"/>
      <w:color w:val="auto"/>
      <w:sz w:val="16"/>
    </w:rPr>
  </w:style>
  <w:style w:type="character" w:customStyle="1" w:styleId="EmailStyle1451">
    <w:name w:val="EmailStyle1451"/>
    <w:rPr>
      <w:rFonts w:ascii="Century Gothic" w:eastAsia="Century Gothic" w:hAnsi="Century Gothic" w:cs="Century Gothic"/>
      <w:color w:val="auto"/>
      <w:sz w:val="20"/>
    </w:rPr>
  </w:style>
  <w:style w:type="character" w:customStyle="1" w:styleId="EmailStyle1461">
    <w:name w:val="EmailStyle1461"/>
    <w:rPr>
      <w:rFonts w:ascii="Arial" w:eastAsia="Arial" w:hAnsi="Arial" w:cs="Arial"/>
      <w:color w:val="auto"/>
      <w:sz w:val="16"/>
    </w:rPr>
  </w:style>
  <w:style w:type="character" w:customStyle="1" w:styleId="EmailStyle147">
    <w:name w:val="EmailStyle147"/>
    <w:rPr>
      <w:rFonts w:ascii="Century Gothic" w:eastAsia="Century Gothic" w:hAnsi="Century Gothic" w:cs="Century Gothic"/>
      <w:color w:val="auto"/>
      <w:sz w:val="20"/>
    </w:rPr>
  </w:style>
  <w:style w:type="character" w:customStyle="1" w:styleId="EmailStyle148">
    <w:name w:val="EmailStyle148"/>
    <w:rPr>
      <w:rFonts w:ascii="Arial" w:eastAsia="Arial" w:hAnsi="Arial" w:cs="Arial"/>
      <w:color w:val="auto"/>
      <w:sz w:val="16"/>
    </w:rPr>
  </w:style>
  <w:style w:type="character" w:customStyle="1" w:styleId="EmailStyle1491">
    <w:name w:val="EmailStyle1491"/>
    <w:rPr>
      <w:rFonts w:ascii="Century Gothic" w:eastAsia="Century Gothic" w:hAnsi="Century Gothic" w:cs="Century Gothic"/>
      <w:color w:val="auto"/>
      <w:sz w:val="20"/>
    </w:rPr>
  </w:style>
  <w:style w:type="character" w:customStyle="1" w:styleId="EmailStyle1501">
    <w:name w:val="EmailStyle1501"/>
    <w:rPr>
      <w:rFonts w:ascii="Arial" w:eastAsia="Arial" w:hAnsi="Arial" w:cs="Arial"/>
      <w:color w:val="auto"/>
      <w:sz w:val="16"/>
    </w:rPr>
  </w:style>
  <w:style w:type="character" w:customStyle="1" w:styleId="EmailStyle151">
    <w:name w:val="EmailStyle151"/>
    <w:rPr>
      <w:rFonts w:ascii="Century Gothic" w:eastAsia="Century Gothic" w:hAnsi="Century Gothic" w:cs="Century Gothic"/>
      <w:color w:val="auto"/>
      <w:sz w:val="20"/>
    </w:rPr>
  </w:style>
  <w:style w:type="character" w:customStyle="1" w:styleId="EmailStyle152">
    <w:name w:val="EmailStyle152"/>
    <w:rPr>
      <w:rFonts w:ascii="Arial" w:eastAsia="Arial" w:hAnsi="Arial" w:cs="Arial"/>
      <w:color w:val="auto"/>
      <w:sz w:val="16"/>
    </w:rPr>
  </w:style>
  <w:style w:type="character" w:customStyle="1" w:styleId="EmailStyle1531">
    <w:name w:val="EmailStyle1531"/>
    <w:rPr>
      <w:rFonts w:ascii="Century Gothic" w:eastAsia="Century Gothic" w:hAnsi="Century Gothic" w:cs="Century Gothic"/>
      <w:color w:val="auto"/>
      <w:sz w:val="20"/>
    </w:rPr>
  </w:style>
  <w:style w:type="character" w:customStyle="1" w:styleId="EmailStyle1541">
    <w:name w:val="EmailStyle1541"/>
    <w:rPr>
      <w:rFonts w:ascii="Arial" w:eastAsia="Arial" w:hAnsi="Arial" w:cs="Arial"/>
      <w:color w:val="auto"/>
      <w:sz w:val="16"/>
    </w:rPr>
  </w:style>
  <w:style w:type="character" w:customStyle="1" w:styleId="EmailStyle155">
    <w:name w:val="EmailStyle155"/>
    <w:rPr>
      <w:rFonts w:ascii="Century Gothic" w:eastAsia="Century Gothic" w:hAnsi="Century Gothic" w:cs="Century Gothic"/>
      <w:color w:val="auto"/>
      <w:sz w:val="20"/>
    </w:rPr>
  </w:style>
  <w:style w:type="character" w:customStyle="1" w:styleId="EmailStyle156">
    <w:name w:val="EmailStyle156"/>
    <w:rPr>
      <w:rFonts w:ascii="Arial" w:eastAsia="Arial" w:hAnsi="Arial" w:cs="Arial"/>
      <w:color w:val="auto"/>
      <w:sz w:val="16"/>
    </w:rPr>
  </w:style>
  <w:style w:type="character" w:customStyle="1" w:styleId="EmailStyle1571">
    <w:name w:val="EmailStyle1571"/>
    <w:rPr>
      <w:rFonts w:ascii="Century Gothic" w:eastAsia="Century Gothic" w:hAnsi="Century Gothic" w:cs="Century Gothic"/>
      <w:color w:val="auto"/>
      <w:sz w:val="20"/>
    </w:rPr>
  </w:style>
  <w:style w:type="character" w:customStyle="1" w:styleId="EmailStyle1581">
    <w:name w:val="EmailStyle1581"/>
    <w:rPr>
      <w:rFonts w:ascii="Arial" w:eastAsia="Arial" w:hAnsi="Arial" w:cs="Arial"/>
      <w:color w:val="auto"/>
      <w:sz w:val="16"/>
    </w:rPr>
  </w:style>
  <w:style w:type="character" w:customStyle="1" w:styleId="EmailStyle159">
    <w:name w:val="EmailStyle159"/>
    <w:rPr>
      <w:rFonts w:ascii="Century Gothic" w:eastAsia="Century Gothic" w:hAnsi="Century Gothic" w:cs="Century Gothic"/>
      <w:color w:val="auto"/>
      <w:sz w:val="20"/>
    </w:rPr>
  </w:style>
  <w:style w:type="character" w:customStyle="1" w:styleId="EmailStyle160">
    <w:name w:val="EmailStyle160"/>
    <w:rPr>
      <w:rFonts w:ascii="Arial" w:eastAsia="Arial" w:hAnsi="Arial" w:cs="Arial"/>
      <w:color w:val="auto"/>
      <w:sz w:val="16"/>
    </w:rPr>
  </w:style>
  <w:style w:type="character" w:customStyle="1" w:styleId="EmailStyle1611">
    <w:name w:val="EmailStyle1611"/>
    <w:rPr>
      <w:rFonts w:ascii="Century Gothic" w:eastAsia="Century Gothic" w:hAnsi="Century Gothic" w:cs="Century Gothic"/>
      <w:color w:val="auto"/>
      <w:sz w:val="20"/>
    </w:rPr>
  </w:style>
  <w:style w:type="character" w:customStyle="1" w:styleId="EmailStyle1621">
    <w:name w:val="EmailStyle1621"/>
    <w:rPr>
      <w:rFonts w:ascii="Arial" w:eastAsia="Arial" w:hAnsi="Arial" w:cs="Arial"/>
      <w:color w:val="auto"/>
      <w:sz w:val="16"/>
    </w:rPr>
  </w:style>
  <w:style w:type="character" w:customStyle="1" w:styleId="EmailStyle163">
    <w:name w:val="EmailStyle163"/>
    <w:rPr>
      <w:rFonts w:ascii="Century Gothic" w:eastAsia="Century Gothic" w:hAnsi="Century Gothic" w:cs="Century Gothic"/>
      <w:color w:val="auto"/>
      <w:sz w:val="20"/>
    </w:rPr>
  </w:style>
  <w:style w:type="character" w:customStyle="1" w:styleId="EmailStyle164">
    <w:name w:val="EmailStyle164"/>
    <w:rPr>
      <w:rFonts w:ascii="Arial" w:eastAsia="Arial" w:hAnsi="Arial" w:cs="Arial"/>
      <w:color w:val="auto"/>
      <w:sz w:val="16"/>
    </w:rPr>
  </w:style>
  <w:style w:type="character" w:customStyle="1" w:styleId="EmailStyle1651">
    <w:name w:val="EmailStyle1651"/>
    <w:rPr>
      <w:rFonts w:ascii="Century Gothic" w:eastAsia="Century Gothic" w:hAnsi="Century Gothic" w:cs="Century Gothic"/>
      <w:color w:val="auto"/>
      <w:sz w:val="20"/>
    </w:rPr>
  </w:style>
  <w:style w:type="character" w:customStyle="1" w:styleId="EmailStyle1661">
    <w:name w:val="EmailStyle1661"/>
    <w:rPr>
      <w:rFonts w:ascii="Arial" w:eastAsia="Arial" w:hAnsi="Arial" w:cs="Arial"/>
      <w:color w:val="auto"/>
      <w:sz w:val="16"/>
    </w:rPr>
  </w:style>
  <w:style w:type="character" w:customStyle="1" w:styleId="EmailStyle167">
    <w:name w:val="EmailStyle167"/>
    <w:rPr>
      <w:rFonts w:ascii="Century Gothic" w:eastAsia="Century Gothic" w:hAnsi="Century Gothic" w:cs="Century Gothic"/>
      <w:color w:val="auto"/>
      <w:sz w:val="20"/>
    </w:rPr>
  </w:style>
  <w:style w:type="character" w:customStyle="1" w:styleId="EmailStyle168">
    <w:name w:val="EmailStyle168"/>
    <w:rPr>
      <w:rFonts w:ascii="Arial" w:eastAsia="Arial" w:hAnsi="Arial" w:cs="Arial"/>
      <w:color w:val="auto"/>
      <w:sz w:val="16"/>
    </w:rPr>
  </w:style>
  <w:style w:type="character" w:customStyle="1" w:styleId="EmailStyle169">
    <w:name w:val="EmailStyle169"/>
    <w:rPr>
      <w:rFonts w:ascii="Century Gothic" w:eastAsia="Century Gothic" w:hAnsi="Century Gothic" w:cs="Century Gothic"/>
      <w:color w:val="auto"/>
      <w:sz w:val="20"/>
    </w:rPr>
  </w:style>
  <w:style w:type="character" w:customStyle="1" w:styleId="EmailStyle170">
    <w:name w:val="EmailStyle170"/>
    <w:rPr>
      <w:rFonts w:ascii="Arial" w:eastAsia="Arial" w:hAnsi="Arial" w:cs="Arial"/>
      <w:color w:val="auto"/>
      <w:sz w:val="16"/>
    </w:rPr>
  </w:style>
  <w:style w:type="character" w:customStyle="1" w:styleId="EmailStyle171">
    <w:name w:val="EmailStyle171"/>
    <w:rPr>
      <w:rFonts w:ascii="Century Gothic" w:eastAsia="Century Gothic" w:hAnsi="Century Gothic" w:cs="Century Gothic"/>
      <w:color w:val="auto"/>
      <w:sz w:val="20"/>
    </w:rPr>
  </w:style>
  <w:style w:type="character" w:customStyle="1" w:styleId="EmailStyle172">
    <w:name w:val="EmailStyle172"/>
    <w:rPr>
      <w:rFonts w:ascii="Arial" w:eastAsia="Arial" w:hAnsi="Arial" w:cs="Arial"/>
      <w:color w:val="auto"/>
      <w:sz w:val="16"/>
    </w:rPr>
  </w:style>
  <w:style w:type="character" w:customStyle="1" w:styleId="EmailStyle173">
    <w:name w:val="EmailStyle173"/>
    <w:rPr>
      <w:rFonts w:ascii="Century Gothic" w:eastAsia="Century Gothic" w:hAnsi="Century Gothic" w:cs="Century Gothic"/>
      <w:color w:val="auto"/>
      <w:sz w:val="20"/>
    </w:rPr>
  </w:style>
  <w:style w:type="character" w:customStyle="1" w:styleId="EmailStyle174">
    <w:name w:val="EmailStyle174"/>
    <w:rPr>
      <w:rFonts w:ascii="Arial" w:eastAsia="Arial" w:hAnsi="Arial" w:cs="Arial"/>
      <w:color w:val="auto"/>
      <w:sz w:val="16"/>
    </w:rPr>
  </w:style>
  <w:style w:type="character" w:customStyle="1" w:styleId="EmailStyle175">
    <w:name w:val="EmailStyle175"/>
    <w:rPr>
      <w:rFonts w:ascii="Century Gothic" w:eastAsia="Century Gothic" w:hAnsi="Century Gothic" w:cs="Century Gothic"/>
      <w:color w:val="auto"/>
      <w:sz w:val="20"/>
    </w:rPr>
  </w:style>
  <w:style w:type="character" w:customStyle="1" w:styleId="EmailStyle176">
    <w:name w:val="EmailStyle176"/>
    <w:rPr>
      <w:rFonts w:ascii="Arial" w:eastAsia="Arial" w:hAnsi="Arial" w:cs="Arial"/>
      <w:color w:val="auto"/>
      <w:sz w:val="16"/>
    </w:rPr>
  </w:style>
  <w:style w:type="character" w:customStyle="1" w:styleId="EmailStyle177">
    <w:name w:val="EmailStyle177"/>
    <w:rPr>
      <w:rFonts w:ascii="Century Gothic" w:eastAsia="Century Gothic" w:hAnsi="Century Gothic" w:cs="Century Gothic"/>
      <w:color w:val="auto"/>
      <w:sz w:val="20"/>
    </w:rPr>
  </w:style>
  <w:style w:type="character" w:customStyle="1" w:styleId="EmailStyle178">
    <w:name w:val="EmailStyle178"/>
    <w:rPr>
      <w:rFonts w:ascii="Arial" w:eastAsia="Arial" w:hAnsi="Arial" w:cs="Arial"/>
      <w:color w:val="auto"/>
      <w:sz w:val="16"/>
    </w:rPr>
  </w:style>
  <w:style w:type="character" w:customStyle="1" w:styleId="EmailStyle179">
    <w:name w:val="EmailStyle179"/>
    <w:rPr>
      <w:rFonts w:ascii="Century Gothic" w:eastAsia="Century Gothic" w:hAnsi="Century Gothic" w:cs="Century Gothic"/>
      <w:color w:val="auto"/>
      <w:sz w:val="20"/>
    </w:rPr>
  </w:style>
  <w:style w:type="character" w:customStyle="1" w:styleId="EmailStyle180">
    <w:name w:val="EmailStyle180"/>
    <w:rPr>
      <w:rFonts w:ascii="Arial" w:eastAsia="Arial" w:hAnsi="Arial" w:cs="Arial"/>
      <w:color w:val="auto"/>
      <w:sz w:val="16"/>
    </w:rPr>
  </w:style>
  <w:style w:type="character" w:customStyle="1" w:styleId="EmailStyle181">
    <w:name w:val="EmailStyle181"/>
    <w:rPr>
      <w:rFonts w:ascii="Century Gothic" w:eastAsia="Century Gothic" w:hAnsi="Century Gothic" w:cs="Century Gothic"/>
      <w:color w:val="auto"/>
      <w:sz w:val="20"/>
    </w:rPr>
  </w:style>
  <w:style w:type="character" w:customStyle="1" w:styleId="EmailStyle182">
    <w:name w:val="EmailStyle182"/>
    <w:rPr>
      <w:rFonts w:ascii="Arial" w:eastAsia="Arial" w:hAnsi="Arial" w:cs="Arial"/>
      <w:color w:val="auto"/>
      <w:sz w:val="16"/>
    </w:rPr>
  </w:style>
  <w:style w:type="character" w:customStyle="1" w:styleId="EmailStyle183">
    <w:name w:val="EmailStyle183"/>
    <w:rPr>
      <w:rFonts w:ascii="Century Gothic" w:eastAsia="Century Gothic" w:hAnsi="Century Gothic" w:cs="Century Gothic"/>
      <w:color w:val="auto"/>
      <w:sz w:val="20"/>
    </w:rPr>
  </w:style>
  <w:style w:type="character" w:customStyle="1" w:styleId="EmailStyle184">
    <w:name w:val="EmailStyle184"/>
    <w:rPr>
      <w:rFonts w:ascii="Arial" w:eastAsia="Arial" w:hAnsi="Arial" w:cs="Arial"/>
      <w:color w:val="auto"/>
      <w:sz w:val="16"/>
    </w:rPr>
  </w:style>
  <w:style w:type="character" w:customStyle="1" w:styleId="EmailStyle781">
    <w:name w:val="EmailStyle781"/>
    <w:rPr>
      <w:rFonts w:ascii="Century Gothic" w:eastAsia="Century Gothic" w:hAnsi="Century Gothic" w:cs="Century Gothic"/>
      <w:color w:val="auto"/>
      <w:sz w:val="20"/>
    </w:rPr>
  </w:style>
  <w:style w:type="character" w:customStyle="1" w:styleId="EmailStyle791">
    <w:name w:val="EmailStyle791"/>
    <w:rPr>
      <w:rFonts w:ascii="Arial" w:eastAsia="Arial" w:hAnsi="Arial" w:cs="Arial"/>
      <w:color w:val="auto"/>
      <w:sz w:val="16"/>
    </w:rPr>
  </w:style>
  <w:style w:type="character" w:customStyle="1" w:styleId="EmailStyle110">
    <w:name w:val="EmailStyle110"/>
    <w:rPr>
      <w:rFonts w:ascii="Century Gothic" w:eastAsia="Century Gothic" w:hAnsi="Century Gothic" w:cs="Century Gothic"/>
      <w:color w:val="auto"/>
      <w:sz w:val="20"/>
    </w:rPr>
  </w:style>
  <w:style w:type="character" w:customStyle="1" w:styleId="EmailStyle111">
    <w:name w:val="EmailStyle111"/>
    <w:rPr>
      <w:rFonts w:ascii="Arial" w:eastAsia="Arial" w:hAnsi="Arial" w:cs="Arial"/>
      <w:color w:val="auto"/>
      <w:sz w:val="16"/>
    </w:rPr>
  </w:style>
  <w:style w:type="character" w:customStyle="1" w:styleId="EmailStyle1271">
    <w:name w:val="EmailStyle1271"/>
    <w:rPr>
      <w:rFonts w:ascii="Century Gothic" w:eastAsia="Century Gothic" w:hAnsi="Century Gothic" w:cs="Century Gothic"/>
      <w:color w:val="auto"/>
      <w:sz w:val="20"/>
    </w:rPr>
  </w:style>
  <w:style w:type="character" w:customStyle="1" w:styleId="EmailStyle1281">
    <w:name w:val="EmailStyle1281"/>
    <w:rPr>
      <w:rFonts w:ascii="Arial" w:eastAsia="Arial" w:hAnsi="Arial" w:cs="Arial"/>
      <w:color w:val="auto"/>
      <w:sz w:val="16"/>
    </w:rPr>
  </w:style>
  <w:style w:type="character" w:customStyle="1" w:styleId="EmailStyle129">
    <w:name w:val="EmailStyle129"/>
    <w:rPr>
      <w:rFonts w:ascii="Century Gothic" w:eastAsia="Century Gothic" w:hAnsi="Century Gothic" w:cs="Century Gothic"/>
      <w:color w:val="auto"/>
      <w:sz w:val="20"/>
    </w:rPr>
  </w:style>
  <w:style w:type="character" w:customStyle="1" w:styleId="EmailStyle130">
    <w:name w:val="EmailStyle130"/>
    <w:rPr>
      <w:rFonts w:ascii="Arial" w:eastAsia="Arial" w:hAnsi="Arial" w:cs="Arial"/>
      <w:color w:val="auto"/>
      <w:sz w:val="16"/>
    </w:rPr>
  </w:style>
  <w:style w:type="character" w:customStyle="1" w:styleId="EmailStyle1311">
    <w:name w:val="EmailStyle1311"/>
    <w:rPr>
      <w:rFonts w:ascii="Century Gothic" w:eastAsia="Century Gothic" w:hAnsi="Century Gothic" w:cs="Century Gothic"/>
      <w:color w:val="auto"/>
      <w:sz w:val="20"/>
    </w:rPr>
  </w:style>
  <w:style w:type="character" w:customStyle="1" w:styleId="EmailStyle1321">
    <w:name w:val="EmailStyle1321"/>
    <w:rPr>
      <w:rFonts w:ascii="Arial" w:eastAsia="Arial" w:hAnsi="Arial" w:cs="Arial"/>
      <w:color w:val="auto"/>
      <w:sz w:val="16"/>
    </w:rPr>
  </w:style>
  <w:style w:type="character" w:customStyle="1" w:styleId="EmailStyle133">
    <w:name w:val="EmailStyle133"/>
    <w:rPr>
      <w:rFonts w:ascii="Century Gothic" w:eastAsia="Century Gothic" w:hAnsi="Century Gothic" w:cs="Century Gothic"/>
      <w:color w:val="auto"/>
      <w:sz w:val="20"/>
    </w:rPr>
  </w:style>
  <w:style w:type="character" w:customStyle="1" w:styleId="EmailStyle134">
    <w:name w:val="EmailStyle134"/>
    <w:rPr>
      <w:rFonts w:ascii="Arial" w:eastAsia="Arial" w:hAnsi="Arial" w:cs="Arial"/>
      <w:color w:val="auto"/>
      <w:sz w:val="16"/>
    </w:rPr>
  </w:style>
  <w:style w:type="character" w:customStyle="1" w:styleId="EmailStyle1351">
    <w:name w:val="EmailStyle1351"/>
    <w:rPr>
      <w:rFonts w:ascii="Century Gothic" w:eastAsia="Century Gothic" w:hAnsi="Century Gothic" w:cs="Century Gothic"/>
      <w:color w:val="auto"/>
      <w:sz w:val="20"/>
    </w:rPr>
  </w:style>
  <w:style w:type="character" w:customStyle="1" w:styleId="EmailStyle1361">
    <w:name w:val="EmailStyle1361"/>
    <w:rPr>
      <w:rFonts w:ascii="Arial" w:eastAsia="Arial" w:hAnsi="Arial" w:cs="Arial"/>
      <w:color w:val="auto"/>
      <w:sz w:val="16"/>
    </w:rPr>
  </w:style>
  <w:style w:type="character" w:customStyle="1" w:styleId="EmailStyle137">
    <w:name w:val="EmailStyle137"/>
    <w:rPr>
      <w:rFonts w:ascii="Century Gothic" w:eastAsia="Century Gothic" w:hAnsi="Century Gothic" w:cs="Century Gothic"/>
      <w:color w:val="auto"/>
      <w:sz w:val="20"/>
    </w:rPr>
  </w:style>
  <w:style w:type="character" w:customStyle="1" w:styleId="EmailStyle138">
    <w:name w:val="EmailStyle138"/>
    <w:rPr>
      <w:rFonts w:ascii="Arial" w:eastAsia="Arial" w:hAnsi="Arial" w:cs="Arial"/>
      <w:color w:val="auto"/>
      <w:sz w:val="16"/>
    </w:rPr>
  </w:style>
  <w:style w:type="character" w:customStyle="1" w:styleId="EmailStyle1391">
    <w:name w:val="EmailStyle1391"/>
    <w:rPr>
      <w:rFonts w:ascii="Century Gothic" w:eastAsia="Century Gothic" w:hAnsi="Century Gothic" w:cs="Century Gothic"/>
      <w:color w:val="auto"/>
      <w:sz w:val="20"/>
    </w:rPr>
  </w:style>
  <w:style w:type="character" w:customStyle="1" w:styleId="EmailStyle1401">
    <w:name w:val="EmailStyle1401"/>
    <w:rPr>
      <w:rFonts w:ascii="Arial" w:eastAsia="Arial" w:hAnsi="Arial" w:cs="Arial"/>
      <w:color w:val="auto"/>
      <w:sz w:val="16"/>
    </w:rPr>
  </w:style>
  <w:style w:type="character" w:customStyle="1" w:styleId="EmailStyle141">
    <w:name w:val="EmailStyle141"/>
    <w:rPr>
      <w:rFonts w:ascii="Century Gothic" w:eastAsia="Century Gothic" w:hAnsi="Century Gothic" w:cs="Century Gothic"/>
      <w:color w:val="auto"/>
      <w:sz w:val="20"/>
    </w:rPr>
  </w:style>
  <w:style w:type="character" w:customStyle="1" w:styleId="EmailStyle142">
    <w:name w:val="EmailStyle142"/>
    <w:rPr>
      <w:rFonts w:ascii="Arial" w:eastAsia="Arial" w:hAnsi="Arial" w:cs="Arial"/>
      <w:color w:val="auto"/>
      <w:sz w:val="16"/>
    </w:rPr>
  </w:style>
  <w:style w:type="character" w:customStyle="1" w:styleId="EmailStyle1431">
    <w:name w:val="EmailStyle1431"/>
    <w:rPr>
      <w:rFonts w:ascii="Century Gothic" w:eastAsia="Century Gothic" w:hAnsi="Century Gothic" w:cs="Century Gothic"/>
      <w:color w:val="auto"/>
      <w:sz w:val="20"/>
    </w:rPr>
  </w:style>
  <w:style w:type="character" w:customStyle="1" w:styleId="EmailStyle1441">
    <w:name w:val="EmailStyle1441"/>
    <w:rPr>
      <w:rFonts w:ascii="Arial" w:eastAsia="Arial" w:hAnsi="Arial" w:cs="Arial"/>
      <w:color w:val="auto"/>
      <w:sz w:val="16"/>
    </w:rPr>
  </w:style>
  <w:style w:type="character" w:customStyle="1" w:styleId="EmailStyle145">
    <w:name w:val="EmailStyle145"/>
    <w:rPr>
      <w:rFonts w:ascii="Century Gothic" w:eastAsia="Century Gothic" w:hAnsi="Century Gothic" w:cs="Century Gothic"/>
      <w:color w:val="auto"/>
      <w:sz w:val="20"/>
    </w:rPr>
  </w:style>
  <w:style w:type="character" w:customStyle="1" w:styleId="EmailStyle146">
    <w:name w:val="EmailStyle146"/>
    <w:rPr>
      <w:rFonts w:ascii="Arial" w:eastAsia="Arial" w:hAnsi="Arial" w:cs="Arial"/>
      <w:color w:val="auto"/>
      <w:sz w:val="16"/>
    </w:rPr>
  </w:style>
  <w:style w:type="character" w:customStyle="1" w:styleId="EmailStyle1471">
    <w:name w:val="EmailStyle1471"/>
    <w:rPr>
      <w:rFonts w:ascii="Century Gothic" w:eastAsia="Century Gothic" w:hAnsi="Century Gothic" w:cs="Century Gothic"/>
      <w:color w:val="auto"/>
      <w:sz w:val="20"/>
    </w:rPr>
  </w:style>
  <w:style w:type="character" w:customStyle="1" w:styleId="EmailStyle1481">
    <w:name w:val="EmailStyle1481"/>
    <w:rPr>
      <w:rFonts w:ascii="Arial" w:eastAsia="Arial" w:hAnsi="Arial" w:cs="Arial"/>
      <w:color w:val="auto"/>
      <w:sz w:val="16"/>
    </w:rPr>
  </w:style>
  <w:style w:type="character" w:customStyle="1" w:styleId="EmailStyle149">
    <w:name w:val="EmailStyle149"/>
    <w:rPr>
      <w:rFonts w:ascii="Century Gothic" w:eastAsia="Century Gothic" w:hAnsi="Century Gothic" w:cs="Century Gothic"/>
      <w:color w:val="auto"/>
      <w:sz w:val="20"/>
    </w:rPr>
  </w:style>
  <w:style w:type="character" w:customStyle="1" w:styleId="EmailStyle150">
    <w:name w:val="EmailStyle150"/>
    <w:rPr>
      <w:rFonts w:ascii="Arial" w:eastAsia="Arial" w:hAnsi="Arial" w:cs="Arial"/>
      <w:color w:val="auto"/>
      <w:sz w:val="16"/>
    </w:rPr>
  </w:style>
  <w:style w:type="character" w:customStyle="1" w:styleId="EmailStyle1511">
    <w:name w:val="EmailStyle1511"/>
    <w:rPr>
      <w:rFonts w:ascii="Century Gothic" w:eastAsia="Century Gothic" w:hAnsi="Century Gothic" w:cs="Century Gothic"/>
      <w:color w:val="auto"/>
      <w:sz w:val="20"/>
    </w:rPr>
  </w:style>
  <w:style w:type="character" w:customStyle="1" w:styleId="EmailStyle1521">
    <w:name w:val="EmailStyle1521"/>
    <w:rPr>
      <w:rFonts w:ascii="Arial" w:eastAsia="Arial" w:hAnsi="Arial" w:cs="Arial"/>
      <w:color w:val="auto"/>
      <w:sz w:val="16"/>
    </w:rPr>
  </w:style>
  <w:style w:type="character" w:customStyle="1" w:styleId="EmailStyle153">
    <w:name w:val="EmailStyle153"/>
    <w:rPr>
      <w:rFonts w:ascii="Century Gothic" w:eastAsia="Century Gothic" w:hAnsi="Century Gothic" w:cs="Century Gothic"/>
      <w:color w:val="auto"/>
      <w:sz w:val="20"/>
    </w:rPr>
  </w:style>
  <w:style w:type="character" w:customStyle="1" w:styleId="EmailStyle154">
    <w:name w:val="EmailStyle154"/>
    <w:rPr>
      <w:rFonts w:ascii="Arial" w:eastAsia="Arial" w:hAnsi="Arial" w:cs="Arial"/>
      <w:color w:val="auto"/>
      <w:sz w:val="16"/>
    </w:rPr>
  </w:style>
  <w:style w:type="character" w:customStyle="1" w:styleId="EmailStyle1551">
    <w:name w:val="EmailStyle1551"/>
    <w:rPr>
      <w:rFonts w:ascii="Century Gothic" w:eastAsia="Century Gothic" w:hAnsi="Century Gothic" w:cs="Century Gothic"/>
      <w:color w:val="auto"/>
      <w:sz w:val="20"/>
    </w:rPr>
  </w:style>
  <w:style w:type="character" w:customStyle="1" w:styleId="EmailStyle1561">
    <w:name w:val="EmailStyle1561"/>
    <w:rPr>
      <w:rFonts w:ascii="Arial" w:eastAsia="Arial" w:hAnsi="Arial" w:cs="Arial"/>
      <w:color w:val="auto"/>
      <w:sz w:val="16"/>
    </w:rPr>
  </w:style>
  <w:style w:type="character" w:customStyle="1" w:styleId="EmailStyle157">
    <w:name w:val="EmailStyle157"/>
    <w:rPr>
      <w:rFonts w:ascii="Century Gothic" w:eastAsia="Century Gothic" w:hAnsi="Century Gothic" w:cs="Century Gothic"/>
      <w:color w:val="auto"/>
      <w:sz w:val="20"/>
    </w:rPr>
  </w:style>
  <w:style w:type="character" w:customStyle="1" w:styleId="EmailStyle158">
    <w:name w:val="EmailStyle158"/>
    <w:rPr>
      <w:rFonts w:ascii="Arial" w:eastAsia="Arial" w:hAnsi="Arial" w:cs="Arial"/>
      <w:color w:val="auto"/>
      <w:sz w:val="16"/>
    </w:rPr>
  </w:style>
  <w:style w:type="character" w:customStyle="1" w:styleId="EmailStyle1591">
    <w:name w:val="EmailStyle1591"/>
    <w:rPr>
      <w:rFonts w:ascii="Century Gothic" w:eastAsia="Century Gothic" w:hAnsi="Century Gothic" w:cs="Century Gothic"/>
      <w:color w:val="auto"/>
      <w:sz w:val="20"/>
    </w:rPr>
  </w:style>
  <w:style w:type="character" w:customStyle="1" w:styleId="EmailStyle1601">
    <w:name w:val="EmailStyle1601"/>
    <w:rPr>
      <w:rFonts w:ascii="Arial" w:eastAsia="Arial" w:hAnsi="Arial" w:cs="Arial"/>
      <w:color w:val="auto"/>
      <w:sz w:val="16"/>
    </w:rPr>
  </w:style>
  <w:style w:type="character" w:customStyle="1" w:styleId="EmailStyle161">
    <w:name w:val="EmailStyle161"/>
    <w:rPr>
      <w:rFonts w:ascii="Century Gothic" w:eastAsia="Century Gothic" w:hAnsi="Century Gothic" w:cs="Century Gothic"/>
      <w:color w:val="auto"/>
      <w:sz w:val="20"/>
    </w:rPr>
  </w:style>
  <w:style w:type="character" w:customStyle="1" w:styleId="EmailStyle162">
    <w:name w:val="EmailStyle162"/>
    <w:rPr>
      <w:rFonts w:ascii="Arial" w:eastAsia="Arial" w:hAnsi="Arial" w:cs="Arial"/>
      <w:color w:val="auto"/>
      <w:sz w:val="16"/>
    </w:rPr>
  </w:style>
  <w:style w:type="character" w:customStyle="1" w:styleId="EmailStyle1631">
    <w:name w:val="EmailStyle1631"/>
    <w:rPr>
      <w:rFonts w:ascii="Century Gothic" w:eastAsia="Century Gothic" w:hAnsi="Century Gothic" w:cs="Century Gothic"/>
      <w:color w:val="auto"/>
      <w:sz w:val="20"/>
    </w:rPr>
  </w:style>
  <w:style w:type="character" w:customStyle="1" w:styleId="EmailStyle1641">
    <w:name w:val="EmailStyle1641"/>
    <w:rPr>
      <w:rFonts w:ascii="Arial" w:eastAsia="Arial" w:hAnsi="Arial" w:cs="Arial"/>
      <w:color w:val="auto"/>
      <w:sz w:val="16"/>
    </w:rPr>
  </w:style>
  <w:style w:type="character" w:customStyle="1" w:styleId="EmailStyle165">
    <w:name w:val="EmailStyle165"/>
    <w:rPr>
      <w:rFonts w:ascii="Century Gothic" w:eastAsia="Century Gothic" w:hAnsi="Century Gothic" w:cs="Century Gothic"/>
      <w:color w:val="auto"/>
      <w:sz w:val="20"/>
    </w:rPr>
  </w:style>
  <w:style w:type="character" w:customStyle="1" w:styleId="EmailStyle166">
    <w:name w:val="EmailStyle166"/>
    <w:rPr>
      <w:rFonts w:ascii="Arial" w:eastAsia="Arial" w:hAnsi="Arial" w:cs="Arial"/>
      <w:color w:val="auto"/>
      <w:sz w:val="16"/>
    </w:rPr>
  </w:style>
  <w:style w:type="character" w:styleId="Accentuation">
    <w:name w:val="Emphasis"/>
    <w:rPr>
      <w:i/>
    </w:rPr>
  </w:style>
  <w:style w:type="character" w:styleId="Lienhypertexte">
    <w:name w:val="Hyperlink"/>
    <w:uiPriority w:val="99"/>
    <w:rPr>
      <w:color w:val="0563C1"/>
      <w:u w:val="single"/>
    </w:rPr>
  </w:style>
  <w:style w:type="character" w:styleId="Lienhypertextesuivivisit">
    <w:name w:val="FollowedHyperlink"/>
    <w:rPr>
      <w:color w:val="954F72"/>
      <w:u w:val="single"/>
    </w:rPr>
  </w:style>
  <w:style w:type="character" w:styleId="Mentionnonrsolue">
    <w:name w:val="Unresolved Mention"/>
    <w:rPr>
      <w:rFonts w:cs="Times New Roman"/>
      <w:color w:val="605E5C"/>
      <w:shd w:val="clear" w:color="auto" w:fill="E1DFDD"/>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IndexLink">
    <w:name w:val="Index Link"/>
  </w:style>
  <w:style w:type="paragraph" w:styleId="Paragraphedeliste">
    <w:name w:val="List Paragraph"/>
    <w:basedOn w:val="Normal"/>
    <w:pPr>
      <w:ind w:left="720"/>
      <w:contextualSpacing/>
    </w:pPr>
  </w:style>
  <w:style w:type="numbering" w:customStyle="1" w:styleId="WWOutlineListStyle6">
    <w:name w:val="WW_OutlineListStyle_6"/>
    <w:basedOn w:val="Aucuneliste"/>
    <w:pPr>
      <w:numPr>
        <w:numId w:val="2"/>
      </w:numPr>
    </w:pPr>
  </w:style>
  <w:style w:type="numbering" w:customStyle="1" w:styleId="WWOutlineListStyle5">
    <w:name w:val="WW_OutlineListStyle_5"/>
    <w:basedOn w:val="Aucuneliste"/>
    <w:pPr>
      <w:numPr>
        <w:numId w:val="3"/>
      </w:numPr>
    </w:pPr>
  </w:style>
  <w:style w:type="numbering" w:customStyle="1" w:styleId="WWOutlineListStyle4">
    <w:name w:val="WW_OutlineListStyle_4"/>
    <w:basedOn w:val="Aucuneliste"/>
    <w:pPr>
      <w:numPr>
        <w:numId w:val="4"/>
      </w:numPr>
    </w:pPr>
  </w:style>
  <w:style w:type="numbering" w:customStyle="1" w:styleId="WWOutlineListStyle3">
    <w:name w:val="WW_OutlineListStyle_3"/>
    <w:basedOn w:val="Aucuneliste"/>
    <w:pPr>
      <w:numPr>
        <w:numId w:val="5"/>
      </w:numPr>
    </w:pPr>
  </w:style>
  <w:style w:type="numbering" w:customStyle="1" w:styleId="WWOutlineListStyle2">
    <w:name w:val="WW_OutlineListStyle_2"/>
    <w:basedOn w:val="Aucuneliste"/>
    <w:pPr>
      <w:numPr>
        <w:numId w:val="6"/>
      </w:numPr>
    </w:pPr>
  </w:style>
  <w:style w:type="numbering" w:customStyle="1" w:styleId="WWOutlineListStyle1">
    <w:name w:val="WW_OutlineListStyle_1"/>
    <w:basedOn w:val="Aucuneliste"/>
    <w:pPr>
      <w:numPr>
        <w:numId w:val="7"/>
      </w:numPr>
    </w:pPr>
  </w:style>
  <w:style w:type="numbering" w:customStyle="1" w:styleId="WWOutlineListStyle">
    <w:name w:val="WW_OutlineListStyle"/>
    <w:basedOn w:val="Aucuneliste"/>
    <w:pPr>
      <w:numPr>
        <w:numId w:val="8"/>
      </w:numPr>
    </w:pPr>
  </w:style>
  <w:style w:type="numbering" w:customStyle="1" w:styleId="Outline">
    <w:name w:val="Outline"/>
    <w:basedOn w:val="Aucuneliste"/>
    <w:pPr>
      <w:numPr>
        <w:numId w:val="9"/>
      </w:numPr>
    </w:pPr>
  </w:style>
  <w:style w:type="numbering" w:customStyle="1" w:styleId="Numbering123">
    <w:name w:val="Numbering 123"/>
    <w:basedOn w:val="Aucuneliste"/>
    <w:pPr>
      <w:numPr>
        <w:numId w:val="10"/>
      </w:numPr>
    </w:pPr>
  </w:style>
  <w:style w:type="numbering" w:customStyle="1" w:styleId="NumberingABC">
    <w:name w:val="Numbering ABC"/>
    <w:basedOn w:val="Aucuneliste"/>
    <w:pPr>
      <w:numPr>
        <w:numId w:val="11"/>
      </w:numPr>
    </w:pPr>
  </w:style>
  <w:style w:type="numbering" w:customStyle="1" w:styleId="LFO1">
    <w:name w:val="LFO1"/>
    <w:basedOn w:val="Aucuneliste"/>
    <w:pPr>
      <w:numPr>
        <w:numId w:val="12"/>
      </w:numPr>
    </w:pPr>
  </w:style>
  <w:style w:type="numbering" w:customStyle="1" w:styleId="LFO2">
    <w:name w:val="LFO2"/>
    <w:basedOn w:val="Aucuneliste"/>
    <w:pPr>
      <w:numPr>
        <w:numId w:val="13"/>
      </w:numPr>
    </w:pPr>
  </w:style>
  <w:style w:type="numbering" w:customStyle="1" w:styleId="LFO3">
    <w:name w:val="LFO3"/>
    <w:basedOn w:val="Aucuneliste"/>
    <w:pPr>
      <w:numPr>
        <w:numId w:val="14"/>
      </w:numPr>
    </w:pPr>
  </w:style>
  <w:style w:type="numbering" w:customStyle="1" w:styleId="LFO4">
    <w:name w:val="LFO4"/>
    <w:basedOn w:val="Aucuneliste"/>
    <w:pPr>
      <w:numPr>
        <w:numId w:val="15"/>
      </w:numPr>
    </w:pPr>
  </w:style>
  <w:style w:type="numbering" w:customStyle="1" w:styleId="LFO5">
    <w:name w:val="LFO5"/>
    <w:basedOn w:val="Aucuneliste"/>
    <w:pPr>
      <w:numPr>
        <w:numId w:val="16"/>
      </w:numPr>
    </w:pPr>
  </w:style>
  <w:style w:type="numbering" w:customStyle="1" w:styleId="LFO6">
    <w:name w:val="LFO6"/>
    <w:basedOn w:val="Aucuneliste"/>
    <w:pPr>
      <w:numPr>
        <w:numId w:val="17"/>
      </w:numPr>
    </w:pPr>
  </w:style>
  <w:style w:type="numbering" w:customStyle="1" w:styleId="LFO7">
    <w:name w:val="LFO7"/>
    <w:basedOn w:val="Aucuneliste"/>
    <w:pPr>
      <w:numPr>
        <w:numId w:val="18"/>
      </w:numPr>
    </w:pPr>
  </w:style>
  <w:style w:type="numbering" w:customStyle="1" w:styleId="LFO8">
    <w:name w:val="LFO8"/>
    <w:basedOn w:val="Aucuneliste"/>
    <w:pPr>
      <w:numPr>
        <w:numId w:val="19"/>
      </w:numPr>
    </w:pPr>
  </w:style>
  <w:style w:type="numbering" w:customStyle="1" w:styleId="LFO10">
    <w:name w:val="LFO10"/>
    <w:basedOn w:val="Aucuneliste"/>
    <w:pPr>
      <w:numPr>
        <w:numId w:val="20"/>
      </w:numPr>
    </w:pPr>
  </w:style>
  <w:style w:type="numbering" w:customStyle="1" w:styleId="LFO11">
    <w:name w:val="LFO11"/>
    <w:basedOn w:val="Aucuneliste"/>
    <w:pPr>
      <w:numPr>
        <w:numId w:val="21"/>
      </w:numPr>
    </w:pPr>
  </w:style>
  <w:style w:type="numbering" w:customStyle="1" w:styleId="LFO31">
    <w:name w:val="LFO31"/>
    <w:basedOn w:val="Aucuneliste"/>
    <w:pPr>
      <w:numPr>
        <w:numId w:val="22"/>
      </w:numPr>
    </w:pPr>
  </w:style>
  <w:style w:type="numbering" w:customStyle="1" w:styleId="LFO33">
    <w:name w:val="LFO33"/>
    <w:basedOn w:val="Aucuneliste"/>
    <w:pPr>
      <w:numPr>
        <w:numId w:val="23"/>
      </w:numPr>
    </w:pPr>
  </w:style>
  <w:style w:type="numbering" w:customStyle="1" w:styleId="LFO36">
    <w:name w:val="LFO36"/>
    <w:basedOn w:val="Aucuneliste"/>
    <w:pPr>
      <w:numPr>
        <w:numId w:val="24"/>
      </w:numPr>
    </w:pPr>
  </w:style>
  <w:style w:type="numbering" w:customStyle="1" w:styleId="LFO22">
    <w:name w:val="LFO22"/>
    <w:basedOn w:val="Aucuneliste"/>
    <w:pPr>
      <w:numPr>
        <w:numId w:val="25"/>
      </w:numPr>
    </w:pPr>
  </w:style>
  <w:style w:type="numbering" w:customStyle="1" w:styleId="LFO23">
    <w:name w:val="LFO23"/>
    <w:basedOn w:val="Aucuneliste"/>
    <w:pPr>
      <w:numPr>
        <w:numId w:val="26"/>
      </w:numPr>
    </w:pPr>
  </w:style>
  <w:style w:type="numbering" w:customStyle="1" w:styleId="LFO24">
    <w:name w:val="LFO24"/>
    <w:basedOn w:val="Aucuneliste"/>
    <w:pPr>
      <w:numPr>
        <w:numId w:val="27"/>
      </w:numPr>
    </w:pPr>
  </w:style>
  <w:style w:type="numbering" w:customStyle="1" w:styleId="LFO25">
    <w:name w:val="LFO25"/>
    <w:basedOn w:val="Aucuneliste"/>
    <w:pPr>
      <w:numPr>
        <w:numId w:val="28"/>
      </w:numPr>
    </w:pPr>
  </w:style>
  <w:style w:type="numbering" w:customStyle="1" w:styleId="LFO26">
    <w:name w:val="LFO26"/>
    <w:basedOn w:val="Aucuneliste"/>
    <w:pPr>
      <w:numPr>
        <w:numId w:val="29"/>
      </w:numPr>
    </w:pPr>
  </w:style>
  <w:style w:type="numbering" w:customStyle="1" w:styleId="LFO35">
    <w:name w:val="LFO35"/>
    <w:basedOn w:val="Aucunelist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mailto:mediation.interne.aca@aphp.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marches-publics.gouv.fr/?page=entreprise.AccueilEntreprise" TargetMode="External"/><Relationship Id="rId2" Type="http://schemas.openxmlformats.org/officeDocument/2006/relationships/styles" Target="styles.xml"/><Relationship Id="rId16" Type="http://schemas.openxmlformats.org/officeDocument/2006/relationships/hyperlink" Target="https://www.marches-publics.gouv.fr/?page=Commun.PrerequisTechniques&amp;calledFrom=entreprise"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ume.chorus-pro.gouv.fr/" TargetMode="External"/><Relationship Id="rId5" Type="http://schemas.openxmlformats.org/officeDocument/2006/relationships/footnotes" Target="footnotes.xml"/><Relationship Id="rId15" Type="http://schemas.openxmlformats.org/officeDocument/2006/relationships/hyperlink" Target="https://www.marches-publics.gouv.fr/" TargetMode="External"/><Relationship Id="rId23" Type="http://schemas.openxmlformats.org/officeDocument/2006/relationships/theme" Target="theme/theme1.xml"/><Relationship Id="rId10" Type="http://schemas.openxmlformats.org/officeDocument/2006/relationships/hyperlink" Target="https://ec.europa.eu/tools/espd/" TargetMode="External"/><Relationship Id="rId19" Type="http://schemas.openxmlformats.org/officeDocument/2006/relationships/hyperlink" Target="https://www.marches-publics.gouv.fr/" TargetMode="External"/><Relationship Id="rId4" Type="http://schemas.openxmlformats.org/officeDocument/2006/relationships/webSettings" Target="webSettings.xml"/><Relationship Id="rId9" Type="http://schemas.openxmlformats.org/officeDocument/2006/relationships/hyperlink" Target="http://www.economie.gouv.fr/daj/formulaires" TargetMode="External"/><Relationship Id="rId14" Type="http://schemas.openxmlformats.org/officeDocument/2006/relationships/hyperlink" Target="https://www.marches-publics.gouv.fr/"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19</Pages>
  <Words>7485</Words>
  <Characters>41173</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&gt;&gt;&gt; Debut du paragraphe</vt:lpstr>
    </vt:vector>
  </TitlesOfParts>
  <Company>APHP</Company>
  <LinksUpToDate>false</LinksUpToDate>
  <CharactersWithSpaces>48561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&gt;&gt;&gt; Debut du paragraphe</dc:title>
  <dc:subject/>
  <dc:creator>jet</dc:creator>
  <dc:description/>
  <cp:lastModifiedBy>ANNICETTE Ndeye astou</cp:lastModifiedBy>
  <cp:revision>24</cp:revision>
  <cp:lastPrinted>2026-03-10T11:16:00Z</cp:lastPrinted>
  <dcterms:created xsi:type="dcterms:W3CDTF">2026-03-11T15:48:00Z</dcterms:created>
  <dcterms:modified xsi:type="dcterms:W3CDTF">2026-03-17T13:30:00Z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AD2E</vt:lpwstr>
  </property>
  <property fmtid="{D5CDD505-2E9C-101B-9397-08002B2CF9AE}" pid="3" name="CheminDoctype">
    <vt:lpwstr>C:\Users\3054201\AppData\Local\Temp</vt:lpwstr>
  </property>
  <property fmtid="{D5CDD505-2E9C-101B-9397-08002B2CF9AE}" pid="4" name="DernierElement">
    <vt:lpwstr/>
  </property>
  <property fmtid="{D5CDD505-2E9C-101B-9397-08002B2CF9AE}" pid="5" name="ElementContenant">
    <vt:lpwstr>group_nego</vt:lpwstr>
  </property>
  <property fmtid="{D5CDD505-2E9C-101B-9397-08002B2CF9AE}" pid="6" name="ElementPrecedent">
    <vt:lpwstr/>
  </property>
  <property fmtid="{D5CDD505-2E9C-101B-9397-08002B2CF9AE}" pid="7" name="IdentifiantEdition">
    <vt:lpwstr>APHP_RC</vt:lpwstr>
  </property>
  <property fmtid="{D5CDD505-2E9C-101B-9397-08002B2CF9AE}" pid="8" name="NomSegment">
    <vt:lpwstr>Echant4</vt:lpwstr>
  </property>
  <property fmtid="{D5CDD505-2E9C-101B-9397-08002B2CF9AE}" pid="9" name="NouveauElement">
    <vt:lpwstr>group_nego</vt:lpwstr>
  </property>
  <property fmtid="{D5CDD505-2E9C-101B-9397-08002B2CF9AE}" pid="10" name="ResultatCommande">
    <vt:lpwstr>Ok</vt:lpwstr>
  </property>
</Properties>
</file>