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846BA" w14:textId="25F70FB9" w:rsidR="00B32358" w:rsidRPr="00476456" w:rsidRDefault="00B32358" w:rsidP="005A40CD">
      <w:pPr>
        <w:pBdr>
          <w:top w:val="single" w:sz="4" w:space="1" w:color="000000"/>
          <w:left w:val="single" w:sz="4" w:space="3" w:color="000000"/>
          <w:bottom w:val="single" w:sz="4" w:space="1" w:color="000000"/>
          <w:right w:val="single" w:sz="4" w:space="0" w:color="000000"/>
        </w:pBdr>
        <w:spacing w:after="240"/>
        <w:ind w:right="98"/>
        <w:jc w:val="both"/>
        <w:rPr>
          <w:rFonts w:ascii="Calibri" w:hAnsi="Calibri"/>
          <w:b/>
          <w:bCs/>
          <w:caps/>
          <w:sz w:val="28"/>
          <w:szCs w:val="26"/>
        </w:rPr>
      </w:pPr>
      <w:r w:rsidRPr="00476456">
        <w:rPr>
          <w:rFonts w:ascii="Calibri" w:hAnsi="Calibri"/>
          <w:b/>
          <w:bCs/>
          <w:caps/>
          <w:sz w:val="28"/>
          <w:szCs w:val="26"/>
        </w:rPr>
        <w:br/>
      </w:r>
      <w:r w:rsidR="005F6EBE" w:rsidRPr="00476456">
        <w:rPr>
          <w:rFonts w:ascii="Calibri" w:hAnsi="Calibri"/>
          <w:b/>
          <w:bCs/>
          <w:caps/>
          <w:sz w:val="28"/>
          <w:szCs w:val="26"/>
        </w:rPr>
        <w:t xml:space="preserve">Lettre </w:t>
      </w:r>
      <w:r w:rsidR="00801237" w:rsidRPr="00476456">
        <w:rPr>
          <w:rFonts w:ascii="Calibri" w:hAnsi="Calibri"/>
          <w:b/>
          <w:bCs/>
          <w:caps/>
          <w:sz w:val="28"/>
          <w:szCs w:val="26"/>
        </w:rPr>
        <w:t>de consultation</w:t>
      </w:r>
      <w:r w:rsidR="00BC25A2">
        <w:rPr>
          <w:rFonts w:ascii="Calibri" w:hAnsi="Calibri"/>
          <w:b/>
          <w:bCs/>
          <w:caps/>
          <w:sz w:val="28"/>
          <w:szCs w:val="26"/>
        </w:rPr>
        <w:t xml:space="preserve"> EVALUATION FINALE DU PROJET BIODEV2030 PHASE II</w:t>
      </w:r>
      <w:r w:rsidRPr="00476456">
        <w:rPr>
          <w:rFonts w:ascii="Calibri" w:hAnsi="Calibri"/>
          <w:b/>
          <w:bCs/>
          <w:caps/>
          <w:sz w:val="28"/>
          <w:szCs w:val="26"/>
        </w:rPr>
        <w:br/>
      </w:r>
    </w:p>
    <w:p w14:paraId="419DA9EE" w14:textId="3080827E" w:rsidR="00801237" w:rsidRPr="00476456" w:rsidRDefault="00801237" w:rsidP="005A40CD">
      <w:pPr>
        <w:keepNext/>
        <w:numPr>
          <w:ilvl w:val="0"/>
          <w:numId w:val="12"/>
        </w:numPr>
        <w:autoSpaceDE/>
        <w:spacing w:before="240" w:after="120"/>
        <w:ind w:left="357" w:hanging="357"/>
        <w:jc w:val="both"/>
        <w:rPr>
          <w:rFonts w:ascii="Calibri" w:hAnsi="Calibri"/>
          <w:b/>
          <w:smallCaps/>
          <w:u w:val="single"/>
        </w:rPr>
      </w:pPr>
      <w:r w:rsidRPr="00476456">
        <w:rPr>
          <w:rFonts w:ascii="Calibri" w:hAnsi="Calibri"/>
          <w:b/>
          <w:smallCaps/>
          <w:u w:val="single"/>
        </w:rPr>
        <w:t>Contexte</w:t>
      </w:r>
    </w:p>
    <w:p w14:paraId="1A9D833E" w14:textId="16CD9228" w:rsidR="002B32C7" w:rsidRPr="00476456" w:rsidRDefault="002B32C7" w:rsidP="005A40CD">
      <w:pPr>
        <w:pStyle w:val="Sous-titre"/>
        <w:spacing w:after="240"/>
        <w:jc w:val="both"/>
        <w:rPr>
          <w:rFonts w:asciiTheme="minorHAnsi" w:hAnsiTheme="minorHAnsi"/>
          <w:b w:val="0"/>
          <w:sz w:val="22"/>
          <w:szCs w:val="22"/>
          <w:lang w:val="fr-FR"/>
        </w:rPr>
      </w:pPr>
      <w:r w:rsidRPr="00476456">
        <w:rPr>
          <w:rFonts w:asciiTheme="minorHAnsi" w:hAnsiTheme="minorHAnsi"/>
          <w:b w:val="0"/>
          <w:sz w:val="22"/>
          <w:szCs w:val="22"/>
          <w:lang w:val="fr-FR"/>
        </w:rPr>
        <w:t>Expertise France est l’agence française de coopération technique internationale. Elle conçoit et met en œuvre des projets destinés à contribuer au développement équilibré des pays partenaires, conformément aux objectifs de développement durable (ODD) de l’Agenda 2030 et aux priorités de l’action extérieure de la France. La mission d’Expertise France est de répondre à la demande de pays partenaires qui veulent renforcer la qualité de leurs politiques publiques pour relever les défis environnementaux, sociaux, économiques ou sécuritaires auxquels ils sont confrontés.</w:t>
      </w:r>
      <w:r w:rsidR="00F66A48" w:rsidRPr="00476456">
        <w:rPr>
          <w:rFonts w:asciiTheme="minorHAnsi" w:hAnsiTheme="minorHAnsi"/>
          <w:b w:val="0"/>
          <w:sz w:val="22"/>
          <w:szCs w:val="22"/>
          <w:lang w:val="fr-FR"/>
        </w:rPr>
        <w:t xml:space="preserve"> </w:t>
      </w:r>
      <w:r w:rsidRPr="00476456">
        <w:rPr>
          <w:rFonts w:asciiTheme="minorHAnsi" w:hAnsiTheme="minorHAnsi"/>
          <w:b w:val="0"/>
          <w:sz w:val="22"/>
          <w:szCs w:val="22"/>
          <w:lang w:val="fr-FR"/>
        </w:rPr>
        <w:t>Pour cela, l’agence mène des projets dans les principaux domaines de l'action publique :</w:t>
      </w:r>
    </w:p>
    <w:p w14:paraId="21C216F1" w14:textId="2A8392EE" w:rsidR="002B32C7" w:rsidRPr="00476456" w:rsidRDefault="002B32C7" w:rsidP="005A40CD">
      <w:pPr>
        <w:pStyle w:val="Sous-titre"/>
        <w:numPr>
          <w:ilvl w:val="0"/>
          <w:numId w:val="11"/>
        </w:numPr>
        <w:ind w:left="714" w:hanging="357"/>
        <w:jc w:val="both"/>
        <w:rPr>
          <w:rFonts w:asciiTheme="minorHAnsi" w:hAnsiTheme="minorHAnsi"/>
          <w:b w:val="0"/>
          <w:sz w:val="22"/>
          <w:szCs w:val="22"/>
          <w:lang w:val="fr-FR"/>
        </w:rPr>
      </w:pPr>
      <w:r w:rsidRPr="00476456">
        <w:rPr>
          <w:rFonts w:asciiTheme="minorHAnsi" w:hAnsiTheme="minorHAnsi"/>
          <w:b w:val="0"/>
          <w:sz w:val="22"/>
          <w:szCs w:val="22"/>
          <w:lang w:val="fr-FR"/>
        </w:rPr>
        <w:t>Gouvernance démocratique, économique et financière</w:t>
      </w:r>
      <w:r w:rsidR="00AD2690">
        <w:rPr>
          <w:rFonts w:asciiTheme="minorHAnsi" w:hAnsiTheme="minorHAnsi"/>
          <w:b w:val="0"/>
          <w:sz w:val="22"/>
          <w:szCs w:val="22"/>
          <w:lang w:val="fr-FR"/>
        </w:rPr>
        <w:t>.</w:t>
      </w:r>
    </w:p>
    <w:p w14:paraId="2864E2D3" w14:textId="14A87188" w:rsidR="002B32C7" w:rsidRPr="00476456" w:rsidRDefault="002B32C7" w:rsidP="005A40CD">
      <w:pPr>
        <w:pStyle w:val="Sous-titre"/>
        <w:numPr>
          <w:ilvl w:val="0"/>
          <w:numId w:val="11"/>
        </w:numPr>
        <w:ind w:left="714" w:hanging="357"/>
        <w:jc w:val="both"/>
        <w:rPr>
          <w:rFonts w:asciiTheme="minorHAnsi" w:hAnsiTheme="minorHAnsi"/>
          <w:b w:val="0"/>
          <w:sz w:val="22"/>
          <w:szCs w:val="22"/>
          <w:lang w:val="fr-FR"/>
        </w:rPr>
      </w:pPr>
      <w:r w:rsidRPr="00476456">
        <w:rPr>
          <w:rFonts w:asciiTheme="minorHAnsi" w:hAnsiTheme="minorHAnsi"/>
          <w:b w:val="0"/>
          <w:sz w:val="22"/>
          <w:szCs w:val="22"/>
          <w:lang w:val="fr-FR"/>
        </w:rPr>
        <w:t>Paix, stabilité et sécurité</w:t>
      </w:r>
      <w:r w:rsidR="00AD2690">
        <w:rPr>
          <w:rFonts w:asciiTheme="minorHAnsi" w:hAnsiTheme="minorHAnsi"/>
          <w:b w:val="0"/>
          <w:sz w:val="22"/>
          <w:szCs w:val="22"/>
          <w:lang w:val="fr-FR"/>
        </w:rPr>
        <w:t>.</w:t>
      </w:r>
    </w:p>
    <w:p w14:paraId="05764046" w14:textId="1D18234F" w:rsidR="00F66A48" w:rsidRPr="00476456" w:rsidRDefault="00F66A48" w:rsidP="005A40CD">
      <w:pPr>
        <w:pStyle w:val="Sous-titre"/>
        <w:numPr>
          <w:ilvl w:val="0"/>
          <w:numId w:val="11"/>
        </w:numPr>
        <w:ind w:left="714" w:hanging="357"/>
        <w:jc w:val="both"/>
        <w:rPr>
          <w:rFonts w:asciiTheme="minorHAnsi" w:hAnsiTheme="minorHAnsi"/>
          <w:b w:val="0"/>
          <w:sz w:val="22"/>
          <w:szCs w:val="22"/>
          <w:lang w:val="fr-FR"/>
        </w:rPr>
      </w:pPr>
      <w:r w:rsidRPr="00476456">
        <w:rPr>
          <w:rFonts w:asciiTheme="minorHAnsi" w:hAnsiTheme="minorHAnsi"/>
          <w:b w:val="0"/>
          <w:sz w:val="22"/>
          <w:szCs w:val="22"/>
          <w:lang w:val="fr-FR"/>
        </w:rPr>
        <w:t>Développement durable, climat et agriculture</w:t>
      </w:r>
      <w:r w:rsidR="00AD2690">
        <w:rPr>
          <w:rFonts w:asciiTheme="minorHAnsi" w:hAnsiTheme="minorHAnsi"/>
          <w:b w:val="0"/>
          <w:sz w:val="22"/>
          <w:szCs w:val="22"/>
          <w:lang w:val="fr-FR"/>
        </w:rPr>
        <w:t>.</w:t>
      </w:r>
    </w:p>
    <w:p w14:paraId="62CFB690" w14:textId="420F4A51" w:rsidR="00F66A48" w:rsidRPr="00476456" w:rsidRDefault="00F66A48" w:rsidP="005A40CD">
      <w:pPr>
        <w:pStyle w:val="Sous-titre"/>
        <w:numPr>
          <w:ilvl w:val="0"/>
          <w:numId w:val="11"/>
        </w:numPr>
        <w:spacing w:after="240"/>
        <w:jc w:val="both"/>
        <w:rPr>
          <w:rFonts w:asciiTheme="minorHAnsi" w:hAnsiTheme="minorHAnsi"/>
          <w:b w:val="0"/>
          <w:sz w:val="22"/>
          <w:szCs w:val="22"/>
          <w:lang w:val="fr-FR"/>
        </w:rPr>
      </w:pPr>
      <w:r w:rsidRPr="00476456">
        <w:rPr>
          <w:rFonts w:asciiTheme="minorHAnsi" w:hAnsiTheme="minorHAnsi"/>
          <w:b w:val="0"/>
          <w:sz w:val="22"/>
          <w:szCs w:val="22"/>
          <w:lang w:val="fr-FR"/>
        </w:rPr>
        <w:t>Santé et développement humain</w:t>
      </w:r>
      <w:r w:rsidR="00AD2690">
        <w:rPr>
          <w:rFonts w:asciiTheme="minorHAnsi" w:hAnsiTheme="minorHAnsi"/>
          <w:b w:val="0"/>
          <w:sz w:val="22"/>
          <w:szCs w:val="22"/>
          <w:lang w:val="fr-FR"/>
        </w:rPr>
        <w:t>.</w:t>
      </w:r>
    </w:p>
    <w:p w14:paraId="38B5232C" w14:textId="3C575905" w:rsidR="00F66A48" w:rsidRDefault="00BC25A2" w:rsidP="005A40CD">
      <w:pPr>
        <w:jc w:val="both"/>
        <w:rPr>
          <w:rFonts w:asciiTheme="minorHAnsi" w:hAnsiTheme="minorHAnsi"/>
          <w:b/>
          <w:sz w:val="22"/>
          <w:szCs w:val="22"/>
        </w:rPr>
      </w:pPr>
      <w:r w:rsidRPr="005A40CD">
        <w:rPr>
          <w:rFonts w:asciiTheme="minorHAnsi" w:hAnsiTheme="minorHAnsi"/>
          <w:b/>
          <w:sz w:val="22"/>
          <w:szCs w:val="22"/>
        </w:rPr>
        <w:t>Présentation du projet BIODEV2030</w:t>
      </w:r>
      <w:r w:rsidR="005A40CD" w:rsidRPr="005A40CD">
        <w:rPr>
          <w:rFonts w:asciiTheme="minorHAnsi" w:hAnsiTheme="minorHAnsi"/>
          <w:b/>
          <w:sz w:val="22"/>
          <w:szCs w:val="22"/>
        </w:rPr>
        <w:t xml:space="preserve"> Phase I et Phase II</w:t>
      </w:r>
    </w:p>
    <w:p w14:paraId="7DFEF22C" w14:textId="77777777" w:rsidR="005A40CD" w:rsidRDefault="005A40CD" w:rsidP="005A40CD">
      <w:pPr>
        <w:jc w:val="both"/>
        <w:rPr>
          <w:rFonts w:asciiTheme="minorHAnsi" w:hAnsiTheme="minorHAnsi"/>
          <w:b/>
          <w:sz w:val="22"/>
          <w:szCs w:val="22"/>
        </w:rPr>
      </w:pPr>
    </w:p>
    <w:p w14:paraId="2D47A8FD"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Financé par l’Agence française de Développement (AFD) et coordonné par Expertise France, le projet BIODEV2030 est une approche expérimentale testée et mise en œuvre dans 16 pays pilotes en phase I (2019-2023 et 15 pays pilotes (les 16 de la phase I moins le Burkina Faso) en phase II (2023 - 2026) par l’Union Internationale pour la Conservation de la Nature (UICN) et le WWF (Fonds Mondial pour la Nature) France. Les pays faisant partie de la phase II sont :</w:t>
      </w:r>
    </w:p>
    <w:p w14:paraId="312AABE8" w14:textId="77777777" w:rsidR="005A40CD" w:rsidRPr="005A40CD" w:rsidRDefault="005A40CD" w:rsidP="005A40CD">
      <w:pPr>
        <w:pStyle w:val="Paragraphedeliste"/>
        <w:numPr>
          <w:ilvl w:val="0"/>
          <w:numId w:val="19"/>
        </w:numPr>
        <w:tabs>
          <w:tab w:val="right" w:leader="dot" w:pos="9923"/>
        </w:tabs>
        <w:autoSpaceDE/>
        <w:spacing w:before="240" w:after="120"/>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UICN : </w:t>
      </w:r>
      <w:proofErr w:type="spellStart"/>
      <w:r w:rsidRPr="005A40CD">
        <w:rPr>
          <w:rFonts w:asciiTheme="minorHAnsi" w:hAnsiTheme="minorHAnsi" w:cs="Times New Roman"/>
          <w:color w:val="auto"/>
          <w:lang w:val="fr-FR" w:eastAsia="en-GB"/>
        </w:rPr>
        <w:t>Bénin</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Ethiopie</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Fidji</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Guinée</w:t>
      </w:r>
      <w:proofErr w:type="spellEnd"/>
      <w:r w:rsidRPr="005A40CD">
        <w:rPr>
          <w:rFonts w:asciiTheme="minorHAnsi" w:hAnsiTheme="minorHAnsi" w:cs="Times New Roman"/>
          <w:color w:val="auto"/>
          <w:lang w:val="fr-FR" w:eastAsia="en-GB"/>
        </w:rPr>
        <w:t xml:space="preserve">, Kenya, Mozambique, </w:t>
      </w:r>
      <w:proofErr w:type="spellStart"/>
      <w:r w:rsidRPr="005A40CD">
        <w:rPr>
          <w:rFonts w:asciiTheme="minorHAnsi" w:hAnsiTheme="minorHAnsi" w:cs="Times New Roman"/>
          <w:color w:val="auto"/>
          <w:lang w:val="fr-FR" w:eastAsia="en-GB"/>
        </w:rPr>
        <w:t>Ouganda</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Sénégal</w:t>
      </w:r>
      <w:proofErr w:type="spellEnd"/>
      <w:r w:rsidRPr="005A40CD">
        <w:rPr>
          <w:rFonts w:asciiTheme="minorHAnsi" w:hAnsiTheme="minorHAnsi" w:cs="Times New Roman"/>
          <w:color w:val="auto"/>
          <w:lang w:val="fr-FR" w:eastAsia="en-GB"/>
        </w:rPr>
        <w:t> ;</w:t>
      </w:r>
    </w:p>
    <w:p w14:paraId="4D11AD63" w14:textId="77777777" w:rsidR="005A40CD" w:rsidRPr="005A40CD" w:rsidRDefault="005A40CD" w:rsidP="005A40CD">
      <w:pPr>
        <w:pStyle w:val="Paragraphedeliste"/>
        <w:numPr>
          <w:ilvl w:val="0"/>
          <w:numId w:val="19"/>
        </w:numPr>
        <w:tabs>
          <w:tab w:val="right" w:leader="dot" w:pos="9923"/>
        </w:tabs>
        <w:autoSpaceDE/>
        <w:spacing w:before="120" w:after="120"/>
        <w:jc w:val="both"/>
        <w:rPr>
          <w:rFonts w:asciiTheme="minorHAnsi" w:hAnsiTheme="minorHAnsi" w:cs="Times New Roman"/>
          <w:color w:val="auto"/>
          <w:lang w:val="fr-FR" w:eastAsia="en-GB"/>
        </w:rPr>
      </w:pPr>
      <w:proofErr w:type="gramStart"/>
      <w:r w:rsidRPr="005A40CD">
        <w:rPr>
          <w:rFonts w:asciiTheme="minorHAnsi" w:hAnsiTheme="minorHAnsi" w:cs="Times New Roman"/>
          <w:color w:val="auto"/>
          <w:lang w:val="fr-FR" w:eastAsia="en-GB"/>
        </w:rPr>
        <w:t>WWF :</w:t>
      </w:r>
      <w:proofErr w:type="gramEnd"/>
      <w:r w:rsidRPr="005A40CD">
        <w:rPr>
          <w:rFonts w:asciiTheme="minorHAnsi" w:hAnsiTheme="minorHAnsi" w:cs="Times New Roman"/>
          <w:color w:val="auto"/>
          <w:lang w:val="fr-FR" w:eastAsia="en-GB"/>
        </w:rPr>
        <w:t xml:space="preserve"> Cameroun, Congo, Gabon, Guyana, Madagascar, </w:t>
      </w:r>
      <w:proofErr w:type="spellStart"/>
      <w:r w:rsidRPr="005A40CD">
        <w:rPr>
          <w:rFonts w:asciiTheme="minorHAnsi" w:hAnsiTheme="minorHAnsi" w:cs="Times New Roman"/>
          <w:color w:val="auto"/>
          <w:lang w:val="fr-FR" w:eastAsia="en-GB"/>
        </w:rPr>
        <w:t>Tunisie</w:t>
      </w:r>
      <w:proofErr w:type="spellEnd"/>
      <w:r w:rsidRPr="005A40CD">
        <w:rPr>
          <w:rFonts w:asciiTheme="minorHAnsi" w:hAnsiTheme="minorHAnsi" w:cs="Times New Roman"/>
          <w:color w:val="auto"/>
          <w:lang w:val="fr-FR" w:eastAsia="en-GB"/>
        </w:rPr>
        <w:t>, Viet Nam.</w:t>
      </w:r>
    </w:p>
    <w:p w14:paraId="3A357B18"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p>
    <w:p w14:paraId="30C0102D" w14:textId="77777777" w:rsidR="005A40CD" w:rsidRPr="005A40CD" w:rsidRDefault="005A40CD" w:rsidP="005A40CD">
      <w:pPr>
        <w:pStyle w:val="Titre3"/>
        <w:spacing w:after="24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Présentation de la phase I :</w:t>
      </w:r>
    </w:p>
    <w:p w14:paraId="53395AA0"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Lancée début 2020 et clôturée en juin 2023 (avec une fin des activités pays au 31 décembre 2022), la phase I du projet BIODEV2030 visait à promouvoir l’intégration de la biodiversité dans les secteurs économiques à travers une approche multipartite fondée sur la science. </w:t>
      </w:r>
    </w:p>
    <w:p w14:paraId="5A568284"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Son objectif général était de favoriser, dans 16 pays pilotes, la prise d’engagements volontaires</w:t>
      </w:r>
      <w:r w:rsidRPr="005A40CD">
        <w:rPr>
          <w:rFonts w:asciiTheme="minorHAnsi" w:eastAsia="Times New Roman" w:hAnsiTheme="minorHAnsi" w:cs="Times New Roman"/>
          <w:color w:val="auto"/>
          <w:lang w:eastAsia="en-GB"/>
        </w:rPr>
        <w:footnoteReference w:id="1"/>
      </w:r>
      <w:r w:rsidRPr="005A40CD">
        <w:rPr>
          <w:rFonts w:asciiTheme="minorHAnsi" w:eastAsia="Times New Roman" w:hAnsiTheme="minorHAnsi" w:cs="Times New Roman"/>
          <w:color w:val="auto"/>
          <w:sz w:val="22"/>
          <w:szCs w:val="22"/>
          <w:lang w:eastAsia="en-GB"/>
        </w:rPr>
        <w:t xml:space="preserve"> par des acteurs sectoriels clés afin de réduire les pressions sur la biodiversité et/ou contribuer à la restauration des écosystèmes. </w:t>
      </w:r>
    </w:p>
    <w:p w14:paraId="43D9EC5A"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lastRenderedPageBreak/>
        <w:t>Modalités de mise en œuvre</w:t>
      </w:r>
    </w:p>
    <w:p w14:paraId="1A4D0FD7"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Dans chaque pays, le projet était porté par </w:t>
      </w:r>
      <w:proofErr w:type="spellStart"/>
      <w:r w:rsidRPr="005A40CD">
        <w:rPr>
          <w:rFonts w:asciiTheme="minorHAnsi" w:eastAsia="Times New Roman" w:hAnsiTheme="minorHAnsi" w:cs="Times New Roman"/>
          <w:color w:val="auto"/>
          <w:sz w:val="22"/>
          <w:szCs w:val="22"/>
          <w:lang w:eastAsia="en-GB"/>
        </w:rPr>
        <w:t>un.e</w:t>
      </w:r>
      <w:proofErr w:type="spellEnd"/>
      <w:r w:rsidRPr="005A40CD">
        <w:rPr>
          <w:rFonts w:asciiTheme="minorHAnsi" w:eastAsia="Times New Roman" w:hAnsiTheme="minorHAnsi" w:cs="Times New Roman"/>
          <w:color w:val="auto"/>
          <w:sz w:val="22"/>
          <w:szCs w:val="22"/>
          <w:lang w:eastAsia="en-GB"/>
        </w:rPr>
        <w:t xml:space="preserve"> </w:t>
      </w:r>
      <w:proofErr w:type="spellStart"/>
      <w:r w:rsidRPr="005A40CD">
        <w:rPr>
          <w:rFonts w:asciiTheme="minorHAnsi" w:eastAsia="Times New Roman" w:hAnsiTheme="minorHAnsi" w:cs="Times New Roman"/>
          <w:color w:val="auto"/>
          <w:sz w:val="22"/>
          <w:szCs w:val="22"/>
          <w:lang w:eastAsia="en-GB"/>
        </w:rPr>
        <w:t>Assistant.e</w:t>
      </w:r>
      <w:proofErr w:type="spellEnd"/>
      <w:r w:rsidRPr="005A40CD">
        <w:rPr>
          <w:rFonts w:asciiTheme="minorHAnsi" w:eastAsia="Times New Roman" w:hAnsiTheme="minorHAnsi" w:cs="Times New Roman"/>
          <w:color w:val="auto"/>
          <w:sz w:val="22"/>
          <w:szCs w:val="22"/>
          <w:lang w:eastAsia="en-GB"/>
        </w:rPr>
        <w:t xml:space="preserve"> technique/</w:t>
      </w:r>
      <w:proofErr w:type="spellStart"/>
      <w:r w:rsidRPr="005A40CD">
        <w:rPr>
          <w:rFonts w:asciiTheme="minorHAnsi" w:eastAsia="Times New Roman" w:hAnsiTheme="minorHAnsi" w:cs="Times New Roman"/>
          <w:color w:val="auto"/>
          <w:sz w:val="22"/>
          <w:szCs w:val="22"/>
          <w:lang w:eastAsia="en-GB"/>
        </w:rPr>
        <w:t>Chef.fe</w:t>
      </w:r>
      <w:proofErr w:type="spellEnd"/>
      <w:r w:rsidRPr="005A40CD">
        <w:rPr>
          <w:rFonts w:asciiTheme="minorHAnsi" w:eastAsia="Times New Roman" w:hAnsiTheme="minorHAnsi" w:cs="Times New Roman"/>
          <w:color w:val="auto"/>
          <w:sz w:val="22"/>
          <w:szCs w:val="22"/>
          <w:lang w:eastAsia="en-GB"/>
        </w:rPr>
        <w:t xml:space="preserve"> de projet national (AT), en lien étroit avec le Ministère chargé de l’Environnement et le Point focal national de la Convention pour la Diversité Biologique (CDB). La coordination internationale était assurée par Expertise France, UICN-HQ et WWF-France. Des organes de gouvernance nationaux ont été mobilisés pour suivre les principales étapes du projet. </w:t>
      </w:r>
    </w:p>
    <w:p w14:paraId="1965681A"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Approche méthodologique en 3 axes</w:t>
      </w:r>
    </w:p>
    <w:p w14:paraId="62575B60"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La phase I s’est structurée autour de 3 axes complémentaires :</w:t>
      </w:r>
    </w:p>
    <w:p w14:paraId="4C5958FA" w14:textId="77777777" w:rsidR="005A40CD" w:rsidRPr="005A40CD" w:rsidRDefault="005A40CD" w:rsidP="005A40CD">
      <w:pPr>
        <w:pStyle w:val="LISTE"/>
        <w:numPr>
          <w:ilvl w:val="0"/>
          <w:numId w:val="18"/>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Diagnostic scientifique et sectoriel :</w:t>
      </w:r>
    </w:p>
    <w:p w14:paraId="1AB74644"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Analyse des principales pressions sur la biodiversité dans chaque pays ;</w:t>
      </w:r>
    </w:p>
    <w:p w14:paraId="040F5135"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Identification de deux secteurs économiques prioritaires ;</w:t>
      </w:r>
    </w:p>
    <w:p w14:paraId="5AAB2210"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Analyse approfondie des acteurs et des pratiques sectorielles afin d’identifier des pistes d’engagements.</w:t>
      </w:r>
    </w:p>
    <w:p w14:paraId="7246A869" w14:textId="77777777" w:rsidR="005A40CD" w:rsidRPr="005A40CD" w:rsidRDefault="005A40CD" w:rsidP="005A40CD">
      <w:pPr>
        <w:pStyle w:val="Paragraphedeliste"/>
        <w:numPr>
          <w:ilvl w:val="0"/>
          <w:numId w:val="18"/>
        </w:numPr>
        <w:tabs>
          <w:tab w:val="right" w:leader="dot" w:pos="9923"/>
        </w:tabs>
        <w:autoSpaceDE/>
        <w:spacing w:after="120"/>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Dialogue multipartite : </w:t>
      </w:r>
    </w:p>
    <w:p w14:paraId="1BB7B3DD"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Mise en place ou mobilisation de plateformes multi-acteurs dans les 16 pays ;</w:t>
      </w:r>
    </w:p>
    <w:p w14:paraId="717BF887"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Organisation d’ateliers et de concertations visant l’élaboration d’engagements sectoriels </w:t>
      </w:r>
      <w:proofErr w:type="spellStart"/>
      <w:r w:rsidRPr="005A40CD">
        <w:rPr>
          <w:rFonts w:asciiTheme="minorHAnsi" w:eastAsia="Times New Roman" w:hAnsiTheme="minorHAnsi" w:cs="Times New Roman"/>
          <w:color w:val="auto"/>
          <w:szCs w:val="22"/>
          <w:lang w:val="fr-FR" w:eastAsia="en-GB"/>
        </w:rPr>
        <w:t>co</w:t>
      </w:r>
      <w:proofErr w:type="spellEnd"/>
      <w:r w:rsidRPr="005A40CD">
        <w:rPr>
          <w:rFonts w:asciiTheme="minorHAnsi" w:eastAsia="Times New Roman" w:hAnsiTheme="minorHAnsi" w:cs="Times New Roman"/>
          <w:color w:val="auto"/>
          <w:szCs w:val="22"/>
          <w:lang w:val="fr-FR" w:eastAsia="en-GB"/>
        </w:rPr>
        <w:t>-construits ;</w:t>
      </w:r>
    </w:p>
    <w:p w14:paraId="3BFA4BAE"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Contribution à l’intégration de ces engagements dans les Stratégies et Plan d’actions Nationaux pour la Biodiversité (SPANB) et politiques publiques sectorielles.</w:t>
      </w:r>
    </w:p>
    <w:p w14:paraId="0C3616C6" w14:textId="77777777" w:rsidR="005A40CD" w:rsidRPr="005A40CD" w:rsidRDefault="005A40CD" w:rsidP="005A40CD">
      <w:pPr>
        <w:pStyle w:val="Paragraphedeliste"/>
        <w:numPr>
          <w:ilvl w:val="0"/>
          <w:numId w:val="18"/>
        </w:numPr>
        <w:tabs>
          <w:tab w:val="right" w:leader="dot" w:pos="9923"/>
        </w:tabs>
        <w:autoSpaceDE/>
        <w:spacing w:after="120"/>
        <w:jc w:val="both"/>
        <w:rPr>
          <w:rFonts w:asciiTheme="minorHAnsi" w:hAnsiTheme="minorHAnsi" w:cs="Times New Roman"/>
          <w:color w:val="auto"/>
          <w:lang w:val="fr-FR" w:eastAsia="en-GB"/>
        </w:rPr>
      </w:pPr>
      <w:proofErr w:type="spellStart"/>
      <w:r w:rsidRPr="005A40CD">
        <w:rPr>
          <w:rFonts w:asciiTheme="minorHAnsi" w:hAnsiTheme="minorHAnsi" w:cs="Times New Roman"/>
          <w:color w:val="auto"/>
          <w:lang w:val="fr-FR" w:eastAsia="en-GB"/>
        </w:rPr>
        <w:t>Dissémination</w:t>
      </w:r>
      <w:proofErr w:type="spellEnd"/>
      <w:r w:rsidRPr="005A40CD">
        <w:rPr>
          <w:rFonts w:asciiTheme="minorHAnsi" w:hAnsiTheme="minorHAnsi" w:cs="Times New Roman"/>
          <w:color w:val="auto"/>
          <w:lang w:val="fr-FR" w:eastAsia="en-GB"/>
        </w:rPr>
        <w:t xml:space="preserve"> et </w:t>
      </w:r>
      <w:proofErr w:type="spellStart"/>
      <w:r w:rsidRPr="005A40CD">
        <w:rPr>
          <w:rFonts w:asciiTheme="minorHAnsi" w:hAnsiTheme="minorHAnsi" w:cs="Times New Roman"/>
          <w:color w:val="auto"/>
          <w:lang w:val="fr-FR" w:eastAsia="en-GB"/>
        </w:rPr>
        <w:t>plaidoyer</w:t>
      </w:r>
      <w:proofErr w:type="spellEnd"/>
      <w:r w:rsidRPr="005A40CD">
        <w:rPr>
          <w:rFonts w:asciiTheme="minorHAnsi" w:hAnsiTheme="minorHAnsi" w:cs="Times New Roman"/>
          <w:color w:val="auto"/>
          <w:lang w:val="fr-FR" w:eastAsia="en-GB"/>
        </w:rPr>
        <w:t xml:space="preserve"> international :</w:t>
      </w:r>
    </w:p>
    <w:p w14:paraId="12146520"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Valorisation de la méthode BIODEV2030 dans les espaces internationaux (notamment lors de la COP15 de la CDB)</w:t>
      </w:r>
    </w:p>
    <w:p w14:paraId="33784322"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Contribution aux discussions sur le Cadre Mondial de la Biodiversité de Kunming-Montréal;</w:t>
      </w:r>
    </w:p>
    <w:p w14:paraId="27B44645"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Animation d’une communauté de pratiques entre les pays pilotes.</w:t>
      </w:r>
    </w:p>
    <w:p w14:paraId="49F89384"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p>
    <w:p w14:paraId="60400F9C"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Principaux résultats et limites</w:t>
      </w:r>
    </w:p>
    <w:p w14:paraId="14A3B9A7"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La crise du Covid-19 a fortement ralenti le démarrage du projet et réduit la durée effective des phases de dialogue, concentrées pour beaucoup de pays sur l’année 2022.</w:t>
      </w:r>
    </w:p>
    <w:p w14:paraId="6815F74F"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Les 16 pays pilotes ont finalisé les diagnostics nationaux et sectoriels et mis en place des plateformes sectorielles. Dans 14 pays, des pistes d’engagements sectoriels ont été discutées avec les acteurs publics et privés. Toutefois, le niveau d’avancement et de formalisation des engagements a varié selon les contextes nationaux.</w:t>
      </w:r>
    </w:p>
    <w:p w14:paraId="2DBD8205"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Les contenus détaillés des engagements ont donc été peu valorisés à l’international avant la clôture de la phase I du projet. </w:t>
      </w:r>
    </w:p>
    <w:p w14:paraId="5A31B801" w14:textId="77777777" w:rsidR="005A40CD" w:rsidRPr="005A40CD" w:rsidRDefault="005A40CD" w:rsidP="005A40CD">
      <w:pPr>
        <w:keepNext/>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lastRenderedPageBreak/>
        <w:drawing>
          <wp:inline distT="0" distB="0" distL="0" distR="0" wp14:anchorId="32E82CCD" wp14:editId="100B9416">
            <wp:extent cx="5464455" cy="4011326"/>
            <wp:effectExtent l="0" t="0" r="317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DEV-SCHEMA-VFINALE-colorOKFR.png"/>
                    <pic:cNvPicPr/>
                  </pic:nvPicPr>
                  <pic:blipFill>
                    <a:blip r:embed="rId8">
                      <a:extLst>
                        <a:ext uri="{28A0092B-C50C-407E-A947-70E740481C1C}">
                          <a14:useLocalDpi xmlns:a14="http://schemas.microsoft.com/office/drawing/2010/main" val="0"/>
                        </a:ext>
                      </a:extLst>
                    </a:blip>
                    <a:stretch>
                      <a:fillRect/>
                    </a:stretch>
                  </pic:blipFill>
                  <pic:spPr>
                    <a:xfrm>
                      <a:off x="0" y="0"/>
                      <a:ext cx="5472270" cy="4017063"/>
                    </a:xfrm>
                    <a:prstGeom prst="rect">
                      <a:avLst/>
                    </a:prstGeom>
                  </pic:spPr>
                </pic:pic>
              </a:graphicData>
            </a:graphic>
          </wp:inline>
        </w:drawing>
      </w:r>
    </w:p>
    <w:p w14:paraId="406CF56D"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Figure 1 Infographie des étapes composant la méthode BIODEV2030 pour intégrer la biodiversité dans les secteurs économiques, © Do2Co</w:t>
      </w:r>
    </w:p>
    <w:p w14:paraId="2F102220"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p>
    <w:p w14:paraId="18FA0310" w14:textId="77777777" w:rsidR="005A40CD" w:rsidRPr="005A40CD" w:rsidRDefault="005A40CD" w:rsidP="005A40CD">
      <w:pPr>
        <w:pStyle w:val="NormalWeb"/>
        <w:spacing w:before="102" w:beforeAutospacing="0" w:after="0"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Pour plus d’informations, le site internet du projet : </w:t>
      </w:r>
      <w:hyperlink r:id="rId9" w:history="1">
        <w:r w:rsidRPr="005A40CD">
          <w:rPr>
            <w:rFonts w:asciiTheme="minorHAnsi" w:eastAsia="Times New Roman" w:hAnsiTheme="minorHAnsi" w:cs="Times New Roman"/>
            <w:color w:val="auto"/>
            <w:lang w:eastAsia="en-GB"/>
          </w:rPr>
          <w:t>https://www.biodev2030.org/</w:t>
        </w:r>
      </w:hyperlink>
      <w:r w:rsidRPr="005A40CD">
        <w:rPr>
          <w:rFonts w:asciiTheme="minorHAnsi" w:eastAsia="Times New Roman" w:hAnsiTheme="minorHAnsi" w:cs="Times New Roman"/>
          <w:color w:val="auto"/>
          <w:sz w:val="22"/>
          <w:szCs w:val="22"/>
          <w:lang w:eastAsia="en-GB"/>
        </w:rPr>
        <w:t xml:space="preserve"> et notamment les produits de capitalisation issus de la phase I : </w:t>
      </w:r>
      <w:hyperlink r:id="rId10" w:history="1">
        <w:r w:rsidRPr="005A40CD">
          <w:rPr>
            <w:rFonts w:asciiTheme="minorHAnsi" w:eastAsia="Times New Roman" w:hAnsiTheme="minorHAnsi" w:cs="Times New Roman"/>
            <w:color w:val="auto"/>
            <w:lang w:eastAsia="en-GB"/>
          </w:rPr>
          <w:t>https://www.biodev2030.org/ressource/page/2/?categories%5B0%5D=34</w:t>
        </w:r>
      </w:hyperlink>
    </w:p>
    <w:p w14:paraId="4A5443B2"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p>
    <w:p w14:paraId="1DB5D710" w14:textId="77777777" w:rsidR="005A40CD" w:rsidRPr="005A40CD" w:rsidRDefault="005A40CD" w:rsidP="005A40CD">
      <w:pPr>
        <w:pStyle w:val="Titre3"/>
        <w:spacing w:after="24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Présentation de la phase II :</w:t>
      </w:r>
    </w:p>
    <w:p w14:paraId="64083AA8"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Afin de poursuivre la dynamique engagée lors de la phase I, la France a renouvelé son soutien au projet BIODEV2030 à travers le financement d’une Phase II, démarrée fin 2023 pour une durée de 2 ans et demi, jusqu’à mi-2026. </w:t>
      </w:r>
    </w:p>
    <w:p w14:paraId="2ABF2190"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S’inscrivant dans le contexte de l’adoption du KMGBF, la phase II vise à contribuer à sa mise en œuvre dans 15 pays partenaires, en favorisant l’évolution des politiques publiques sectorielles et l’adoption de pratiques productives conciliant biodiversité et développement. </w:t>
      </w:r>
    </w:p>
    <w:p w14:paraId="017765B0"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La phase II est structurée autour de trois objectifs spécifiques complémentaires :</w:t>
      </w:r>
    </w:p>
    <w:p w14:paraId="5C84B247" w14:textId="77777777" w:rsidR="005A40CD" w:rsidRPr="005A40CD" w:rsidRDefault="005A40CD" w:rsidP="005A40CD">
      <w:pPr>
        <w:pStyle w:val="Paragraphedeliste"/>
        <w:numPr>
          <w:ilvl w:val="0"/>
          <w:numId w:val="20"/>
        </w:numPr>
        <w:autoSpaceDE/>
        <w:spacing w:before="120" w:after="120"/>
        <w:contextualSpacing/>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OS 1 - </w:t>
      </w:r>
      <w:proofErr w:type="spellStart"/>
      <w:r w:rsidRPr="005A40CD">
        <w:rPr>
          <w:rFonts w:asciiTheme="minorHAnsi" w:hAnsiTheme="minorHAnsi" w:cs="Times New Roman"/>
          <w:color w:val="auto"/>
          <w:lang w:val="fr-FR" w:eastAsia="en-GB"/>
        </w:rPr>
        <w:t>Accompagner</w:t>
      </w:r>
      <w:proofErr w:type="spellEnd"/>
      <w:r w:rsidRPr="005A40CD">
        <w:rPr>
          <w:rFonts w:asciiTheme="minorHAnsi" w:hAnsiTheme="minorHAnsi" w:cs="Times New Roman"/>
          <w:color w:val="auto"/>
          <w:lang w:val="fr-FR" w:eastAsia="en-GB"/>
        </w:rPr>
        <w:t xml:space="preserve"> les </w:t>
      </w:r>
      <w:proofErr w:type="spellStart"/>
      <w:r w:rsidRPr="005A40CD">
        <w:rPr>
          <w:rFonts w:asciiTheme="minorHAnsi" w:hAnsiTheme="minorHAnsi" w:cs="Times New Roman"/>
          <w:color w:val="auto"/>
          <w:lang w:val="fr-FR" w:eastAsia="en-GB"/>
        </w:rPr>
        <w:t>autorités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publiques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nationales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dans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l’identification</w:t>
      </w:r>
      <w:proofErr w:type="spellEnd"/>
      <w:r w:rsidRPr="005A40CD">
        <w:rPr>
          <w:rFonts w:asciiTheme="minorHAnsi" w:hAnsiTheme="minorHAnsi" w:cs="Times New Roman"/>
          <w:color w:val="auto"/>
          <w:lang w:val="fr-FR" w:eastAsia="en-GB"/>
        </w:rPr>
        <w:t xml:space="preserve"> et </w:t>
      </w:r>
      <w:proofErr w:type="spellStart"/>
      <w:r w:rsidRPr="005A40CD">
        <w:rPr>
          <w:rFonts w:asciiTheme="minorHAnsi" w:hAnsiTheme="minorHAnsi" w:cs="Times New Roman"/>
          <w:color w:val="auto"/>
          <w:lang w:val="fr-FR" w:eastAsia="en-GB"/>
        </w:rPr>
        <w:t>l’évolution</w:t>
      </w:r>
      <w:proofErr w:type="spellEnd"/>
      <w:r w:rsidRPr="005A40CD">
        <w:rPr>
          <w:rFonts w:asciiTheme="minorHAnsi" w:hAnsiTheme="minorHAnsi" w:cs="Times New Roman"/>
          <w:color w:val="auto"/>
          <w:lang w:val="fr-FR" w:eastAsia="en-GB"/>
        </w:rPr>
        <w:t xml:space="preserve"> des instruments de </w:t>
      </w:r>
      <w:proofErr w:type="spellStart"/>
      <w:r w:rsidRPr="005A40CD">
        <w:rPr>
          <w:rFonts w:asciiTheme="minorHAnsi" w:hAnsiTheme="minorHAnsi" w:cs="Times New Roman"/>
          <w:color w:val="auto"/>
          <w:lang w:val="fr-FR" w:eastAsia="en-GB"/>
        </w:rPr>
        <w:t>politiques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publiques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sectorielles</w:t>
      </w:r>
      <w:proofErr w:type="spellEnd"/>
      <w:r w:rsidRPr="005A40CD">
        <w:rPr>
          <w:rFonts w:asciiTheme="minorHAnsi" w:hAnsiTheme="minorHAnsi" w:cs="Times New Roman"/>
          <w:color w:val="auto"/>
          <w:lang w:val="fr-FR" w:eastAsia="en-GB"/>
        </w:rPr>
        <w:t xml:space="preserve"> (IPPS) </w:t>
      </w:r>
      <w:proofErr w:type="spellStart"/>
      <w:r w:rsidRPr="005A40CD">
        <w:rPr>
          <w:rFonts w:asciiTheme="minorHAnsi" w:hAnsiTheme="minorHAnsi" w:cs="Times New Roman"/>
          <w:color w:val="auto"/>
          <w:lang w:val="fr-FR" w:eastAsia="en-GB"/>
        </w:rPr>
        <w:t>afin</w:t>
      </w:r>
      <w:proofErr w:type="spellEnd"/>
      <w:r w:rsidRPr="005A40CD">
        <w:rPr>
          <w:rFonts w:asciiTheme="minorHAnsi" w:hAnsiTheme="minorHAnsi" w:cs="Times New Roman"/>
          <w:color w:val="auto"/>
          <w:lang w:val="fr-FR" w:eastAsia="en-GB"/>
        </w:rPr>
        <w:t xml:space="preserve"> de </w:t>
      </w:r>
      <w:proofErr w:type="spellStart"/>
      <w:r w:rsidRPr="005A40CD">
        <w:rPr>
          <w:rFonts w:asciiTheme="minorHAnsi" w:hAnsiTheme="minorHAnsi" w:cs="Times New Roman"/>
          <w:color w:val="auto"/>
          <w:lang w:val="fr-FR" w:eastAsia="en-GB"/>
        </w:rPr>
        <w:t>mieux</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intégrer</w:t>
      </w:r>
      <w:proofErr w:type="spellEnd"/>
      <w:r w:rsidRPr="005A40CD">
        <w:rPr>
          <w:rFonts w:asciiTheme="minorHAnsi" w:hAnsiTheme="minorHAnsi" w:cs="Times New Roman"/>
          <w:color w:val="auto"/>
          <w:lang w:val="fr-FR" w:eastAsia="en-GB"/>
        </w:rPr>
        <w:t xml:space="preserve"> la </w:t>
      </w:r>
      <w:proofErr w:type="spellStart"/>
      <w:r w:rsidRPr="005A40CD">
        <w:rPr>
          <w:rFonts w:asciiTheme="minorHAnsi" w:hAnsiTheme="minorHAnsi" w:cs="Times New Roman"/>
          <w:color w:val="auto"/>
          <w:lang w:val="fr-FR" w:eastAsia="en-GB"/>
        </w:rPr>
        <w:t>biodiversité</w:t>
      </w:r>
      <w:proofErr w:type="spellEnd"/>
      <w:r w:rsidRPr="005A40CD">
        <w:rPr>
          <w:rFonts w:asciiTheme="minorHAnsi" w:hAnsiTheme="minorHAnsi" w:cs="Times New Roman"/>
          <w:color w:val="auto"/>
          <w:lang w:val="fr-FR" w:eastAsia="en-GB"/>
        </w:rPr>
        <w:t> ;</w:t>
      </w:r>
    </w:p>
    <w:p w14:paraId="69B8477A" w14:textId="77777777" w:rsidR="005A40CD" w:rsidRPr="005A40CD" w:rsidRDefault="005A40CD" w:rsidP="005A40CD">
      <w:pPr>
        <w:pStyle w:val="Paragraphedeliste"/>
        <w:numPr>
          <w:ilvl w:val="0"/>
          <w:numId w:val="20"/>
        </w:numPr>
        <w:autoSpaceDE/>
        <w:spacing w:before="120" w:after="120"/>
        <w:contextualSpacing/>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OS 2 - </w:t>
      </w:r>
      <w:proofErr w:type="spellStart"/>
      <w:r w:rsidRPr="005A40CD">
        <w:rPr>
          <w:rFonts w:asciiTheme="minorHAnsi" w:hAnsiTheme="minorHAnsi" w:cs="Times New Roman"/>
          <w:color w:val="auto"/>
          <w:lang w:val="fr-FR" w:eastAsia="en-GB"/>
        </w:rPr>
        <w:t>Accompagner</w:t>
      </w:r>
      <w:proofErr w:type="spellEnd"/>
      <w:r w:rsidRPr="005A40CD">
        <w:rPr>
          <w:rFonts w:asciiTheme="minorHAnsi" w:hAnsiTheme="minorHAnsi" w:cs="Times New Roman"/>
          <w:color w:val="auto"/>
          <w:lang w:val="fr-FR" w:eastAsia="en-GB"/>
        </w:rPr>
        <w:t xml:space="preserve"> les </w:t>
      </w:r>
      <w:proofErr w:type="spellStart"/>
      <w:r w:rsidRPr="005A40CD">
        <w:rPr>
          <w:rFonts w:asciiTheme="minorHAnsi" w:hAnsiTheme="minorHAnsi" w:cs="Times New Roman"/>
          <w:color w:val="auto"/>
          <w:lang w:val="fr-FR" w:eastAsia="en-GB"/>
        </w:rPr>
        <w:t>acteurs</w:t>
      </w:r>
      <w:proofErr w:type="spellEnd"/>
      <w:r w:rsidRPr="005A40CD">
        <w:rPr>
          <w:rFonts w:asciiTheme="minorHAnsi" w:hAnsiTheme="minorHAnsi" w:cs="Times New Roman"/>
          <w:color w:val="auto"/>
          <w:lang w:val="fr-FR" w:eastAsia="en-GB"/>
        </w:rPr>
        <w:t xml:space="preserve"> de </w:t>
      </w:r>
      <w:proofErr w:type="spellStart"/>
      <w:r w:rsidRPr="005A40CD">
        <w:rPr>
          <w:rFonts w:asciiTheme="minorHAnsi" w:hAnsiTheme="minorHAnsi" w:cs="Times New Roman"/>
          <w:color w:val="auto"/>
          <w:lang w:val="fr-FR" w:eastAsia="en-GB"/>
        </w:rPr>
        <w:t>territoires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pilotes</w:t>
      </w:r>
      <w:proofErr w:type="spellEnd"/>
      <w:r w:rsidRPr="005A40CD">
        <w:rPr>
          <w:rFonts w:asciiTheme="minorHAnsi" w:hAnsiTheme="minorHAnsi" w:cs="Times New Roman"/>
          <w:color w:val="auto"/>
          <w:lang w:val="fr-FR" w:eastAsia="en-GB"/>
        </w:rPr>
        <w:t xml:space="preserve"> (publics, </w:t>
      </w:r>
      <w:proofErr w:type="spellStart"/>
      <w:r w:rsidRPr="005A40CD">
        <w:rPr>
          <w:rFonts w:asciiTheme="minorHAnsi" w:hAnsiTheme="minorHAnsi" w:cs="Times New Roman"/>
          <w:color w:val="auto"/>
          <w:lang w:val="fr-FR" w:eastAsia="en-GB"/>
        </w:rPr>
        <w:t>privés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société</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civile</w:t>
      </w:r>
      <w:proofErr w:type="spellEnd"/>
      <w:r w:rsidRPr="005A40CD">
        <w:rPr>
          <w:rFonts w:asciiTheme="minorHAnsi" w:hAnsiTheme="minorHAnsi" w:cs="Times New Roman"/>
          <w:color w:val="auto"/>
          <w:lang w:val="fr-FR" w:eastAsia="en-GB"/>
        </w:rPr>
        <w:t xml:space="preserve">) à </w:t>
      </w:r>
      <w:proofErr w:type="spellStart"/>
      <w:r w:rsidRPr="005A40CD">
        <w:rPr>
          <w:rFonts w:asciiTheme="minorHAnsi" w:hAnsiTheme="minorHAnsi" w:cs="Times New Roman"/>
          <w:color w:val="auto"/>
          <w:lang w:val="fr-FR" w:eastAsia="en-GB"/>
        </w:rPr>
        <w:t>définir</w:t>
      </w:r>
      <w:proofErr w:type="spellEnd"/>
      <w:r w:rsidRPr="005A40CD">
        <w:rPr>
          <w:rFonts w:asciiTheme="minorHAnsi" w:hAnsiTheme="minorHAnsi" w:cs="Times New Roman"/>
          <w:color w:val="auto"/>
          <w:lang w:val="fr-FR" w:eastAsia="en-GB"/>
        </w:rPr>
        <w:t xml:space="preserve"> et structurer </w:t>
      </w:r>
      <w:proofErr w:type="spellStart"/>
      <w:r w:rsidRPr="005A40CD">
        <w:rPr>
          <w:rFonts w:asciiTheme="minorHAnsi" w:hAnsiTheme="minorHAnsi" w:cs="Times New Roman"/>
          <w:color w:val="auto"/>
          <w:lang w:val="fr-FR" w:eastAsia="en-GB"/>
        </w:rPr>
        <w:t>collectivement</w:t>
      </w:r>
      <w:proofErr w:type="spellEnd"/>
      <w:r w:rsidRPr="005A40CD">
        <w:rPr>
          <w:rFonts w:asciiTheme="minorHAnsi" w:hAnsiTheme="minorHAnsi" w:cs="Times New Roman"/>
          <w:color w:val="auto"/>
          <w:lang w:val="fr-FR" w:eastAsia="en-GB"/>
        </w:rPr>
        <w:t xml:space="preserve"> des actions </w:t>
      </w:r>
      <w:proofErr w:type="spellStart"/>
      <w:r w:rsidRPr="005A40CD">
        <w:rPr>
          <w:rFonts w:asciiTheme="minorHAnsi" w:hAnsiTheme="minorHAnsi" w:cs="Times New Roman"/>
          <w:color w:val="auto"/>
          <w:lang w:val="fr-FR" w:eastAsia="en-GB"/>
        </w:rPr>
        <w:t>concrètes</w:t>
      </w:r>
      <w:proofErr w:type="spellEnd"/>
      <w:r w:rsidRPr="005A40CD">
        <w:rPr>
          <w:rFonts w:asciiTheme="minorHAnsi" w:hAnsiTheme="minorHAnsi" w:cs="Times New Roman"/>
          <w:color w:val="auto"/>
          <w:lang w:val="fr-FR" w:eastAsia="en-GB"/>
        </w:rPr>
        <w:t xml:space="preserve"> de transition </w:t>
      </w:r>
      <w:proofErr w:type="spellStart"/>
      <w:r w:rsidRPr="005A40CD">
        <w:rPr>
          <w:rFonts w:asciiTheme="minorHAnsi" w:hAnsiTheme="minorHAnsi" w:cs="Times New Roman"/>
          <w:color w:val="auto"/>
          <w:lang w:val="fr-FR" w:eastAsia="en-GB"/>
        </w:rPr>
        <w:t>vers</w:t>
      </w:r>
      <w:proofErr w:type="spellEnd"/>
      <w:r w:rsidRPr="005A40CD">
        <w:rPr>
          <w:rFonts w:asciiTheme="minorHAnsi" w:hAnsiTheme="minorHAnsi" w:cs="Times New Roman"/>
          <w:color w:val="auto"/>
          <w:lang w:val="fr-FR" w:eastAsia="en-GB"/>
        </w:rPr>
        <w:t xml:space="preserve"> des </w:t>
      </w:r>
      <w:proofErr w:type="spellStart"/>
      <w:r w:rsidRPr="005A40CD">
        <w:rPr>
          <w:rFonts w:asciiTheme="minorHAnsi" w:hAnsiTheme="minorHAnsi" w:cs="Times New Roman"/>
          <w:color w:val="auto"/>
          <w:lang w:val="fr-FR" w:eastAsia="en-GB"/>
        </w:rPr>
        <w:t>pratiques</w:t>
      </w:r>
      <w:proofErr w:type="spellEnd"/>
      <w:r w:rsidRPr="005A40CD">
        <w:rPr>
          <w:rFonts w:asciiTheme="minorHAnsi" w:hAnsiTheme="minorHAnsi" w:cs="Times New Roman"/>
          <w:color w:val="auto"/>
          <w:lang w:val="fr-FR" w:eastAsia="en-GB"/>
        </w:rPr>
        <w:t xml:space="preserve"> « nature positive » ; </w:t>
      </w:r>
    </w:p>
    <w:p w14:paraId="5D9AF806" w14:textId="77777777" w:rsidR="005A40CD" w:rsidRPr="005A40CD" w:rsidRDefault="005A40CD" w:rsidP="005A40CD">
      <w:pPr>
        <w:pStyle w:val="Paragraphedeliste"/>
        <w:numPr>
          <w:ilvl w:val="0"/>
          <w:numId w:val="20"/>
        </w:numPr>
        <w:autoSpaceDE/>
        <w:spacing w:before="120" w:after="120"/>
        <w:contextualSpacing/>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OS 3 – </w:t>
      </w:r>
      <w:proofErr w:type="spellStart"/>
      <w:r w:rsidRPr="005A40CD">
        <w:rPr>
          <w:rFonts w:asciiTheme="minorHAnsi" w:hAnsiTheme="minorHAnsi" w:cs="Times New Roman"/>
          <w:color w:val="auto"/>
          <w:lang w:val="fr-FR" w:eastAsia="en-GB"/>
        </w:rPr>
        <w:t>Renforcer</w:t>
      </w:r>
      <w:proofErr w:type="spellEnd"/>
      <w:r w:rsidRPr="005A40CD">
        <w:rPr>
          <w:rFonts w:asciiTheme="minorHAnsi" w:hAnsiTheme="minorHAnsi" w:cs="Times New Roman"/>
          <w:color w:val="auto"/>
          <w:lang w:val="fr-FR" w:eastAsia="en-GB"/>
        </w:rPr>
        <w:t xml:space="preserve"> les </w:t>
      </w:r>
      <w:proofErr w:type="spellStart"/>
      <w:r w:rsidRPr="005A40CD">
        <w:rPr>
          <w:rFonts w:asciiTheme="minorHAnsi" w:hAnsiTheme="minorHAnsi" w:cs="Times New Roman"/>
          <w:color w:val="auto"/>
          <w:lang w:val="fr-FR" w:eastAsia="en-GB"/>
        </w:rPr>
        <w:t>capacités</w:t>
      </w:r>
      <w:proofErr w:type="spellEnd"/>
      <w:r w:rsidRPr="005A40CD">
        <w:rPr>
          <w:rFonts w:asciiTheme="minorHAnsi" w:hAnsiTheme="minorHAnsi" w:cs="Times New Roman"/>
          <w:color w:val="auto"/>
          <w:lang w:val="fr-FR" w:eastAsia="en-GB"/>
        </w:rPr>
        <w:t xml:space="preserve"> des </w:t>
      </w:r>
      <w:proofErr w:type="spellStart"/>
      <w:r w:rsidRPr="005A40CD">
        <w:rPr>
          <w:rFonts w:asciiTheme="minorHAnsi" w:hAnsiTheme="minorHAnsi" w:cs="Times New Roman"/>
          <w:color w:val="auto"/>
          <w:lang w:val="fr-FR" w:eastAsia="en-GB"/>
        </w:rPr>
        <w:t>acteurs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favoriser</w:t>
      </w:r>
      <w:proofErr w:type="spellEnd"/>
      <w:r w:rsidRPr="005A40CD">
        <w:rPr>
          <w:rFonts w:asciiTheme="minorHAnsi" w:hAnsiTheme="minorHAnsi" w:cs="Times New Roman"/>
          <w:color w:val="auto"/>
          <w:lang w:val="fr-FR" w:eastAsia="en-GB"/>
        </w:rPr>
        <w:t xml:space="preserve"> la </w:t>
      </w:r>
      <w:proofErr w:type="spellStart"/>
      <w:r w:rsidRPr="005A40CD">
        <w:rPr>
          <w:rFonts w:asciiTheme="minorHAnsi" w:hAnsiTheme="minorHAnsi" w:cs="Times New Roman"/>
          <w:color w:val="auto"/>
          <w:lang w:val="fr-FR" w:eastAsia="en-GB"/>
        </w:rPr>
        <w:t>mobilisation</w:t>
      </w:r>
      <w:proofErr w:type="spellEnd"/>
      <w:r w:rsidRPr="005A40CD">
        <w:rPr>
          <w:rFonts w:asciiTheme="minorHAnsi" w:hAnsiTheme="minorHAnsi" w:cs="Times New Roman"/>
          <w:color w:val="auto"/>
          <w:lang w:val="fr-FR" w:eastAsia="en-GB"/>
        </w:rPr>
        <w:t xml:space="preserve"> des </w:t>
      </w:r>
      <w:proofErr w:type="spellStart"/>
      <w:r w:rsidRPr="005A40CD">
        <w:rPr>
          <w:rFonts w:asciiTheme="minorHAnsi" w:hAnsiTheme="minorHAnsi" w:cs="Times New Roman"/>
          <w:color w:val="auto"/>
          <w:lang w:val="fr-FR" w:eastAsia="en-GB"/>
        </w:rPr>
        <w:t>ressources</w:t>
      </w:r>
      <w:proofErr w:type="spellEnd"/>
      <w:r w:rsidRPr="005A40CD">
        <w:rPr>
          <w:rFonts w:asciiTheme="minorHAnsi" w:hAnsiTheme="minorHAnsi" w:cs="Times New Roman"/>
          <w:color w:val="auto"/>
          <w:lang w:val="fr-FR" w:eastAsia="en-GB"/>
        </w:rPr>
        <w:t xml:space="preserve"> </w:t>
      </w:r>
      <w:proofErr w:type="gramStart"/>
      <w:r w:rsidRPr="005A40CD">
        <w:rPr>
          <w:rFonts w:asciiTheme="minorHAnsi" w:hAnsiTheme="minorHAnsi" w:cs="Times New Roman"/>
          <w:color w:val="auto"/>
          <w:lang w:val="fr-FR" w:eastAsia="en-GB"/>
        </w:rPr>
        <w:t>et</w:t>
      </w:r>
      <w:proofErr w:type="gram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valoriser</w:t>
      </w:r>
      <w:proofErr w:type="spellEnd"/>
      <w:r w:rsidRPr="005A40CD">
        <w:rPr>
          <w:rFonts w:asciiTheme="minorHAnsi" w:hAnsiTheme="minorHAnsi" w:cs="Times New Roman"/>
          <w:color w:val="auto"/>
          <w:lang w:val="fr-FR" w:eastAsia="en-GB"/>
        </w:rPr>
        <w:t xml:space="preserve"> les </w:t>
      </w:r>
      <w:proofErr w:type="spellStart"/>
      <w:r w:rsidRPr="005A40CD">
        <w:rPr>
          <w:rFonts w:asciiTheme="minorHAnsi" w:hAnsiTheme="minorHAnsi" w:cs="Times New Roman"/>
          <w:color w:val="auto"/>
          <w:lang w:val="fr-FR" w:eastAsia="en-GB"/>
        </w:rPr>
        <w:t>résultats</w:t>
      </w:r>
      <w:proofErr w:type="spellEnd"/>
      <w:r w:rsidRPr="005A40CD">
        <w:rPr>
          <w:rFonts w:asciiTheme="minorHAnsi" w:hAnsiTheme="minorHAnsi" w:cs="Times New Roman"/>
          <w:color w:val="auto"/>
          <w:lang w:val="fr-FR" w:eastAsia="en-GB"/>
        </w:rPr>
        <w:t xml:space="preserve"> et </w:t>
      </w:r>
      <w:proofErr w:type="spellStart"/>
      <w:r w:rsidRPr="005A40CD">
        <w:rPr>
          <w:rFonts w:asciiTheme="minorHAnsi" w:hAnsiTheme="minorHAnsi" w:cs="Times New Roman"/>
          <w:color w:val="auto"/>
          <w:lang w:val="fr-FR" w:eastAsia="en-GB"/>
        </w:rPr>
        <w:t>enseignements</w:t>
      </w:r>
      <w:proofErr w:type="spellEnd"/>
      <w:r w:rsidRPr="005A40CD">
        <w:rPr>
          <w:rFonts w:asciiTheme="minorHAnsi" w:hAnsiTheme="minorHAnsi" w:cs="Times New Roman"/>
          <w:color w:val="auto"/>
          <w:lang w:val="fr-FR" w:eastAsia="en-GB"/>
        </w:rPr>
        <w:t xml:space="preserve"> du </w:t>
      </w:r>
      <w:proofErr w:type="spellStart"/>
      <w:r w:rsidRPr="005A40CD">
        <w:rPr>
          <w:rFonts w:asciiTheme="minorHAnsi" w:hAnsiTheme="minorHAnsi" w:cs="Times New Roman"/>
          <w:color w:val="auto"/>
          <w:lang w:val="fr-FR" w:eastAsia="en-GB"/>
        </w:rPr>
        <w:t>projet</w:t>
      </w:r>
      <w:proofErr w:type="spellEnd"/>
      <w:r w:rsidRPr="005A40CD">
        <w:rPr>
          <w:rFonts w:asciiTheme="minorHAnsi" w:hAnsiTheme="minorHAnsi" w:cs="Times New Roman"/>
          <w:color w:val="auto"/>
          <w:lang w:val="fr-FR" w:eastAsia="en-GB"/>
        </w:rPr>
        <w:t xml:space="preserve"> au </w:t>
      </w:r>
      <w:proofErr w:type="spellStart"/>
      <w:r w:rsidRPr="005A40CD">
        <w:rPr>
          <w:rFonts w:asciiTheme="minorHAnsi" w:hAnsiTheme="minorHAnsi" w:cs="Times New Roman"/>
          <w:color w:val="auto"/>
          <w:lang w:val="fr-FR" w:eastAsia="en-GB"/>
        </w:rPr>
        <w:t>niveau</w:t>
      </w:r>
      <w:proofErr w:type="spellEnd"/>
      <w:r w:rsidRPr="005A40CD">
        <w:rPr>
          <w:rFonts w:asciiTheme="minorHAnsi" w:hAnsiTheme="minorHAnsi" w:cs="Times New Roman"/>
          <w:color w:val="auto"/>
          <w:lang w:val="fr-FR" w:eastAsia="en-GB"/>
        </w:rPr>
        <w:t xml:space="preserve"> national et international.</w:t>
      </w:r>
    </w:p>
    <w:p w14:paraId="1D29DCD1"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lastRenderedPageBreak/>
        <w:t>Composante nationale : dialogue et réforme de politiques publiques (OS1)</w:t>
      </w:r>
    </w:p>
    <w:p w14:paraId="6A090136"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Au niveau national, la phase II vise à identifier et faire évoluer 2 à 3 instruments de politiques publiques sectorielles prioritaires (IPPS) par secteur, dans la continuité des secteurs identifiés en phase I. Le processus repose sur :</w:t>
      </w:r>
    </w:p>
    <w:p w14:paraId="768052CD"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La mobilisation des plateformes multipartites (créées ou renforcées en phase I, ou autres cadres existants pertinents),</w:t>
      </w:r>
    </w:p>
    <w:p w14:paraId="33F568AD"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L’animation d’un cycle de dialogue national sur le </w:t>
      </w:r>
      <w:proofErr w:type="spellStart"/>
      <w:r w:rsidRPr="005A40CD">
        <w:rPr>
          <w:rFonts w:asciiTheme="minorHAnsi" w:eastAsia="Times New Roman" w:hAnsiTheme="minorHAnsi" w:cs="Times New Roman"/>
          <w:color w:val="auto"/>
          <w:szCs w:val="22"/>
          <w:lang w:val="fr-FR" w:eastAsia="en-GB"/>
        </w:rPr>
        <w:t>mainstreaming</w:t>
      </w:r>
      <w:proofErr w:type="spellEnd"/>
      <w:r w:rsidRPr="005A40CD">
        <w:rPr>
          <w:rFonts w:asciiTheme="minorHAnsi" w:eastAsia="Times New Roman" w:hAnsiTheme="minorHAnsi" w:cs="Times New Roman"/>
          <w:color w:val="auto"/>
          <w:szCs w:val="22"/>
          <w:lang w:val="fr-FR" w:eastAsia="en-GB"/>
        </w:rPr>
        <w:t xml:space="preserve"> de la biodiversité,</w:t>
      </w:r>
    </w:p>
    <w:p w14:paraId="68BD8565"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La préparation technique du dialogue par les Assistant.es techniques (AT), appuyés par une </w:t>
      </w:r>
      <w:proofErr w:type="spellStart"/>
      <w:r w:rsidRPr="005A40CD">
        <w:rPr>
          <w:rFonts w:asciiTheme="minorHAnsi" w:eastAsia="Times New Roman" w:hAnsiTheme="minorHAnsi" w:cs="Times New Roman"/>
          <w:color w:val="auto"/>
          <w:szCs w:val="22"/>
          <w:lang w:val="fr-FR" w:eastAsia="en-GB"/>
        </w:rPr>
        <w:t>task</w:t>
      </w:r>
      <w:proofErr w:type="spellEnd"/>
      <w:r w:rsidRPr="005A40CD">
        <w:rPr>
          <w:rFonts w:asciiTheme="minorHAnsi" w:eastAsia="Times New Roman" w:hAnsiTheme="minorHAnsi" w:cs="Times New Roman"/>
          <w:color w:val="auto"/>
          <w:szCs w:val="22"/>
          <w:lang w:val="fr-FR" w:eastAsia="en-GB"/>
        </w:rPr>
        <w:t xml:space="preserve"> force nationale composée du Point Focal de la CDB et d’un représentant d’un ministère sectoriel.</w:t>
      </w:r>
    </w:p>
    <w:p w14:paraId="49B357A5" w14:textId="77777777" w:rsidR="005A40CD" w:rsidRPr="005A40CD" w:rsidRDefault="005A40CD" w:rsidP="005A40CD">
      <w:pPr>
        <w:pStyle w:val="LISTE"/>
        <w:numPr>
          <w:ilvl w:val="0"/>
          <w:numId w:val="0"/>
        </w:numPr>
        <w:spacing w:before="240" w:after="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L’objectif est d’aboutir à l’identification de pistes de réforme concrètes permettant d’aligner les instruments avec les engagements du KMGBF.</w:t>
      </w:r>
    </w:p>
    <w:p w14:paraId="00363AA0"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Composante territoriale : projets pilotes de transition (OS2)</w:t>
      </w:r>
    </w:p>
    <w:p w14:paraId="3B73ABE5"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Un atelier national de dialogue est dédié à la sélection d’un territoire pilote par pays. Ce choix repose, dans la mesure du possible, sur les dynamiques et données issues de la phase I (secteurs et territoires déjà mobilisés), d’autres données pertinentes sur la biodiversité et les pressions sectorielles, les priorités nationales et opportunités institutionnelles.</w:t>
      </w:r>
    </w:p>
    <w:p w14:paraId="5F964AA1"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Le projet accompagne les acteurs locaux dans : </w:t>
      </w:r>
    </w:p>
    <w:p w14:paraId="23B9F3EF"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L’identification collective des actions nécessaires pour concilier biodiversité et développement,</w:t>
      </w:r>
    </w:p>
    <w:p w14:paraId="2FCFCB73"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La structuration de projets de transition fondés sur ces priorités, </w:t>
      </w:r>
    </w:p>
    <w:p w14:paraId="51BCDA63"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La mobilisation de financements potentiels pour leur mise en œuvre.</w:t>
      </w:r>
    </w:p>
    <w:p w14:paraId="5512D91C"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Les dialogues territoriaux sont animés par des facilitateurs recrutés par les </w:t>
      </w:r>
      <w:proofErr w:type="spellStart"/>
      <w:r w:rsidRPr="005A40CD">
        <w:rPr>
          <w:rFonts w:asciiTheme="minorHAnsi" w:eastAsia="Times New Roman" w:hAnsiTheme="minorHAnsi" w:cs="Times New Roman"/>
          <w:color w:val="auto"/>
          <w:szCs w:val="22"/>
          <w:lang w:val="fr-FR" w:eastAsia="en-GB"/>
        </w:rPr>
        <w:t>ATs</w:t>
      </w:r>
      <w:proofErr w:type="spellEnd"/>
      <w:r w:rsidRPr="005A40CD">
        <w:rPr>
          <w:rFonts w:asciiTheme="minorHAnsi" w:eastAsia="Times New Roman" w:hAnsiTheme="minorHAnsi" w:cs="Times New Roman"/>
          <w:color w:val="auto"/>
          <w:szCs w:val="22"/>
          <w:lang w:val="fr-FR" w:eastAsia="en-GB"/>
        </w:rPr>
        <w:t xml:space="preserve"> une fois le territoire sélectionné.</w:t>
      </w:r>
    </w:p>
    <w:p w14:paraId="4F1FFC82"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Dans la plupart des pays, les dialogues nationaux et territoriaux sont conduits en parallèle, avec : des ateliers nationaux lancés à partir de mi-2024, et les premiers ateliers territoriaux organisés à partir du premier trimestre 2025.</w:t>
      </w:r>
    </w:p>
    <w:p w14:paraId="1926F24D"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Dimension transversale et internationale (OS3)</w:t>
      </w:r>
    </w:p>
    <w:p w14:paraId="062A3D1B"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Au niveau international, la phase II vise à :</w:t>
      </w:r>
    </w:p>
    <w:p w14:paraId="1D76F314"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Développer une communauté de pratiques entre pays,</w:t>
      </w:r>
    </w:p>
    <w:p w14:paraId="7757F791"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Renforcer les capacités sur le </w:t>
      </w:r>
      <w:proofErr w:type="spellStart"/>
      <w:r w:rsidRPr="005A40CD">
        <w:rPr>
          <w:rFonts w:asciiTheme="minorHAnsi" w:eastAsia="Times New Roman" w:hAnsiTheme="minorHAnsi" w:cs="Times New Roman"/>
          <w:color w:val="auto"/>
          <w:szCs w:val="22"/>
          <w:lang w:val="fr-FR" w:eastAsia="en-GB"/>
        </w:rPr>
        <w:t>mainstreaming</w:t>
      </w:r>
      <w:proofErr w:type="spellEnd"/>
      <w:r w:rsidRPr="005A40CD">
        <w:rPr>
          <w:rFonts w:asciiTheme="minorHAnsi" w:eastAsia="Times New Roman" w:hAnsiTheme="minorHAnsi" w:cs="Times New Roman"/>
          <w:color w:val="auto"/>
          <w:szCs w:val="22"/>
          <w:lang w:val="fr-FR" w:eastAsia="en-GB"/>
        </w:rPr>
        <w:t xml:space="preserve"> de la biodiversité et la mobilisation de financements,</w:t>
      </w:r>
    </w:p>
    <w:p w14:paraId="04C16373"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Valoriser les résultats du projet dans des espaces internationaux stratégiques (COP16 CDB, Congrès Mondial de l'UICN 2025, etc.).</w:t>
      </w:r>
    </w:p>
    <w:p w14:paraId="0A10EA4E"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Ces espaces servent également à accroître la visibilité des initiatives nationales et à attirer de potentiels bailleurs pour les projets territoriaux.</w:t>
      </w:r>
    </w:p>
    <w:p w14:paraId="45F9564D"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p>
    <w:p w14:paraId="0970A902"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La logique d’intervention définie au lancement de la phase II est la suivante :</w:t>
      </w:r>
    </w:p>
    <w:p w14:paraId="42106DD2"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lastRenderedPageBreak/>
        <w:drawing>
          <wp:inline distT="0" distB="0" distL="0" distR="0" wp14:anchorId="273CBAC7" wp14:editId="5FD63344">
            <wp:extent cx="6359525" cy="3768666"/>
            <wp:effectExtent l="0" t="0" r="317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972"/>
                    <a:stretch/>
                  </pic:blipFill>
                  <pic:spPr bwMode="auto">
                    <a:xfrm>
                      <a:off x="0" y="0"/>
                      <a:ext cx="6364161" cy="3771413"/>
                    </a:xfrm>
                    <a:prstGeom prst="rect">
                      <a:avLst/>
                    </a:prstGeom>
                    <a:ln>
                      <a:noFill/>
                    </a:ln>
                    <a:extLst>
                      <a:ext uri="{53640926-AAD7-44D8-BBD7-CCE9431645EC}">
                        <a14:shadowObscured xmlns:a14="http://schemas.microsoft.com/office/drawing/2010/main"/>
                      </a:ext>
                    </a:extLst>
                  </pic:spPr>
                </pic:pic>
              </a:graphicData>
            </a:graphic>
          </wp:inline>
        </w:drawing>
      </w:r>
    </w:p>
    <w:p w14:paraId="0B51DEB2"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Figure 2 Logique d’intervention de BIODEV2030 Phase II</w:t>
      </w:r>
    </w:p>
    <w:p w14:paraId="5ED8F820" w14:textId="77777777" w:rsidR="005A40CD" w:rsidRPr="005A40CD" w:rsidRDefault="005A40CD" w:rsidP="005A40CD">
      <w:pPr>
        <w:pStyle w:val="LISTE"/>
        <w:numPr>
          <w:ilvl w:val="0"/>
          <w:numId w:val="0"/>
        </w:numPr>
        <w:jc w:val="both"/>
        <w:rPr>
          <w:rFonts w:asciiTheme="minorHAnsi" w:eastAsia="Times New Roman" w:hAnsiTheme="minorHAnsi" w:cs="Times New Roman"/>
          <w:color w:val="auto"/>
          <w:szCs w:val="22"/>
          <w:lang w:val="fr-FR" w:eastAsia="en-GB"/>
        </w:rPr>
      </w:pPr>
    </w:p>
    <w:tbl>
      <w:tblPr>
        <w:tblpPr w:leftFromText="141" w:rightFromText="141" w:horzAnchor="margin" w:tblpX="-714" w:tblpY="-569"/>
        <w:tblW w:w="5561" w:type="pct"/>
        <w:tblCellMar>
          <w:left w:w="70" w:type="dxa"/>
          <w:right w:w="70" w:type="dxa"/>
        </w:tblCellMar>
        <w:tblLook w:val="04A0" w:firstRow="1" w:lastRow="0" w:firstColumn="1" w:lastColumn="0" w:noHBand="0" w:noVBand="1"/>
      </w:tblPr>
      <w:tblGrid>
        <w:gridCol w:w="2857"/>
        <w:gridCol w:w="3915"/>
        <w:gridCol w:w="3936"/>
      </w:tblGrid>
      <w:tr w:rsidR="005A40CD" w:rsidRPr="005A40CD" w14:paraId="3FFD7C16" w14:textId="77777777" w:rsidTr="005735F5">
        <w:trPr>
          <w:trHeight w:val="288"/>
          <w:tblHeader/>
        </w:trPr>
        <w:tc>
          <w:tcPr>
            <w:tcW w:w="1334" w:type="pct"/>
            <w:tcBorders>
              <w:left w:val="single" w:sz="4" w:space="0" w:color="auto"/>
              <w:bottom w:val="single" w:sz="4" w:space="0" w:color="auto"/>
              <w:right w:val="single" w:sz="4" w:space="0" w:color="auto"/>
            </w:tcBorders>
            <w:shd w:val="clear" w:color="auto" w:fill="1F3864" w:themeFill="accent5" w:themeFillShade="80"/>
            <w:noWrap/>
            <w:vAlign w:val="center"/>
            <w:hideMark/>
          </w:tcPr>
          <w:p w14:paraId="44B3DCEF"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lastRenderedPageBreak/>
              <w:t>Objectifs spécifiques</w:t>
            </w:r>
          </w:p>
        </w:tc>
        <w:tc>
          <w:tcPr>
            <w:tcW w:w="1828" w:type="pct"/>
            <w:tcBorders>
              <w:left w:val="nil"/>
              <w:bottom w:val="single" w:sz="4" w:space="0" w:color="auto"/>
              <w:right w:val="single" w:sz="4" w:space="0" w:color="auto"/>
            </w:tcBorders>
            <w:shd w:val="clear" w:color="auto" w:fill="1F3864" w:themeFill="accent5" w:themeFillShade="80"/>
            <w:vAlign w:val="center"/>
            <w:hideMark/>
          </w:tcPr>
          <w:p w14:paraId="432F9996"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Résultats </w:t>
            </w:r>
          </w:p>
        </w:tc>
        <w:tc>
          <w:tcPr>
            <w:tcW w:w="1838" w:type="pct"/>
            <w:tcBorders>
              <w:left w:val="nil"/>
              <w:bottom w:val="single" w:sz="4" w:space="0" w:color="auto"/>
              <w:right w:val="single" w:sz="4" w:space="0" w:color="auto"/>
            </w:tcBorders>
            <w:shd w:val="clear" w:color="auto" w:fill="1F3864" w:themeFill="accent5" w:themeFillShade="80"/>
            <w:vAlign w:val="center"/>
            <w:hideMark/>
          </w:tcPr>
          <w:p w14:paraId="1423E464"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Indicateurs </w:t>
            </w:r>
          </w:p>
        </w:tc>
      </w:tr>
      <w:tr w:rsidR="005A40CD" w:rsidRPr="005A40CD" w14:paraId="67462B22" w14:textId="77777777" w:rsidTr="005735F5">
        <w:trPr>
          <w:trHeight w:val="701"/>
          <w:tblHeader/>
        </w:trPr>
        <w:tc>
          <w:tcPr>
            <w:tcW w:w="1334" w:type="pct"/>
            <w:vMerge w:val="restart"/>
            <w:tcBorders>
              <w:top w:val="nil"/>
              <w:left w:val="single" w:sz="4" w:space="0" w:color="auto"/>
              <w:right w:val="single" w:sz="4" w:space="0" w:color="auto"/>
            </w:tcBorders>
            <w:shd w:val="clear" w:color="000000" w:fill="F2F2F2"/>
            <w:hideMark/>
          </w:tcPr>
          <w:p w14:paraId="7A8E34D3"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1. Accompagner les autorités publiques nationales dans leur réforme des politiques publiques sectorielles pour mieux prendre en compte la biodiversité </w:t>
            </w:r>
          </w:p>
          <w:p w14:paraId="3C8D84E1"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w:t>
            </w:r>
          </w:p>
        </w:tc>
        <w:tc>
          <w:tcPr>
            <w:tcW w:w="1828" w:type="pct"/>
            <w:vMerge w:val="restart"/>
            <w:tcBorders>
              <w:top w:val="nil"/>
              <w:left w:val="nil"/>
              <w:right w:val="single" w:sz="4" w:space="0" w:color="auto"/>
            </w:tcBorders>
            <w:shd w:val="clear" w:color="auto" w:fill="auto"/>
            <w:vAlign w:val="center"/>
            <w:hideMark/>
          </w:tcPr>
          <w:p w14:paraId="1C2F79E4"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Des espaces de dialogue multi-acteurs inclusifs sont fonctionnels au niveau national</w:t>
            </w:r>
          </w:p>
        </w:tc>
        <w:tc>
          <w:tcPr>
            <w:tcW w:w="1838" w:type="pct"/>
            <w:tcBorders>
              <w:top w:val="nil"/>
              <w:left w:val="nil"/>
              <w:bottom w:val="single" w:sz="4" w:space="0" w:color="auto"/>
              <w:right w:val="single" w:sz="4" w:space="0" w:color="auto"/>
            </w:tcBorders>
            <w:shd w:val="clear" w:color="auto" w:fill="auto"/>
            <w:vAlign w:val="center"/>
            <w:hideMark/>
          </w:tcPr>
          <w:p w14:paraId="6463E49C"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réunions de dialogue menées</w:t>
            </w:r>
          </w:p>
        </w:tc>
      </w:tr>
      <w:tr w:rsidR="005A40CD" w:rsidRPr="005A40CD" w14:paraId="5E3E3B9A" w14:textId="77777777" w:rsidTr="005735F5">
        <w:trPr>
          <w:trHeight w:val="473"/>
          <w:tblHeader/>
        </w:trPr>
        <w:tc>
          <w:tcPr>
            <w:tcW w:w="1334" w:type="pct"/>
            <w:vMerge/>
            <w:tcBorders>
              <w:left w:val="single" w:sz="4" w:space="0" w:color="auto"/>
              <w:right w:val="single" w:sz="4" w:space="0" w:color="auto"/>
            </w:tcBorders>
            <w:shd w:val="clear" w:color="000000" w:fill="F2F2F2"/>
            <w:hideMark/>
          </w:tcPr>
          <w:p w14:paraId="09F197DD"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tcBorders>
              <w:left w:val="nil"/>
              <w:bottom w:val="single" w:sz="4" w:space="0" w:color="auto"/>
              <w:right w:val="single" w:sz="4" w:space="0" w:color="auto"/>
            </w:tcBorders>
            <w:shd w:val="clear" w:color="auto" w:fill="auto"/>
            <w:vAlign w:val="center"/>
            <w:hideMark/>
          </w:tcPr>
          <w:p w14:paraId="145BAAF7"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38" w:type="pct"/>
            <w:tcBorders>
              <w:top w:val="nil"/>
              <w:left w:val="nil"/>
              <w:bottom w:val="single" w:sz="4" w:space="0" w:color="auto"/>
              <w:right w:val="single" w:sz="4" w:space="0" w:color="auto"/>
            </w:tcBorders>
            <w:shd w:val="clear" w:color="auto" w:fill="auto"/>
            <w:vAlign w:val="center"/>
            <w:hideMark/>
          </w:tcPr>
          <w:p w14:paraId="1BBA899E"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et types d’acteurs présents dans les espaces de dialogue</w:t>
            </w:r>
          </w:p>
        </w:tc>
      </w:tr>
      <w:tr w:rsidR="005A40CD" w:rsidRPr="005A40CD" w14:paraId="40825395" w14:textId="77777777" w:rsidTr="005735F5">
        <w:trPr>
          <w:trHeight w:val="495"/>
          <w:tblHeader/>
        </w:trPr>
        <w:tc>
          <w:tcPr>
            <w:tcW w:w="1334" w:type="pct"/>
            <w:vMerge/>
            <w:tcBorders>
              <w:left w:val="single" w:sz="4" w:space="0" w:color="auto"/>
              <w:right w:val="single" w:sz="4" w:space="0" w:color="auto"/>
            </w:tcBorders>
            <w:shd w:val="clear" w:color="000000" w:fill="F2F2F2"/>
            <w:noWrap/>
            <w:hideMark/>
          </w:tcPr>
          <w:p w14:paraId="14816E8C"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val="restart"/>
            <w:tcBorders>
              <w:top w:val="nil"/>
              <w:left w:val="nil"/>
              <w:right w:val="single" w:sz="4" w:space="0" w:color="auto"/>
            </w:tcBorders>
            <w:shd w:val="clear" w:color="auto" w:fill="auto"/>
            <w:vAlign w:val="center"/>
            <w:hideMark/>
          </w:tcPr>
          <w:p w14:paraId="447A9E0B"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Les principaux instruments de politiques publiques permettant d’appuyer les changements de pratiques productives sont identifiés et partagés auprès des ministères sectoriels et acteurs financiers</w:t>
            </w:r>
          </w:p>
        </w:tc>
        <w:tc>
          <w:tcPr>
            <w:tcW w:w="1838" w:type="pct"/>
            <w:tcBorders>
              <w:top w:val="nil"/>
              <w:left w:val="nil"/>
              <w:bottom w:val="single" w:sz="4" w:space="0" w:color="auto"/>
              <w:right w:val="single" w:sz="4" w:space="0" w:color="auto"/>
            </w:tcBorders>
            <w:shd w:val="clear" w:color="auto" w:fill="auto"/>
            <w:vAlign w:val="center"/>
            <w:hideMark/>
          </w:tcPr>
          <w:p w14:paraId="2F0DD3C7"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 paquets » complets d’instruments de politiques publiques identifiés pour permettre des changements transformatifs</w:t>
            </w:r>
          </w:p>
        </w:tc>
      </w:tr>
      <w:tr w:rsidR="005A40CD" w:rsidRPr="005A40CD" w14:paraId="0731E7D3" w14:textId="77777777" w:rsidTr="005735F5">
        <w:trPr>
          <w:trHeight w:val="494"/>
          <w:tblHeader/>
        </w:trPr>
        <w:tc>
          <w:tcPr>
            <w:tcW w:w="1334" w:type="pct"/>
            <w:vMerge/>
            <w:tcBorders>
              <w:left w:val="single" w:sz="4" w:space="0" w:color="auto"/>
              <w:right w:val="single" w:sz="4" w:space="0" w:color="auto"/>
            </w:tcBorders>
            <w:shd w:val="clear" w:color="000000" w:fill="F2F2F2"/>
            <w:noWrap/>
          </w:tcPr>
          <w:p w14:paraId="62CD503F"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tcBorders>
              <w:left w:val="nil"/>
              <w:bottom w:val="single" w:sz="4" w:space="0" w:color="auto"/>
              <w:right w:val="single" w:sz="4" w:space="0" w:color="auto"/>
            </w:tcBorders>
            <w:shd w:val="clear" w:color="auto" w:fill="auto"/>
            <w:vAlign w:val="center"/>
          </w:tcPr>
          <w:p w14:paraId="798C67E9"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38" w:type="pct"/>
            <w:tcBorders>
              <w:top w:val="nil"/>
              <w:left w:val="nil"/>
              <w:bottom w:val="single" w:sz="4" w:space="0" w:color="auto"/>
              <w:right w:val="single" w:sz="4" w:space="0" w:color="auto"/>
            </w:tcBorders>
            <w:shd w:val="clear" w:color="auto" w:fill="auto"/>
            <w:vAlign w:val="center"/>
          </w:tcPr>
          <w:p w14:paraId="1A7B4C7C"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ministères / institutions / acteurs informés des « paquets » d’instruments de politiques publiques</w:t>
            </w:r>
          </w:p>
        </w:tc>
      </w:tr>
      <w:tr w:rsidR="005A40CD" w:rsidRPr="005A40CD" w14:paraId="1A66CE56" w14:textId="77777777" w:rsidTr="005735F5">
        <w:trPr>
          <w:trHeight w:val="495"/>
          <w:tblHeader/>
        </w:trPr>
        <w:tc>
          <w:tcPr>
            <w:tcW w:w="1334" w:type="pct"/>
            <w:vMerge/>
            <w:tcBorders>
              <w:left w:val="single" w:sz="4" w:space="0" w:color="auto"/>
              <w:right w:val="single" w:sz="4" w:space="0" w:color="auto"/>
            </w:tcBorders>
            <w:shd w:val="clear" w:color="000000" w:fill="F2F2F2"/>
            <w:noWrap/>
            <w:hideMark/>
          </w:tcPr>
          <w:p w14:paraId="209734AA"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val="restart"/>
            <w:tcBorders>
              <w:top w:val="nil"/>
              <w:left w:val="nil"/>
              <w:right w:val="single" w:sz="4" w:space="0" w:color="auto"/>
            </w:tcBorders>
            <w:shd w:val="clear" w:color="auto" w:fill="auto"/>
            <w:vAlign w:val="center"/>
            <w:hideMark/>
          </w:tcPr>
          <w:p w14:paraId="63CC1B46"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Des outils de connaissance du lien entre économie et nature sont produits et partagés</w:t>
            </w:r>
          </w:p>
        </w:tc>
        <w:tc>
          <w:tcPr>
            <w:tcW w:w="1838" w:type="pct"/>
            <w:tcBorders>
              <w:top w:val="nil"/>
              <w:left w:val="nil"/>
              <w:bottom w:val="single" w:sz="4" w:space="0" w:color="auto"/>
              <w:right w:val="single" w:sz="4" w:space="0" w:color="auto"/>
            </w:tcBorders>
            <w:shd w:val="clear" w:color="auto" w:fill="auto"/>
            <w:vAlign w:val="center"/>
            <w:hideMark/>
          </w:tcPr>
          <w:p w14:paraId="283F2B24"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d’outils et produits de connaissances élaborés avec le soutien du projet</w:t>
            </w:r>
          </w:p>
        </w:tc>
      </w:tr>
      <w:tr w:rsidR="005A40CD" w:rsidRPr="005A40CD" w14:paraId="69CCEBAC" w14:textId="77777777" w:rsidTr="005735F5">
        <w:trPr>
          <w:trHeight w:val="494"/>
          <w:tblHeader/>
        </w:trPr>
        <w:tc>
          <w:tcPr>
            <w:tcW w:w="1334" w:type="pct"/>
            <w:vMerge/>
            <w:tcBorders>
              <w:left w:val="single" w:sz="4" w:space="0" w:color="auto"/>
              <w:bottom w:val="nil"/>
              <w:right w:val="single" w:sz="4" w:space="0" w:color="auto"/>
            </w:tcBorders>
            <w:shd w:val="clear" w:color="000000" w:fill="F2F2F2"/>
            <w:noWrap/>
          </w:tcPr>
          <w:p w14:paraId="75066CF1"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tcBorders>
              <w:left w:val="nil"/>
              <w:bottom w:val="single" w:sz="4" w:space="0" w:color="auto"/>
              <w:right w:val="single" w:sz="4" w:space="0" w:color="auto"/>
            </w:tcBorders>
            <w:shd w:val="clear" w:color="auto" w:fill="auto"/>
            <w:vAlign w:val="center"/>
          </w:tcPr>
          <w:p w14:paraId="128E4021"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38" w:type="pct"/>
            <w:tcBorders>
              <w:top w:val="nil"/>
              <w:left w:val="nil"/>
              <w:bottom w:val="single" w:sz="4" w:space="0" w:color="auto"/>
              <w:right w:val="single" w:sz="4" w:space="0" w:color="auto"/>
            </w:tcBorders>
            <w:shd w:val="clear" w:color="auto" w:fill="auto"/>
            <w:vAlign w:val="center"/>
          </w:tcPr>
          <w:p w14:paraId="763EFF16"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ministères / institutions informés des produits de connaissance sur le lien économie/nature</w:t>
            </w:r>
          </w:p>
        </w:tc>
      </w:tr>
      <w:tr w:rsidR="005A40CD" w:rsidRPr="005A40CD" w14:paraId="25F409BB" w14:textId="77777777" w:rsidTr="005735F5">
        <w:trPr>
          <w:trHeight w:val="495"/>
          <w:tblHeader/>
        </w:trPr>
        <w:tc>
          <w:tcPr>
            <w:tcW w:w="1334" w:type="pct"/>
            <w:vMerge w:val="restart"/>
            <w:tcBorders>
              <w:top w:val="single" w:sz="4" w:space="0" w:color="auto"/>
              <w:left w:val="single" w:sz="4" w:space="0" w:color="auto"/>
              <w:right w:val="single" w:sz="4" w:space="0" w:color="auto"/>
            </w:tcBorders>
            <w:shd w:val="clear" w:color="000000" w:fill="D9D9D9"/>
            <w:hideMark/>
          </w:tcPr>
          <w:p w14:paraId="757A08E9"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2. Accompagner les acteurs de territoires pilotes (privés, publics, OSC) à définir collectivement des actions pour réduire les pressions sur la biodiversité </w:t>
            </w:r>
          </w:p>
          <w:p w14:paraId="65B4D445"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w:t>
            </w:r>
          </w:p>
          <w:p w14:paraId="65403E32"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w:t>
            </w:r>
          </w:p>
          <w:p w14:paraId="6C9EE9EA"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w:t>
            </w:r>
          </w:p>
        </w:tc>
        <w:tc>
          <w:tcPr>
            <w:tcW w:w="1828" w:type="pct"/>
            <w:vMerge w:val="restart"/>
            <w:tcBorders>
              <w:top w:val="nil"/>
              <w:left w:val="nil"/>
              <w:right w:val="single" w:sz="4" w:space="0" w:color="auto"/>
            </w:tcBorders>
            <w:shd w:val="clear" w:color="auto" w:fill="auto"/>
            <w:vAlign w:val="center"/>
            <w:hideMark/>
          </w:tcPr>
          <w:p w14:paraId="2780A979"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Un territoire pilote, des acteurs prioritaires à mobiliser, enjeux de biodiversité et synergies avec des projets existants, sont identifiés par les plateformes nationales, de manière participative et inclusive, et fondée sur la science</w:t>
            </w:r>
          </w:p>
        </w:tc>
        <w:tc>
          <w:tcPr>
            <w:tcW w:w="1838" w:type="pct"/>
            <w:tcBorders>
              <w:top w:val="nil"/>
              <w:left w:val="nil"/>
              <w:bottom w:val="single" w:sz="4" w:space="0" w:color="auto"/>
              <w:right w:val="single" w:sz="4" w:space="0" w:color="auto"/>
            </w:tcBorders>
            <w:shd w:val="clear" w:color="auto" w:fill="auto"/>
            <w:vAlign w:val="center"/>
            <w:hideMark/>
          </w:tcPr>
          <w:p w14:paraId="0DF25D5A"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territoires pilotes identifiés</w:t>
            </w:r>
          </w:p>
        </w:tc>
      </w:tr>
      <w:tr w:rsidR="005A40CD" w:rsidRPr="005A40CD" w14:paraId="5A1D5C2B" w14:textId="77777777" w:rsidTr="005735F5">
        <w:trPr>
          <w:trHeight w:val="494"/>
          <w:tblHeader/>
        </w:trPr>
        <w:tc>
          <w:tcPr>
            <w:tcW w:w="1334" w:type="pct"/>
            <w:vMerge/>
            <w:tcBorders>
              <w:left w:val="single" w:sz="4" w:space="0" w:color="auto"/>
              <w:right w:val="single" w:sz="4" w:space="0" w:color="auto"/>
            </w:tcBorders>
            <w:shd w:val="clear" w:color="000000" w:fill="D9D9D9"/>
          </w:tcPr>
          <w:p w14:paraId="1E262214"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tcBorders>
              <w:left w:val="nil"/>
              <w:bottom w:val="single" w:sz="4" w:space="0" w:color="auto"/>
              <w:right w:val="single" w:sz="4" w:space="0" w:color="auto"/>
            </w:tcBorders>
            <w:shd w:val="clear" w:color="auto" w:fill="auto"/>
            <w:vAlign w:val="center"/>
          </w:tcPr>
          <w:p w14:paraId="37F61642"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38" w:type="pct"/>
            <w:tcBorders>
              <w:top w:val="nil"/>
              <w:left w:val="nil"/>
              <w:bottom w:val="single" w:sz="4" w:space="0" w:color="auto"/>
              <w:right w:val="single" w:sz="4" w:space="0" w:color="auto"/>
            </w:tcBorders>
            <w:shd w:val="clear" w:color="auto" w:fill="auto"/>
            <w:vAlign w:val="center"/>
          </w:tcPr>
          <w:p w14:paraId="76C0B645"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et types d’acteurs identifiés pour participer au dialogue multi-acteurs</w:t>
            </w:r>
          </w:p>
        </w:tc>
      </w:tr>
      <w:tr w:rsidR="005A40CD" w:rsidRPr="005A40CD" w14:paraId="2335FA6B" w14:textId="77777777" w:rsidTr="005735F5">
        <w:trPr>
          <w:trHeight w:val="495"/>
          <w:tblHeader/>
        </w:trPr>
        <w:tc>
          <w:tcPr>
            <w:tcW w:w="1334" w:type="pct"/>
            <w:vMerge/>
            <w:tcBorders>
              <w:left w:val="single" w:sz="4" w:space="0" w:color="auto"/>
              <w:right w:val="single" w:sz="4" w:space="0" w:color="auto"/>
            </w:tcBorders>
            <w:shd w:val="clear" w:color="000000" w:fill="D9D9D9"/>
            <w:noWrap/>
            <w:hideMark/>
          </w:tcPr>
          <w:p w14:paraId="3365B510"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val="restart"/>
            <w:tcBorders>
              <w:top w:val="nil"/>
              <w:left w:val="nil"/>
              <w:right w:val="single" w:sz="4" w:space="0" w:color="auto"/>
            </w:tcBorders>
            <w:shd w:val="clear" w:color="auto" w:fill="auto"/>
            <w:vAlign w:val="center"/>
            <w:hideMark/>
          </w:tcPr>
          <w:p w14:paraId="5FDFFFAD"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Le dialogue est organisé et facilité au niveau territorial pour définir des actions prioritaires conciliant développement, biodiversité et égalités femmes /hommes</w:t>
            </w:r>
          </w:p>
        </w:tc>
        <w:tc>
          <w:tcPr>
            <w:tcW w:w="1838" w:type="pct"/>
            <w:tcBorders>
              <w:top w:val="nil"/>
              <w:left w:val="nil"/>
              <w:bottom w:val="single" w:sz="4" w:space="0" w:color="auto"/>
              <w:right w:val="single" w:sz="4" w:space="0" w:color="auto"/>
            </w:tcBorders>
            <w:shd w:val="clear" w:color="auto" w:fill="auto"/>
            <w:vAlign w:val="center"/>
            <w:hideMark/>
          </w:tcPr>
          <w:p w14:paraId="2F607A06"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et types d’acteurs présents dans les espaces de dialogue</w:t>
            </w:r>
          </w:p>
        </w:tc>
      </w:tr>
      <w:tr w:rsidR="005A40CD" w:rsidRPr="005A40CD" w14:paraId="33F0068C" w14:textId="77777777" w:rsidTr="005735F5">
        <w:trPr>
          <w:trHeight w:val="494"/>
          <w:tblHeader/>
        </w:trPr>
        <w:tc>
          <w:tcPr>
            <w:tcW w:w="1334" w:type="pct"/>
            <w:vMerge/>
            <w:tcBorders>
              <w:left w:val="single" w:sz="4" w:space="0" w:color="auto"/>
              <w:right w:val="single" w:sz="4" w:space="0" w:color="auto"/>
            </w:tcBorders>
            <w:shd w:val="clear" w:color="000000" w:fill="D9D9D9"/>
            <w:noWrap/>
          </w:tcPr>
          <w:p w14:paraId="68D4A439"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vMerge/>
            <w:tcBorders>
              <w:left w:val="nil"/>
              <w:bottom w:val="single" w:sz="4" w:space="0" w:color="auto"/>
              <w:right w:val="single" w:sz="4" w:space="0" w:color="auto"/>
            </w:tcBorders>
            <w:shd w:val="clear" w:color="auto" w:fill="auto"/>
            <w:vAlign w:val="center"/>
          </w:tcPr>
          <w:p w14:paraId="40AD183E"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38" w:type="pct"/>
            <w:tcBorders>
              <w:top w:val="nil"/>
              <w:left w:val="nil"/>
              <w:bottom w:val="single" w:sz="4" w:space="0" w:color="auto"/>
              <w:right w:val="single" w:sz="4" w:space="0" w:color="auto"/>
            </w:tcBorders>
            <w:shd w:val="clear" w:color="auto" w:fill="auto"/>
            <w:vAlign w:val="center"/>
          </w:tcPr>
          <w:p w14:paraId="4B87CDD3"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Perception des parties prenantes du « degré » de conciliation entre biodiversité et développement des actions identifiées </w:t>
            </w:r>
          </w:p>
        </w:tc>
      </w:tr>
      <w:tr w:rsidR="005A40CD" w:rsidRPr="005A40CD" w14:paraId="16AE8F55" w14:textId="77777777" w:rsidTr="005735F5">
        <w:trPr>
          <w:trHeight w:val="698"/>
          <w:tblHeader/>
        </w:trPr>
        <w:tc>
          <w:tcPr>
            <w:tcW w:w="1334" w:type="pct"/>
            <w:vMerge/>
            <w:tcBorders>
              <w:left w:val="single" w:sz="4" w:space="0" w:color="auto"/>
              <w:bottom w:val="single" w:sz="4" w:space="0" w:color="auto"/>
              <w:right w:val="single" w:sz="4" w:space="0" w:color="auto"/>
            </w:tcBorders>
            <w:shd w:val="clear" w:color="000000" w:fill="D9D9D9"/>
            <w:noWrap/>
            <w:hideMark/>
          </w:tcPr>
          <w:p w14:paraId="1A37FC1B"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tcBorders>
              <w:top w:val="nil"/>
              <w:left w:val="nil"/>
              <w:bottom w:val="single" w:sz="4" w:space="0" w:color="auto"/>
              <w:right w:val="single" w:sz="4" w:space="0" w:color="auto"/>
            </w:tcBorders>
            <w:shd w:val="clear" w:color="auto" w:fill="auto"/>
            <w:vAlign w:val="center"/>
            <w:hideMark/>
          </w:tcPr>
          <w:p w14:paraId="70CF6A14"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Dans ce territoire, des projets à fort impact positif sur la biodiversité sont construits et prêts à être financés</w:t>
            </w:r>
          </w:p>
        </w:tc>
        <w:tc>
          <w:tcPr>
            <w:tcW w:w="1838" w:type="pct"/>
            <w:tcBorders>
              <w:top w:val="nil"/>
              <w:left w:val="nil"/>
              <w:bottom w:val="single" w:sz="4" w:space="0" w:color="auto"/>
              <w:right w:val="single" w:sz="4" w:space="0" w:color="auto"/>
            </w:tcBorders>
            <w:shd w:val="clear" w:color="auto" w:fill="auto"/>
            <w:vAlign w:val="center"/>
            <w:hideMark/>
          </w:tcPr>
          <w:p w14:paraId="60256C09"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d’actions identifiées</w:t>
            </w:r>
          </w:p>
        </w:tc>
      </w:tr>
      <w:tr w:rsidR="005A40CD" w:rsidRPr="005A40CD" w14:paraId="333DC3C6" w14:textId="77777777" w:rsidTr="005735F5">
        <w:trPr>
          <w:trHeight w:val="518"/>
          <w:tblHeader/>
        </w:trPr>
        <w:tc>
          <w:tcPr>
            <w:tcW w:w="1334" w:type="pct"/>
            <w:vMerge w:val="restart"/>
            <w:tcBorders>
              <w:top w:val="single" w:sz="4" w:space="0" w:color="auto"/>
              <w:left w:val="single" w:sz="4" w:space="0" w:color="auto"/>
              <w:right w:val="single" w:sz="4" w:space="0" w:color="auto"/>
            </w:tcBorders>
            <w:shd w:val="clear" w:color="000000" w:fill="F2F2F2"/>
            <w:hideMark/>
          </w:tcPr>
          <w:p w14:paraId="41BD5F3C"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3. Soutenir la mise en œuvre en renforçant les capacités des acteurs locaux et valoriser les résultats et enseignements clés du projet</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14:paraId="18FB52D9"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Les enseignements de la méthode BIODEV2030 sont tirés, enrichis des expériences menées au sein des territoires pilotes</w:t>
            </w:r>
          </w:p>
        </w:tc>
        <w:tc>
          <w:tcPr>
            <w:tcW w:w="1838" w:type="pct"/>
            <w:tcBorders>
              <w:top w:val="single" w:sz="4" w:space="0" w:color="auto"/>
              <w:left w:val="nil"/>
              <w:bottom w:val="single" w:sz="4" w:space="0" w:color="auto"/>
              <w:right w:val="single" w:sz="4" w:space="0" w:color="auto"/>
            </w:tcBorders>
            <w:shd w:val="clear" w:color="auto" w:fill="auto"/>
            <w:vAlign w:val="center"/>
            <w:hideMark/>
          </w:tcPr>
          <w:p w14:paraId="7CA5FE55"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d’ateliers de capitalisation</w:t>
            </w:r>
          </w:p>
          <w:p w14:paraId="071B093B"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produits de capitalisation</w:t>
            </w:r>
          </w:p>
        </w:tc>
      </w:tr>
      <w:tr w:rsidR="005A40CD" w:rsidRPr="005A40CD" w14:paraId="5AEC34DE" w14:textId="77777777" w:rsidTr="005735F5">
        <w:trPr>
          <w:trHeight w:val="20"/>
          <w:tblHeader/>
        </w:trPr>
        <w:tc>
          <w:tcPr>
            <w:tcW w:w="1334" w:type="pct"/>
            <w:vMerge/>
            <w:tcBorders>
              <w:left w:val="single" w:sz="4" w:space="0" w:color="auto"/>
              <w:right w:val="single" w:sz="4" w:space="0" w:color="auto"/>
            </w:tcBorders>
            <w:shd w:val="clear" w:color="000000" w:fill="F2F2F2"/>
            <w:noWrap/>
            <w:hideMark/>
          </w:tcPr>
          <w:p w14:paraId="638C4444"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tcBorders>
              <w:top w:val="nil"/>
              <w:left w:val="nil"/>
              <w:bottom w:val="single" w:sz="4" w:space="0" w:color="auto"/>
              <w:right w:val="single" w:sz="4" w:space="0" w:color="auto"/>
            </w:tcBorders>
            <w:shd w:val="clear" w:color="auto" w:fill="auto"/>
            <w:vAlign w:val="center"/>
            <w:hideMark/>
          </w:tcPr>
          <w:p w14:paraId="1723CD88"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Les capacités des autorités nationales et des </w:t>
            </w:r>
            <w:proofErr w:type="spellStart"/>
            <w:r w:rsidRPr="005A40CD">
              <w:rPr>
                <w:rFonts w:asciiTheme="minorHAnsi" w:eastAsia="Times New Roman" w:hAnsiTheme="minorHAnsi" w:cs="Times New Roman"/>
                <w:color w:val="auto"/>
                <w:sz w:val="22"/>
                <w:szCs w:val="22"/>
                <w:lang w:eastAsia="en-GB"/>
              </w:rPr>
              <w:t>ATs</w:t>
            </w:r>
            <w:proofErr w:type="spellEnd"/>
            <w:r w:rsidRPr="005A40CD">
              <w:rPr>
                <w:rFonts w:asciiTheme="minorHAnsi" w:eastAsia="Times New Roman" w:hAnsiTheme="minorHAnsi" w:cs="Times New Roman"/>
                <w:color w:val="auto"/>
                <w:sz w:val="22"/>
                <w:szCs w:val="22"/>
                <w:lang w:eastAsia="en-GB"/>
              </w:rPr>
              <w:t xml:space="preserve"> sont renforcées sur les différentes thématiques clés du projet</w:t>
            </w:r>
          </w:p>
        </w:tc>
        <w:tc>
          <w:tcPr>
            <w:tcW w:w="1838" w:type="pct"/>
            <w:tcBorders>
              <w:top w:val="nil"/>
              <w:left w:val="nil"/>
              <w:bottom w:val="single" w:sz="4" w:space="0" w:color="auto"/>
              <w:right w:val="single" w:sz="4" w:space="0" w:color="auto"/>
            </w:tcBorders>
            <w:shd w:val="clear" w:color="auto" w:fill="auto"/>
            <w:vAlign w:val="center"/>
            <w:hideMark/>
          </w:tcPr>
          <w:p w14:paraId="5390924D"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d’ateliers thématiques organisés</w:t>
            </w:r>
          </w:p>
          <w:p w14:paraId="6C498124"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Nombre de personnels des institutions et d’AT formés</w:t>
            </w:r>
          </w:p>
        </w:tc>
      </w:tr>
      <w:tr w:rsidR="005A40CD" w:rsidRPr="005A40CD" w14:paraId="40316969" w14:textId="77777777" w:rsidTr="005735F5">
        <w:trPr>
          <w:trHeight w:val="20"/>
          <w:tblHeader/>
        </w:trPr>
        <w:tc>
          <w:tcPr>
            <w:tcW w:w="1334" w:type="pct"/>
            <w:tcBorders>
              <w:left w:val="single" w:sz="4" w:space="0" w:color="auto"/>
              <w:bottom w:val="single" w:sz="4" w:space="0" w:color="auto"/>
              <w:right w:val="single" w:sz="4" w:space="0" w:color="auto"/>
            </w:tcBorders>
            <w:shd w:val="clear" w:color="000000" w:fill="F2F2F2"/>
            <w:noWrap/>
          </w:tcPr>
          <w:p w14:paraId="32B50CFB"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tc>
        <w:tc>
          <w:tcPr>
            <w:tcW w:w="1828" w:type="pct"/>
            <w:tcBorders>
              <w:top w:val="single" w:sz="4" w:space="0" w:color="auto"/>
              <w:left w:val="nil"/>
              <w:bottom w:val="single" w:sz="4" w:space="0" w:color="auto"/>
              <w:right w:val="single" w:sz="4" w:space="0" w:color="auto"/>
            </w:tcBorders>
            <w:shd w:val="clear" w:color="auto" w:fill="auto"/>
            <w:vAlign w:val="center"/>
          </w:tcPr>
          <w:p w14:paraId="66BFB4F9"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Les résultats du projet sont valorisés, notamment à l’occasion de grands évènements internationaux sur la biodiversité</w:t>
            </w:r>
          </w:p>
        </w:tc>
        <w:tc>
          <w:tcPr>
            <w:tcW w:w="1838" w:type="pct"/>
            <w:tcBorders>
              <w:top w:val="single" w:sz="4" w:space="0" w:color="auto"/>
              <w:left w:val="nil"/>
              <w:bottom w:val="single" w:sz="4" w:space="0" w:color="auto"/>
              <w:right w:val="single" w:sz="4" w:space="0" w:color="auto"/>
            </w:tcBorders>
            <w:shd w:val="clear" w:color="auto" w:fill="auto"/>
            <w:vAlign w:val="center"/>
          </w:tcPr>
          <w:p w14:paraId="638EB2B6"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Nombre d’évènements auxquels le projet participe &amp; nombre de participants </w:t>
            </w:r>
          </w:p>
          <w:p w14:paraId="746ACC6D" w14:textId="77777777" w:rsidR="005A40CD" w:rsidRPr="005A40CD" w:rsidRDefault="005A40CD" w:rsidP="005A40CD">
            <w:pPr>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Nombre de publication sur les réseaux sociaux et nombre d’abonnés </w:t>
            </w:r>
          </w:p>
        </w:tc>
      </w:tr>
    </w:tbl>
    <w:p w14:paraId="42A5A5B4" w14:textId="77777777" w:rsidR="005A40CD" w:rsidRPr="005A40CD" w:rsidRDefault="005A40CD" w:rsidP="005A40CD">
      <w:pPr>
        <w:pStyle w:val="Lgende"/>
        <w:spacing w:line="276" w:lineRule="auto"/>
        <w:jc w:val="both"/>
        <w:rPr>
          <w:rFonts w:asciiTheme="minorHAnsi" w:eastAsia="Times New Roman" w:hAnsiTheme="minorHAnsi" w:cs="Times New Roman"/>
          <w:i w:val="0"/>
          <w:iCs w:val="0"/>
          <w:color w:val="auto"/>
          <w:sz w:val="22"/>
          <w:szCs w:val="22"/>
          <w:lang w:eastAsia="en-GB"/>
        </w:rPr>
      </w:pPr>
      <w:r w:rsidRPr="005A40CD">
        <w:rPr>
          <w:rFonts w:asciiTheme="minorHAnsi" w:eastAsia="Times New Roman" w:hAnsiTheme="minorHAnsi" w:cs="Times New Roman"/>
          <w:i w:val="0"/>
          <w:iCs w:val="0"/>
          <w:color w:val="auto"/>
          <w:sz w:val="22"/>
          <w:szCs w:val="22"/>
          <w:lang w:eastAsia="en-GB"/>
        </w:rPr>
        <w:t xml:space="preserve">Tableau 1 Cadre logique du projet BIODEV2030 Phase II  </w:t>
      </w:r>
    </w:p>
    <w:p w14:paraId="67D2CBF2"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p>
    <w:p w14:paraId="1CE6EFCA"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Modalités institutionnelles et répartition des rôles</w:t>
      </w:r>
    </w:p>
    <w:p w14:paraId="6289C8EF" w14:textId="77777777" w:rsidR="005A40CD" w:rsidRPr="005A40CD" w:rsidRDefault="005A40CD" w:rsidP="005A40CD">
      <w:pPr>
        <w:pStyle w:val="LISTE"/>
        <w:numPr>
          <w:ilvl w:val="0"/>
          <w:numId w:val="0"/>
        </w:numPr>
        <w:spacing w:before="240"/>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La phase II repose sur un pilotage partenarial associant Expertise France, l’UICN-HQ et WWF-France :</w:t>
      </w:r>
    </w:p>
    <w:p w14:paraId="5AEE6DA3"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Expertise France assure le pilotage global du projet, la coordination générale, le suivi contractuel et financier, ainsi que la responsabilité vis-à-vis du bailleur. EF est également en charge de la mise en œuvre de l’objectif spécifique 3 relatif au renforcement des capacités, à la capitalisation, à la </w:t>
      </w:r>
      <w:r w:rsidRPr="005A40CD">
        <w:rPr>
          <w:rFonts w:asciiTheme="minorHAnsi" w:eastAsia="Times New Roman" w:hAnsiTheme="minorHAnsi" w:cs="Times New Roman"/>
          <w:color w:val="auto"/>
          <w:szCs w:val="22"/>
          <w:lang w:val="fr-FR" w:eastAsia="en-GB"/>
        </w:rPr>
        <w:lastRenderedPageBreak/>
        <w:t>valorisation et à l’animation internationale du projet. L’équipe siège mobilisée est composée de 3 personnes : la cheffe de projet, la chargée de suivi administratif et financier, et la chargée de production et valorisation des connaissances. Un chargé de projet transversal du pôle biodiversité complète le suivi du projet en interne.</w:t>
      </w:r>
    </w:p>
    <w:p w14:paraId="07F0E6E0"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UICN-HQ et WWF-France assurent la mise en œuvre opérationnelle des objectifs spécifiques 1 et 2, relatifs à l’accompagnement des réformes des politiques publiques sectorielles et à la structuration des dynamiques territoriales. Ils mobilisent à cette fin leurs bureaux et équipes dans les pays concernés.</w:t>
      </w:r>
    </w:p>
    <w:p w14:paraId="3FD5DEFD"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La mise en œuvre dans chaque pays s’appuie sur des AT/Chefs de </w:t>
      </w:r>
      <w:proofErr w:type="gramStart"/>
      <w:r w:rsidRPr="005A40CD">
        <w:rPr>
          <w:rFonts w:asciiTheme="minorHAnsi" w:eastAsia="Times New Roman" w:hAnsiTheme="minorHAnsi" w:cs="Times New Roman"/>
          <w:color w:val="auto"/>
          <w:sz w:val="22"/>
          <w:szCs w:val="22"/>
          <w:lang w:eastAsia="en-GB"/>
        </w:rPr>
        <w:t>projet nationaux</w:t>
      </w:r>
      <w:proofErr w:type="gramEnd"/>
      <w:r w:rsidRPr="005A40CD">
        <w:rPr>
          <w:rFonts w:asciiTheme="minorHAnsi" w:eastAsia="Times New Roman" w:hAnsiTheme="minorHAnsi" w:cs="Times New Roman"/>
          <w:color w:val="auto"/>
          <w:sz w:val="22"/>
          <w:szCs w:val="22"/>
          <w:lang w:eastAsia="en-GB"/>
        </w:rPr>
        <w:t>, en lien étroit avec les ministères en charge de l’environnement et les Points Focaux nationaux (PFN) de la CDB, ainsi qu’avec les ministères sectoriels concernés.</w:t>
      </w:r>
    </w:p>
    <w:p w14:paraId="0AD871EC"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Etat d’avancement actuel</w:t>
      </w:r>
    </w:p>
    <w:p w14:paraId="2C970E54" w14:textId="77777777" w:rsidR="005A40CD" w:rsidRPr="005A40CD" w:rsidRDefault="005A40CD" w:rsidP="005A40CD">
      <w:pPr>
        <w:spacing w:line="276" w:lineRule="auto"/>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A ce stade du projet : </w:t>
      </w:r>
    </w:p>
    <w:p w14:paraId="3A0D6AB5" w14:textId="77777777" w:rsidR="005A40CD" w:rsidRPr="005A40CD" w:rsidRDefault="005A40CD" w:rsidP="005A40CD">
      <w:pPr>
        <w:pStyle w:val="LISTE"/>
        <w:jc w:val="both"/>
        <w:rPr>
          <w:rFonts w:asciiTheme="minorHAnsi" w:eastAsia="Times New Roman" w:hAnsiTheme="minorHAnsi" w:cs="Times New Roman"/>
          <w:color w:val="auto"/>
          <w:szCs w:val="22"/>
          <w:lang w:val="fr-FR" w:eastAsia="en-GB"/>
        </w:rPr>
      </w:pPr>
      <w:r w:rsidRPr="005A40CD">
        <w:rPr>
          <w:rFonts w:asciiTheme="minorHAnsi" w:eastAsia="Times New Roman" w:hAnsiTheme="minorHAnsi" w:cs="Times New Roman"/>
          <w:color w:val="auto"/>
          <w:szCs w:val="22"/>
          <w:lang w:val="fr-FR" w:eastAsia="en-GB"/>
        </w:rPr>
        <w:t xml:space="preserve">Le dialogue est engagé aux niveaux national et territorial dans les 15 pays du projet </w:t>
      </w:r>
    </w:p>
    <w:p w14:paraId="2FC37274" w14:textId="77777777" w:rsidR="005A40CD" w:rsidRPr="005A40CD" w:rsidRDefault="005A40CD" w:rsidP="005A40CD">
      <w:pPr>
        <w:spacing w:line="276" w:lineRule="auto"/>
        <w:ind w:firstLine="708"/>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Au sein des 15 pays, le degré d’avancement du dialogue varie. Certains pays ont organisé 4 ateliers de dialogue national, d’autres seulement 2. Au niveau territorial, le nombre d’ateliers varie aussi d’un pays à l’autre : deux ou trois selon les pays.</w:t>
      </w:r>
    </w:p>
    <w:p w14:paraId="780A97AA" w14:textId="77777777" w:rsidR="005A40CD" w:rsidRPr="005A40CD" w:rsidRDefault="005A40CD" w:rsidP="005A40CD">
      <w:pPr>
        <w:spacing w:line="276" w:lineRule="auto"/>
        <w:ind w:firstLine="708"/>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Le Bénin, le Viet Nam, et la République du Congo ont commencé le projet plus tard que les autres pays. Le Bénin a cependant « rattrapé » entièrement son « retard » par rapport à la mise en œuvre de BIODEV2030 Phase II dans les 7 autres pays opérés par l’UICN-HQ. Le Viet Nam a également rattrapé son retard en adaptant le plan d’activités et son atelier de clôture a eu lieu fin janvier 2026.</w:t>
      </w:r>
    </w:p>
    <w:p w14:paraId="4969588E" w14:textId="77777777" w:rsidR="005A40CD" w:rsidRPr="005A40CD" w:rsidRDefault="005A40CD" w:rsidP="005A40CD">
      <w:pPr>
        <w:pStyle w:val="Paragraphedeliste"/>
        <w:numPr>
          <w:ilvl w:val="0"/>
          <w:numId w:val="17"/>
        </w:numPr>
        <w:autoSpaceDE/>
        <w:spacing w:before="120" w:after="0"/>
        <w:contextualSpacing/>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Le bureau WWF Guianas, </w:t>
      </w:r>
      <w:proofErr w:type="spellStart"/>
      <w:r w:rsidRPr="005A40CD">
        <w:rPr>
          <w:rFonts w:asciiTheme="minorHAnsi" w:hAnsiTheme="minorHAnsi" w:cs="Times New Roman"/>
          <w:color w:val="auto"/>
          <w:lang w:val="fr-FR" w:eastAsia="en-GB"/>
        </w:rPr>
        <w:t>présent</w:t>
      </w:r>
      <w:proofErr w:type="spellEnd"/>
      <w:r w:rsidRPr="005A40CD">
        <w:rPr>
          <w:rFonts w:asciiTheme="minorHAnsi" w:hAnsiTheme="minorHAnsi" w:cs="Times New Roman"/>
          <w:color w:val="auto"/>
          <w:lang w:val="fr-FR" w:eastAsia="en-GB"/>
        </w:rPr>
        <w:t xml:space="preserve"> au Guyana </w:t>
      </w:r>
      <w:proofErr w:type="gramStart"/>
      <w:r w:rsidRPr="005A40CD">
        <w:rPr>
          <w:rFonts w:asciiTheme="minorHAnsi" w:hAnsiTheme="minorHAnsi" w:cs="Times New Roman"/>
          <w:color w:val="auto"/>
          <w:lang w:val="fr-FR" w:eastAsia="en-GB"/>
        </w:rPr>
        <w:t>et</w:t>
      </w:r>
      <w:proofErr w:type="gramEnd"/>
      <w:r w:rsidRPr="005A40CD">
        <w:rPr>
          <w:rFonts w:asciiTheme="minorHAnsi" w:hAnsiTheme="minorHAnsi" w:cs="Times New Roman"/>
          <w:color w:val="auto"/>
          <w:lang w:val="fr-FR" w:eastAsia="en-GB"/>
        </w:rPr>
        <w:t xml:space="preserve"> au Suriname, a </w:t>
      </w:r>
      <w:proofErr w:type="spellStart"/>
      <w:r w:rsidRPr="005A40CD">
        <w:rPr>
          <w:rFonts w:asciiTheme="minorHAnsi" w:hAnsiTheme="minorHAnsi" w:cs="Times New Roman"/>
          <w:color w:val="auto"/>
          <w:lang w:val="fr-FR" w:eastAsia="en-GB"/>
        </w:rPr>
        <w:t>décidé</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d’organiser</w:t>
      </w:r>
      <w:proofErr w:type="spellEnd"/>
      <w:r w:rsidRPr="005A40CD">
        <w:rPr>
          <w:rFonts w:asciiTheme="minorHAnsi" w:hAnsiTheme="minorHAnsi" w:cs="Times New Roman"/>
          <w:color w:val="auto"/>
          <w:lang w:val="fr-FR" w:eastAsia="en-GB"/>
        </w:rPr>
        <w:t xml:space="preserve"> des ateliers de dialogue </w:t>
      </w:r>
      <w:proofErr w:type="spellStart"/>
      <w:r w:rsidRPr="005A40CD">
        <w:rPr>
          <w:rFonts w:asciiTheme="minorHAnsi" w:hAnsiTheme="minorHAnsi" w:cs="Times New Roman"/>
          <w:color w:val="auto"/>
          <w:lang w:val="fr-FR" w:eastAsia="en-GB"/>
        </w:rPr>
        <w:t>nationaux</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dans</w:t>
      </w:r>
      <w:proofErr w:type="spellEnd"/>
      <w:r w:rsidRPr="005A40CD">
        <w:rPr>
          <w:rFonts w:asciiTheme="minorHAnsi" w:hAnsiTheme="minorHAnsi" w:cs="Times New Roman"/>
          <w:color w:val="auto"/>
          <w:lang w:val="fr-FR" w:eastAsia="en-GB"/>
        </w:rPr>
        <w:t xml:space="preserve"> les </w:t>
      </w:r>
      <w:proofErr w:type="spellStart"/>
      <w:r w:rsidRPr="005A40CD">
        <w:rPr>
          <w:rFonts w:asciiTheme="minorHAnsi" w:hAnsiTheme="minorHAnsi" w:cs="Times New Roman"/>
          <w:color w:val="auto"/>
          <w:lang w:val="fr-FR" w:eastAsia="en-GB"/>
        </w:rPr>
        <w:t>deux</w:t>
      </w:r>
      <w:proofErr w:type="spellEnd"/>
      <w:r w:rsidRPr="005A40CD">
        <w:rPr>
          <w:rFonts w:asciiTheme="minorHAnsi" w:hAnsiTheme="minorHAnsi" w:cs="Times New Roman"/>
          <w:color w:val="auto"/>
          <w:lang w:val="fr-FR" w:eastAsia="en-GB"/>
        </w:rPr>
        <w:t xml:space="preserve"> pays, </w:t>
      </w:r>
      <w:proofErr w:type="spellStart"/>
      <w:r w:rsidRPr="005A40CD">
        <w:rPr>
          <w:rFonts w:asciiTheme="minorHAnsi" w:hAnsiTheme="minorHAnsi" w:cs="Times New Roman"/>
          <w:color w:val="auto"/>
          <w:lang w:val="fr-FR" w:eastAsia="en-GB"/>
        </w:rPr>
        <w:t>ainsi</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qu’un</w:t>
      </w:r>
      <w:proofErr w:type="spellEnd"/>
      <w:r w:rsidRPr="005A40CD">
        <w:rPr>
          <w:rFonts w:asciiTheme="minorHAnsi" w:hAnsiTheme="minorHAnsi" w:cs="Times New Roman"/>
          <w:color w:val="auto"/>
          <w:lang w:val="fr-FR" w:eastAsia="en-GB"/>
        </w:rPr>
        <w:t xml:space="preserve"> atelier </w:t>
      </w:r>
      <w:proofErr w:type="spellStart"/>
      <w:r w:rsidRPr="005A40CD">
        <w:rPr>
          <w:rFonts w:asciiTheme="minorHAnsi" w:hAnsiTheme="minorHAnsi" w:cs="Times New Roman"/>
          <w:color w:val="auto"/>
          <w:lang w:val="fr-FR" w:eastAsia="en-GB"/>
        </w:rPr>
        <w:t>régional</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en</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Guyane</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française</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Néanmoins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seul</w:t>
      </w:r>
      <w:proofErr w:type="spellEnd"/>
      <w:r w:rsidRPr="005A40CD">
        <w:rPr>
          <w:rFonts w:asciiTheme="minorHAnsi" w:hAnsiTheme="minorHAnsi" w:cs="Times New Roman"/>
          <w:color w:val="auto"/>
          <w:lang w:val="fr-FR" w:eastAsia="en-GB"/>
        </w:rPr>
        <w:t xml:space="preserve"> le Guyana </w:t>
      </w:r>
      <w:proofErr w:type="spellStart"/>
      <w:r w:rsidRPr="005A40CD">
        <w:rPr>
          <w:rFonts w:asciiTheme="minorHAnsi" w:hAnsiTheme="minorHAnsi" w:cs="Times New Roman"/>
          <w:color w:val="auto"/>
          <w:lang w:val="fr-FR" w:eastAsia="en-GB"/>
        </w:rPr>
        <w:t>organisera</w:t>
      </w:r>
      <w:proofErr w:type="spellEnd"/>
      <w:r w:rsidRPr="005A40CD">
        <w:rPr>
          <w:rFonts w:asciiTheme="minorHAnsi" w:hAnsiTheme="minorHAnsi" w:cs="Times New Roman"/>
          <w:color w:val="auto"/>
          <w:lang w:val="fr-FR" w:eastAsia="en-GB"/>
        </w:rPr>
        <w:t xml:space="preserve"> des ateliers </w:t>
      </w:r>
      <w:proofErr w:type="spellStart"/>
      <w:r w:rsidRPr="005A40CD">
        <w:rPr>
          <w:rFonts w:asciiTheme="minorHAnsi" w:hAnsiTheme="minorHAnsi" w:cs="Times New Roman"/>
          <w:color w:val="auto"/>
          <w:lang w:val="fr-FR" w:eastAsia="en-GB"/>
        </w:rPr>
        <w:t>territoriaux</w:t>
      </w:r>
      <w:proofErr w:type="spellEnd"/>
      <w:r w:rsidRPr="005A40CD">
        <w:rPr>
          <w:rFonts w:asciiTheme="minorHAnsi" w:hAnsiTheme="minorHAnsi" w:cs="Times New Roman"/>
          <w:color w:val="auto"/>
          <w:lang w:val="fr-FR" w:eastAsia="en-GB"/>
        </w:rPr>
        <w:t>.</w:t>
      </w:r>
    </w:p>
    <w:p w14:paraId="69772CE7" w14:textId="77777777" w:rsidR="005A40CD" w:rsidRPr="005A40CD" w:rsidRDefault="005A40CD" w:rsidP="005A40CD">
      <w:pPr>
        <w:pStyle w:val="Paragraphedeliste"/>
        <w:numPr>
          <w:ilvl w:val="0"/>
          <w:numId w:val="17"/>
        </w:numPr>
        <w:autoSpaceDE/>
        <w:spacing w:before="120" w:after="0"/>
        <w:contextualSpacing/>
        <w:jc w:val="both"/>
        <w:rPr>
          <w:rFonts w:asciiTheme="minorHAnsi" w:hAnsiTheme="minorHAnsi" w:cs="Times New Roman"/>
          <w:color w:val="auto"/>
          <w:lang w:val="fr-FR" w:eastAsia="en-GB"/>
        </w:rPr>
      </w:pPr>
      <w:proofErr w:type="gramStart"/>
      <w:r w:rsidRPr="005A40CD">
        <w:rPr>
          <w:rFonts w:asciiTheme="minorHAnsi" w:hAnsiTheme="minorHAnsi" w:cs="Times New Roman"/>
          <w:color w:val="auto"/>
          <w:lang w:val="fr-FR" w:eastAsia="en-GB"/>
        </w:rPr>
        <w:t>Il</w:t>
      </w:r>
      <w:proofErr w:type="gram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est</w:t>
      </w:r>
      <w:proofErr w:type="spellEnd"/>
      <w:r w:rsidRPr="005A40CD">
        <w:rPr>
          <w:rFonts w:asciiTheme="minorHAnsi" w:hAnsiTheme="minorHAnsi" w:cs="Times New Roman"/>
          <w:color w:val="auto"/>
          <w:lang w:val="fr-FR" w:eastAsia="en-GB"/>
        </w:rPr>
        <w:t xml:space="preserve"> par </w:t>
      </w:r>
      <w:proofErr w:type="spellStart"/>
      <w:r w:rsidRPr="005A40CD">
        <w:rPr>
          <w:rFonts w:asciiTheme="minorHAnsi" w:hAnsiTheme="minorHAnsi" w:cs="Times New Roman"/>
          <w:color w:val="auto"/>
          <w:lang w:val="fr-FR" w:eastAsia="en-GB"/>
        </w:rPr>
        <w:t>ailleurs</w:t>
      </w:r>
      <w:proofErr w:type="spellEnd"/>
      <w:r w:rsidRPr="005A40CD">
        <w:rPr>
          <w:rFonts w:asciiTheme="minorHAnsi" w:hAnsiTheme="minorHAnsi" w:cs="Times New Roman"/>
          <w:color w:val="auto"/>
          <w:lang w:val="fr-FR" w:eastAsia="en-GB"/>
        </w:rPr>
        <w:t xml:space="preserve"> important de </w:t>
      </w:r>
      <w:proofErr w:type="spellStart"/>
      <w:r w:rsidRPr="005A40CD">
        <w:rPr>
          <w:rFonts w:asciiTheme="minorHAnsi" w:hAnsiTheme="minorHAnsi" w:cs="Times New Roman"/>
          <w:color w:val="auto"/>
          <w:lang w:val="fr-FR" w:eastAsia="en-GB"/>
        </w:rPr>
        <w:t>noter</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qu’en</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République</w:t>
      </w:r>
      <w:proofErr w:type="spellEnd"/>
      <w:r w:rsidRPr="005A40CD">
        <w:rPr>
          <w:rFonts w:asciiTheme="minorHAnsi" w:hAnsiTheme="minorHAnsi" w:cs="Times New Roman"/>
          <w:color w:val="auto"/>
          <w:lang w:val="fr-FR" w:eastAsia="en-GB"/>
        </w:rPr>
        <w:t xml:space="preserve"> du Congo, le </w:t>
      </w:r>
      <w:proofErr w:type="spellStart"/>
      <w:r w:rsidRPr="005A40CD">
        <w:rPr>
          <w:rFonts w:asciiTheme="minorHAnsi" w:hAnsiTheme="minorHAnsi" w:cs="Times New Roman"/>
          <w:color w:val="auto"/>
          <w:lang w:val="fr-FR" w:eastAsia="en-GB"/>
        </w:rPr>
        <w:t>projet</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est</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mis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en</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œuvre</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selon</w:t>
      </w:r>
      <w:proofErr w:type="spellEnd"/>
      <w:r w:rsidRPr="005A40CD">
        <w:rPr>
          <w:rFonts w:asciiTheme="minorHAnsi" w:hAnsiTheme="minorHAnsi" w:cs="Times New Roman"/>
          <w:color w:val="auto"/>
          <w:lang w:val="fr-FR" w:eastAsia="en-GB"/>
        </w:rPr>
        <w:t xml:space="preserve"> des </w:t>
      </w:r>
      <w:proofErr w:type="spellStart"/>
      <w:r w:rsidRPr="005A40CD">
        <w:rPr>
          <w:rFonts w:asciiTheme="minorHAnsi" w:hAnsiTheme="minorHAnsi" w:cs="Times New Roman"/>
          <w:color w:val="auto"/>
          <w:lang w:val="fr-FR" w:eastAsia="en-GB"/>
        </w:rPr>
        <w:t>modalités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spécifiques</w:t>
      </w:r>
      <w:proofErr w:type="spellEnd"/>
      <w:r w:rsidRPr="005A40CD">
        <w:rPr>
          <w:rFonts w:asciiTheme="minorHAnsi" w:hAnsiTheme="minorHAnsi" w:cs="Times New Roman"/>
          <w:color w:val="auto"/>
          <w:lang w:val="fr-FR" w:eastAsia="en-GB"/>
        </w:rPr>
        <w:t xml:space="preserve"> et dispose de </w:t>
      </w:r>
      <w:proofErr w:type="spellStart"/>
      <w:r w:rsidRPr="005A40CD">
        <w:rPr>
          <w:rFonts w:asciiTheme="minorHAnsi" w:hAnsiTheme="minorHAnsi" w:cs="Times New Roman"/>
          <w:color w:val="auto"/>
          <w:lang w:val="fr-FR" w:eastAsia="en-GB"/>
        </w:rPr>
        <w:t>ses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propres</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objectifs</w:t>
      </w:r>
      <w:proofErr w:type="spellEnd"/>
      <w:r w:rsidRPr="005A40CD">
        <w:rPr>
          <w:rFonts w:asciiTheme="minorHAnsi" w:hAnsiTheme="minorHAnsi" w:cs="Times New Roman"/>
          <w:color w:val="auto"/>
          <w:lang w:val="fr-FR" w:eastAsia="en-GB"/>
        </w:rPr>
        <w:t>.</w:t>
      </w:r>
    </w:p>
    <w:p w14:paraId="1C029AA6" w14:textId="77777777" w:rsidR="005A40CD" w:rsidRPr="005A40CD" w:rsidRDefault="005A40CD" w:rsidP="005A40CD">
      <w:pPr>
        <w:spacing w:line="276" w:lineRule="auto"/>
        <w:ind w:left="36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En termes de livrables, les rapports/fiches suivants ont été produits et utilisés lors des ateliers :</w:t>
      </w:r>
    </w:p>
    <w:p w14:paraId="2AF38808" w14:textId="77777777" w:rsidR="005A40CD" w:rsidRPr="005A40CD" w:rsidRDefault="005A40CD" w:rsidP="005A40CD">
      <w:pPr>
        <w:pStyle w:val="Paragraphedeliste"/>
        <w:numPr>
          <w:ilvl w:val="0"/>
          <w:numId w:val="17"/>
        </w:numPr>
        <w:autoSpaceDE/>
        <w:spacing w:before="120" w:after="0"/>
        <w:contextualSpacing/>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Fiches </w:t>
      </w:r>
      <w:proofErr w:type="spellStart"/>
      <w:r w:rsidRPr="005A40CD">
        <w:rPr>
          <w:rFonts w:asciiTheme="minorHAnsi" w:hAnsiTheme="minorHAnsi" w:cs="Times New Roman"/>
          <w:color w:val="auto"/>
          <w:lang w:val="fr-FR" w:eastAsia="en-GB"/>
        </w:rPr>
        <w:t>d’identification</w:t>
      </w:r>
      <w:proofErr w:type="spellEnd"/>
      <w:r w:rsidRPr="005A40CD">
        <w:rPr>
          <w:rFonts w:asciiTheme="minorHAnsi" w:hAnsiTheme="minorHAnsi" w:cs="Times New Roman"/>
          <w:color w:val="auto"/>
          <w:lang w:val="fr-FR" w:eastAsia="en-GB"/>
        </w:rPr>
        <w:t xml:space="preserve"> des IPPS </w:t>
      </w:r>
      <w:proofErr w:type="spellStart"/>
      <w:r w:rsidRPr="005A40CD">
        <w:rPr>
          <w:rFonts w:asciiTheme="minorHAnsi" w:hAnsiTheme="minorHAnsi" w:cs="Times New Roman"/>
          <w:color w:val="auto"/>
          <w:lang w:val="fr-FR" w:eastAsia="en-GB"/>
        </w:rPr>
        <w:t>produites</w:t>
      </w:r>
      <w:proofErr w:type="spellEnd"/>
      <w:r w:rsidRPr="005A40CD">
        <w:rPr>
          <w:rFonts w:asciiTheme="minorHAnsi" w:hAnsiTheme="minorHAnsi" w:cs="Times New Roman"/>
          <w:color w:val="auto"/>
          <w:lang w:val="fr-FR" w:eastAsia="en-GB"/>
        </w:rPr>
        <w:t xml:space="preserve"> par </w:t>
      </w:r>
      <w:proofErr w:type="spellStart"/>
      <w:r w:rsidRPr="005A40CD">
        <w:rPr>
          <w:rFonts w:asciiTheme="minorHAnsi" w:hAnsiTheme="minorHAnsi" w:cs="Times New Roman"/>
          <w:color w:val="auto"/>
          <w:lang w:val="fr-FR" w:eastAsia="en-GB"/>
        </w:rPr>
        <w:t>Altaï</w:t>
      </w:r>
      <w:proofErr w:type="spellEnd"/>
      <w:r w:rsidRPr="005A40CD">
        <w:rPr>
          <w:rFonts w:asciiTheme="minorHAnsi" w:hAnsiTheme="minorHAnsi" w:cs="Times New Roman"/>
          <w:color w:val="auto"/>
          <w:lang w:val="fr-FR" w:eastAsia="en-GB"/>
        </w:rPr>
        <w:t xml:space="preserve"> pour 14 pays (</w:t>
      </w:r>
      <w:proofErr w:type="spellStart"/>
      <w:r w:rsidRPr="005A40CD">
        <w:rPr>
          <w:rFonts w:asciiTheme="minorHAnsi" w:hAnsiTheme="minorHAnsi" w:cs="Times New Roman"/>
          <w:color w:val="auto"/>
          <w:lang w:val="fr-FR" w:eastAsia="en-GB"/>
        </w:rPr>
        <w:t>sauf</w:t>
      </w:r>
      <w:proofErr w:type="spellEnd"/>
      <w:r w:rsidRPr="005A40CD">
        <w:rPr>
          <w:rFonts w:asciiTheme="minorHAnsi" w:hAnsiTheme="minorHAnsi" w:cs="Times New Roman"/>
          <w:color w:val="auto"/>
          <w:lang w:val="fr-FR" w:eastAsia="en-GB"/>
        </w:rPr>
        <w:t xml:space="preserve"> Congo qui suit </w:t>
      </w:r>
      <w:proofErr w:type="spellStart"/>
      <w:r w:rsidRPr="005A40CD">
        <w:rPr>
          <w:rFonts w:asciiTheme="minorHAnsi" w:hAnsiTheme="minorHAnsi" w:cs="Times New Roman"/>
          <w:color w:val="auto"/>
          <w:lang w:val="fr-FR" w:eastAsia="en-GB"/>
        </w:rPr>
        <w:t>une</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logique</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d’intervention</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particulière</w:t>
      </w:r>
      <w:proofErr w:type="spellEnd"/>
      <w:r w:rsidRPr="005A40CD">
        <w:rPr>
          <w:rFonts w:asciiTheme="minorHAnsi" w:hAnsiTheme="minorHAnsi" w:cs="Times New Roman"/>
          <w:color w:val="auto"/>
          <w:lang w:val="fr-FR" w:eastAsia="en-GB"/>
        </w:rPr>
        <w:t xml:space="preserve">) + 2 </w:t>
      </w:r>
      <w:proofErr w:type="spellStart"/>
      <w:r w:rsidRPr="005A40CD">
        <w:rPr>
          <w:rFonts w:asciiTheme="minorHAnsi" w:hAnsiTheme="minorHAnsi" w:cs="Times New Roman"/>
          <w:color w:val="auto"/>
          <w:lang w:val="fr-FR" w:eastAsia="en-GB"/>
        </w:rPr>
        <w:t>vidéos</w:t>
      </w:r>
      <w:proofErr w:type="spellEnd"/>
      <w:r w:rsidRPr="005A40CD">
        <w:rPr>
          <w:rFonts w:asciiTheme="minorHAnsi" w:hAnsiTheme="minorHAnsi" w:cs="Times New Roman"/>
          <w:color w:val="auto"/>
          <w:lang w:val="fr-FR" w:eastAsia="en-GB"/>
        </w:rPr>
        <w:t xml:space="preserve"> de </w:t>
      </w:r>
      <w:proofErr w:type="spellStart"/>
      <w:r w:rsidRPr="005A40CD">
        <w:rPr>
          <w:rFonts w:asciiTheme="minorHAnsi" w:hAnsiTheme="minorHAnsi" w:cs="Times New Roman"/>
          <w:color w:val="auto"/>
          <w:lang w:val="fr-FR" w:eastAsia="en-GB"/>
        </w:rPr>
        <w:t>présentation</w:t>
      </w:r>
      <w:proofErr w:type="spellEnd"/>
      <w:r w:rsidRPr="005A40CD">
        <w:rPr>
          <w:rFonts w:asciiTheme="minorHAnsi" w:hAnsiTheme="minorHAnsi" w:cs="Times New Roman"/>
          <w:color w:val="auto"/>
          <w:lang w:val="fr-FR" w:eastAsia="en-GB"/>
        </w:rPr>
        <w:t xml:space="preserve"> de </w:t>
      </w:r>
      <w:proofErr w:type="spellStart"/>
      <w:r w:rsidRPr="005A40CD">
        <w:rPr>
          <w:rFonts w:asciiTheme="minorHAnsi" w:hAnsiTheme="minorHAnsi" w:cs="Times New Roman"/>
          <w:color w:val="auto"/>
          <w:lang w:val="fr-FR" w:eastAsia="en-GB"/>
        </w:rPr>
        <w:t>ces</w:t>
      </w:r>
      <w:proofErr w:type="spellEnd"/>
      <w:r w:rsidRPr="005A40CD">
        <w:rPr>
          <w:rFonts w:asciiTheme="minorHAnsi" w:hAnsiTheme="minorHAnsi" w:cs="Times New Roman"/>
          <w:color w:val="auto"/>
          <w:lang w:val="fr-FR" w:eastAsia="en-GB"/>
        </w:rPr>
        <w:t xml:space="preserve"> fiches pour </w:t>
      </w:r>
      <w:proofErr w:type="spellStart"/>
      <w:r w:rsidRPr="005A40CD">
        <w:rPr>
          <w:rFonts w:asciiTheme="minorHAnsi" w:hAnsiTheme="minorHAnsi" w:cs="Times New Roman"/>
          <w:color w:val="auto"/>
          <w:lang w:val="fr-FR" w:eastAsia="en-GB"/>
        </w:rPr>
        <w:t>faciliter</w:t>
      </w:r>
      <w:proofErr w:type="spellEnd"/>
      <w:r w:rsidRPr="005A40CD">
        <w:rPr>
          <w:rFonts w:asciiTheme="minorHAnsi" w:hAnsiTheme="minorHAnsi" w:cs="Times New Roman"/>
          <w:color w:val="auto"/>
          <w:lang w:val="fr-FR" w:eastAsia="en-GB"/>
        </w:rPr>
        <w:t xml:space="preserve"> </w:t>
      </w:r>
      <w:proofErr w:type="spellStart"/>
      <w:r w:rsidRPr="005A40CD">
        <w:rPr>
          <w:rFonts w:asciiTheme="minorHAnsi" w:hAnsiTheme="minorHAnsi" w:cs="Times New Roman"/>
          <w:color w:val="auto"/>
          <w:lang w:val="fr-FR" w:eastAsia="en-GB"/>
        </w:rPr>
        <w:t>leur</w:t>
      </w:r>
      <w:proofErr w:type="spellEnd"/>
      <w:r w:rsidRPr="005A40CD">
        <w:rPr>
          <w:rFonts w:asciiTheme="minorHAnsi" w:hAnsiTheme="minorHAnsi" w:cs="Times New Roman"/>
          <w:color w:val="auto"/>
          <w:lang w:val="fr-FR" w:eastAsia="en-GB"/>
        </w:rPr>
        <w:t xml:space="preserve"> lecture et </w:t>
      </w:r>
      <w:proofErr w:type="spellStart"/>
      <w:r w:rsidRPr="005A40CD">
        <w:rPr>
          <w:rFonts w:asciiTheme="minorHAnsi" w:hAnsiTheme="minorHAnsi" w:cs="Times New Roman"/>
          <w:color w:val="auto"/>
          <w:lang w:val="fr-FR" w:eastAsia="en-GB"/>
        </w:rPr>
        <w:t>interprétation</w:t>
      </w:r>
      <w:proofErr w:type="spellEnd"/>
    </w:p>
    <w:p w14:paraId="5BB65772" w14:textId="77777777" w:rsidR="005A40CD" w:rsidRPr="005A40CD" w:rsidRDefault="005A40CD" w:rsidP="005A40CD">
      <w:pPr>
        <w:pStyle w:val="Paragraphedeliste"/>
        <w:numPr>
          <w:ilvl w:val="0"/>
          <w:numId w:val="17"/>
        </w:numPr>
        <w:autoSpaceDE/>
        <w:spacing w:before="120" w:after="0"/>
        <w:contextualSpacing/>
        <w:jc w:val="both"/>
        <w:rPr>
          <w:rFonts w:asciiTheme="minorHAnsi" w:hAnsiTheme="minorHAnsi" w:cs="Times New Roman"/>
          <w:color w:val="auto"/>
          <w:lang w:val="fr-FR" w:eastAsia="en-GB"/>
        </w:rPr>
      </w:pPr>
      <w:r w:rsidRPr="005A40CD">
        <w:rPr>
          <w:rFonts w:asciiTheme="minorHAnsi" w:hAnsiTheme="minorHAnsi" w:cs="Times New Roman"/>
          <w:color w:val="auto"/>
          <w:lang w:val="fr-FR" w:eastAsia="en-GB"/>
        </w:rPr>
        <w:t xml:space="preserve">Environ 40 policy briefs à </w:t>
      </w:r>
      <w:proofErr w:type="spellStart"/>
      <w:r w:rsidRPr="005A40CD">
        <w:rPr>
          <w:rFonts w:asciiTheme="minorHAnsi" w:hAnsiTheme="minorHAnsi" w:cs="Times New Roman"/>
          <w:color w:val="auto"/>
          <w:lang w:val="fr-FR" w:eastAsia="en-GB"/>
        </w:rPr>
        <w:t>l’échelle</w:t>
      </w:r>
      <w:proofErr w:type="spellEnd"/>
      <w:r w:rsidRPr="005A40CD">
        <w:rPr>
          <w:rFonts w:asciiTheme="minorHAnsi" w:hAnsiTheme="minorHAnsi" w:cs="Times New Roman"/>
          <w:color w:val="auto"/>
          <w:lang w:val="fr-FR" w:eastAsia="en-GB"/>
        </w:rPr>
        <w:t xml:space="preserve"> des 15 pays</w:t>
      </w:r>
    </w:p>
    <w:p w14:paraId="7D45A79F" w14:textId="77777777" w:rsidR="005A40CD" w:rsidRPr="005A40CD" w:rsidRDefault="005A40CD" w:rsidP="005A40CD">
      <w:pPr>
        <w:pStyle w:val="Commentaire"/>
        <w:numPr>
          <w:ilvl w:val="0"/>
          <w:numId w:val="17"/>
        </w:numPr>
        <w:autoSpaceDE/>
        <w:spacing w:before="120" w:after="12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Un article en finalisation sur la méthode BIODEV2030</w:t>
      </w:r>
    </w:p>
    <w:p w14:paraId="743C7E96" w14:textId="77777777" w:rsidR="005A40CD" w:rsidRPr="005A40CD" w:rsidRDefault="005A40CD" w:rsidP="005A40CD">
      <w:pPr>
        <w:pStyle w:val="Commentaire"/>
        <w:numPr>
          <w:ilvl w:val="0"/>
          <w:numId w:val="17"/>
        </w:numPr>
        <w:autoSpaceDE/>
        <w:spacing w:before="120" w:after="12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Une contribution en cours au Clearing House </w:t>
      </w:r>
      <w:proofErr w:type="spellStart"/>
      <w:r w:rsidRPr="005A40CD">
        <w:rPr>
          <w:rFonts w:asciiTheme="minorHAnsi" w:eastAsia="Times New Roman" w:hAnsiTheme="minorHAnsi" w:cs="Times New Roman"/>
          <w:color w:val="auto"/>
          <w:sz w:val="22"/>
          <w:szCs w:val="22"/>
          <w:lang w:eastAsia="en-GB"/>
        </w:rPr>
        <w:t>Mechanism</w:t>
      </w:r>
      <w:proofErr w:type="spellEnd"/>
      <w:r w:rsidRPr="005A40CD">
        <w:rPr>
          <w:rFonts w:asciiTheme="minorHAnsi" w:eastAsia="Times New Roman" w:hAnsiTheme="minorHAnsi" w:cs="Times New Roman"/>
          <w:color w:val="auto"/>
          <w:sz w:val="22"/>
          <w:szCs w:val="22"/>
          <w:lang w:eastAsia="en-GB"/>
        </w:rPr>
        <w:t xml:space="preserve"> de la CDB</w:t>
      </w:r>
    </w:p>
    <w:p w14:paraId="4FD13C33" w14:textId="77777777" w:rsidR="005A40CD" w:rsidRPr="005A40CD" w:rsidRDefault="005A40CD" w:rsidP="005A40CD">
      <w:pPr>
        <w:pStyle w:val="Commentaire"/>
        <w:numPr>
          <w:ilvl w:val="0"/>
          <w:numId w:val="17"/>
        </w:numPr>
        <w:autoSpaceDE/>
        <w:spacing w:before="120" w:after="12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Chartes de dialogue (FR&amp;EN): discutées et approuvées dans la plupart des pays</w:t>
      </w:r>
    </w:p>
    <w:p w14:paraId="28FF462C" w14:textId="77777777" w:rsidR="005A40CD" w:rsidRPr="005A40CD" w:rsidRDefault="005A40CD" w:rsidP="005A40CD">
      <w:pPr>
        <w:pStyle w:val="Commentaire"/>
        <w:numPr>
          <w:ilvl w:val="0"/>
          <w:numId w:val="17"/>
        </w:numPr>
        <w:autoSpaceDE/>
        <w:spacing w:before="120" w:after="12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Participations aux évènements internationaux et </w:t>
      </w:r>
      <w:proofErr w:type="spellStart"/>
      <w:r w:rsidRPr="005A40CD">
        <w:rPr>
          <w:rFonts w:asciiTheme="minorHAnsi" w:eastAsia="Times New Roman" w:hAnsiTheme="minorHAnsi" w:cs="Times New Roman"/>
          <w:color w:val="auto"/>
          <w:sz w:val="22"/>
          <w:szCs w:val="22"/>
          <w:lang w:eastAsia="en-GB"/>
        </w:rPr>
        <w:t>side-events</w:t>
      </w:r>
      <w:proofErr w:type="spellEnd"/>
      <w:r w:rsidRPr="005A40CD">
        <w:rPr>
          <w:rFonts w:asciiTheme="minorHAnsi" w:eastAsia="Times New Roman" w:hAnsiTheme="minorHAnsi" w:cs="Times New Roman"/>
          <w:color w:val="auto"/>
          <w:sz w:val="22"/>
          <w:szCs w:val="22"/>
          <w:lang w:eastAsia="en-GB"/>
        </w:rPr>
        <w:t xml:space="preserve"> correspondants : COP15, COP16, WCC2025, UNOC.</w:t>
      </w:r>
    </w:p>
    <w:p w14:paraId="6433D110" w14:textId="77777777" w:rsidR="005A40CD" w:rsidRPr="005A40CD" w:rsidRDefault="005A40CD" w:rsidP="005A40CD">
      <w:pPr>
        <w:pStyle w:val="Commentaire"/>
        <w:numPr>
          <w:ilvl w:val="0"/>
          <w:numId w:val="17"/>
        </w:numPr>
        <w:autoSpaceDE/>
        <w:spacing w:before="120" w:after="120"/>
        <w:jc w:val="both"/>
        <w:rPr>
          <w:rFonts w:asciiTheme="minorHAnsi" w:eastAsia="Times New Roman" w:hAnsiTheme="minorHAnsi" w:cs="Times New Roman"/>
          <w:color w:val="auto"/>
          <w:sz w:val="22"/>
          <w:szCs w:val="22"/>
          <w:lang w:eastAsia="en-GB"/>
        </w:rPr>
      </w:pPr>
      <w:r w:rsidRPr="005A40CD">
        <w:rPr>
          <w:rFonts w:asciiTheme="minorHAnsi" w:eastAsia="Times New Roman" w:hAnsiTheme="minorHAnsi" w:cs="Times New Roman"/>
          <w:color w:val="auto"/>
          <w:sz w:val="22"/>
          <w:szCs w:val="22"/>
          <w:lang w:eastAsia="en-GB"/>
        </w:rPr>
        <w:t xml:space="preserve">Des supports de formation produits par EF et ses partenaires dans le cadre de la stratégie de renforcement de capacités </w:t>
      </w:r>
    </w:p>
    <w:p w14:paraId="7D1BE211" w14:textId="77777777" w:rsidR="005A40CD" w:rsidRPr="005A40CD" w:rsidRDefault="005A40CD" w:rsidP="005A40CD">
      <w:pPr>
        <w:jc w:val="both"/>
        <w:rPr>
          <w:rFonts w:asciiTheme="minorHAnsi" w:eastAsia="Times New Roman" w:hAnsiTheme="minorHAnsi" w:cs="Times New Roman"/>
          <w:color w:val="auto"/>
          <w:sz w:val="22"/>
          <w:szCs w:val="22"/>
          <w:lang w:eastAsia="en-GB"/>
        </w:rPr>
      </w:pPr>
    </w:p>
    <w:p w14:paraId="35F7CED4" w14:textId="77777777" w:rsidR="00BC25A2" w:rsidRPr="005A40CD" w:rsidRDefault="00BC25A2" w:rsidP="005A40CD">
      <w:pPr>
        <w:jc w:val="both"/>
        <w:rPr>
          <w:rFonts w:asciiTheme="minorHAnsi" w:eastAsia="Times New Roman" w:hAnsiTheme="minorHAnsi" w:cs="Times New Roman"/>
          <w:color w:val="auto"/>
          <w:sz w:val="22"/>
          <w:szCs w:val="22"/>
          <w:lang w:eastAsia="en-GB"/>
        </w:rPr>
      </w:pPr>
    </w:p>
    <w:p w14:paraId="72931E8A" w14:textId="77777777" w:rsidR="00BC25A2" w:rsidRPr="00476456" w:rsidRDefault="00BC25A2" w:rsidP="005A40CD">
      <w:pPr>
        <w:jc w:val="both"/>
        <w:rPr>
          <w:rFonts w:asciiTheme="minorHAnsi" w:hAnsiTheme="minorHAnsi"/>
          <w:b/>
          <w:sz w:val="22"/>
          <w:szCs w:val="22"/>
        </w:rPr>
      </w:pPr>
    </w:p>
    <w:p w14:paraId="2E190097" w14:textId="08BB582A" w:rsidR="00801237" w:rsidRPr="00476456" w:rsidRDefault="00801237" w:rsidP="005A40CD">
      <w:pPr>
        <w:keepNext/>
        <w:numPr>
          <w:ilvl w:val="0"/>
          <w:numId w:val="12"/>
        </w:numPr>
        <w:autoSpaceDE/>
        <w:spacing w:before="240" w:after="120"/>
        <w:ind w:left="357" w:hanging="357"/>
        <w:jc w:val="both"/>
        <w:rPr>
          <w:rFonts w:ascii="Calibri" w:hAnsi="Calibri"/>
          <w:b/>
          <w:smallCaps/>
          <w:u w:val="single"/>
        </w:rPr>
      </w:pPr>
      <w:r w:rsidRPr="00476456">
        <w:rPr>
          <w:rFonts w:ascii="Calibri" w:hAnsi="Calibri"/>
          <w:b/>
          <w:smallCaps/>
          <w:u w:val="single"/>
        </w:rPr>
        <w:lastRenderedPageBreak/>
        <w:t>Objet et caractéristiques principales du projet de contrat</w:t>
      </w:r>
    </w:p>
    <w:p w14:paraId="5ED9D3CE" w14:textId="62541F83" w:rsidR="007C0170" w:rsidRPr="00D31359" w:rsidRDefault="0068165A" w:rsidP="005A40CD">
      <w:pPr>
        <w:jc w:val="both"/>
        <w:rPr>
          <w:rFonts w:ascii="Arial" w:hAnsi="Arial" w:cs="Arial"/>
          <w:color w:val="47A23F"/>
          <w:sz w:val="40"/>
          <w:szCs w:val="42"/>
        </w:rPr>
      </w:pPr>
      <w:r w:rsidRPr="00476456">
        <w:rPr>
          <w:rFonts w:asciiTheme="minorHAnsi" w:hAnsiTheme="minorHAnsi"/>
          <w:sz w:val="22"/>
          <w:szCs w:val="22"/>
        </w:rPr>
        <w:t>L’objet du</w:t>
      </w:r>
      <w:r w:rsidR="007C0170">
        <w:rPr>
          <w:rFonts w:asciiTheme="minorHAnsi" w:hAnsiTheme="minorHAnsi"/>
          <w:b/>
          <w:sz w:val="22"/>
          <w:szCs w:val="22"/>
        </w:rPr>
        <w:t xml:space="preserve"> projet de contrat porte sur l’é</w:t>
      </w:r>
      <w:r w:rsidR="007C0170" w:rsidRPr="007C0170">
        <w:rPr>
          <w:rFonts w:asciiTheme="minorHAnsi" w:hAnsiTheme="minorHAnsi"/>
          <w:b/>
          <w:sz w:val="22"/>
          <w:szCs w:val="22"/>
        </w:rPr>
        <w:t>valuation finale du projet BIODEV2030 phase II</w:t>
      </w:r>
      <w:r w:rsidR="007C0170">
        <w:rPr>
          <w:rFonts w:asciiTheme="minorHAnsi" w:hAnsiTheme="minorHAnsi"/>
          <w:b/>
          <w:sz w:val="22"/>
          <w:szCs w:val="22"/>
        </w:rPr>
        <w:t>.</w:t>
      </w:r>
    </w:p>
    <w:p w14:paraId="10386857" w14:textId="7FFD4C21" w:rsidR="00801237" w:rsidRPr="00476456" w:rsidRDefault="00CF759D" w:rsidP="005A40CD">
      <w:pPr>
        <w:pStyle w:val="Sous-titre"/>
        <w:spacing w:after="240"/>
        <w:jc w:val="both"/>
        <w:rPr>
          <w:rFonts w:asciiTheme="minorHAnsi" w:hAnsiTheme="minorHAnsi"/>
          <w:b w:val="0"/>
          <w:sz w:val="22"/>
          <w:szCs w:val="22"/>
          <w:lang w:val="fr-FR"/>
        </w:rPr>
      </w:pPr>
      <w:r w:rsidRPr="00476456">
        <w:rPr>
          <w:rFonts w:asciiTheme="minorHAnsi" w:hAnsiTheme="minorHAnsi"/>
          <w:b w:val="0"/>
          <w:sz w:val="22"/>
          <w:szCs w:val="22"/>
          <w:lang w:val="fr-FR"/>
        </w:rPr>
        <w:t>Telle</w:t>
      </w:r>
      <w:r w:rsidR="00285514" w:rsidRPr="00476456">
        <w:rPr>
          <w:rFonts w:asciiTheme="minorHAnsi" w:hAnsiTheme="minorHAnsi"/>
          <w:b w:val="0"/>
          <w:sz w:val="22"/>
          <w:szCs w:val="22"/>
          <w:lang w:val="fr-FR"/>
        </w:rPr>
        <w:t xml:space="preserve"> q</w:t>
      </w:r>
      <w:r>
        <w:rPr>
          <w:rFonts w:asciiTheme="minorHAnsi" w:hAnsiTheme="minorHAnsi"/>
          <w:b w:val="0"/>
          <w:sz w:val="22"/>
          <w:szCs w:val="22"/>
          <w:lang w:val="fr-FR"/>
        </w:rPr>
        <w:t xml:space="preserve">ue </w:t>
      </w:r>
      <w:r w:rsidR="008D599F">
        <w:rPr>
          <w:rFonts w:asciiTheme="minorHAnsi" w:hAnsiTheme="minorHAnsi"/>
          <w:b w:val="0"/>
          <w:sz w:val="22"/>
          <w:szCs w:val="22"/>
          <w:lang w:val="fr-FR"/>
        </w:rPr>
        <w:t>définie dans le cahier de charge</w:t>
      </w:r>
      <w:r>
        <w:rPr>
          <w:rFonts w:asciiTheme="minorHAnsi" w:hAnsiTheme="minorHAnsi"/>
          <w:b w:val="0"/>
          <w:sz w:val="22"/>
          <w:szCs w:val="22"/>
          <w:lang w:val="fr-FR"/>
        </w:rPr>
        <w:t xml:space="preserve"> </w:t>
      </w:r>
      <w:r w:rsidR="00285514" w:rsidRPr="00476456">
        <w:rPr>
          <w:rFonts w:asciiTheme="minorHAnsi" w:hAnsiTheme="minorHAnsi"/>
          <w:b w:val="0"/>
          <w:sz w:val="22"/>
          <w:szCs w:val="22"/>
          <w:lang w:val="fr-FR"/>
        </w:rPr>
        <w:t>joint au dossier de consultation</w:t>
      </w:r>
      <w:r w:rsidR="00801237" w:rsidRPr="00476456">
        <w:rPr>
          <w:rFonts w:asciiTheme="minorHAnsi" w:hAnsiTheme="minorHAnsi"/>
          <w:b w:val="0"/>
          <w:sz w:val="22"/>
          <w:szCs w:val="22"/>
          <w:lang w:val="fr-FR"/>
        </w:rPr>
        <w:t>.</w:t>
      </w:r>
    </w:p>
    <w:tbl>
      <w:tblPr>
        <w:tblStyle w:val="Grilledutableau"/>
        <w:tblW w:w="0" w:type="auto"/>
        <w:tblLook w:val="04A0" w:firstRow="1" w:lastRow="0" w:firstColumn="1" w:lastColumn="0" w:noHBand="0" w:noVBand="1"/>
      </w:tblPr>
      <w:tblGrid>
        <w:gridCol w:w="4814"/>
        <w:gridCol w:w="4814"/>
      </w:tblGrid>
      <w:tr w:rsidR="003C019B" w:rsidRPr="00476456" w14:paraId="732C6C3F" w14:textId="77777777" w:rsidTr="003C019B">
        <w:tc>
          <w:tcPr>
            <w:tcW w:w="9628" w:type="dxa"/>
            <w:gridSpan w:val="2"/>
            <w:tcBorders>
              <w:top w:val="nil"/>
              <w:left w:val="nil"/>
              <w:bottom w:val="single" w:sz="4" w:space="0" w:color="auto"/>
              <w:right w:val="nil"/>
            </w:tcBorders>
          </w:tcPr>
          <w:p w14:paraId="68AA953E" w14:textId="21B542BF" w:rsidR="003C019B" w:rsidRPr="00476456" w:rsidRDefault="00476456" w:rsidP="005A40CD">
            <w:pPr>
              <w:jc w:val="both"/>
              <w:rPr>
                <w:rFonts w:asciiTheme="minorHAnsi" w:hAnsiTheme="minorHAnsi"/>
                <w:szCs w:val="22"/>
              </w:rPr>
            </w:pPr>
            <w:r w:rsidRPr="00476456">
              <w:rPr>
                <w:rFonts w:ascii="Calibri" w:hAnsi="Calibri"/>
                <w:b/>
                <w:sz w:val="22"/>
                <w:szCs w:val="22"/>
              </w:rPr>
              <w:t>CARACTERISTIQUES PRINCIPALES DU PROJET DE CONTRAT</w:t>
            </w:r>
          </w:p>
        </w:tc>
      </w:tr>
      <w:tr w:rsidR="001C7CFE" w:rsidRPr="00476456" w14:paraId="7EA76707" w14:textId="77777777" w:rsidTr="00530F37">
        <w:tc>
          <w:tcPr>
            <w:tcW w:w="4814" w:type="dxa"/>
            <w:tcBorders>
              <w:top w:val="single" w:sz="4" w:space="0" w:color="auto"/>
            </w:tcBorders>
            <w:vAlign w:val="center"/>
          </w:tcPr>
          <w:p w14:paraId="0D1C6CC0" w14:textId="77287D23" w:rsidR="001C7CFE" w:rsidRPr="00476456" w:rsidRDefault="001C7CFE" w:rsidP="005A40CD">
            <w:pPr>
              <w:spacing w:before="120" w:after="120"/>
              <w:jc w:val="both"/>
              <w:rPr>
                <w:rFonts w:ascii="Calibri" w:hAnsi="Calibri"/>
                <w:b/>
                <w:sz w:val="22"/>
                <w:szCs w:val="22"/>
              </w:rPr>
            </w:pPr>
            <w:r w:rsidRPr="00476456">
              <w:rPr>
                <w:rFonts w:ascii="Calibri" w:hAnsi="Calibri"/>
                <w:b/>
                <w:sz w:val="22"/>
                <w:szCs w:val="22"/>
              </w:rPr>
              <w:t>Nature des prix</w:t>
            </w:r>
          </w:p>
        </w:tc>
        <w:tc>
          <w:tcPr>
            <w:tcW w:w="4814" w:type="dxa"/>
            <w:tcBorders>
              <w:top w:val="single" w:sz="4" w:space="0" w:color="auto"/>
            </w:tcBorders>
            <w:vAlign w:val="center"/>
          </w:tcPr>
          <w:p w14:paraId="1684C5DD" w14:textId="226C801B" w:rsidR="001C7CFE" w:rsidRPr="00476456" w:rsidRDefault="00AB188D" w:rsidP="005A40CD">
            <w:pPr>
              <w:jc w:val="both"/>
              <w:rPr>
                <w:rFonts w:asciiTheme="minorHAnsi" w:hAnsiTheme="minorHAnsi"/>
                <w:szCs w:val="22"/>
              </w:rPr>
            </w:pPr>
            <w:r>
              <w:rPr>
                <w:rFonts w:asciiTheme="minorHAnsi" w:hAnsiTheme="minorHAnsi"/>
                <w:szCs w:val="22"/>
              </w:rPr>
              <w:t>Prix global</w:t>
            </w:r>
          </w:p>
        </w:tc>
      </w:tr>
      <w:tr w:rsidR="00715EF7" w:rsidRPr="00476456" w14:paraId="038DBCDA" w14:textId="77777777" w:rsidTr="00530F37">
        <w:tc>
          <w:tcPr>
            <w:tcW w:w="4814" w:type="dxa"/>
            <w:vAlign w:val="center"/>
          </w:tcPr>
          <w:p w14:paraId="2FE0E26D" w14:textId="545AC2B8" w:rsidR="00715EF7" w:rsidRPr="00476456" w:rsidRDefault="00715EF7" w:rsidP="005A40CD">
            <w:pPr>
              <w:spacing w:before="120" w:after="120"/>
              <w:jc w:val="both"/>
              <w:rPr>
                <w:rFonts w:ascii="Calibri" w:hAnsi="Calibri"/>
                <w:b/>
                <w:sz w:val="22"/>
                <w:szCs w:val="22"/>
              </w:rPr>
            </w:pPr>
            <w:r w:rsidRPr="00476456">
              <w:rPr>
                <w:rFonts w:ascii="Calibri" w:hAnsi="Calibri"/>
                <w:b/>
                <w:sz w:val="22"/>
                <w:szCs w:val="22"/>
              </w:rPr>
              <w:t xml:space="preserve">Durée </w:t>
            </w:r>
            <w:r w:rsidR="00E27BFC">
              <w:rPr>
                <w:rFonts w:ascii="Calibri" w:hAnsi="Calibri"/>
                <w:b/>
                <w:sz w:val="22"/>
                <w:szCs w:val="22"/>
              </w:rPr>
              <w:t>d’exécution</w:t>
            </w:r>
          </w:p>
        </w:tc>
        <w:tc>
          <w:tcPr>
            <w:tcW w:w="4814" w:type="dxa"/>
            <w:vAlign w:val="center"/>
          </w:tcPr>
          <w:p w14:paraId="615B385A" w14:textId="0A8DDF7D" w:rsidR="00715EF7" w:rsidRPr="00D31CA1" w:rsidRDefault="00CF759D" w:rsidP="006171CA">
            <w:pPr>
              <w:jc w:val="both"/>
              <w:rPr>
                <w:rFonts w:asciiTheme="minorHAnsi" w:hAnsiTheme="minorHAnsi"/>
                <w:color w:val="FF0000"/>
                <w:szCs w:val="22"/>
              </w:rPr>
            </w:pPr>
            <w:r w:rsidRPr="00C92A62">
              <w:rPr>
                <w:rFonts w:asciiTheme="minorHAnsi" w:hAnsiTheme="minorHAnsi"/>
                <w:color w:val="auto"/>
                <w:szCs w:val="22"/>
              </w:rPr>
              <w:t>Trois mois (du 1</w:t>
            </w:r>
            <w:r w:rsidR="00C92A62" w:rsidRPr="00C92A62">
              <w:rPr>
                <w:rFonts w:asciiTheme="minorHAnsi" w:hAnsiTheme="minorHAnsi"/>
                <w:color w:val="auto"/>
                <w:szCs w:val="22"/>
              </w:rPr>
              <w:t>3</w:t>
            </w:r>
            <w:r w:rsidRPr="00C92A62">
              <w:rPr>
                <w:rFonts w:asciiTheme="minorHAnsi" w:hAnsiTheme="minorHAnsi"/>
                <w:color w:val="auto"/>
                <w:szCs w:val="22"/>
              </w:rPr>
              <w:t xml:space="preserve"> avril au 1</w:t>
            </w:r>
            <w:r w:rsidR="006171CA">
              <w:rPr>
                <w:rFonts w:asciiTheme="minorHAnsi" w:hAnsiTheme="minorHAnsi"/>
                <w:color w:val="auto"/>
                <w:szCs w:val="22"/>
              </w:rPr>
              <w:t>7</w:t>
            </w:r>
            <w:bookmarkStart w:id="0" w:name="_GoBack"/>
            <w:bookmarkEnd w:id="0"/>
            <w:r w:rsidRPr="00C92A62">
              <w:rPr>
                <w:rFonts w:asciiTheme="minorHAnsi" w:hAnsiTheme="minorHAnsi"/>
                <w:color w:val="auto"/>
                <w:szCs w:val="22"/>
              </w:rPr>
              <w:t xml:space="preserve"> juillet 2026)</w:t>
            </w:r>
          </w:p>
        </w:tc>
      </w:tr>
      <w:tr w:rsidR="00715EF7" w:rsidRPr="00476456" w14:paraId="20751ACB" w14:textId="77777777" w:rsidTr="00530F37">
        <w:tc>
          <w:tcPr>
            <w:tcW w:w="4814" w:type="dxa"/>
            <w:vAlign w:val="center"/>
          </w:tcPr>
          <w:p w14:paraId="5E40E27B" w14:textId="2A5E62D4" w:rsidR="00715EF7" w:rsidRPr="00476456" w:rsidRDefault="00715EF7" w:rsidP="005A40CD">
            <w:pPr>
              <w:spacing w:before="120" w:after="120"/>
              <w:jc w:val="both"/>
              <w:rPr>
                <w:rFonts w:ascii="Calibri" w:hAnsi="Calibri"/>
                <w:b/>
                <w:sz w:val="22"/>
                <w:szCs w:val="22"/>
              </w:rPr>
            </w:pPr>
            <w:r w:rsidRPr="00476456">
              <w:rPr>
                <w:rFonts w:ascii="Calibri" w:hAnsi="Calibri"/>
                <w:b/>
                <w:sz w:val="22"/>
                <w:szCs w:val="22"/>
              </w:rPr>
              <w:t xml:space="preserve">Montant maximal de l’enveloppe </w:t>
            </w:r>
            <w:r w:rsidR="003C019B" w:rsidRPr="00476456">
              <w:rPr>
                <w:rFonts w:ascii="Calibri" w:hAnsi="Calibri"/>
                <w:b/>
                <w:sz w:val="22"/>
                <w:szCs w:val="22"/>
              </w:rPr>
              <w:t>financière</w:t>
            </w:r>
          </w:p>
        </w:tc>
        <w:tc>
          <w:tcPr>
            <w:tcW w:w="4814" w:type="dxa"/>
            <w:vAlign w:val="center"/>
          </w:tcPr>
          <w:p w14:paraId="7A3D65BE" w14:textId="5371B1D7" w:rsidR="00715EF7" w:rsidRPr="00476456" w:rsidRDefault="00AB188D" w:rsidP="005A40CD">
            <w:pPr>
              <w:jc w:val="both"/>
              <w:rPr>
                <w:rFonts w:asciiTheme="minorHAnsi" w:hAnsiTheme="minorHAnsi"/>
                <w:szCs w:val="22"/>
              </w:rPr>
            </w:pPr>
            <w:r>
              <w:rPr>
                <w:rFonts w:asciiTheme="minorHAnsi" w:hAnsiTheme="minorHAnsi"/>
                <w:szCs w:val="22"/>
              </w:rPr>
              <w:t xml:space="preserve">56 400 </w:t>
            </w:r>
            <w:r w:rsidR="00CF759D">
              <w:rPr>
                <w:rFonts w:asciiTheme="minorHAnsi" w:hAnsiTheme="minorHAnsi"/>
                <w:szCs w:val="22"/>
              </w:rPr>
              <w:t>€HT</w:t>
            </w:r>
          </w:p>
        </w:tc>
      </w:tr>
      <w:tr w:rsidR="003C019B" w:rsidRPr="00476456" w14:paraId="65693162" w14:textId="77777777" w:rsidTr="00530F37">
        <w:tc>
          <w:tcPr>
            <w:tcW w:w="4814" w:type="dxa"/>
            <w:vAlign w:val="center"/>
          </w:tcPr>
          <w:p w14:paraId="368E889D" w14:textId="72191D34" w:rsidR="003C019B" w:rsidRPr="00476456" w:rsidRDefault="003C019B" w:rsidP="005A40CD">
            <w:pPr>
              <w:spacing w:before="120" w:after="120"/>
              <w:jc w:val="both"/>
              <w:rPr>
                <w:rFonts w:ascii="Calibri" w:hAnsi="Calibri"/>
                <w:b/>
                <w:sz w:val="22"/>
                <w:szCs w:val="22"/>
              </w:rPr>
            </w:pPr>
            <w:r w:rsidRPr="00476456">
              <w:rPr>
                <w:rFonts w:ascii="Calibri" w:hAnsi="Calibri"/>
                <w:b/>
                <w:sz w:val="22"/>
                <w:szCs w:val="22"/>
              </w:rPr>
              <w:t>Lieu d’exécution du contrat</w:t>
            </w:r>
          </w:p>
        </w:tc>
        <w:tc>
          <w:tcPr>
            <w:tcW w:w="4814" w:type="dxa"/>
            <w:vAlign w:val="center"/>
          </w:tcPr>
          <w:p w14:paraId="151BC535" w14:textId="7946EAF8" w:rsidR="003C019B" w:rsidRPr="00476456" w:rsidRDefault="00AB188D" w:rsidP="005A40CD">
            <w:pPr>
              <w:jc w:val="both"/>
              <w:rPr>
                <w:rFonts w:asciiTheme="minorHAnsi" w:hAnsiTheme="minorHAnsi"/>
                <w:szCs w:val="22"/>
              </w:rPr>
            </w:pPr>
            <w:r>
              <w:rPr>
                <w:rFonts w:asciiTheme="minorHAnsi" w:hAnsiTheme="minorHAnsi"/>
                <w:szCs w:val="22"/>
              </w:rPr>
              <w:t>A distance, ou à Paris</w:t>
            </w:r>
          </w:p>
        </w:tc>
      </w:tr>
      <w:tr w:rsidR="00530F37" w:rsidRPr="00476456" w14:paraId="791216FB" w14:textId="77777777" w:rsidTr="00530F37">
        <w:tc>
          <w:tcPr>
            <w:tcW w:w="4814" w:type="dxa"/>
            <w:vAlign w:val="center"/>
          </w:tcPr>
          <w:p w14:paraId="7B965BBA" w14:textId="3293299E" w:rsidR="00530F37" w:rsidRPr="00476456" w:rsidRDefault="00530F37" w:rsidP="005A40CD">
            <w:pPr>
              <w:spacing w:before="120" w:after="120"/>
              <w:jc w:val="both"/>
              <w:rPr>
                <w:rFonts w:ascii="Calibri" w:hAnsi="Calibri"/>
                <w:b/>
                <w:sz w:val="22"/>
                <w:szCs w:val="22"/>
              </w:rPr>
            </w:pPr>
            <w:r>
              <w:rPr>
                <w:rFonts w:ascii="Calibri" w:hAnsi="Calibri"/>
                <w:b/>
                <w:sz w:val="22"/>
                <w:szCs w:val="22"/>
              </w:rPr>
              <w:t xml:space="preserve">Devise paiement </w:t>
            </w:r>
          </w:p>
        </w:tc>
        <w:tc>
          <w:tcPr>
            <w:tcW w:w="4814" w:type="dxa"/>
            <w:vAlign w:val="center"/>
          </w:tcPr>
          <w:p w14:paraId="5249ECE6" w14:textId="4BDB28B9" w:rsidR="00530F37" w:rsidRPr="00476456" w:rsidRDefault="00530F37" w:rsidP="005A40CD">
            <w:pPr>
              <w:jc w:val="both"/>
              <w:rPr>
                <w:rFonts w:asciiTheme="minorHAnsi" w:hAnsiTheme="minorHAnsi"/>
                <w:szCs w:val="22"/>
                <w:highlight w:val="yellow"/>
              </w:rPr>
            </w:pPr>
            <w:r w:rsidRPr="00AB188D">
              <w:rPr>
                <w:rFonts w:asciiTheme="minorHAnsi" w:hAnsiTheme="minorHAnsi"/>
                <w:szCs w:val="22"/>
              </w:rPr>
              <w:t>€</w:t>
            </w:r>
            <w:r w:rsidR="00AB188D">
              <w:rPr>
                <w:rFonts w:asciiTheme="minorHAnsi" w:hAnsiTheme="minorHAnsi"/>
                <w:szCs w:val="22"/>
              </w:rPr>
              <w:t xml:space="preserve"> E</w:t>
            </w:r>
            <w:r w:rsidRPr="00AB188D">
              <w:rPr>
                <w:rFonts w:asciiTheme="minorHAnsi" w:hAnsiTheme="minorHAnsi"/>
                <w:szCs w:val="22"/>
              </w:rPr>
              <w:t>uros</w:t>
            </w:r>
          </w:p>
        </w:tc>
      </w:tr>
    </w:tbl>
    <w:p w14:paraId="6675A152" w14:textId="14F8E5CD" w:rsidR="006E6AAF" w:rsidRDefault="00A20CDB" w:rsidP="005A40CD">
      <w:pPr>
        <w:keepNext/>
        <w:numPr>
          <w:ilvl w:val="0"/>
          <w:numId w:val="12"/>
        </w:numPr>
        <w:autoSpaceDE/>
        <w:spacing w:before="240" w:after="120"/>
        <w:ind w:left="357" w:hanging="357"/>
        <w:jc w:val="both"/>
        <w:rPr>
          <w:rFonts w:ascii="Calibri" w:hAnsi="Calibri"/>
          <w:b/>
          <w:smallCaps/>
          <w:u w:val="single"/>
        </w:rPr>
      </w:pPr>
      <w:bookmarkStart w:id="1" w:name="_Ref69726631"/>
      <w:r w:rsidRPr="00476456">
        <w:rPr>
          <w:rFonts w:ascii="Calibri" w:hAnsi="Calibri"/>
          <w:b/>
          <w:smallCaps/>
          <w:u w:val="single"/>
        </w:rPr>
        <w:t>Calendrier de passation</w:t>
      </w:r>
      <w:bookmarkEnd w:id="1"/>
    </w:p>
    <w:p w14:paraId="4CB6000D" w14:textId="77777777" w:rsidR="00603B0F" w:rsidRDefault="00603B0F" w:rsidP="005A40CD">
      <w:pPr>
        <w:keepNext/>
        <w:autoSpaceDE/>
        <w:spacing w:before="240" w:after="120"/>
        <w:jc w:val="both"/>
        <w:rPr>
          <w:rFonts w:ascii="Calibri" w:hAnsi="Calibri"/>
          <w:b/>
          <w:smallCaps/>
          <w:u w:val="single"/>
        </w:rPr>
      </w:pPr>
    </w:p>
    <w:p w14:paraId="7C234D03" w14:textId="77777777" w:rsidR="00603B0F" w:rsidRPr="00476456" w:rsidRDefault="00603B0F" w:rsidP="005A40CD">
      <w:pPr>
        <w:keepNext/>
        <w:autoSpaceDE/>
        <w:spacing w:before="240" w:after="120"/>
        <w:jc w:val="both"/>
        <w:rPr>
          <w:rFonts w:ascii="Calibri" w:hAnsi="Calibri"/>
          <w:b/>
          <w:smallCaps/>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268"/>
        <w:gridCol w:w="2410"/>
      </w:tblGrid>
      <w:tr w:rsidR="006E6AAF" w:rsidRPr="00476456" w14:paraId="3D5E40C6" w14:textId="77777777" w:rsidTr="00AF56CF">
        <w:tc>
          <w:tcPr>
            <w:tcW w:w="4536" w:type="dxa"/>
            <w:tcBorders>
              <w:bottom w:val="nil"/>
            </w:tcBorders>
          </w:tcPr>
          <w:p w14:paraId="49BAC1E5" w14:textId="77777777" w:rsidR="006E6AAF" w:rsidRPr="00476456" w:rsidRDefault="006E6AAF" w:rsidP="005A40CD">
            <w:pPr>
              <w:jc w:val="both"/>
              <w:rPr>
                <w:rFonts w:ascii="Calibri" w:hAnsi="Calibri"/>
                <w:sz w:val="22"/>
                <w:szCs w:val="22"/>
              </w:rPr>
            </w:pPr>
          </w:p>
        </w:tc>
        <w:tc>
          <w:tcPr>
            <w:tcW w:w="2268" w:type="dxa"/>
            <w:shd w:val="pct10" w:color="auto" w:fill="FFFFFF"/>
          </w:tcPr>
          <w:p w14:paraId="1CAD58BE" w14:textId="77777777" w:rsidR="006E6AAF" w:rsidRPr="00C92A62" w:rsidRDefault="006E6AAF" w:rsidP="005A40CD">
            <w:pPr>
              <w:jc w:val="both"/>
              <w:rPr>
                <w:rFonts w:ascii="Calibri" w:hAnsi="Calibri"/>
                <w:b/>
                <w:sz w:val="22"/>
                <w:szCs w:val="22"/>
              </w:rPr>
            </w:pPr>
            <w:r w:rsidRPr="00C92A62">
              <w:rPr>
                <w:rFonts w:ascii="Calibri" w:hAnsi="Calibri"/>
                <w:b/>
                <w:sz w:val="22"/>
                <w:szCs w:val="22"/>
              </w:rPr>
              <w:t>DATE*</w:t>
            </w:r>
          </w:p>
        </w:tc>
        <w:tc>
          <w:tcPr>
            <w:tcW w:w="2410" w:type="dxa"/>
            <w:tcBorders>
              <w:bottom w:val="nil"/>
            </w:tcBorders>
            <w:shd w:val="pct10" w:color="auto" w:fill="FFFFFF"/>
          </w:tcPr>
          <w:p w14:paraId="41322FBD" w14:textId="381D5EB8" w:rsidR="006E6AAF" w:rsidRPr="00C92A62" w:rsidRDefault="00A20CDB" w:rsidP="005A40CD">
            <w:pPr>
              <w:jc w:val="both"/>
              <w:rPr>
                <w:rFonts w:ascii="Calibri" w:hAnsi="Calibri"/>
                <w:b/>
                <w:sz w:val="22"/>
                <w:szCs w:val="22"/>
              </w:rPr>
            </w:pPr>
            <w:r w:rsidRPr="00C92A62">
              <w:rPr>
                <w:rFonts w:ascii="Calibri" w:hAnsi="Calibri"/>
                <w:b/>
                <w:sz w:val="22"/>
                <w:szCs w:val="22"/>
              </w:rPr>
              <w:t>HEUR</w:t>
            </w:r>
            <w:r w:rsidR="003216BF" w:rsidRPr="00C92A62">
              <w:rPr>
                <w:rFonts w:ascii="Calibri" w:hAnsi="Calibri"/>
                <w:b/>
                <w:sz w:val="22"/>
                <w:szCs w:val="22"/>
              </w:rPr>
              <w:t>E</w:t>
            </w:r>
          </w:p>
        </w:tc>
      </w:tr>
      <w:tr w:rsidR="006E6AAF" w:rsidRPr="00476456" w14:paraId="70E16384" w14:textId="77777777" w:rsidTr="00AF56CF">
        <w:tc>
          <w:tcPr>
            <w:tcW w:w="4536" w:type="dxa"/>
            <w:shd w:val="pct10" w:color="auto" w:fill="FFFFFF"/>
          </w:tcPr>
          <w:p w14:paraId="56EFEA42" w14:textId="06769B3D" w:rsidR="006E6AAF" w:rsidRPr="00476456" w:rsidRDefault="00A20CDB" w:rsidP="005A40CD">
            <w:pPr>
              <w:spacing w:before="120" w:after="120"/>
              <w:jc w:val="both"/>
              <w:rPr>
                <w:rFonts w:ascii="Calibri" w:hAnsi="Calibri"/>
                <w:b/>
                <w:sz w:val="22"/>
                <w:szCs w:val="22"/>
              </w:rPr>
            </w:pPr>
            <w:r w:rsidRPr="00476456">
              <w:rPr>
                <w:rFonts w:ascii="Calibri" w:hAnsi="Calibri"/>
                <w:b/>
                <w:sz w:val="22"/>
                <w:szCs w:val="22"/>
              </w:rPr>
              <w:t>Date limite de remise des offres</w:t>
            </w:r>
          </w:p>
        </w:tc>
        <w:tc>
          <w:tcPr>
            <w:tcW w:w="2268" w:type="dxa"/>
          </w:tcPr>
          <w:p w14:paraId="4CFABF71" w14:textId="3BCE87B2" w:rsidR="006E6AAF" w:rsidRPr="00C92A62" w:rsidRDefault="00C92A62" w:rsidP="005A40CD">
            <w:pPr>
              <w:spacing w:before="120" w:after="120"/>
              <w:jc w:val="both"/>
              <w:rPr>
                <w:rFonts w:ascii="Calibri" w:hAnsi="Calibri"/>
                <w:sz w:val="22"/>
                <w:szCs w:val="22"/>
              </w:rPr>
            </w:pPr>
            <w:r w:rsidRPr="00C92A62">
              <w:rPr>
                <w:rFonts w:ascii="Calibri" w:hAnsi="Calibri"/>
                <w:sz w:val="22"/>
                <w:szCs w:val="22"/>
              </w:rPr>
              <w:t>26</w:t>
            </w:r>
            <w:r w:rsidR="00C47B9C" w:rsidRPr="00C92A62">
              <w:rPr>
                <w:rFonts w:ascii="Calibri" w:hAnsi="Calibri"/>
                <w:sz w:val="22"/>
                <w:szCs w:val="22"/>
              </w:rPr>
              <w:t>/03/2026</w:t>
            </w:r>
          </w:p>
        </w:tc>
        <w:tc>
          <w:tcPr>
            <w:tcW w:w="2410" w:type="dxa"/>
          </w:tcPr>
          <w:p w14:paraId="4A8F273E" w14:textId="6A94A452" w:rsidR="006E6AAF" w:rsidRPr="00C92A62" w:rsidRDefault="00C47B9C" w:rsidP="005A40CD">
            <w:pPr>
              <w:spacing w:before="120" w:after="120"/>
              <w:jc w:val="both"/>
              <w:rPr>
                <w:rFonts w:ascii="Calibri" w:hAnsi="Calibri"/>
                <w:sz w:val="22"/>
                <w:szCs w:val="22"/>
              </w:rPr>
            </w:pPr>
            <w:r w:rsidRPr="00C92A62">
              <w:rPr>
                <w:rFonts w:ascii="Calibri" w:hAnsi="Calibri"/>
                <w:sz w:val="22"/>
                <w:szCs w:val="22"/>
              </w:rPr>
              <w:t xml:space="preserve">23:59 </w:t>
            </w:r>
            <w:r w:rsidR="006E6AAF" w:rsidRPr="00C92A62">
              <w:rPr>
                <w:rFonts w:ascii="Calibri" w:hAnsi="Calibri"/>
                <w:sz w:val="22"/>
                <w:szCs w:val="22"/>
              </w:rPr>
              <w:t>(</w:t>
            </w:r>
            <w:r w:rsidR="00811BAF" w:rsidRPr="00C92A62">
              <w:rPr>
                <w:rFonts w:ascii="Calibri" w:hAnsi="Calibri"/>
                <w:sz w:val="22"/>
                <w:szCs w:val="22"/>
              </w:rPr>
              <w:t xml:space="preserve">heure de </w:t>
            </w:r>
            <w:proofErr w:type="gramStart"/>
            <w:r w:rsidR="006E6AAF" w:rsidRPr="00C92A62">
              <w:rPr>
                <w:rFonts w:ascii="Calibri" w:hAnsi="Calibri"/>
                <w:sz w:val="22"/>
                <w:szCs w:val="22"/>
              </w:rPr>
              <w:t xml:space="preserve">Paris </w:t>
            </w:r>
            <w:r w:rsidR="00811BAF" w:rsidRPr="00C92A62">
              <w:rPr>
                <w:rFonts w:ascii="Calibri" w:hAnsi="Calibri"/>
                <w:sz w:val="22"/>
                <w:szCs w:val="22"/>
              </w:rPr>
              <w:t>)</w:t>
            </w:r>
            <w:proofErr w:type="gramEnd"/>
          </w:p>
        </w:tc>
      </w:tr>
      <w:tr w:rsidR="00811BAF" w:rsidRPr="00476456" w14:paraId="75BE3DA0" w14:textId="77777777" w:rsidTr="00AF56CF">
        <w:tc>
          <w:tcPr>
            <w:tcW w:w="4536" w:type="dxa"/>
            <w:shd w:val="pct10" w:color="auto" w:fill="FFFFFF"/>
          </w:tcPr>
          <w:p w14:paraId="79315822" w14:textId="0B35E082" w:rsidR="00811BAF" w:rsidRPr="00476456" w:rsidRDefault="00811BAF" w:rsidP="005A40CD">
            <w:pPr>
              <w:spacing w:before="120" w:after="120"/>
              <w:jc w:val="both"/>
              <w:rPr>
                <w:rFonts w:ascii="Calibri" w:hAnsi="Calibri"/>
                <w:b/>
                <w:sz w:val="22"/>
                <w:szCs w:val="22"/>
              </w:rPr>
            </w:pPr>
            <w:r w:rsidRPr="00476456">
              <w:rPr>
                <w:rFonts w:ascii="Calibri" w:hAnsi="Calibri"/>
                <w:b/>
                <w:sz w:val="22"/>
                <w:szCs w:val="22"/>
              </w:rPr>
              <w:t>Finalisation de l’analyse des offres</w:t>
            </w:r>
          </w:p>
        </w:tc>
        <w:tc>
          <w:tcPr>
            <w:tcW w:w="2268" w:type="dxa"/>
          </w:tcPr>
          <w:p w14:paraId="750F193E" w14:textId="7EFEEA59" w:rsidR="00811BAF" w:rsidRPr="00C92A62" w:rsidRDefault="00C47B9C" w:rsidP="00C92A62">
            <w:pPr>
              <w:spacing w:before="120" w:after="120"/>
              <w:jc w:val="both"/>
              <w:rPr>
                <w:rFonts w:ascii="Calibri" w:hAnsi="Calibri"/>
                <w:sz w:val="22"/>
                <w:szCs w:val="22"/>
              </w:rPr>
            </w:pPr>
            <w:r w:rsidRPr="00C92A62">
              <w:rPr>
                <w:rFonts w:ascii="Calibri" w:hAnsi="Calibri"/>
                <w:sz w:val="22"/>
                <w:szCs w:val="22"/>
              </w:rPr>
              <w:t>0</w:t>
            </w:r>
            <w:r w:rsidR="00C92A62" w:rsidRPr="00C92A62">
              <w:rPr>
                <w:rFonts w:ascii="Calibri" w:hAnsi="Calibri"/>
                <w:sz w:val="22"/>
                <w:szCs w:val="22"/>
              </w:rPr>
              <w:t>1</w:t>
            </w:r>
            <w:r w:rsidRPr="00C92A62">
              <w:rPr>
                <w:rFonts w:ascii="Calibri" w:hAnsi="Calibri"/>
                <w:sz w:val="22"/>
                <w:szCs w:val="22"/>
              </w:rPr>
              <w:t>/04/2026</w:t>
            </w:r>
          </w:p>
        </w:tc>
        <w:tc>
          <w:tcPr>
            <w:tcW w:w="2410" w:type="dxa"/>
          </w:tcPr>
          <w:p w14:paraId="5F485A54" w14:textId="77777777" w:rsidR="00811BAF" w:rsidRPr="00C92A62" w:rsidRDefault="00811BAF" w:rsidP="005A40CD">
            <w:pPr>
              <w:spacing w:before="120" w:after="120"/>
              <w:jc w:val="both"/>
              <w:rPr>
                <w:rFonts w:ascii="Calibri" w:hAnsi="Calibri"/>
                <w:sz w:val="22"/>
                <w:szCs w:val="22"/>
              </w:rPr>
            </w:pPr>
            <w:r w:rsidRPr="00C92A62">
              <w:rPr>
                <w:rFonts w:ascii="Calibri" w:hAnsi="Calibri"/>
                <w:sz w:val="22"/>
                <w:szCs w:val="22"/>
              </w:rPr>
              <w:t>-</w:t>
            </w:r>
          </w:p>
        </w:tc>
      </w:tr>
      <w:tr w:rsidR="00811BAF" w:rsidRPr="00476456" w14:paraId="0A800617" w14:textId="77777777" w:rsidTr="00AF56CF">
        <w:tc>
          <w:tcPr>
            <w:tcW w:w="4536" w:type="dxa"/>
            <w:shd w:val="pct10" w:color="auto" w:fill="FFFFFF"/>
          </w:tcPr>
          <w:p w14:paraId="1E4F1FA9" w14:textId="7B206CE3" w:rsidR="00811BAF" w:rsidRPr="00476456" w:rsidRDefault="00811BAF" w:rsidP="005A40CD">
            <w:pPr>
              <w:spacing w:before="120" w:after="120"/>
              <w:jc w:val="both"/>
              <w:rPr>
                <w:rFonts w:ascii="Calibri" w:hAnsi="Calibri"/>
                <w:b/>
                <w:sz w:val="22"/>
                <w:szCs w:val="22"/>
              </w:rPr>
            </w:pPr>
            <w:r w:rsidRPr="00476456">
              <w:rPr>
                <w:rFonts w:ascii="Calibri" w:hAnsi="Calibri"/>
                <w:b/>
                <w:sz w:val="22"/>
                <w:szCs w:val="22"/>
              </w:rPr>
              <w:t>Notification des attributions</w:t>
            </w:r>
          </w:p>
        </w:tc>
        <w:tc>
          <w:tcPr>
            <w:tcW w:w="2268" w:type="dxa"/>
          </w:tcPr>
          <w:p w14:paraId="5C7E45AC" w14:textId="5D74F976" w:rsidR="00811BAF" w:rsidRPr="00C92A62" w:rsidRDefault="00C47B9C" w:rsidP="00C92A62">
            <w:pPr>
              <w:spacing w:before="120" w:after="120"/>
              <w:jc w:val="both"/>
              <w:rPr>
                <w:rFonts w:ascii="Calibri" w:hAnsi="Calibri"/>
                <w:sz w:val="22"/>
                <w:szCs w:val="22"/>
              </w:rPr>
            </w:pPr>
            <w:r w:rsidRPr="00C92A62">
              <w:rPr>
                <w:rFonts w:ascii="Calibri" w:hAnsi="Calibri"/>
                <w:sz w:val="22"/>
                <w:szCs w:val="22"/>
              </w:rPr>
              <w:t>0</w:t>
            </w:r>
            <w:r w:rsidR="00C92A62" w:rsidRPr="00C92A62">
              <w:rPr>
                <w:rFonts w:ascii="Calibri" w:hAnsi="Calibri"/>
                <w:sz w:val="22"/>
                <w:szCs w:val="22"/>
              </w:rPr>
              <w:t>3</w:t>
            </w:r>
            <w:r w:rsidRPr="00C92A62">
              <w:rPr>
                <w:rFonts w:ascii="Calibri" w:hAnsi="Calibri"/>
                <w:sz w:val="22"/>
                <w:szCs w:val="22"/>
              </w:rPr>
              <w:t>/04/2026</w:t>
            </w:r>
          </w:p>
        </w:tc>
        <w:tc>
          <w:tcPr>
            <w:tcW w:w="2410" w:type="dxa"/>
          </w:tcPr>
          <w:p w14:paraId="7343C8EC" w14:textId="77777777" w:rsidR="00811BAF" w:rsidRPr="00C92A62" w:rsidRDefault="00811BAF" w:rsidP="005A40CD">
            <w:pPr>
              <w:spacing w:before="120" w:after="120"/>
              <w:jc w:val="both"/>
              <w:rPr>
                <w:rFonts w:ascii="Calibri" w:hAnsi="Calibri"/>
                <w:sz w:val="22"/>
                <w:szCs w:val="22"/>
              </w:rPr>
            </w:pPr>
            <w:r w:rsidRPr="00C92A62">
              <w:rPr>
                <w:rFonts w:ascii="Calibri" w:hAnsi="Calibri"/>
                <w:sz w:val="22"/>
                <w:szCs w:val="22"/>
              </w:rPr>
              <w:t>-</w:t>
            </w:r>
          </w:p>
        </w:tc>
      </w:tr>
      <w:tr w:rsidR="00811BAF" w:rsidRPr="00476456" w14:paraId="7BCAB693" w14:textId="77777777" w:rsidTr="00AF56CF">
        <w:tc>
          <w:tcPr>
            <w:tcW w:w="4536" w:type="dxa"/>
            <w:shd w:val="pct10" w:color="auto" w:fill="FFFFFF"/>
          </w:tcPr>
          <w:p w14:paraId="6C7659AC" w14:textId="2A306D61" w:rsidR="00811BAF" w:rsidRPr="00476456" w:rsidRDefault="00811BAF" w:rsidP="005A40CD">
            <w:pPr>
              <w:spacing w:before="120" w:after="120"/>
              <w:jc w:val="both"/>
              <w:rPr>
                <w:rFonts w:ascii="Calibri" w:hAnsi="Calibri"/>
                <w:b/>
                <w:sz w:val="22"/>
                <w:szCs w:val="22"/>
              </w:rPr>
            </w:pPr>
            <w:r w:rsidRPr="00476456">
              <w:rPr>
                <w:rFonts w:ascii="Calibri" w:hAnsi="Calibri"/>
                <w:b/>
                <w:sz w:val="22"/>
                <w:szCs w:val="22"/>
              </w:rPr>
              <w:t>Signature du contrat</w:t>
            </w:r>
          </w:p>
        </w:tc>
        <w:tc>
          <w:tcPr>
            <w:tcW w:w="2268" w:type="dxa"/>
          </w:tcPr>
          <w:p w14:paraId="135B19F7" w14:textId="1E5DDBAE" w:rsidR="00811BAF" w:rsidRPr="00C92A62" w:rsidRDefault="00C92A62" w:rsidP="005A40CD">
            <w:pPr>
              <w:spacing w:before="120" w:after="120"/>
              <w:jc w:val="both"/>
              <w:rPr>
                <w:rFonts w:ascii="Calibri" w:hAnsi="Calibri"/>
                <w:sz w:val="22"/>
                <w:szCs w:val="22"/>
              </w:rPr>
            </w:pPr>
            <w:r w:rsidRPr="00C92A62">
              <w:rPr>
                <w:rFonts w:ascii="Calibri" w:hAnsi="Calibri"/>
                <w:sz w:val="22"/>
                <w:szCs w:val="22"/>
              </w:rPr>
              <w:t>08</w:t>
            </w:r>
            <w:r w:rsidR="00C47B9C" w:rsidRPr="00C92A62">
              <w:rPr>
                <w:rFonts w:ascii="Calibri" w:hAnsi="Calibri"/>
                <w:sz w:val="22"/>
                <w:szCs w:val="22"/>
              </w:rPr>
              <w:t>/04/2026</w:t>
            </w:r>
          </w:p>
        </w:tc>
        <w:tc>
          <w:tcPr>
            <w:tcW w:w="2410" w:type="dxa"/>
          </w:tcPr>
          <w:p w14:paraId="28FFE396" w14:textId="77777777" w:rsidR="00811BAF" w:rsidRPr="00C92A62" w:rsidRDefault="00811BAF" w:rsidP="005A40CD">
            <w:pPr>
              <w:spacing w:before="120" w:after="120"/>
              <w:jc w:val="both"/>
              <w:rPr>
                <w:rFonts w:ascii="Calibri" w:hAnsi="Calibri"/>
                <w:sz w:val="22"/>
                <w:szCs w:val="22"/>
              </w:rPr>
            </w:pPr>
            <w:r w:rsidRPr="00C92A62">
              <w:rPr>
                <w:rFonts w:ascii="Calibri" w:hAnsi="Calibri"/>
                <w:sz w:val="22"/>
                <w:szCs w:val="22"/>
              </w:rPr>
              <w:t>-</w:t>
            </w:r>
          </w:p>
        </w:tc>
      </w:tr>
      <w:tr w:rsidR="00811BAF" w:rsidRPr="00476456" w14:paraId="1810E2C6" w14:textId="77777777" w:rsidTr="00AF56CF">
        <w:tc>
          <w:tcPr>
            <w:tcW w:w="4536" w:type="dxa"/>
            <w:shd w:val="pct10" w:color="auto" w:fill="FFFFFF"/>
          </w:tcPr>
          <w:p w14:paraId="2ACB1160" w14:textId="3D8B106A" w:rsidR="00811BAF" w:rsidRPr="00476456" w:rsidRDefault="00811BAF" w:rsidP="005A40CD">
            <w:pPr>
              <w:spacing w:before="120" w:after="120"/>
              <w:jc w:val="both"/>
              <w:rPr>
                <w:rFonts w:ascii="Calibri" w:hAnsi="Calibri"/>
                <w:b/>
                <w:sz w:val="22"/>
                <w:szCs w:val="22"/>
              </w:rPr>
            </w:pPr>
            <w:r w:rsidRPr="00476456">
              <w:rPr>
                <w:rFonts w:ascii="Calibri" w:hAnsi="Calibri"/>
                <w:b/>
                <w:sz w:val="22"/>
                <w:szCs w:val="22"/>
              </w:rPr>
              <w:t>Entrée en vigueur du contrat</w:t>
            </w:r>
          </w:p>
        </w:tc>
        <w:tc>
          <w:tcPr>
            <w:tcW w:w="2268" w:type="dxa"/>
          </w:tcPr>
          <w:p w14:paraId="4B665FF9" w14:textId="4248C3DE" w:rsidR="00811BAF" w:rsidRPr="00C92A62" w:rsidRDefault="0063083E" w:rsidP="00C92A62">
            <w:pPr>
              <w:spacing w:before="120" w:after="120"/>
              <w:jc w:val="both"/>
              <w:rPr>
                <w:rFonts w:ascii="Calibri" w:hAnsi="Calibri"/>
                <w:sz w:val="22"/>
                <w:szCs w:val="22"/>
              </w:rPr>
            </w:pPr>
            <w:r w:rsidRPr="00C92A62">
              <w:rPr>
                <w:rFonts w:ascii="Calibri" w:hAnsi="Calibri"/>
                <w:sz w:val="22"/>
                <w:szCs w:val="22"/>
              </w:rPr>
              <w:t>1</w:t>
            </w:r>
            <w:r w:rsidR="00C92A62" w:rsidRPr="00C92A62">
              <w:rPr>
                <w:rFonts w:ascii="Calibri" w:hAnsi="Calibri"/>
                <w:sz w:val="22"/>
                <w:szCs w:val="22"/>
              </w:rPr>
              <w:t>3</w:t>
            </w:r>
            <w:r w:rsidRPr="00C92A62">
              <w:rPr>
                <w:rFonts w:ascii="Calibri" w:hAnsi="Calibri"/>
                <w:sz w:val="22"/>
                <w:szCs w:val="22"/>
              </w:rPr>
              <w:t>/04/2026</w:t>
            </w:r>
          </w:p>
        </w:tc>
        <w:tc>
          <w:tcPr>
            <w:tcW w:w="2410" w:type="dxa"/>
          </w:tcPr>
          <w:p w14:paraId="317CB3F7" w14:textId="77777777" w:rsidR="00811BAF" w:rsidRPr="00C92A62" w:rsidRDefault="00811BAF" w:rsidP="005A40CD">
            <w:pPr>
              <w:spacing w:before="120" w:after="120"/>
              <w:jc w:val="both"/>
              <w:rPr>
                <w:rFonts w:ascii="Calibri" w:hAnsi="Calibri"/>
                <w:sz w:val="22"/>
                <w:szCs w:val="22"/>
              </w:rPr>
            </w:pPr>
            <w:r w:rsidRPr="00C92A62">
              <w:rPr>
                <w:rFonts w:ascii="Calibri" w:hAnsi="Calibri"/>
                <w:sz w:val="22"/>
                <w:szCs w:val="22"/>
              </w:rPr>
              <w:t>-</w:t>
            </w:r>
          </w:p>
        </w:tc>
      </w:tr>
    </w:tbl>
    <w:p w14:paraId="559B748B" w14:textId="5B15400D" w:rsidR="003216BF" w:rsidRPr="001577D9" w:rsidRDefault="001577D9" w:rsidP="005A40CD">
      <w:pPr>
        <w:spacing w:before="120" w:after="240"/>
        <w:ind w:left="360"/>
        <w:jc w:val="both"/>
        <w:rPr>
          <w:b/>
        </w:rPr>
      </w:pPr>
      <w:r>
        <w:rPr>
          <w:b/>
        </w:rPr>
        <w:tab/>
      </w:r>
      <w:r w:rsidRPr="001577D9">
        <w:rPr>
          <w:b/>
        </w:rPr>
        <w:t>*</w:t>
      </w:r>
      <w:r w:rsidR="003216BF" w:rsidRPr="001577D9">
        <w:rPr>
          <w:rFonts w:asciiTheme="minorHAnsi" w:hAnsiTheme="minorHAnsi"/>
          <w:b/>
          <w:sz w:val="22"/>
          <w:szCs w:val="22"/>
        </w:rPr>
        <w:t>Date prévisionnelle</w:t>
      </w:r>
      <w:r>
        <w:rPr>
          <w:rFonts w:asciiTheme="minorHAnsi" w:hAnsiTheme="minorHAnsi"/>
          <w:b/>
          <w:sz w:val="22"/>
          <w:szCs w:val="22"/>
        </w:rPr>
        <w:t>.</w:t>
      </w:r>
    </w:p>
    <w:p w14:paraId="3E5A1CFC" w14:textId="4F01AECD" w:rsidR="00801237" w:rsidRDefault="00150C32" w:rsidP="005A40CD">
      <w:pPr>
        <w:keepNext/>
        <w:numPr>
          <w:ilvl w:val="0"/>
          <w:numId w:val="12"/>
        </w:numPr>
        <w:autoSpaceDE/>
        <w:spacing w:before="240" w:after="120"/>
        <w:ind w:left="357" w:hanging="357"/>
        <w:jc w:val="both"/>
        <w:rPr>
          <w:rFonts w:ascii="Calibri" w:hAnsi="Calibri"/>
          <w:b/>
          <w:smallCaps/>
          <w:u w:val="single"/>
        </w:rPr>
      </w:pPr>
      <w:r>
        <w:rPr>
          <w:rFonts w:ascii="Calibri" w:hAnsi="Calibri"/>
          <w:b/>
          <w:smallCaps/>
          <w:u w:val="single"/>
        </w:rPr>
        <w:t>Procédure de passation</w:t>
      </w:r>
    </w:p>
    <w:p w14:paraId="035FB2DF" w14:textId="77777777" w:rsidR="00CD521A" w:rsidRPr="00165139" w:rsidRDefault="00CD521A" w:rsidP="005A40CD">
      <w:pPr>
        <w:pStyle w:val="Corpsdetexte"/>
        <w:jc w:val="both"/>
        <w:rPr>
          <w:rFonts w:asciiTheme="minorHAnsi" w:hAnsiTheme="minorHAnsi" w:cs="Arial"/>
          <w:szCs w:val="22"/>
        </w:rPr>
      </w:pPr>
      <w:r w:rsidRPr="00165139">
        <w:rPr>
          <w:rFonts w:asciiTheme="minorHAnsi" w:hAnsiTheme="minorHAnsi" w:cs="Arial"/>
          <w:szCs w:val="22"/>
        </w:rPr>
        <w:t>Le présent contrat est soumis au Code de la commande publique français (CCP) dans sa version en vigueur issue de l'ordonnance n° 2018-1074 du 26 novembre 2018 portant partie législative et du décret n° 2018-1075 du 3 décembre 2018 portant partie réglementaire du Code de la commande publique.</w:t>
      </w:r>
    </w:p>
    <w:p w14:paraId="2216CF3C" w14:textId="223D10A8" w:rsidR="00801237" w:rsidRDefault="003657A1" w:rsidP="005A40CD">
      <w:pPr>
        <w:pStyle w:val="Corpsdetexte"/>
        <w:spacing w:after="0"/>
        <w:jc w:val="both"/>
        <w:rPr>
          <w:rFonts w:asciiTheme="minorHAnsi" w:hAnsiTheme="minorHAnsi"/>
          <w:szCs w:val="22"/>
        </w:rPr>
      </w:pPr>
      <w:r w:rsidRPr="00165139">
        <w:rPr>
          <w:rFonts w:asciiTheme="minorHAnsi" w:hAnsiTheme="minorHAnsi" w:cs="Arial"/>
          <w:szCs w:val="22"/>
        </w:rPr>
        <w:t xml:space="preserve">La consultation est passée selon la </w:t>
      </w:r>
      <w:r w:rsidRPr="00165139">
        <w:rPr>
          <w:rFonts w:asciiTheme="minorHAnsi" w:hAnsiTheme="minorHAnsi"/>
          <w:szCs w:val="22"/>
        </w:rPr>
        <w:t xml:space="preserve">procédure adaptée en application </w:t>
      </w:r>
      <w:r w:rsidR="00427E05" w:rsidRPr="00165139">
        <w:rPr>
          <w:rFonts w:asciiTheme="minorHAnsi" w:hAnsiTheme="minorHAnsi"/>
          <w:szCs w:val="22"/>
        </w:rPr>
        <w:t>des articles L. 2123-1 et R. 2123-1 au R. 2123-7 du CCP</w:t>
      </w:r>
      <w:r w:rsidR="00150C32" w:rsidRPr="00165139">
        <w:rPr>
          <w:rFonts w:asciiTheme="minorHAnsi" w:hAnsiTheme="minorHAnsi"/>
          <w:szCs w:val="22"/>
        </w:rPr>
        <w:t>.</w:t>
      </w:r>
    </w:p>
    <w:p w14:paraId="52EDF4F9" w14:textId="77777777" w:rsidR="00FD60DA" w:rsidRPr="00476456" w:rsidRDefault="00FD60DA" w:rsidP="005A40CD">
      <w:pPr>
        <w:keepNext/>
        <w:numPr>
          <w:ilvl w:val="0"/>
          <w:numId w:val="12"/>
        </w:numPr>
        <w:autoSpaceDE/>
        <w:spacing w:before="240" w:after="120"/>
        <w:ind w:left="357" w:hanging="357"/>
        <w:jc w:val="both"/>
        <w:rPr>
          <w:rFonts w:ascii="Calibri" w:hAnsi="Calibri"/>
          <w:b/>
          <w:smallCaps/>
          <w:u w:val="single"/>
        </w:rPr>
      </w:pPr>
      <w:r w:rsidRPr="00476456">
        <w:rPr>
          <w:rFonts w:ascii="Calibri" w:hAnsi="Calibri"/>
          <w:b/>
          <w:smallCaps/>
          <w:u w:val="single"/>
        </w:rPr>
        <w:t>Dossier de consultation</w:t>
      </w:r>
    </w:p>
    <w:p w14:paraId="0DDBD1D2" w14:textId="5FA2DD3D" w:rsidR="00FD60DA" w:rsidRPr="00476456" w:rsidRDefault="00FD60DA" w:rsidP="005A40CD">
      <w:pPr>
        <w:pStyle w:val="Corpsdetexte"/>
        <w:spacing w:after="0"/>
        <w:jc w:val="both"/>
        <w:rPr>
          <w:rFonts w:asciiTheme="minorHAnsi" w:hAnsiTheme="minorHAnsi"/>
          <w:szCs w:val="22"/>
        </w:rPr>
      </w:pPr>
      <w:r w:rsidRPr="00476456">
        <w:rPr>
          <w:rFonts w:asciiTheme="minorHAnsi" w:hAnsiTheme="minorHAnsi"/>
          <w:szCs w:val="22"/>
        </w:rPr>
        <w:t xml:space="preserve">Le dossier de consultation est envoyé par voie électronique aux soumissionnaires </w:t>
      </w:r>
      <w:r w:rsidR="00AD2690">
        <w:rPr>
          <w:rFonts w:asciiTheme="minorHAnsi" w:hAnsiTheme="minorHAnsi"/>
          <w:szCs w:val="22"/>
        </w:rPr>
        <w:t xml:space="preserve">et </w:t>
      </w:r>
      <w:r w:rsidRPr="00476456">
        <w:rPr>
          <w:rFonts w:asciiTheme="minorHAnsi" w:hAnsiTheme="minorHAnsi"/>
          <w:szCs w:val="22"/>
        </w:rPr>
        <w:t>est constitué de :</w:t>
      </w:r>
    </w:p>
    <w:p w14:paraId="450D2534" w14:textId="2A3ED690" w:rsidR="00FD60DA" w:rsidRPr="00476456" w:rsidRDefault="00FD60DA" w:rsidP="005A40CD">
      <w:pPr>
        <w:pStyle w:val="Corpsdetexte"/>
        <w:numPr>
          <w:ilvl w:val="0"/>
          <w:numId w:val="4"/>
        </w:numPr>
        <w:spacing w:after="0"/>
        <w:jc w:val="both"/>
        <w:rPr>
          <w:rFonts w:asciiTheme="minorHAnsi" w:hAnsiTheme="minorHAnsi"/>
          <w:szCs w:val="22"/>
        </w:rPr>
      </w:pPr>
      <w:r w:rsidRPr="00476456">
        <w:rPr>
          <w:rFonts w:asciiTheme="minorHAnsi" w:hAnsiTheme="minorHAnsi"/>
          <w:szCs w:val="22"/>
        </w:rPr>
        <w:t>la présente lettre de consultation</w:t>
      </w:r>
      <w:r w:rsidR="00D815D2">
        <w:rPr>
          <w:rFonts w:asciiTheme="minorHAnsi" w:hAnsiTheme="minorHAnsi"/>
          <w:szCs w:val="22"/>
        </w:rPr>
        <w:t xml:space="preserve"> (DAJ_M001)</w:t>
      </w:r>
      <w:r w:rsidR="00206C94">
        <w:rPr>
          <w:rFonts w:asciiTheme="minorHAnsi" w:hAnsiTheme="minorHAnsi"/>
          <w:szCs w:val="22"/>
        </w:rPr>
        <w:t> ;</w:t>
      </w:r>
    </w:p>
    <w:p w14:paraId="24591369" w14:textId="79889367" w:rsidR="00FD60DA" w:rsidRDefault="00AD2690" w:rsidP="005A40CD">
      <w:pPr>
        <w:pStyle w:val="Corpsdetexte"/>
        <w:numPr>
          <w:ilvl w:val="0"/>
          <w:numId w:val="4"/>
        </w:numPr>
        <w:spacing w:after="0"/>
        <w:jc w:val="both"/>
        <w:rPr>
          <w:rFonts w:asciiTheme="minorHAnsi" w:hAnsiTheme="minorHAnsi"/>
          <w:szCs w:val="22"/>
        </w:rPr>
      </w:pPr>
      <w:r>
        <w:rPr>
          <w:rFonts w:asciiTheme="minorHAnsi" w:hAnsiTheme="minorHAnsi"/>
          <w:szCs w:val="22"/>
        </w:rPr>
        <w:t>le</w:t>
      </w:r>
      <w:r w:rsidR="00FD60DA" w:rsidRPr="00476456">
        <w:rPr>
          <w:rFonts w:asciiTheme="minorHAnsi" w:hAnsiTheme="minorHAnsi"/>
          <w:szCs w:val="22"/>
        </w:rPr>
        <w:t xml:space="preserve"> cahier des charges (expression de besoin)</w:t>
      </w:r>
      <w:r w:rsidR="00206C94">
        <w:rPr>
          <w:rFonts w:asciiTheme="minorHAnsi" w:hAnsiTheme="minorHAnsi"/>
          <w:szCs w:val="22"/>
        </w:rPr>
        <w:t> ;</w:t>
      </w:r>
    </w:p>
    <w:p w14:paraId="335E995B" w14:textId="6DF975AE" w:rsidR="008D599F" w:rsidRDefault="008D599F" w:rsidP="005A40CD">
      <w:pPr>
        <w:pStyle w:val="Corpsdetexte"/>
        <w:numPr>
          <w:ilvl w:val="0"/>
          <w:numId w:val="4"/>
        </w:numPr>
        <w:spacing w:after="0"/>
        <w:jc w:val="both"/>
        <w:rPr>
          <w:rFonts w:asciiTheme="minorHAnsi" w:hAnsiTheme="minorHAnsi"/>
          <w:szCs w:val="22"/>
        </w:rPr>
      </w:pPr>
      <w:r>
        <w:rPr>
          <w:rFonts w:asciiTheme="minorHAnsi" w:hAnsiTheme="minorHAnsi"/>
          <w:szCs w:val="22"/>
        </w:rPr>
        <w:t>Les TDR de la mission</w:t>
      </w:r>
    </w:p>
    <w:p w14:paraId="456AC1CF" w14:textId="13B53153" w:rsidR="002B280B" w:rsidRPr="002B280B" w:rsidRDefault="00206C94" w:rsidP="005A40CD">
      <w:pPr>
        <w:pStyle w:val="Corpsdetexte"/>
        <w:numPr>
          <w:ilvl w:val="0"/>
          <w:numId w:val="4"/>
        </w:numPr>
        <w:spacing w:after="0"/>
        <w:jc w:val="both"/>
        <w:rPr>
          <w:rFonts w:asciiTheme="minorHAnsi" w:hAnsiTheme="minorHAnsi"/>
          <w:szCs w:val="22"/>
        </w:rPr>
      </w:pPr>
      <w:r>
        <w:rPr>
          <w:rFonts w:asciiTheme="minorHAnsi" w:hAnsiTheme="minorHAnsi"/>
          <w:szCs w:val="22"/>
        </w:rPr>
        <w:lastRenderedPageBreak/>
        <w:t>le formulaire de candidature comprenant la déclaration sur l’honneur relative aux critères d’exclusion (DAJ_F043)</w:t>
      </w:r>
      <w:r>
        <w:t xml:space="preserve"> </w:t>
      </w:r>
      <w:r>
        <w:rPr>
          <w:rFonts w:asciiTheme="minorHAnsi" w:hAnsiTheme="minorHAnsi"/>
          <w:szCs w:val="22"/>
        </w:rPr>
        <w:t>et ses annexes, la déclaration sur l'honneur relative aux critères d'exclusion, à l'absence de conflit d'intérêt (DAJ_F030) et la fiche d’identité tiers (DAF_F013) ;</w:t>
      </w:r>
    </w:p>
    <w:p w14:paraId="1B4C232B" w14:textId="3DFB77BC" w:rsidR="00FD60DA" w:rsidRDefault="00FD60DA" w:rsidP="005A40CD">
      <w:pPr>
        <w:pStyle w:val="Corpsdetexte"/>
        <w:numPr>
          <w:ilvl w:val="0"/>
          <w:numId w:val="4"/>
        </w:numPr>
        <w:spacing w:after="0"/>
        <w:jc w:val="both"/>
        <w:rPr>
          <w:rFonts w:asciiTheme="minorHAnsi" w:hAnsiTheme="minorHAnsi"/>
          <w:szCs w:val="22"/>
        </w:rPr>
      </w:pPr>
      <w:r w:rsidRPr="00476456">
        <w:rPr>
          <w:rFonts w:asciiTheme="minorHAnsi" w:hAnsiTheme="minorHAnsi"/>
          <w:szCs w:val="22"/>
        </w:rPr>
        <w:t>[</w:t>
      </w:r>
      <w:r w:rsidR="00AD2690" w:rsidRPr="00F52458">
        <w:rPr>
          <w:rFonts w:asciiTheme="minorHAnsi" w:hAnsiTheme="minorHAnsi"/>
          <w:szCs w:val="22"/>
        </w:rPr>
        <w:t>le</w:t>
      </w:r>
      <w:r w:rsidRPr="00F52458">
        <w:rPr>
          <w:rFonts w:asciiTheme="minorHAnsi" w:hAnsiTheme="minorHAnsi"/>
          <w:szCs w:val="22"/>
        </w:rPr>
        <w:t xml:space="preserve"> modèle de contrat d’achat]</w:t>
      </w:r>
      <w:r w:rsidR="002B280B" w:rsidRPr="00F52458">
        <w:rPr>
          <w:rFonts w:asciiTheme="minorHAnsi" w:hAnsiTheme="minorHAnsi"/>
          <w:szCs w:val="22"/>
        </w:rPr>
        <w:t> ;</w:t>
      </w:r>
    </w:p>
    <w:p w14:paraId="072D9FC3" w14:textId="063F073B" w:rsidR="00F52458" w:rsidRDefault="00F52458" w:rsidP="005A40CD">
      <w:pPr>
        <w:pStyle w:val="Corpsdetexte"/>
        <w:numPr>
          <w:ilvl w:val="0"/>
          <w:numId w:val="4"/>
        </w:numPr>
        <w:spacing w:after="0"/>
        <w:jc w:val="both"/>
        <w:rPr>
          <w:rFonts w:asciiTheme="minorHAnsi" w:hAnsiTheme="minorHAnsi"/>
          <w:szCs w:val="22"/>
        </w:rPr>
      </w:pPr>
      <w:r>
        <w:rPr>
          <w:rFonts w:asciiTheme="minorHAnsi" w:hAnsiTheme="minorHAnsi"/>
          <w:szCs w:val="22"/>
        </w:rPr>
        <w:t>Attestation sur honneur de l’AFD</w:t>
      </w:r>
    </w:p>
    <w:p w14:paraId="3B052545" w14:textId="158BEAB9" w:rsidR="00F52458" w:rsidRDefault="00F52458" w:rsidP="005A40CD">
      <w:pPr>
        <w:pStyle w:val="Corpsdetexte"/>
        <w:numPr>
          <w:ilvl w:val="0"/>
          <w:numId w:val="4"/>
        </w:numPr>
        <w:spacing w:after="0"/>
        <w:jc w:val="both"/>
        <w:rPr>
          <w:rFonts w:asciiTheme="minorHAnsi" w:hAnsiTheme="minorHAnsi"/>
          <w:szCs w:val="22"/>
        </w:rPr>
      </w:pPr>
      <w:r>
        <w:rPr>
          <w:rFonts w:asciiTheme="minorHAnsi" w:hAnsiTheme="minorHAnsi"/>
          <w:szCs w:val="22"/>
        </w:rPr>
        <w:t>Formulaire de vérification conformité RGPD</w:t>
      </w:r>
    </w:p>
    <w:p w14:paraId="7AC90C70" w14:textId="52257730" w:rsidR="008D599F" w:rsidRDefault="008D599F" w:rsidP="005A40CD">
      <w:pPr>
        <w:pStyle w:val="Corpsdetexte"/>
        <w:numPr>
          <w:ilvl w:val="0"/>
          <w:numId w:val="4"/>
        </w:numPr>
        <w:spacing w:after="0"/>
        <w:jc w:val="both"/>
        <w:rPr>
          <w:rFonts w:asciiTheme="minorHAnsi" w:hAnsiTheme="minorHAnsi"/>
          <w:szCs w:val="22"/>
        </w:rPr>
      </w:pPr>
      <w:r>
        <w:rPr>
          <w:rFonts w:asciiTheme="minorHAnsi" w:hAnsiTheme="minorHAnsi"/>
          <w:szCs w:val="22"/>
        </w:rPr>
        <w:t>Modèle de feuille de temps</w:t>
      </w:r>
    </w:p>
    <w:p w14:paraId="732D2DF4" w14:textId="399C5C73" w:rsidR="002B280B" w:rsidRPr="00F52458" w:rsidRDefault="002B280B" w:rsidP="005A40CD">
      <w:pPr>
        <w:pStyle w:val="Corpsdetexte"/>
        <w:numPr>
          <w:ilvl w:val="0"/>
          <w:numId w:val="4"/>
        </w:numPr>
        <w:spacing w:after="0"/>
        <w:jc w:val="both"/>
        <w:rPr>
          <w:rFonts w:asciiTheme="minorHAnsi" w:hAnsiTheme="minorHAnsi"/>
          <w:szCs w:val="22"/>
        </w:rPr>
      </w:pPr>
      <w:r>
        <w:rPr>
          <w:rFonts w:asciiTheme="minorHAnsi" w:hAnsiTheme="minorHAnsi"/>
          <w:szCs w:val="22"/>
        </w:rPr>
        <w:t>[</w:t>
      </w:r>
      <w:r>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12" w:history="1">
        <w:r w:rsidR="005B627C" w:rsidRPr="00E77B5C">
          <w:rPr>
            <w:rStyle w:val="Lienhypertexte"/>
            <w:rFonts w:asciiTheme="minorHAnsi" w:hAnsiTheme="minorHAnsi" w:cstheme="minorHAnsi"/>
            <w:szCs w:val="22"/>
          </w:rPr>
          <w:t>https://www.diplomatie.gouv.fr/fr/conseils-aux-voyageurs/</w:t>
        </w:r>
      </w:hyperlink>
      <w:r w:rsidR="005B627C">
        <w:rPr>
          <w:rFonts w:asciiTheme="minorHAnsi" w:hAnsiTheme="minorHAnsi" w:cstheme="minorHAnsi"/>
          <w:szCs w:val="22"/>
        </w:rPr>
        <w:t>)</w:t>
      </w:r>
      <w:r>
        <w:rPr>
          <w:rFonts w:asciiTheme="minorHAnsi" w:hAnsiTheme="minorHAnsi" w:cstheme="minorHAnsi"/>
          <w:szCs w:val="22"/>
        </w:rPr>
        <w:t xml:space="preserve">, </w:t>
      </w:r>
      <w:r w:rsidRPr="00F52458">
        <w:rPr>
          <w:rFonts w:asciiTheme="minorHAnsi" w:hAnsiTheme="minorHAnsi" w:cstheme="minorHAnsi"/>
          <w:szCs w:val="22"/>
        </w:rPr>
        <w:t>le questionnaire évaluation sûreté (SUR_F011)].</w:t>
      </w:r>
    </w:p>
    <w:p w14:paraId="6018E28C" w14:textId="04B74A73" w:rsidR="00801237" w:rsidRPr="00476456" w:rsidRDefault="00801237" w:rsidP="005A40CD">
      <w:pPr>
        <w:keepNext/>
        <w:numPr>
          <w:ilvl w:val="0"/>
          <w:numId w:val="12"/>
        </w:numPr>
        <w:autoSpaceDE/>
        <w:spacing w:before="240" w:after="120"/>
        <w:ind w:left="357" w:hanging="357"/>
        <w:jc w:val="both"/>
        <w:rPr>
          <w:rFonts w:ascii="Calibri" w:hAnsi="Calibri"/>
          <w:b/>
          <w:smallCaps/>
          <w:u w:val="single"/>
        </w:rPr>
      </w:pPr>
      <w:r w:rsidRPr="00476456">
        <w:rPr>
          <w:rFonts w:ascii="Calibri" w:hAnsi="Calibri"/>
          <w:b/>
          <w:smallCaps/>
          <w:u w:val="single"/>
        </w:rPr>
        <w:t xml:space="preserve">Présentation des offres </w:t>
      </w:r>
    </w:p>
    <w:p w14:paraId="2273AD10" w14:textId="027DD01D" w:rsidR="00FD60DA" w:rsidRPr="00CC417D" w:rsidRDefault="00FD60DA" w:rsidP="005A40CD">
      <w:pPr>
        <w:spacing w:after="120"/>
        <w:jc w:val="both"/>
        <w:rPr>
          <w:rFonts w:asciiTheme="minorHAnsi" w:hAnsiTheme="minorHAnsi"/>
        </w:rPr>
      </w:pPr>
      <w:r w:rsidRPr="00CC417D">
        <w:rPr>
          <w:rFonts w:asciiTheme="minorHAnsi" w:hAnsiTheme="minorHAnsi"/>
        </w:rPr>
        <w:t xml:space="preserve">Les éléments de candidature, d’offre ainsi que toute correspondance </w:t>
      </w:r>
      <w:r w:rsidR="00D878C7" w:rsidRPr="00CC417D">
        <w:rPr>
          <w:rFonts w:asciiTheme="minorHAnsi" w:hAnsiTheme="minorHAnsi"/>
        </w:rPr>
        <w:t>et documents relatif</w:t>
      </w:r>
      <w:r w:rsidR="00B01FD6" w:rsidRPr="00CC417D">
        <w:rPr>
          <w:rFonts w:asciiTheme="minorHAnsi" w:hAnsiTheme="minorHAnsi"/>
        </w:rPr>
        <w:t>s</w:t>
      </w:r>
      <w:r w:rsidR="00D878C7" w:rsidRPr="00CC417D">
        <w:rPr>
          <w:rFonts w:asciiTheme="minorHAnsi" w:hAnsiTheme="minorHAnsi"/>
        </w:rPr>
        <w:t xml:space="preserve"> à la présente consultation doivent être rédigés en </w:t>
      </w:r>
      <w:r w:rsidR="00537BA2" w:rsidRPr="00CC417D">
        <w:rPr>
          <w:rFonts w:asciiTheme="minorHAnsi" w:hAnsiTheme="minorHAnsi"/>
        </w:rPr>
        <w:t>français</w:t>
      </w:r>
      <w:r w:rsidR="00D878C7" w:rsidRPr="00CC417D">
        <w:rPr>
          <w:rFonts w:asciiTheme="minorHAnsi" w:hAnsiTheme="minorHAnsi"/>
        </w:rPr>
        <w:t>.</w:t>
      </w:r>
    </w:p>
    <w:p w14:paraId="35B80614" w14:textId="4AC2FBD7" w:rsidR="00801237" w:rsidRPr="00CC417D" w:rsidRDefault="00801237" w:rsidP="005A40CD">
      <w:pPr>
        <w:spacing w:after="120"/>
        <w:jc w:val="both"/>
        <w:rPr>
          <w:rFonts w:asciiTheme="minorHAnsi" w:hAnsiTheme="minorHAnsi"/>
        </w:rPr>
      </w:pPr>
      <w:r w:rsidRPr="00CC417D">
        <w:rPr>
          <w:rFonts w:asciiTheme="minorHAnsi" w:hAnsiTheme="minorHAnsi"/>
        </w:rPr>
        <w:t>A l’appui de leur offre, les candidats devront remettre un dossier constitué des documents suivants :</w:t>
      </w:r>
    </w:p>
    <w:p w14:paraId="6EEBF9ED" w14:textId="1C13792A" w:rsidR="004017D8" w:rsidRPr="00347EDB" w:rsidRDefault="004017D8" w:rsidP="005A40CD">
      <w:pPr>
        <w:numPr>
          <w:ilvl w:val="0"/>
          <w:numId w:val="2"/>
        </w:numPr>
        <w:spacing w:after="120"/>
        <w:jc w:val="both"/>
        <w:rPr>
          <w:rFonts w:asciiTheme="minorHAnsi" w:hAnsiTheme="minorHAnsi"/>
        </w:rPr>
      </w:pPr>
      <w:r w:rsidRPr="00347EDB">
        <w:rPr>
          <w:rFonts w:asciiTheme="minorHAnsi" w:hAnsiTheme="minorHAnsi"/>
        </w:rPr>
        <w:t>Preuve d’enregistrement au registre des sociétés (k-bis ou équivalent)</w:t>
      </w:r>
      <w:r w:rsidR="00D800D1" w:rsidRPr="00347EDB">
        <w:rPr>
          <w:rFonts w:asciiTheme="minorHAnsi" w:hAnsiTheme="minorHAnsi"/>
        </w:rPr>
        <w:t> ;</w:t>
      </w:r>
    </w:p>
    <w:p w14:paraId="07DD61FD" w14:textId="55D6CF5A" w:rsidR="004017D8" w:rsidRPr="00347EDB" w:rsidRDefault="00D800D1" w:rsidP="005A40CD">
      <w:pPr>
        <w:numPr>
          <w:ilvl w:val="0"/>
          <w:numId w:val="2"/>
        </w:numPr>
        <w:spacing w:after="120"/>
        <w:jc w:val="both"/>
        <w:rPr>
          <w:rFonts w:asciiTheme="minorHAnsi" w:hAnsiTheme="minorHAnsi"/>
        </w:rPr>
      </w:pPr>
      <w:r w:rsidRPr="00347EDB">
        <w:rPr>
          <w:rFonts w:asciiTheme="minorHAnsi" w:hAnsiTheme="minorHAnsi"/>
        </w:rPr>
        <w:t>L</w:t>
      </w:r>
      <w:r w:rsidR="0011714F" w:rsidRPr="00347EDB">
        <w:rPr>
          <w:rFonts w:asciiTheme="minorHAnsi" w:hAnsiTheme="minorHAnsi"/>
        </w:rPr>
        <w:t xml:space="preserve">e formulaire de candidature </w:t>
      </w:r>
      <w:r w:rsidR="0071561E" w:rsidRPr="00347EDB">
        <w:rPr>
          <w:rFonts w:asciiTheme="minorHAnsi" w:hAnsiTheme="minorHAnsi"/>
        </w:rPr>
        <w:t xml:space="preserve">et ses annexes, la déclaration sur l'honneur relative aux critères d'exclusion, à </w:t>
      </w:r>
      <w:r w:rsidRPr="00347EDB">
        <w:rPr>
          <w:rFonts w:asciiTheme="minorHAnsi" w:hAnsiTheme="minorHAnsi"/>
        </w:rPr>
        <w:t>l'absence de conflit d'intérêt et la fiche d’identité tiers ;</w:t>
      </w:r>
    </w:p>
    <w:p w14:paraId="6FCDF259" w14:textId="77777777" w:rsidR="00801237" w:rsidRPr="00347EDB" w:rsidRDefault="00801237" w:rsidP="005A40CD">
      <w:pPr>
        <w:numPr>
          <w:ilvl w:val="0"/>
          <w:numId w:val="2"/>
        </w:numPr>
        <w:spacing w:after="120"/>
        <w:jc w:val="both"/>
        <w:rPr>
          <w:rFonts w:asciiTheme="minorHAnsi" w:hAnsiTheme="minorHAnsi"/>
        </w:rPr>
      </w:pPr>
      <w:r w:rsidRPr="00347EDB">
        <w:rPr>
          <w:rFonts w:asciiTheme="minorHAnsi" w:hAnsiTheme="minorHAnsi"/>
        </w:rPr>
        <w:t>Le projet de contrat comprenant notamment l’offre financière du candidat, dûment renseigné, daté, signé ;</w:t>
      </w:r>
    </w:p>
    <w:p w14:paraId="4AD72C4E" w14:textId="77777777" w:rsidR="00801237" w:rsidRDefault="00801237" w:rsidP="005A40CD">
      <w:pPr>
        <w:numPr>
          <w:ilvl w:val="0"/>
          <w:numId w:val="2"/>
        </w:numPr>
        <w:spacing w:after="120"/>
        <w:jc w:val="both"/>
        <w:rPr>
          <w:rFonts w:asciiTheme="minorHAnsi" w:hAnsiTheme="minorHAnsi"/>
        </w:rPr>
      </w:pPr>
      <w:r w:rsidRPr="00347EDB">
        <w:rPr>
          <w:rFonts w:asciiTheme="minorHAnsi" w:hAnsiTheme="minorHAnsi"/>
        </w:rPr>
        <w:t>une offre technique, comprenant :</w:t>
      </w:r>
    </w:p>
    <w:p w14:paraId="51AB5D69" w14:textId="77777777" w:rsidR="00557909" w:rsidRPr="00AA3022" w:rsidRDefault="00557909" w:rsidP="005A40CD">
      <w:pPr>
        <w:numPr>
          <w:ilvl w:val="1"/>
          <w:numId w:val="2"/>
        </w:numPr>
        <w:tabs>
          <w:tab w:val="right" w:leader="dot" w:pos="9923"/>
        </w:tabs>
        <w:autoSpaceDE/>
        <w:spacing w:after="120"/>
        <w:jc w:val="both"/>
        <w:rPr>
          <w:rFonts w:asciiTheme="minorHAnsi" w:hAnsiTheme="minorHAnsi"/>
        </w:rPr>
      </w:pPr>
      <w:r w:rsidRPr="00AA3022">
        <w:rPr>
          <w:rFonts w:asciiTheme="minorHAnsi" w:hAnsiTheme="minorHAnsi"/>
        </w:rPr>
        <w:t>Compréhension et commentaires sur les éléments des termes de référence,</w:t>
      </w:r>
    </w:p>
    <w:p w14:paraId="362B6AE6" w14:textId="224B040E" w:rsidR="00557909" w:rsidRPr="00AA3022" w:rsidRDefault="00557909" w:rsidP="005A40CD">
      <w:pPr>
        <w:numPr>
          <w:ilvl w:val="1"/>
          <w:numId w:val="2"/>
        </w:numPr>
        <w:tabs>
          <w:tab w:val="right" w:leader="dot" w:pos="9923"/>
        </w:tabs>
        <w:autoSpaceDE/>
        <w:spacing w:after="120"/>
        <w:jc w:val="both"/>
        <w:rPr>
          <w:rFonts w:asciiTheme="minorHAnsi" w:hAnsiTheme="minorHAnsi"/>
        </w:rPr>
      </w:pPr>
      <w:r w:rsidRPr="00347EDB">
        <w:rPr>
          <w:rFonts w:asciiTheme="minorHAnsi" w:hAnsiTheme="minorHAnsi"/>
        </w:rPr>
        <w:t xml:space="preserve">une description </w:t>
      </w:r>
      <w:r>
        <w:rPr>
          <w:rFonts w:asciiTheme="minorHAnsi" w:hAnsiTheme="minorHAnsi"/>
        </w:rPr>
        <w:t xml:space="preserve"> de la m</w:t>
      </w:r>
      <w:r w:rsidRPr="00AA3022">
        <w:rPr>
          <w:rFonts w:asciiTheme="minorHAnsi" w:hAnsiTheme="minorHAnsi"/>
        </w:rPr>
        <w:t xml:space="preserve">éthodologie d’intervention en lien avec les termes de référence, </w:t>
      </w:r>
    </w:p>
    <w:p w14:paraId="3AB0C6A8" w14:textId="77777777" w:rsidR="00557909" w:rsidRPr="00AA3022" w:rsidRDefault="00557909" w:rsidP="005A40CD">
      <w:pPr>
        <w:numPr>
          <w:ilvl w:val="1"/>
          <w:numId w:val="2"/>
        </w:numPr>
        <w:tabs>
          <w:tab w:val="right" w:leader="dot" w:pos="9923"/>
        </w:tabs>
        <w:autoSpaceDE/>
        <w:spacing w:after="120"/>
        <w:jc w:val="both"/>
        <w:rPr>
          <w:rFonts w:asciiTheme="minorHAnsi" w:hAnsiTheme="minorHAnsi"/>
        </w:rPr>
      </w:pPr>
      <w:r w:rsidRPr="00AA3022">
        <w:rPr>
          <w:rFonts w:asciiTheme="minorHAnsi" w:hAnsiTheme="minorHAnsi"/>
        </w:rPr>
        <w:t>Chronogramme détaillé,</w:t>
      </w:r>
    </w:p>
    <w:p w14:paraId="2AC1F15A" w14:textId="77777777" w:rsidR="00557909" w:rsidRPr="00AA3022" w:rsidRDefault="00557909" w:rsidP="005A40CD">
      <w:pPr>
        <w:numPr>
          <w:ilvl w:val="1"/>
          <w:numId w:val="2"/>
        </w:numPr>
        <w:tabs>
          <w:tab w:val="right" w:leader="dot" w:pos="9923"/>
        </w:tabs>
        <w:autoSpaceDE/>
        <w:spacing w:after="120"/>
        <w:jc w:val="both"/>
        <w:rPr>
          <w:rFonts w:asciiTheme="minorHAnsi" w:hAnsiTheme="minorHAnsi"/>
        </w:rPr>
      </w:pPr>
      <w:r w:rsidRPr="00AA3022">
        <w:rPr>
          <w:rFonts w:asciiTheme="minorHAnsi" w:hAnsiTheme="minorHAnsi"/>
        </w:rPr>
        <w:t xml:space="preserve">Tableau résumé des expériences dans l’évaluation de projets avec les coordonnées d’au moins trois référents ; </w:t>
      </w:r>
    </w:p>
    <w:p w14:paraId="66832EE8" w14:textId="6D54C6C2" w:rsidR="00557909" w:rsidRPr="00AA3022" w:rsidRDefault="00557909" w:rsidP="005A40CD">
      <w:pPr>
        <w:numPr>
          <w:ilvl w:val="1"/>
          <w:numId w:val="2"/>
        </w:numPr>
        <w:spacing w:after="120"/>
        <w:jc w:val="both"/>
        <w:rPr>
          <w:rFonts w:asciiTheme="minorHAnsi" w:hAnsiTheme="minorHAnsi"/>
        </w:rPr>
      </w:pPr>
      <w:r w:rsidRPr="00AA3022">
        <w:rPr>
          <w:rFonts w:asciiTheme="minorHAnsi" w:hAnsiTheme="minorHAnsi"/>
        </w:rPr>
        <w:t>Composition de l’équipe d’évaluation, avec les CV ne dépassant pas 3 pages pour chaque intervenant, expériences et les coordonnées d’au moins 2 référents</w:t>
      </w:r>
    </w:p>
    <w:p w14:paraId="48886ABA" w14:textId="77777777" w:rsidR="00AA3022" w:rsidRPr="00347EDB" w:rsidRDefault="00AA3022" w:rsidP="005A40CD">
      <w:pPr>
        <w:spacing w:after="120"/>
        <w:ind w:left="1440"/>
        <w:jc w:val="both"/>
        <w:rPr>
          <w:rFonts w:asciiTheme="minorHAnsi" w:hAnsiTheme="minorHAnsi"/>
        </w:rPr>
      </w:pPr>
    </w:p>
    <w:p w14:paraId="00A61DDE" w14:textId="46E0C890" w:rsidR="00D800D1" w:rsidRPr="00AA3022" w:rsidRDefault="00801237" w:rsidP="005A40CD">
      <w:pPr>
        <w:numPr>
          <w:ilvl w:val="0"/>
          <w:numId w:val="2"/>
        </w:numPr>
        <w:spacing w:after="120"/>
        <w:jc w:val="both"/>
        <w:rPr>
          <w:rFonts w:asciiTheme="minorHAnsi" w:hAnsiTheme="minorHAnsi" w:cstheme="minorHAnsi"/>
          <w:szCs w:val="22"/>
        </w:rPr>
      </w:pPr>
      <w:r w:rsidRPr="00AA3022">
        <w:rPr>
          <w:rFonts w:asciiTheme="minorHAnsi" w:hAnsiTheme="minorHAnsi" w:cstheme="minorHAnsi"/>
          <w:szCs w:val="22"/>
        </w:rPr>
        <w:t>Une déco</w:t>
      </w:r>
      <w:r w:rsidR="00AA3022" w:rsidRPr="00AA3022">
        <w:rPr>
          <w:rFonts w:asciiTheme="minorHAnsi" w:hAnsiTheme="minorHAnsi" w:cstheme="minorHAnsi"/>
          <w:szCs w:val="22"/>
        </w:rPr>
        <w:t>mposition de l’offre financière comprenant les éléments budgétaires suivants : coût journalier en HT et TTC (décomposition des temps d’intervention par intervenant et par étape de travail) ; coûts annexes (prestations et documents complémentaires) ; frais de transport (international et local), frais logistiques, avec proposi</w:t>
      </w:r>
      <w:r w:rsidR="00AA3022">
        <w:rPr>
          <w:rFonts w:asciiTheme="minorHAnsi" w:hAnsiTheme="minorHAnsi" w:cstheme="minorHAnsi"/>
          <w:szCs w:val="22"/>
        </w:rPr>
        <w:t>tions de modalités de paiement</w:t>
      </w:r>
      <w:r w:rsidR="00D800D1" w:rsidRPr="00AA3022">
        <w:rPr>
          <w:rFonts w:asciiTheme="minorHAnsi" w:hAnsiTheme="minorHAnsi" w:cstheme="minorHAnsi"/>
          <w:szCs w:val="22"/>
        </w:rPr>
        <w:t>;</w:t>
      </w:r>
    </w:p>
    <w:p w14:paraId="0AEB9678" w14:textId="4D2B1953" w:rsidR="00801237" w:rsidRPr="00347EDB" w:rsidRDefault="002B280B" w:rsidP="005A40CD">
      <w:pPr>
        <w:numPr>
          <w:ilvl w:val="0"/>
          <w:numId w:val="2"/>
        </w:numPr>
        <w:spacing w:after="120"/>
        <w:jc w:val="both"/>
        <w:rPr>
          <w:rFonts w:asciiTheme="minorHAnsi" w:hAnsiTheme="minorHAnsi"/>
        </w:rPr>
      </w:pPr>
      <w:r w:rsidRPr="00347EDB">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B627C" w:rsidRPr="00347EDB">
          <w:rPr>
            <w:rStyle w:val="Lienhypertexte"/>
            <w:rFonts w:asciiTheme="minorHAnsi" w:hAnsiTheme="minorHAnsi" w:cstheme="minorHAnsi"/>
            <w:szCs w:val="22"/>
          </w:rPr>
          <w:t>https://www.diplomatie.gouv.fr/fr/conseils-aux-voyageurs/</w:t>
        </w:r>
      </w:hyperlink>
      <w:r w:rsidR="005B627C" w:rsidRPr="00347EDB">
        <w:rPr>
          <w:rFonts w:asciiTheme="minorHAnsi" w:hAnsiTheme="minorHAnsi" w:cstheme="minorHAnsi"/>
          <w:szCs w:val="22"/>
        </w:rPr>
        <w:t>)</w:t>
      </w:r>
      <w:r w:rsidRPr="00347EDB">
        <w:rPr>
          <w:rFonts w:asciiTheme="minorHAnsi" w:hAnsiTheme="minorHAnsi" w:cstheme="minorHAnsi"/>
          <w:szCs w:val="22"/>
        </w:rPr>
        <w:t>, le questionnaire évaluation sûreté complété</w:t>
      </w:r>
      <w:r w:rsidR="006323CF" w:rsidRPr="00347EDB">
        <w:rPr>
          <w:rFonts w:asciiTheme="minorHAnsi" w:hAnsiTheme="minorHAnsi"/>
        </w:rPr>
        <w:t>.</w:t>
      </w:r>
    </w:p>
    <w:p w14:paraId="708F1E8F" w14:textId="36482CEC" w:rsidR="00801237" w:rsidRPr="00CC417D" w:rsidRDefault="00801237" w:rsidP="005A40CD">
      <w:pPr>
        <w:pStyle w:val="Corpsdetexte31"/>
        <w:autoSpaceDE/>
        <w:autoSpaceDN w:val="0"/>
        <w:spacing w:after="120"/>
        <w:rPr>
          <w:rFonts w:asciiTheme="minorHAnsi" w:hAnsiTheme="minorHAnsi"/>
          <w:caps w:val="0"/>
          <w:szCs w:val="24"/>
        </w:rPr>
      </w:pPr>
      <w:r w:rsidRPr="00CC417D">
        <w:rPr>
          <w:rFonts w:asciiTheme="minorHAnsi" w:hAnsiTheme="minorHAnsi"/>
          <w:caps w:val="0"/>
          <w:szCs w:val="24"/>
        </w:rPr>
        <w:t>Les documents demandés ci-dessus sont obligatoires. Leur absence entraîne la non-conformité de l’offre présentée et, de fait, son rejet.</w:t>
      </w:r>
    </w:p>
    <w:p w14:paraId="2F2E7B54" w14:textId="065BE2DA" w:rsidR="00270DD2" w:rsidRDefault="00270DD2" w:rsidP="005A40CD">
      <w:pPr>
        <w:pStyle w:val="Corpsdetexte31"/>
        <w:autoSpaceDE/>
        <w:autoSpaceDN w:val="0"/>
        <w:spacing w:after="120"/>
        <w:rPr>
          <w:rFonts w:asciiTheme="minorHAnsi" w:hAnsiTheme="minorHAnsi"/>
          <w:caps w:val="0"/>
          <w:szCs w:val="24"/>
        </w:rPr>
      </w:pPr>
      <w:r w:rsidRPr="00CC417D">
        <w:rPr>
          <w:rFonts w:asciiTheme="minorHAnsi" w:hAnsiTheme="minorHAnsi"/>
          <w:caps w:val="0"/>
          <w:szCs w:val="24"/>
        </w:rPr>
        <w:t>La période de validité des offres remise</w:t>
      </w:r>
      <w:r w:rsidR="00E64FCC" w:rsidRPr="00CC417D">
        <w:rPr>
          <w:rFonts w:asciiTheme="minorHAnsi" w:hAnsiTheme="minorHAnsi"/>
          <w:caps w:val="0"/>
          <w:szCs w:val="24"/>
        </w:rPr>
        <w:t>s</w:t>
      </w:r>
      <w:r w:rsidRPr="00CC417D">
        <w:rPr>
          <w:rFonts w:asciiTheme="minorHAnsi" w:hAnsiTheme="minorHAnsi"/>
          <w:caps w:val="0"/>
          <w:szCs w:val="24"/>
        </w:rPr>
        <w:t xml:space="preserve"> est fixée à 90 jours calendaires à compter de la date limite de remise des offres</w:t>
      </w:r>
      <w:r w:rsidR="008D4BB5" w:rsidRPr="00CC417D">
        <w:rPr>
          <w:rFonts w:asciiTheme="minorHAnsi" w:hAnsiTheme="minorHAnsi"/>
          <w:caps w:val="0"/>
          <w:szCs w:val="24"/>
        </w:rPr>
        <w:t>.</w:t>
      </w:r>
      <w:r w:rsidRPr="00CC417D">
        <w:rPr>
          <w:rFonts w:asciiTheme="minorHAnsi" w:hAnsiTheme="minorHAnsi"/>
          <w:caps w:val="0"/>
          <w:szCs w:val="24"/>
        </w:rPr>
        <w:t xml:space="preserve"> </w:t>
      </w:r>
    </w:p>
    <w:p w14:paraId="23CF8A6B" w14:textId="77777777" w:rsidR="00437A57" w:rsidRDefault="00437A57" w:rsidP="005A40CD">
      <w:pPr>
        <w:pStyle w:val="Corpsdetexte31"/>
        <w:autoSpaceDE/>
        <w:autoSpaceDN w:val="0"/>
        <w:spacing w:after="120"/>
        <w:rPr>
          <w:rFonts w:asciiTheme="minorHAnsi" w:hAnsiTheme="minorHAnsi"/>
          <w:caps w:val="0"/>
          <w:szCs w:val="24"/>
        </w:rPr>
      </w:pPr>
    </w:p>
    <w:p w14:paraId="6BFDE670" w14:textId="067E400A" w:rsidR="00437A57" w:rsidRPr="00CC417D" w:rsidRDefault="00437A57" w:rsidP="005A40CD">
      <w:pPr>
        <w:keepNext/>
        <w:numPr>
          <w:ilvl w:val="0"/>
          <w:numId w:val="12"/>
        </w:numPr>
        <w:autoSpaceDE/>
        <w:spacing w:before="240" w:after="120"/>
        <w:ind w:left="357" w:hanging="357"/>
        <w:jc w:val="both"/>
        <w:rPr>
          <w:rFonts w:asciiTheme="minorHAnsi" w:hAnsiTheme="minorHAnsi"/>
        </w:rPr>
      </w:pPr>
      <w:r w:rsidRPr="00CC417D">
        <w:rPr>
          <w:rFonts w:ascii="Calibri" w:hAnsi="Calibri"/>
          <w:b/>
          <w:smallCaps/>
          <w:u w:val="single"/>
        </w:rPr>
        <w:t xml:space="preserve">Modalités de transmission des offres </w:t>
      </w:r>
    </w:p>
    <w:p w14:paraId="0BE7F85D" w14:textId="38ECFC6A" w:rsidR="00BA7E5B" w:rsidRDefault="000627D7" w:rsidP="005A40CD">
      <w:pPr>
        <w:pStyle w:val="Corpsdetexte31"/>
        <w:autoSpaceDE/>
        <w:autoSpaceDN w:val="0"/>
        <w:spacing w:after="120"/>
        <w:rPr>
          <w:rFonts w:asciiTheme="minorHAnsi" w:hAnsiTheme="minorHAnsi"/>
          <w:caps w:val="0"/>
        </w:rPr>
      </w:pPr>
      <w:r>
        <w:rPr>
          <w:rFonts w:asciiTheme="minorHAnsi" w:hAnsiTheme="minorHAnsi"/>
          <w:caps w:val="0"/>
        </w:rPr>
        <w:t>L’ensemble des documen</w:t>
      </w:r>
      <w:r w:rsidR="00E1434C">
        <w:rPr>
          <w:rFonts w:asciiTheme="minorHAnsi" w:hAnsiTheme="minorHAnsi"/>
          <w:caps w:val="0"/>
        </w:rPr>
        <w:t xml:space="preserve">ts exigés est à transmettre avant </w:t>
      </w:r>
      <w:r w:rsidR="00D800D1">
        <w:rPr>
          <w:rFonts w:asciiTheme="minorHAnsi" w:hAnsiTheme="minorHAnsi"/>
          <w:caps w:val="0"/>
        </w:rPr>
        <w:t>les dates</w:t>
      </w:r>
      <w:r>
        <w:rPr>
          <w:rFonts w:asciiTheme="minorHAnsi" w:hAnsiTheme="minorHAnsi"/>
          <w:caps w:val="0"/>
        </w:rPr>
        <w:t xml:space="preserve"> et heure limites indiqué</w:t>
      </w:r>
      <w:r w:rsidR="00494529">
        <w:rPr>
          <w:rFonts w:asciiTheme="minorHAnsi" w:hAnsiTheme="minorHAnsi"/>
          <w:caps w:val="0"/>
        </w:rPr>
        <w:t>e</w:t>
      </w:r>
      <w:r>
        <w:rPr>
          <w:rFonts w:asciiTheme="minorHAnsi" w:hAnsiTheme="minorHAnsi"/>
          <w:caps w:val="0"/>
        </w:rPr>
        <w:t xml:space="preserve">s à l’article </w:t>
      </w:r>
      <w:r>
        <w:rPr>
          <w:rFonts w:asciiTheme="minorHAnsi" w:hAnsiTheme="minorHAnsi"/>
          <w:caps w:val="0"/>
        </w:rPr>
        <w:fldChar w:fldCharType="begin"/>
      </w:r>
      <w:r>
        <w:rPr>
          <w:rFonts w:asciiTheme="minorHAnsi" w:hAnsiTheme="minorHAnsi"/>
          <w:caps w:val="0"/>
        </w:rPr>
        <w:instrText xml:space="preserve"> REF _Ref69726631 \r \h </w:instrText>
      </w:r>
      <w:r>
        <w:rPr>
          <w:rFonts w:asciiTheme="minorHAnsi" w:hAnsiTheme="minorHAnsi"/>
          <w:caps w:val="0"/>
        </w:rPr>
      </w:r>
      <w:r w:rsidR="005A40CD">
        <w:rPr>
          <w:rFonts w:asciiTheme="minorHAnsi" w:hAnsiTheme="minorHAnsi"/>
          <w:caps w:val="0"/>
        </w:rPr>
        <w:instrText xml:space="preserve"> \* MERGEFORMAT </w:instrText>
      </w:r>
      <w:r>
        <w:rPr>
          <w:rFonts w:asciiTheme="minorHAnsi" w:hAnsiTheme="minorHAnsi"/>
          <w:caps w:val="0"/>
        </w:rPr>
        <w:fldChar w:fldCharType="separate"/>
      </w:r>
      <w:r>
        <w:rPr>
          <w:rFonts w:asciiTheme="minorHAnsi" w:hAnsiTheme="minorHAnsi"/>
          <w:caps w:val="0"/>
        </w:rPr>
        <w:t>III</w:t>
      </w:r>
      <w:r>
        <w:rPr>
          <w:rFonts w:asciiTheme="minorHAnsi" w:hAnsiTheme="minorHAnsi"/>
          <w:caps w:val="0"/>
        </w:rPr>
        <w:fldChar w:fldCharType="end"/>
      </w:r>
      <w:r>
        <w:rPr>
          <w:rFonts w:asciiTheme="minorHAnsi" w:hAnsiTheme="minorHAnsi"/>
          <w:caps w:val="0"/>
        </w:rPr>
        <w:t xml:space="preserve">. </w:t>
      </w:r>
      <w:r w:rsidRPr="00CC417D">
        <w:rPr>
          <w:rFonts w:asciiTheme="minorHAnsi" w:hAnsiTheme="minorHAnsi"/>
          <w:caps w:val="0"/>
        </w:rPr>
        <w:fldChar w:fldCharType="begin"/>
      </w:r>
      <w:r w:rsidRPr="00E1434C">
        <w:rPr>
          <w:rFonts w:asciiTheme="minorHAnsi" w:hAnsiTheme="minorHAnsi"/>
          <w:caps w:val="0"/>
        </w:rPr>
        <w:instrText xml:space="preserve"> REF _Ref69726631 \h </w:instrText>
      </w:r>
      <w:r w:rsidR="00E1434C" w:rsidRPr="00E1434C">
        <w:rPr>
          <w:rFonts w:asciiTheme="minorHAnsi" w:hAnsiTheme="minorHAnsi"/>
          <w:caps w:val="0"/>
        </w:rPr>
        <w:instrText xml:space="preserve"> \* MERGEFORMAT </w:instrText>
      </w:r>
      <w:r w:rsidRPr="00CC417D">
        <w:rPr>
          <w:rFonts w:asciiTheme="minorHAnsi" w:hAnsiTheme="minorHAnsi"/>
          <w:caps w:val="0"/>
        </w:rPr>
      </w:r>
      <w:r w:rsidRPr="00CC417D">
        <w:rPr>
          <w:rFonts w:asciiTheme="minorHAnsi" w:hAnsiTheme="minorHAnsi"/>
          <w:caps w:val="0"/>
        </w:rPr>
        <w:fldChar w:fldCharType="separate"/>
      </w:r>
      <w:r w:rsidRPr="00CC417D">
        <w:rPr>
          <w:rFonts w:ascii="Calibri" w:hAnsi="Calibri"/>
          <w:smallCaps/>
          <w:u w:val="single"/>
        </w:rPr>
        <w:t>Calendrier de passation</w:t>
      </w:r>
      <w:r w:rsidRPr="00CC417D">
        <w:rPr>
          <w:rFonts w:asciiTheme="minorHAnsi" w:hAnsiTheme="minorHAnsi"/>
          <w:caps w:val="0"/>
        </w:rPr>
        <w:fldChar w:fldCharType="end"/>
      </w:r>
      <w:r w:rsidR="00BA7E5B">
        <w:rPr>
          <w:rFonts w:asciiTheme="minorHAnsi" w:hAnsiTheme="minorHAnsi"/>
          <w:caps w:val="0"/>
        </w:rPr>
        <w:t>.</w:t>
      </w:r>
    </w:p>
    <w:p w14:paraId="3256E17C" w14:textId="77777777" w:rsidR="00BA7E5B" w:rsidRPr="00BA7E5B" w:rsidRDefault="00BA7E5B" w:rsidP="005A40CD">
      <w:pPr>
        <w:pStyle w:val="Corpsdetexte31"/>
        <w:autoSpaceDE/>
        <w:autoSpaceDN w:val="0"/>
        <w:spacing w:after="120"/>
        <w:rPr>
          <w:rFonts w:asciiTheme="minorHAnsi" w:hAnsiTheme="minorHAnsi"/>
          <w:caps w:val="0"/>
        </w:rPr>
      </w:pPr>
      <w:r w:rsidRPr="00BA7E5B">
        <w:rPr>
          <w:rFonts w:asciiTheme="minorHAnsi" w:hAnsiTheme="minorHAnsi"/>
          <w:caps w:val="0"/>
        </w:rPr>
        <w:t xml:space="preserve">Pour accéder à l’espace de consultation du marché ou pour déposer leur pli, les soumissionnaires doivent se connecter à la Plateforme des Achats de l’Etat à l’adresse suivante : </w:t>
      </w:r>
    </w:p>
    <w:p w14:paraId="753966A5" w14:textId="77777777" w:rsidR="00BA7E5B" w:rsidRPr="00CC417D" w:rsidRDefault="006171CA" w:rsidP="005A40CD">
      <w:pPr>
        <w:autoSpaceDE/>
        <w:jc w:val="both"/>
        <w:rPr>
          <w:rFonts w:ascii="Calibri" w:eastAsia="Times" w:hAnsi="Calibri" w:cs="Calibri"/>
          <w:color w:val="auto"/>
        </w:rPr>
      </w:pPr>
      <w:hyperlink w:history="1">
        <w:r w:rsidR="00BA7E5B" w:rsidRPr="00CC417D">
          <w:rPr>
            <w:rFonts w:ascii="Calibri" w:eastAsia="Times" w:hAnsi="Calibri" w:cs="Calibri"/>
            <w:color w:val="0000FF"/>
            <w:u w:val="single"/>
          </w:rPr>
          <w:t>https://www.marches-publics.gouv.fr</w:t>
        </w:r>
        <w:r w:rsidR="00BA7E5B" w:rsidRPr="00CC417D" w:rsidDel="00D06CDF">
          <w:rPr>
            <w:rFonts w:ascii="Calibri" w:eastAsia="Times" w:hAnsi="Calibri" w:cs="Calibri"/>
            <w:color w:val="0000FF"/>
            <w:u w:val="single"/>
          </w:rPr>
          <w:t xml:space="preserve"> </w:t>
        </w:r>
      </w:hyperlink>
    </w:p>
    <w:p w14:paraId="253E150F" w14:textId="77777777" w:rsidR="00BA7E5B" w:rsidRPr="00CC417D" w:rsidRDefault="00BA7E5B" w:rsidP="005A40CD">
      <w:pPr>
        <w:autoSpaceDE/>
        <w:spacing w:before="120"/>
        <w:jc w:val="both"/>
        <w:rPr>
          <w:rFonts w:ascii="Calibri" w:eastAsia="Times New Roman" w:hAnsi="Calibri" w:cs="Calibri"/>
          <w:color w:val="auto"/>
        </w:rPr>
      </w:pPr>
      <w:r w:rsidRPr="00CC417D">
        <w:rPr>
          <w:rFonts w:ascii="Calibri" w:eastAsia="Times New Roman" w:hAnsi="Calibri" w:cs="Calibri"/>
          <w:color w:val="auto"/>
        </w:rPr>
        <w:t>La remise par voie dématérialisée est obligatoire. Toute remise par un autre moyen sera rejetée.</w:t>
      </w:r>
    </w:p>
    <w:p w14:paraId="59BAADED"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 xml:space="preserve">La procédure de dépôt des plis est détaillée sur le site </w:t>
      </w:r>
      <w:hyperlink r:id="rId14" w:history="1">
        <w:r w:rsidRPr="00CC417D">
          <w:rPr>
            <w:rFonts w:ascii="Calibri" w:eastAsia="Times" w:hAnsi="Calibri" w:cs="Calibri"/>
            <w:color w:val="0000FF"/>
            <w:u w:val="single"/>
          </w:rPr>
          <w:t>www.marches-publics.gouv.fr</w:t>
        </w:r>
      </w:hyperlink>
      <w:r w:rsidRPr="00CC417D">
        <w:rPr>
          <w:rFonts w:ascii="Calibri" w:eastAsia="Times" w:hAnsi="Calibri" w:cs="Calibri"/>
          <w:color w:val="auto"/>
        </w:rPr>
        <w:t xml:space="preserve">. </w:t>
      </w:r>
    </w:p>
    <w:p w14:paraId="69AF2FE4"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 xml:space="preserve">Les soumissionnaires y trouveront notamment un «guide utilisateur» téléchargeable qui précise les conditions d'utilisations de la plate-forme des achats de l'État, notamment les </w:t>
      </w:r>
      <w:proofErr w:type="spellStart"/>
      <w:r w:rsidRPr="00CC417D">
        <w:rPr>
          <w:rFonts w:ascii="Calibri" w:eastAsia="Times" w:hAnsi="Calibri" w:cs="Calibri"/>
          <w:color w:val="auto"/>
        </w:rPr>
        <w:t>pré-requis</w:t>
      </w:r>
      <w:proofErr w:type="spellEnd"/>
      <w:r w:rsidRPr="00CC417D">
        <w:rPr>
          <w:rFonts w:ascii="Calibri" w:eastAsia="Times" w:hAnsi="Calibri" w:cs="Calibri"/>
          <w:color w:val="auto"/>
        </w:rPr>
        <w:t xml:space="preserve"> techniques et certificats électroniques.</w:t>
      </w:r>
    </w:p>
    <w:p w14:paraId="00CD3305" w14:textId="49307B90" w:rsidR="00BA7E5B" w:rsidRPr="00CC417D" w:rsidRDefault="00BA7E5B" w:rsidP="005A40CD">
      <w:pPr>
        <w:autoSpaceDE/>
        <w:spacing w:before="120"/>
        <w:jc w:val="both"/>
        <w:rPr>
          <w:rFonts w:ascii="Calibri" w:eastAsia="Times" w:hAnsi="Calibri" w:cs="Calibri"/>
          <w:color w:val="0000FF"/>
          <w:u w:val="single"/>
        </w:rPr>
      </w:pPr>
      <w:r w:rsidRPr="00CC417D">
        <w:rPr>
          <w:rFonts w:ascii="Calibri" w:eastAsia="Times" w:hAnsi="Calibri" w:cs="Calibri"/>
          <w:color w:val="auto"/>
        </w:rPr>
        <w:t xml:space="preserve">S'ils le souhaitent, les candidats pourront prendre contact avec le </w:t>
      </w:r>
      <w:r w:rsidR="00047608" w:rsidRPr="00047608">
        <w:rPr>
          <w:rFonts w:ascii="Calibri" w:eastAsia="Times" w:hAnsi="Calibri" w:cs="Calibri"/>
          <w:color w:val="auto"/>
        </w:rPr>
        <w:t xml:space="preserve">09 72 37 01 30 </w:t>
      </w:r>
      <w:r w:rsidRPr="00CC417D">
        <w:rPr>
          <w:rFonts w:ascii="Calibri" w:eastAsia="Times" w:hAnsi="Calibri" w:cs="Calibri"/>
          <w:color w:val="auto"/>
        </w:rPr>
        <w:t>tous les jours ouvrés de 9h00 à 19h00 pour bénéficier d'une assistance technique dans l'accomplissement de ces opérations.</w:t>
      </w:r>
    </w:p>
    <w:p w14:paraId="5B2AFD96"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1B4F5B3B"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Les frais d'accès au réseau et de recours à la signature électronique sont à la charge de chaque candidat.</w:t>
      </w:r>
    </w:p>
    <w:p w14:paraId="4E6BAF6A" w14:textId="77777777" w:rsidR="00BA7E5B" w:rsidRPr="00CC417D" w:rsidRDefault="00BA7E5B" w:rsidP="005A40CD">
      <w:pPr>
        <w:autoSpaceDE/>
        <w:spacing w:before="120"/>
        <w:jc w:val="both"/>
        <w:rPr>
          <w:rFonts w:ascii="Calibri" w:eastAsia="Times" w:hAnsi="Calibri" w:cs="Calibri"/>
          <w:color w:val="auto"/>
          <w:u w:val="single"/>
        </w:rPr>
      </w:pPr>
      <w:r w:rsidRPr="00CC417D">
        <w:rPr>
          <w:rFonts w:ascii="Calibri" w:eastAsia="Times" w:hAnsi="Calibri" w:cs="Calibri"/>
          <w:color w:val="auto"/>
        </w:rPr>
        <w:t>Les soumissionnaires sont invités à tester la configuration de leur poste de travail et répondre à une consultation test, afin de s'assurer du bon fonctionnement de l'environnement informatique.</w:t>
      </w:r>
    </w:p>
    <w:p w14:paraId="14354C34"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L'attention des soumissionnaires est attirée sur le fait qu'ils devront au moins disposer d'un logiciel de navigation sur Internet. La disposition d'un outil de signature électronique n’est pas obligatoire.</w:t>
      </w:r>
    </w:p>
    <w:p w14:paraId="5BB9206F"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 xml:space="preserve">Pour constituer son offre, le soumissionnaire devra transmettre des fichiers établis dans les formats informatiques suivants : fichiers PDF, RTF, ZIP, suite Microsoft Office, </w:t>
      </w:r>
      <w:proofErr w:type="spellStart"/>
      <w:r w:rsidRPr="00CC417D">
        <w:rPr>
          <w:rFonts w:ascii="Calibri" w:eastAsia="Times" w:hAnsi="Calibri" w:cs="Calibri"/>
          <w:color w:val="auto"/>
        </w:rPr>
        <w:t>LibreOffice</w:t>
      </w:r>
      <w:proofErr w:type="spellEnd"/>
      <w:r w:rsidRPr="00CC417D">
        <w:rPr>
          <w:rFonts w:ascii="Calibri" w:eastAsia="Times" w:hAnsi="Calibri" w:cs="Calibri"/>
          <w:color w:val="auto"/>
        </w:rPr>
        <w:t xml:space="preserve"> ou Open Office. Tout fichier informatique établi dans un format informatique différent sera déclaré nul et non avenu.</w:t>
      </w:r>
    </w:p>
    <w:p w14:paraId="681E2F58" w14:textId="77777777" w:rsidR="00BA7E5B" w:rsidRPr="00CC417D" w:rsidRDefault="00BA7E5B" w:rsidP="005A40CD">
      <w:pPr>
        <w:autoSpaceDE/>
        <w:spacing w:before="240"/>
        <w:jc w:val="both"/>
        <w:rPr>
          <w:rFonts w:ascii="Calibri" w:eastAsia="Times" w:hAnsi="Calibri" w:cs="Calibri"/>
          <w:b/>
          <w:color w:val="auto"/>
        </w:rPr>
      </w:pPr>
      <w:r w:rsidRPr="00CC417D">
        <w:rPr>
          <w:rFonts w:ascii="Calibri" w:eastAsia="Times" w:hAnsi="Calibri" w:cs="Calibri"/>
          <w:b/>
          <w:color w:val="auto"/>
        </w:rPr>
        <w:t>ATTENTION !</w:t>
      </w:r>
    </w:p>
    <w:p w14:paraId="690B27D2"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6C038FDC"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lastRenderedPageBreak/>
        <w:t>Le pouvoir adjudicateur pourra procéder à un archivage de sécurité de tout fichier contenant un virus informatique. Dès lors, celui-ci sera réputé n'avoir jamais été reçu.</w:t>
      </w:r>
    </w:p>
    <w:p w14:paraId="5FB2CC54"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69559173" w14:textId="77777777" w:rsidR="00BA7E5B" w:rsidRPr="00CC417D" w:rsidRDefault="00BA7E5B" w:rsidP="005A40CD">
      <w:pPr>
        <w:autoSpaceDE/>
        <w:spacing w:before="120"/>
        <w:jc w:val="both"/>
        <w:rPr>
          <w:rFonts w:ascii="Calibri" w:eastAsia="Times" w:hAnsi="Calibri" w:cs="Calibri"/>
          <w:color w:val="auto"/>
        </w:rPr>
      </w:pPr>
      <w:r w:rsidRPr="00CC417D">
        <w:rPr>
          <w:rFonts w:ascii="Calibri" w:eastAsia="Times" w:hAnsi="Calibri" w:cs="Calibri"/>
          <w:color w:val="auto"/>
        </w:rPr>
        <w:t>Dans la mesure où la date et l’heure de fin d’acheminement font foi lors de la remise d’une réponse dématérialisée, les soumissionnaires sont invités à intégrer des marges de manœuvre dans leur processus de réponse par voie dématérialisée.</w:t>
      </w:r>
    </w:p>
    <w:p w14:paraId="4A151269" w14:textId="30902604" w:rsidR="00BA7E5B" w:rsidRPr="00BA7E5B" w:rsidRDefault="00BA7E5B" w:rsidP="005A40CD">
      <w:pPr>
        <w:pStyle w:val="Corpsdetexte31"/>
        <w:autoSpaceDE/>
        <w:autoSpaceDN w:val="0"/>
        <w:spacing w:after="120"/>
        <w:rPr>
          <w:rFonts w:asciiTheme="minorHAnsi" w:hAnsiTheme="minorHAnsi"/>
          <w:caps w:val="0"/>
        </w:rPr>
      </w:pPr>
      <w:r w:rsidRPr="00CC417D">
        <w:rPr>
          <w:rFonts w:ascii="Calibri" w:eastAsia="Times" w:hAnsi="Calibri" w:cs="Calibri"/>
          <w:bCs w:val="0"/>
          <w:caps w:val="0"/>
          <w:color w:val="auto"/>
          <w:szCs w:val="24"/>
        </w:rPr>
        <w:t xml:space="preserve">Même si son offre à la présente procédure de marché public a fait l'objet d'une transmission électronique, le soumissionnaire s'engage, notamment dans le cas où son offre est retenue, à accepter la </w:t>
      </w:r>
      <w:proofErr w:type="spellStart"/>
      <w:r w:rsidRPr="00CC417D">
        <w:rPr>
          <w:rFonts w:ascii="Calibri" w:eastAsia="Times" w:hAnsi="Calibri" w:cs="Calibri"/>
          <w:bCs w:val="0"/>
          <w:caps w:val="0"/>
          <w:color w:val="auto"/>
          <w:szCs w:val="24"/>
        </w:rPr>
        <w:t>re</w:t>
      </w:r>
      <w:proofErr w:type="spellEnd"/>
      <w:r w:rsidRPr="00CC417D">
        <w:rPr>
          <w:rFonts w:ascii="Calibri" w:eastAsia="Times" w:hAnsi="Calibri" w:cs="Calibri"/>
          <w:bCs w:val="0"/>
          <w:caps w:val="0"/>
          <w:color w:val="auto"/>
          <w:szCs w:val="24"/>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 Il s'engage enfin à en accepter la notification, selon les procédés habituellement en cours, sous forme papier.</w:t>
      </w:r>
      <w:r w:rsidR="00C84B52" w:rsidRPr="00CC417D">
        <w:rPr>
          <w:rFonts w:ascii="Calibri" w:eastAsia="Times" w:hAnsi="Calibri" w:cs="Calibri"/>
          <w:bCs w:val="0"/>
          <w:caps w:val="0"/>
          <w:color w:val="auto"/>
          <w:szCs w:val="24"/>
        </w:rPr>
        <w:t>]</w:t>
      </w:r>
    </w:p>
    <w:p w14:paraId="19ECDEB5" w14:textId="12515DF9" w:rsidR="002C129F" w:rsidRDefault="00892F74" w:rsidP="005A40CD">
      <w:pPr>
        <w:pStyle w:val="Corpsdetexte31"/>
        <w:autoSpaceDE/>
        <w:autoSpaceDN w:val="0"/>
        <w:spacing w:after="120"/>
        <w:rPr>
          <w:rFonts w:asciiTheme="minorHAnsi" w:hAnsiTheme="minorHAnsi"/>
          <w:caps w:val="0"/>
        </w:rPr>
      </w:pPr>
      <w:r>
        <w:rPr>
          <w:rFonts w:asciiTheme="minorHAnsi" w:hAnsiTheme="minorHAnsi"/>
          <w:caps w:val="0"/>
          <w:szCs w:val="24"/>
        </w:rPr>
        <w:t>[</w:t>
      </w:r>
      <w:r>
        <w:rPr>
          <w:rFonts w:asciiTheme="minorHAnsi" w:hAnsiTheme="minorHAnsi"/>
          <w:caps w:val="0"/>
        </w:rPr>
        <w:t xml:space="preserve">L’ensemble des documents exigés est à transmettre avant </w:t>
      </w:r>
      <w:r w:rsidR="00347EDB">
        <w:rPr>
          <w:rFonts w:asciiTheme="minorHAnsi" w:hAnsiTheme="minorHAnsi"/>
          <w:caps w:val="0"/>
        </w:rPr>
        <w:t>les dates</w:t>
      </w:r>
      <w:r>
        <w:rPr>
          <w:rFonts w:asciiTheme="minorHAnsi" w:hAnsiTheme="minorHAnsi"/>
          <w:caps w:val="0"/>
        </w:rPr>
        <w:t xml:space="preserve"> et heure limites indiquées à l’article </w:t>
      </w:r>
      <w:r>
        <w:rPr>
          <w:rFonts w:asciiTheme="minorHAnsi" w:hAnsiTheme="minorHAnsi"/>
          <w:caps w:val="0"/>
        </w:rPr>
        <w:fldChar w:fldCharType="begin"/>
      </w:r>
      <w:r>
        <w:rPr>
          <w:rFonts w:asciiTheme="minorHAnsi" w:hAnsiTheme="minorHAnsi"/>
          <w:caps w:val="0"/>
        </w:rPr>
        <w:instrText xml:space="preserve"> REF _Ref69726631 \r \h </w:instrText>
      </w:r>
      <w:r>
        <w:rPr>
          <w:rFonts w:asciiTheme="minorHAnsi" w:hAnsiTheme="minorHAnsi"/>
          <w:caps w:val="0"/>
        </w:rPr>
      </w:r>
      <w:r w:rsidR="005A40CD">
        <w:rPr>
          <w:rFonts w:asciiTheme="minorHAnsi" w:hAnsiTheme="minorHAnsi"/>
          <w:caps w:val="0"/>
        </w:rPr>
        <w:instrText xml:space="preserve"> \* MERGEFORMAT </w:instrText>
      </w:r>
      <w:r>
        <w:rPr>
          <w:rFonts w:asciiTheme="minorHAnsi" w:hAnsiTheme="minorHAnsi"/>
          <w:caps w:val="0"/>
        </w:rPr>
        <w:fldChar w:fldCharType="separate"/>
      </w:r>
      <w:r>
        <w:rPr>
          <w:rFonts w:asciiTheme="minorHAnsi" w:hAnsiTheme="minorHAnsi"/>
          <w:caps w:val="0"/>
        </w:rPr>
        <w:t>III</w:t>
      </w:r>
      <w:r>
        <w:rPr>
          <w:rFonts w:asciiTheme="minorHAnsi" w:hAnsiTheme="minorHAnsi"/>
          <w:caps w:val="0"/>
        </w:rPr>
        <w:fldChar w:fldCharType="end"/>
      </w:r>
      <w:r>
        <w:rPr>
          <w:rFonts w:asciiTheme="minorHAnsi" w:hAnsiTheme="minorHAnsi"/>
          <w:caps w:val="0"/>
        </w:rPr>
        <w:t xml:space="preserve">. </w:t>
      </w:r>
      <w:r w:rsidRPr="00F475D7">
        <w:rPr>
          <w:rFonts w:asciiTheme="minorHAnsi" w:hAnsiTheme="minorHAnsi"/>
          <w:caps w:val="0"/>
        </w:rPr>
        <w:fldChar w:fldCharType="begin"/>
      </w:r>
      <w:r w:rsidRPr="00F475D7">
        <w:rPr>
          <w:rFonts w:asciiTheme="minorHAnsi" w:hAnsiTheme="minorHAnsi"/>
          <w:caps w:val="0"/>
        </w:rPr>
        <w:instrText xml:space="preserve"> REF _Ref69726631 \h  \* MERGEFORMAT </w:instrText>
      </w:r>
      <w:r w:rsidRPr="00F475D7">
        <w:rPr>
          <w:rFonts w:asciiTheme="minorHAnsi" w:hAnsiTheme="minorHAnsi"/>
          <w:caps w:val="0"/>
        </w:rPr>
      </w:r>
      <w:r w:rsidRPr="00F475D7">
        <w:rPr>
          <w:rFonts w:asciiTheme="minorHAnsi" w:hAnsiTheme="minorHAnsi"/>
          <w:caps w:val="0"/>
        </w:rPr>
        <w:fldChar w:fldCharType="separate"/>
      </w:r>
      <w:r w:rsidRPr="00F475D7">
        <w:rPr>
          <w:rFonts w:ascii="Calibri" w:hAnsi="Calibri"/>
          <w:smallCaps/>
          <w:u w:val="single"/>
        </w:rPr>
        <w:t>Calendrier de passation</w:t>
      </w:r>
      <w:r w:rsidRPr="00F475D7">
        <w:rPr>
          <w:rFonts w:asciiTheme="minorHAnsi" w:hAnsiTheme="minorHAnsi"/>
          <w:caps w:val="0"/>
        </w:rPr>
        <w:fldChar w:fldCharType="end"/>
      </w:r>
      <w:r>
        <w:rPr>
          <w:rFonts w:asciiTheme="minorHAnsi" w:hAnsiTheme="minorHAnsi"/>
          <w:caps w:val="0"/>
        </w:rPr>
        <w:t xml:space="preserve">, par voie dématérialisée uniquement, à l’adresse </w:t>
      </w:r>
      <w:r w:rsidR="003E07BA">
        <w:rPr>
          <w:rFonts w:asciiTheme="minorHAnsi" w:hAnsiTheme="minorHAnsi"/>
          <w:caps w:val="0"/>
        </w:rPr>
        <w:t xml:space="preserve">mentionnée à l’article </w:t>
      </w:r>
      <w:r w:rsidR="003E07BA">
        <w:rPr>
          <w:rFonts w:asciiTheme="minorHAnsi" w:hAnsiTheme="minorHAnsi"/>
          <w:caps w:val="0"/>
        </w:rPr>
        <w:fldChar w:fldCharType="begin"/>
      </w:r>
      <w:r w:rsidR="003E07BA">
        <w:rPr>
          <w:rFonts w:asciiTheme="minorHAnsi" w:hAnsiTheme="minorHAnsi"/>
          <w:caps w:val="0"/>
        </w:rPr>
        <w:instrText xml:space="preserve"> REF _Ref69728360 \r \h </w:instrText>
      </w:r>
      <w:r w:rsidR="003E07BA">
        <w:rPr>
          <w:rFonts w:asciiTheme="minorHAnsi" w:hAnsiTheme="minorHAnsi"/>
          <w:caps w:val="0"/>
        </w:rPr>
      </w:r>
      <w:r w:rsidR="005A40CD">
        <w:rPr>
          <w:rFonts w:asciiTheme="minorHAnsi" w:hAnsiTheme="minorHAnsi"/>
          <w:caps w:val="0"/>
        </w:rPr>
        <w:instrText xml:space="preserve"> \* MERGEFORMAT </w:instrText>
      </w:r>
      <w:r w:rsidR="003E07BA">
        <w:rPr>
          <w:rFonts w:asciiTheme="minorHAnsi" w:hAnsiTheme="minorHAnsi"/>
          <w:caps w:val="0"/>
        </w:rPr>
        <w:fldChar w:fldCharType="separate"/>
      </w:r>
      <w:r w:rsidR="003E07BA">
        <w:rPr>
          <w:rFonts w:asciiTheme="minorHAnsi" w:hAnsiTheme="minorHAnsi"/>
          <w:caps w:val="0"/>
        </w:rPr>
        <w:t>IX</w:t>
      </w:r>
      <w:r w:rsidR="003E07BA">
        <w:rPr>
          <w:rFonts w:asciiTheme="minorHAnsi" w:hAnsiTheme="minorHAnsi"/>
          <w:caps w:val="0"/>
        </w:rPr>
        <w:fldChar w:fldCharType="end"/>
      </w:r>
      <w:r w:rsidR="003E07BA">
        <w:rPr>
          <w:rFonts w:asciiTheme="minorHAnsi" w:hAnsiTheme="minorHAnsi"/>
          <w:caps w:val="0"/>
        </w:rPr>
        <w:t xml:space="preserve">. </w:t>
      </w:r>
      <w:r w:rsidR="003E07BA" w:rsidRPr="00CC417D">
        <w:rPr>
          <w:rFonts w:asciiTheme="minorHAnsi" w:hAnsiTheme="minorHAnsi"/>
          <w:caps w:val="0"/>
        </w:rPr>
        <w:fldChar w:fldCharType="begin"/>
      </w:r>
      <w:r w:rsidR="003E07BA" w:rsidRPr="003E07BA">
        <w:rPr>
          <w:rFonts w:asciiTheme="minorHAnsi" w:hAnsiTheme="minorHAnsi"/>
          <w:caps w:val="0"/>
        </w:rPr>
        <w:instrText xml:space="preserve"> REF _Ref69728360 \h </w:instrText>
      </w:r>
      <w:r w:rsidR="003E07BA" w:rsidRPr="00CC417D">
        <w:rPr>
          <w:rFonts w:asciiTheme="minorHAnsi" w:hAnsiTheme="minorHAnsi"/>
          <w:caps w:val="0"/>
        </w:rPr>
        <w:instrText xml:space="preserve"> \* MERGEFORMAT </w:instrText>
      </w:r>
      <w:r w:rsidR="003E07BA" w:rsidRPr="00CC417D">
        <w:rPr>
          <w:rFonts w:asciiTheme="minorHAnsi" w:hAnsiTheme="minorHAnsi"/>
          <w:caps w:val="0"/>
        </w:rPr>
      </w:r>
      <w:r w:rsidR="003E07BA" w:rsidRPr="00CC417D">
        <w:rPr>
          <w:rFonts w:asciiTheme="minorHAnsi" w:hAnsiTheme="minorHAnsi"/>
          <w:caps w:val="0"/>
        </w:rPr>
        <w:fldChar w:fldCharType="separate"/>
      </w:r>
      <w:r w:rsidR="003E07BA" w:rsidRPr="00CC417D">
        <w:rPr>
          <w:rFonts w:ascii="Calibri" w:hAnsi="Calibri"/>
          <w:smallCaps/>
          <w:u w:val="single"/>
        </w:rPr>
        <w:t>Renseignements complémentaires</w:t>
      </w:r>
      <w:r w:rsidR="003E07BA" w:rsidRPr="00CC417D">
        <w:rPr>
          <w:rFonts w:asciiTheme="minorHAnsi" w:hAnsiTheme="minorHAnsi"/>
          <w:caps w:val="0"/>
        </w:rPr>
        <w:fldChar w:fldCharType="end"/>
      </w:r>
      <w:r w:rsidR="002C129F" w:rsidRPr="003E07BA">
        <w:rPr>
          <w:rFonts w:asciiTheme="minorHAnsi" w:hAnsiTheme="minorHAnsi"/>
          <w:caps w:val="0"/>
        </w:rPr>
        <w:t>.</w:t>
      </w:r>
    </w:p>
    <w:p w14:paraId="46CA89A3" w14:textId="1A7AEF4D" w:rsidR="00892F74" w:rsidRPr="00CC417D" w:rsidRDefault="002C129F" w:rsidP="005A40CD">
      <w:pPr>
        <w:pStyle w:val="Corpsdetexte31"/>
        <w:autoSpaceDE/>
        <w:autoSpaceDN w:val="0"/>
        <w:spacing w:after="120"/>
        <w:rPr>
          <w:rFonts w:asciiTheme="minorHAnsi" w:hAnsiTheme="minorHAnsi"/>
          <w:caps w:val="0"/>
        </w:rPr>
      </w:pPr>
      <w:r w:rsidRPr="002C129F">
        <w:rPr>
          <w:rFonts w:asciiTheme="minorHAnsi" w:hAnsiTheme="minorHAnsi"/>
          <w:caps w:val="0"/>
        </w:rPr>
        <w:t>La remise par voie dématérialisée est obligatoire. Toute remise par un autre moyen sera rejetée.</w:t>
      </w:r>
      <w:r w:rsidR="00484DE4">
        <w:rPr>
          <w:rFonts w:asciiTheme="minorHAnsi" w:hAnsiTheme="minorHAnsi"/>
          <w:caps w:val="0"/>
        </w:rPr>
        <w:t>]</w:t>
      </w:r>
    </w:p>
    <w:p w14:paraId="3D944218" w14:textId="3DFC0A45" w:rsidR="00801237" w:rsidRPr="00476456" w:rsidRDefault="00801237" w:rsidP="005A40CD">
      <w:pPr>
        <w:keepNext/>
        <w:numPr>
          <w:ilvl w:val="0"/>
          <w:numId w:val="12"/>
        </w:numPr>
        <w:autoSpaceDE/>
        <w:spacing w:before="240" w:after="120"/>
        <w:ind w:left="357" w:hanging="357"/>
        <w:jc w:val="both"/>
        <w:rPr>
          <w:rFonts w:ascii="Calibri" w:hAnsi="Calibri"/>
          <w:b/>
          <w:smallCaps/>
          <w:u w:val="single"/>
        </w:rPr>
      </w:pPr>
      <w:r w:rsidRPr="00476456">
        <w:rPr>
          <w:rFonts w:ascii="Calibri" w:hAnsi="Calibri"/>
          <w:b/>
          <w:smallCaps/>
          <w:u w:val="single"/>
        </w:rPr>
        <w:t>Procédure de sélection</w:t>
      </w:r>
    </w:p>
    <w:p w14:paraId="7BB86D27" w14:textId="77777777" w:rsidR="00801237" w:rsidRPr="00476456" w:rsidRDefault="00801237" w:rsidP="005A40CD">
      <w:pPr>
        <w:pStyle w:val="Corpsdetexte"/>
        <w:jc w:val="both"/>
        <w:rPr>
          <w:rFonts w:asciiTheme="minorHAnsi" w:hAnsiTheme="minorHAnsi"/>
          <w:szCs w:val="22"/>
        </w:rPr>
      </w:pPr>
      <w:r w:rsidRPr="00476456">
        <w:rPr>
          <w:rFonts w:asciiTheme="minorHAnsi" w:hAnsiTheme="minorHAnsi"/>
          <w:szCs w:val="22"/>
        </w:rPr>
        <w:t>Expertise France procèdera dans un premier temps à la vérification de l’admissibilité des candidatures et de leur capacité à assurer la prestation. Enfin, elle procèdera à l’évaluation des offres en fonction des critères suivants :</w:t>
      </w:r>
    </w:p>
    <w:p w14:paraId="6D407A96" w14:textId="12515E6E" w:rsidR="00801237" w:rsidRPr="00476456" w:rsidRDefault="00801237" w:rsidP="005A40CD">
      <w:pPr>
        <w:pStyle w:val="Corpsdetexte"/>
        <w:numPr>
          <w:ilvl w:val="0"/>
          <w:numId w:val="3"/>
        </w:numPr>
        <w:spacing w:after="0"/>
        <w:jc w:val="both"/>
        <w:rPr>
          <w:rFonts w:asciiTheme="minorHAnsi" w:hAnsiTheme="minorHAnsi"/>
          <w:szCs w:val="22"/>
        </w:rPr>
      </w:pPr>
      <w:r w:rsidRPr="00476456">
        <w:rPr>
          <w:rFonts w:asciiTheme="minorHAnsi" w:hAnsiTheme="minorHAnsi"/>
          <w:szCs w:val="22"/>
        </w:rPr>
        <w:t>Critère 1 : Prix (</w:t>
      </w:r>
      <w:r w:rsidR="00834F9A">
        <w:rPr>
          <w:rFonts w:asciiTheme="minorHAnsi" w:hAnsiTheme="minorHAnsi"/>
          <w:szCs w:val="22"/>
        </w:rPr>
        <w:t>20</w:t>
      </w:r>
      <w:r w:rsidR="00FF155E">
        <w:rPr>
          <w:rFonts w:asciiTheme="minorHAnsi" w:hAnsiTheme="minorHAnsi"/>
          <w:szCs w:val="22"/>
        </w:rPr>
        <w:t xml:space="preserve"> </w:t>
      </w:r>
      <w:r w:rsidRPr="00476456">
        <w:rPr>
          <w:rFonts w:asciiTheme="minorHAnsi" w:hAnsiTheme="minorHAnsi"/>
          <w:szCs w:val="22"/>
        </w:rPr>
        <w:t>%)</w:t>
      </w:r>
    </w:p>
    <w:p w14:paraId="5DABAB6D" w14:textId="1B94A21C" w:rsidR="00801237" w:rsidRPr="00476456" w:rsidRDefault="00801237" w:rsidP="005A40CD">
      <w:pPr>
        <w:pStyle w:val="Corpsdetexte"/>
        <w:numPr>
          <w:ilvl w:val="0"/>
          <w:numId w:val="3"/>
        </w:numPr>
        <w:spacing w:after="0"/>
        <w:jc w:val="both"/>
        <w:rPr>
          <w:rFonts w:asciiTheme="minorHAnsi" w:hAnsiTheme="minorHAnsi"/>
          <w:szCs w:val="22"/>
        </w:rPr>
      </w:pPr>
      <w:r w:rsidRPr="00476456">
        <w:rPr>
          <w:rFonts w:asciiTheme="minorHAnsi" w:hAnsiTheme="minorHAnsi"/>
          <w:szCs w:val="22"/>
        </w:rPr>
        <w:t>Critère 2 : Valeur technique (</w:t>
      </w:r>
      <w:r w:rsidR="00834F9A">
        <w:rPr>
          <w:rFonts w:asciiTheme="minorHAnsi" w:hAnsiTheme="minorHAnsi"/>
          <w:szCs w:val="22"/>
        </w:rPr>
        <w:t>80</w:t>
      </w:r>
      <w:r w:rsidR="00FF155E">
        <w:rPr>
          <w:rFonts w:asciiTheme="minorHAnsi" w:hAnsiTheme="minorHAnsi"/>
          <w:szCs w:val="22"/>
        </w:rPr>
        <w:t xml:space="preserve"> </w:t>
      </w:r>
      <w:r w:rsidRPr="00476456">
        <w:rPr>
          <w:rFonts w:asciiTheme="minorHAnsi" w:hAnsiTheme="minorHAnsi"/>
          <w:szCs w:val="22"/>
        </w:rPr>
        <w:t>%)</w:t>
      </w:r>
    </w:p>
    <w:p w14:paraId="2888E70D" w14:textId="77777777" w:rsidR="00801237" w:rsidRPr="00476456" w:rsidRDefault="00801237" w:rsidP="005A40CD">
      <w:pPr>
        <w:pStyle w:val="Corpsdetexte"/>
        <w:spacing w:before="120"/>
        <w:jc w:val="both"/>
        <w:rPr>
          <w:rFonts w:asciiTheme="minorHAnsi" w:hAnsiTheme="minorHAnsi"/>
          <w:szCs w:val="22"/>
        </w:rPr>
      </w:pPr>
      <w:r w:rsidRPr="00476456">
        <w:rPr>
          <w:rFonts w:asciiTheme="minorHAnsi" w:hAnsiTheme="minorHAnsi"/>
          <w:szCs w:val="22"/>
        </w:rPr>
        <w:t>Expertise France pourra si elle le juge nécessaire, ouvrir des négociations avec tout ou partie des soumissionnaires et conclura le contrat avec l’entité ayant présenté l’offre la mieux notée au regard de ces critères.</w:t>
      </w:r>
    </w:p>
    <w:p w14:paraId="27149AF1" w14:textId="24F855C7" w:rsidR="00801237" w:rsidRPr="00476456" w:rsidRDefault="00801237" w:rsidP="005A40CD">
      <w:pPr>
        <w:keepNext/>
        <w:numPr>
          <w:ilvl w:val="0"/>
          <w:numId w:val="12"/>
        </w:numPr>
        <w:autoSpaceDE/>
        <w:spacing w:before="240" w:after="120"/>
        <w:ind w:left="357" w:hanging="357"/>
        <w:jc w:val="both"/>
        <w:rPr>
          <w:rFonts w:ascii="Calibri" w:hAnsi="Calibri"/>
          <w:b/>
          <w:smallCaps/>
          <w:u w:val="single"/>
        </w:rPr>
      </w:pPr>
      <w:bookmarkStart w:id="2" w:name="_Ref69728360"/>
      <w:r w:rsidRPr="00476456">
        <w:rPr>
          <w:rFonts w:ascii="Calibri" w:hAnsi="Calibri"/>
          <w:b/>
          <w:smallCaps/>
          <w:u w:val="single"/>
        </w:rPr>
        <w:t>Renseignements complémentaires</w:t>
      </w:r>
      <w:bookmarkEnd w:id="2"/>
    </w:p>
    <w:p w14:paraId="5C88D263" w14:textId="682699B8" w:rsidR="00801237" w:rsidRDefault="00801237" w:rsidP="005A40CD">
      <w:pPr>
        <w:pStyle w:val="Corpsdetexte"/>
        <w:jc w:val="both"/>
        <w:rPr>
          <w:rFonts w:asciiTheme="minorHAnsi" w:hAnsiTheme="minorHAnsi"/>
          <w:szCs w:val="22"/>
        </w:rPr>
      </w:pPr>
      <w:r w:rsidRPr="00476456">
        <w:rPr>
          <w:rFonts w:asciiTheme="minorHAnsi" w:hAnsiTheme="minorHAnsi"/>
          <w:szCs w:val="22"/>
        </w:rPr>
        <w:t xml:space="preserve">Si un candidat souhaite avoir des renseignements complémentaires sur des points techniques ou administratifs du dossier, il pourra </w:t>
      </w:r>
      <w:r w:rsidR="00404E95">
        <w:rPr>
          <w:rFonts w:asciiTheme="minorHAnsi" w:hAnsiTheme="minorHAnsi"/>
          <w:szCs w:val="22"/>
        </w:rPr>
        <w:t xml:space="preserve">déposer ses questions sur </w:t>
      </w:r>
      <w:r w:rsidR="00404E95" w:rsidRPr="00404E95">
        <w:rPr>
          <w:rFonts w:asciiTheme="minorHAnsi" w:hAnsiTheme="minorHAnsi"/>
          <w:szCs w:val="22"/>
        </w:rPr>
        <w:t>la Plateforme des Achats de l’Etat</w:t>
      </w:r>
      <w:r w:rsidR="00834F9A">
        <w:rPr>
          <w:rFonts w:asciiTheme="minorHAnsi" w:hAnsiTheme="minorHAnsi"/>
          <w:szCs w:val="22"/>
        </w:rPr>
        <w:t xml:space="preserve"> (PLACE)  a</w:t>
      </w:r>
      <w:r w:rsidRPr="00476456">
        <w:rPr>
          <w:rFonts w:asciiTheme="minorHAnsi" w:hAnsiTheme="minorHAnsi"/>
          <w:szCs w:val="22"/>
        </w:rPr>
        <w:t>vant la date limite de remise des offres.</w:t>
      </w:r>
    </w:p>
    <w:p w14:paraId="601DDF92" w14:textId="77777777" w:rsidR="00360F93" w:rsidRDefault="00360F93" w:rsidP="005A40CD">
      <w:pPr>
        <w:pStyle w:val="Corpsdetexte"/>
        <w:jc w:val="both"/>
        <w:rPr>
          <w:rFonts w:asciiTheme="minorHAnsi" w:hAnsiTheme="minorHAnsi"/>
          <w:szCs w:val="22"/>
        </w:rPr>
      </w:pPr>
    </w:p>
    <w:p w14:paraId="7516BE8D" w14:textId="3AC9F141" w:rsidR="00360F93" w:rsidRDefault="00360F93" w:rsidP="005A40CD">
      <w:pPr>
        <w:keepNext/>
        <w:numPr>
          <w:ilvl w:val="0"/>
          <w:numId w:val="12"/>
        </w:numPr>
        <w:autoSpaceDE/>
        <w:spacing w:before="240" w:after="120"/>
        <w:ind w:left="357" w:hanging="357"/>
        <w:jc w:val="both"/>
        <w:rPr>
          <w:rFonts w:ascii="Calibri" w:hAnsi="Calibri"/>
          <w:b/>
          <w:smallCaps/>
          <w:u w:val="single"/>
        </w:rPr>
      </w:pPr>
      <w:r>
        <w:rPr>
          <w:rFonts w:ascii="Calibri" w:hAnsi="Calibri"/>
          <w:b/>
          <w:smallCaps/>
          <w:u w:val="single"/>
        </w:rPr>
        <w:t>Traitement des données à caractère personnel</w:t>
      </w:r>
    </w:p>
    <w:p w14:paraId="2C194564" w14:textId="156AE105" w:rsidR="00411C8D" w:rsidRDefault="00411C8D" w:rsidP="005A40CD">
      <w:pPr>
        <w:pStyle w:val="Corpsdetexte"/>
        <w:jc w:val="both"/>
        <w:rPr>
          <w:rFonts w:asciiTheme="minorHAnsi" w:hAnsiTheme="minorHAnsi"/>
          <w:szCs w:val="22"/>
        </w:rPr>
      </w:pPr>
      <w:r w:rsidRPr="00CC417D">
        <w:rPr>
          <w:rFonts w:asciiTheme="minorHAnsi" w:hAnsiTheme="minorHAnsi"/>
          <w:szCs w:val="22"/>
        </w:rPr>
        <w:t>Expertise France s’engage à respecter la réglementation en vigueur applicable au traitement de données à caractère personnel et, en particulier, le règlement (UE) 2016/679 du Parlement européen et du Conseil du 27 avril 2016 appli</w:t>
      </w:r>
      <w:r>
        <w:rPr>
          <w:rFonts w:asciiTheme="minorHAnsi" w:hAnsiTheme="minorHAnsi"/>
          <w:szCs w:val="22"/>
        </w:rPr>
        <w:t>cable à compter du 25 mai 2018.</w:t>
      </w:r>
    </w:p>
    <w:p w14:paraId="40474A11" w14:textId="77777777" w:rsidR="00411C8D" w:rsidRPr="00CC417D" w:rsidRDefault="00411C8D" w:rsidP="005A40CD">
      <w:pPr>
        <w:pStyle w:val="Corpsdetexte"/>
        <w:jc w:val="both"/>
        <w:rPr>
          <w:rFonts w:asciiTheme="minorHAnsi" w:hAnsiTheme="minorHAnsi"/>
          <w:szCs w:val="22"/>
        </w:rPr>
      </w:pPr>
    </w:p>
    <w:p w14:paraId="6087DD46"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u w:val="single"/>
        </w:rPr>
        <w:t>Identité et coordonnées du responsable de traitement et de son représentant</w:t>
      </w:r>
      <w:r w:rsidRPr="00CC417D">
        <w:rPr>
          <w:rFonts w:asciiTheme="minorHAnsi" w:hAnsiTheme="minorHAnsi"/>
          <w:szCs w:val="22"/>
        </w:rPr>
        <w:t xml:space="preserve"> : </w:t>
      </w:r>
    </w:p>
    <w:p w14:paraId="5740BF5D" w14:textId="77777777" w:rsidR="00411C8D" w:rsidRPr="00CC417D" w:rsidRDefault="00411C8D" w:rsidP="005A40CD">
      <w:pPr>
        <w:pStyle w:val="Corpsdetexte"/>
        <w:spacing w:before="120"/>
        <w:jc w:val="both"/>
        <w:rPr>
          <w:rFonts w:asciiTheme="minorHAnsi" w:hAnsiTheme="minorHAnsi"/>
          <w:szCs w:val="22"/>
        </w:rPr>
      </w:pPr>
      <w:r w:rsidRPr="00CC417D">
        <w:rPr>
          <w:rFonts w:asciiTheme="minorHAnsi" w:hAnsiTheme="minorHAnsi"/>
          <w:szCs w:val="22"/>
        </w:rPr>
        <w:lastRenderedPageBreak/>
        <w:t>Expertise France</w:t>
      </w:r>
    </w:p>
    <w:p w14:paraId="69FA3311" w14:textId="0C83C791" w:rsidR="00411C8D" w:rsidRPr="00CC417D" w:rsidRDefault="00CC417D" w:rsidP="005A40CD">
      <w:pPr>
        <w:pStyle w:val="Corpsdetexte"/>
        <w:spacing w:before="120"/>
        <w:jc w:val="both"/>
        <w:rPr>
          <w:rFonts w:asciiTheme="minorHAnsi" w:hAnsiTheme="minorHAnsi"/>
          <w:szCs w:val="22"/>
        </w:rPr>
      </w:pPr>
      <w:r>
        <w:rPr>
          <w:rFonts w:asciiTheme="minorHAnsi" w:hAnsiTheme="minorHAnsi"/>
          <w:szCs w:val="22"/>
        </w:rPr>
        <w:t>40, Boulevard de Port Royal</w:t>
      </w:r>
    </w:p>
    <w:p w14:paraId="3E85FCAD" w14:textId="368BABF7" w:rsidR="00411C8D" w:rsidRPr="00CC417D" w:rsidRDefault="00411C8D" w:rsidP="005A40CD">
      <w:pPr>
        <w:pStyle w:val="Corpsdetexte"/>
        <w:spacing w:before="120"/>
        <w:jc w:val="both"/>
        <w:rPr>
          <w:rFonts w:asciiTheme="minorHAnsi" w:hAnsiTheme="minorHAnsi"/>
          <w:szCs w:val="22"/>
        </w:rPr>
      </w:pPr>
      <w:r w:rsidRPr="00CC417D">
        <w:rPr>
          <w:rFonts w:asciiTheme="minorHAnsi" w:hAnsiTheme="minorHAnsi"/>
          <w:szCs w:val="22"/>
        </w:rPr>
        <w:t>7</w:t>
      </w:r>
      <w:r w:rsidR="00CC417D">
        <w:rPr>
          <w:rFonts w:asciiTheme="minorHAnsi" w:hAnsiTheme="minorHAnsi"/>
          <w:szCs w:val="22"/>
        </w:rPr>
        <w:t>5005</w:t>
      </w:r>
      <w:r w:rsidRPr="00CC417D">
        <w:rPr>
          <w:rFonts w:asciiTheme="minorHAnsi" w:hAnsiTheme="minorHAnsi"/>
          <w:szCs w:val="22"/>
        </w:rPr>
        <w:t xml:space="preserve"> Paris</w:t>
      </w:r>
    </w:p>
    <w:p w14:paraId="353B4919" w14:textId="2750F59A"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 xml:space="preserve">Représentée par son Directeur Général, </w:t>
      </w:r>
    </w:p>
    <w:p w14:paraId="3E700C2A"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u w:val="single"/>
        </w:rPr>
        <w:t>Responsable de traitement opérationnel</w:t>
      </w:r>
      <w:r w:rsidRPr="00CC417D">
        <w:rPr>
          <w:rFonts w:asciiTheme="minorHAnsi" w:hAnsiTheme="minorHAnsi"/>
          <w:szCs w:val="22"/>
        </w:rPr>
        <w:t xml:space="preserve"> : </w:t>
      </w:r>
    </w:p>
    <w:p w14:paraId="6B8F770E"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Le Département des Systèmes d’Information représenté par son Directeur</w:t>
      </w:r>
    </w:p>
    <w:p w14:paraId="79D73F15"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u w:val="single"/>
        </w:rPr>
        <w:t>Coordonnées du délégué à la protection des données personnelles</w:t>
      </w:r>
      <w:r w:rsidRPr="00CC417D">
        <w:rPr>
          <w:rFonts w:asciiTheme="minorHAnsi" w:hAnsiTheme="minorHAnsi"/>
          <w:szCs w:val="22"/>
        </w:rPr>
        <w:t xml:space="preserve"> :</w:t>
      </w:r>
    </w:p>
    <w:p w14:paraId="519BF127"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informatique.libertes@expertisefrance.fr</w:t>
      </w:r>
    </w:p>
    <w:p w14:paraId="667F4DFE"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 xml:space="preserve"> </w:t>
      </w:r>
    </w:p>
    <w:p w14:paraId="3CDFE789"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Les fondements juridiques légitimant le ou les traitements correspondent aux c) et e) de l'article 6.1 du RGPD, à savoir que :</w:t>
      </w:r>
    </w:p>
    <w:p w14:paraId="74C23993"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w:t>
      </w:r>
      <w:r w:rsidRPr="00CC417D">
        <w:rPr>
          <w:rFonts w:asciiTheme="minorHAnsi" w:hAnsiTheme="minorHAnsi"/>
          <w:szCs w:val="22"/>
        </w:rPr>
        <w:tab/>
        <w:t>Le traitement est nécessaire au respect d’une obligation légale à laquelle Expertise France est soumis ;</w:t>
      </w:r>
    </w:p>
    <w:p w14:paraId="5A27AF31"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w:t>
      </w:r>
      <w:r w:rsidRPr="00CC417D">
        <w:rPr>
          <w:rFonts w:asciiTheme="minorHAnsi" w:hAnsiTheme="minorHAnsi"/>
          <w:szCs w:val="22"/>
        </w:rPr>
        <w:tab/>
        <w:t>Le traitement est nécessaire à l’exécution d’une mission d’intérêt public ou relevant de l’exercice de l’autorité publique dont est investi Expertise France ;</w:t>
      </w:r>
    </w:p>
    <w:p w14:paraId="3F78CF21"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 xml:space="preserve">Les finalités du ou des traitements sont : </w:t>
      </w:r>
    </w:p>
    <w:p w14:paraId="18AF0726" w14:textId="09F4212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w:t>
      </w:r>
      <w:r w:rsidRPr="00CC417D">
        <w:rPr>
          <w:rFonts w:asciiTheme="minorHAnsi" w:hAnsiTheme="minorHAnsi"/>
          <w:szCs w:val="22"/>
        </w:rPr>
        <w:tab/>
        <w:t xml:space="preserve">La gestion et le suivi </w:t>
      </w:r>
      <w:r>
        <w:rPr>
          <w:rFonts w:asciiTheme="minorHAnsi" w:hAnsiTheme="minorHAnsi"/>
          <w:szCs w:val="22"/>
        </w:rPr>
        <w:t>de la présente procédure de passation de marchés</w:t>
      </w:r>
      <w:r w:rsidRPr="00CC417D">
        <w:rPr>
          <w:rFonts w:asciiTheme="minorHAnsi" w:hAnsiTheme="minorHAnsi"/>
          <w:szCs w:val="22"/>
        </w:rPr>
        <w:t xml:space="preserve">, </w:t>
      </w:r>
    </w:p>
    <w:p w14:paraId="0DB1EE56" w14:textId="6534A68C"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w:t>
      </w:r>
      <w:r w:rsidRPr="00CC417D">
        <w:rPr>
          <w:rFonts w:asciiTheme="minorHAnsi" w:hAnsiTheme="minorHAnsi"/>
          <w:szCs w:val="22"/>
        </w:rPr>
        <w:tab/>
        <w:t xml:space="preserve">La gestion et le suivi </w:t>
      </w:r>
      <w:r w:rsidR="0008471B">
        <w:rPr>
          <w:rFonts w:asciiTheme="minorHAnsi" w:hAnsiTheme="minorHAnsi"/>
          <w:szCs w:val="22"/>
        </w:rPr>
        <w:t>du marché public conclu</w:t>
      </w:r>
      <w:r w:rsidRPr="00CC417D">
        <w:rPr>
          <w:rFonts w:asciiTheme="minorHAnsi" w:hAnsiTheme="minorHAnsi"/>
          <w:szCs w:val="22"/>
        </w:rPr>
        <w:t xml:space="preserve">. </w:t>
      </w:r>
    </w:p>
    <w:p w14:paraId="7E110F30"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Les destinataires ou catégorie de destinataires des données à caractère personnel sont exclusivement les personnels habilités de l’autorité contractante, des ministères et des opérateurs de l'Etat, en charge de la passation et de l'exécution du contrat, ainsi que de leurs prestataires d’assistance dans ses activités.</w:t>
      </w:r>
    </w:p>
    <w:p w14:paraId="6F809C3F"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Durée de conservation : ces données sont conservées pendant toute la durée de passation et d'exécution du contrat, ainsi que durant la DUA applicable au contrat.</w:t>
      </w:r>
    </w:p>
    <w:p w14:paraId="33F707CF"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26F371D5" w14:textId="77777777" w:rsidR="00411C8D" w:rsidRPr="00CC417D" w:rsidRDefault="00411C8D" w:rsidP="005A40CD">
      <w:pPr>
        <w:pStyle w:val="Corpsdetexte"/>
        <w:jc w:val="both"/>
        <w:rPr>
          <w:rFonts w:asciiTheme="minorHAnsi" w:hAnsiTheme="minorHAnsi"/>
          <w:szCs w:val="22"/>
        </w:rPr>
      </w:pPr>
      <w:r w:rsidRPr="00CC417D">
        <w:rPr>
          <w:rFonts w:asciiTheme="minorHAnsi" w:hAnsiTheme="minorHAnsi"/>
          <w:szCs w:val="22"/>
        </w:rPr>
        <w:t>La personne dont les données à caractère personnel sont collectées dans le cadre de la présente procédure dispose d'un droit de réclamation auprès de la CNIL.</w:t>
      </w:r>
    </w:p>
    <w:p w14:paraId="6462C5DA" w14:textId="77777777" w:rsidR="00411C8D" w:rsidRPr="00CC417D" w:rsidRDefault="00411C8D" w:rsidP="005A40CD">
      <w:pPr>
        <w:pStyle w:val="Corpsdetexte"/>
        <w:jc w:val="both"/>
        <w:rPr>
          <w:rFonts w:asciiTheme="minorHAnsi" w:hAnsiTheme="minorHAnsi"/>
          <w:szCs w:val="22"/>
        </w:rPr>
      </w:pPr>
    </w:p>
    <w:p w14:paraId="70391251" w14:textId="3C4D355B" w:rsidR="00360F93" w:rsidRPr="00411C8D" w:rsidRDefault="00411C8D" w:rsidP="005A40CD">
      <w:pPr>
        <w:pStyle w:val="Corpsdetexte"/>
        <w:jc w:val="both"/>
        <w:rPr>
          <w:rFonts w:asciiTheme="minorHAnsi" w:hAnsiTheme="minorHAnsi"/>
          <w:szCs w:val="22"/>
        </w:rPr>
      </w:pPr>
      <w:r w:rsidRPr="00CC417D">
        <w:rPr>
          <w:rFonts w:asciiTheme="minorHAnsi" w:hAnsiTheme="minorHAnsi"/>
          <w:szCs w:val="22"/>
        </w:rPr>
        <w:t>Expertise France s’engage à garantir la confidentialité des propositions qui lui sont adressées et veille à ce soit assurée la sécurité et le stockage de ces propositions.</w:t>
      </w:r>
    </w:p>
    <w:p w14:paraId="07FBFAB5" w14:textId="54B46894" w:rsidR="00801237" w:rsidRPr="00476456" w:rsidRDefault="00801237" w:rsidP="005A40CD">
      <w:pPr>
        <w:keepNext/>
        <w:numPr>
          <w:ilvl w:val="0"/>
          <w:numId w:val="12"/>
        </w:numPr>
        <w:autoSpaceDE/>
        <w:spacing w:before="240" w:after="120"/>
        <w:ind w:left="357" w:hanging="357"/>
        <w:jc w:val="both"/>
        <w:rPr>
          <w:rFonts w:ascii="Calibri" w:hAnsi="Calibri"/>
          <w:b/>
          <w:smallCaps/>
          <w:u w:val="single"/>
        </w:rPr>
      </w:pPr>
      <w:r w:rsidRPr="00476456">
        <w:rPr>
          <w:rFonts w:ascii="Calibri" w:hAnsi="Calibri"/>
          <w:b/>
          <w:smallCaps/>
          <w:u w:val="single"/>
        </w:rPr>
        <w:t xml:space="preserve">Voies et </w:t>
      </w:r>
      <w:r w:rsidR="003216BF" w:rsidRPr="00476456">
        <w:rPr>
          <w:rFonts w:ascii="Calibri" w:hAnsi="Calibri"/>
          <w:b/>
          <w:smallCaps/>
          <w:u w:val="single"/>
        </w:rPr>
        <w:t>délais</w:t>
      </w:r>
      <w:r w:rsidRPr="00476456">
        <w:rPr>
          <w:rFonts w:ascii="Calibri" w:hAnsi="Calibri"/>
          <w:b/>
          <w:smallCaps/>
          <w:u w:val="single"/>
        </w:rPr>
        <w:t xml:space="preserve"> de recours</w:t>
      </w:r>
    </w:p>
    <w:p w14:paraId="68CDA3F4" w14:textId="77777777" w:rsidR="00801237" w:rsidRPr="00476456" w:rsidRDefault="00801237" w:rsidP="005A40CD">
      <w:pPr>
        <w:jc w:val="both"/>
        <w:rPr>
          <w:rFonts w:asciiTheme="minorHAnsi" w:hAnsiTheme="minorHAnsi"/>
          <w:szCs w:val="22"/>
        </w:rPr>
      </w:pPr>
      <w:r w:rsidRPr="00476456">
        <w:rPr>
          <w:rFonts w:asciiTheme="minorHAnsi" w:hAnsiTheme="minorHAnsi"/>
          <w:szCs w:val="22"/>
        </w:rPr>
        <w:t xml:space="preserve">L'instance chargée des procédures de recours est le Tribunal administratif de Paris, 7 rue de Jouy, F-75004 Paris ; e-mail : </w:t>
      </w:r>
      <w:hyperlink r:id="rId15" w:history="1">
        <w:r w:rsidRPr="00476456">
          <w:rPr>
            <w:rStyle w:val="Lienhypertexte"/>
            <w:rFonts w:asciiTheme="minorHAnsi" w:hAnsiTheme="minorHAnsi"/>
            <w:szCs w:val="22"/>
          </w:rPr>
          <w:t>greffe.ta-paris@juradm.fr</w:t>
        </w:r>
      </w:hyperlink>
      <w:r w:rsidRPr="00476456">
        <w:rPr>
          <w:rFonts w:asciiTheme="minorHAnsi" w:hAnsiTheme="minorHAnsi"/>
          <w:szCs w:val="22"/>
        </w:rPr>
        <w:t>.</w:t>
      </w:r>
    </w:p>
    <w:p w14:paraId="3417BC4E" w14:textId="269F3AB8" w:rsidR="00801237" w:rsidRPr="00476456" w:rsidRDefault="00801237" w:rsidP="005A40CD">
      <w:pPr>
        <w:jc w:val="both"/>
        <w:rPr>
          <w:rFonts w:asciiTheme="minorHAnsi" w:hAnsiTheme="minorHAnsi"/>
          <w:szCs w:val="22"/>
        </w:rPr>
      </w:pPr>
      <w:r w:rsidRPr="00476456">
        <w:rPr>
          <w:rFonts w:asciiTheme="minorHAnsi" w:hAnsiTheme="minorHAnsi"/>
          <w:szCs w:val="22"/>
        </w:rPr>
        <w:lastRenderedPageBreak/>
        <w:t xml:space="preserve">Les candidats peuvent obtenir des renseignements sur l'introduction des recours auprès du Greffe du Tribunal administratif de Paris, 7 rue de Jouy, F-75004 Paris ; e-mail : </w:t>
      </w:r>
      <w:hyperlink r:id="rId16" w:history="1">
        <w:r w:rsidRPr="00476456">
          <w:rPr>
            <w:rStyle w:val="Lienhypertexte"/>
            <w:rFonts w:asciiTheme="minorHAnsi" w:hAnsiTheme="minorHAnsi"/>
            <w:szCs w:val="22"/>
          </w:rPr>
          <w:t>greffe.ta-paris@juradm.fr</w:t>
        </w:r>
      </w:hyperlink>
      <w:r w:rsidRPr="00476456">
        <w:rPr>
          <w:rFonts w:asciiTheme="minorHAnsi" w:hAnsiTheme="minorHAnsi"/>
          <w:szCs w:val="22"/>
        </w:rPr>
        <w:t>.</w:t>
      </w:r>
    </w:p>
    <w:p w14:paraId="632BB58E" w14:textId="493131D6" w:rsidR="00953867" w:rsidRPr="00476456" w:rsidRDefault="00953867" w:rsidP="005A40CD">
      <w:pPr>
        <w:ind w:right="98"/>
        <w:jc w:val="both"/>
        <w:rPr>
          <w:rFonts w:asciiTheme="minorHAnsi" w:eastAsia="Times New Roman" w:hAnsiTheme="minorHAnsi" w:cs="Times New Roman"/>
          <w:szCs w:val="22"/>
        </w:rPr>
      </w:pPr>
    </w:p>
    <w:sectPr w:rsidR="00953867" w:rsidRPr="00476456" w:rsidSect="0092750A">
      <w:headerReference w:type="default" r:id="rId17"/>
      <w:footerReference w:type="default" r:id="rId18"/>
      <w:headerReference w:type="first" r:id="rId19"/>
      <w:footerReference w:type="first" r:id="rId20"/>
      <w:footnotePr>
        <w:pos w:val="beneathText"/>
      </w:footnotePr>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A0C3" w14:textId="77777777" w:rsidR="00BA07A8" w:rsidRDefault="00BA07A8" w:rsidP="00962504">
      <w:r>
        <w:separator/>
      </w:r>
    </w:p>
  </w:endnote>
  <w:endnote w:type="continuationSeparator" w:id="0">
    <w:p w14:paraId="5E13F3D0" w14:textId="77777777" w:rsidR="00BA07A8" w:rsidRDefault="00BA07A8" w:rsidP="0096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CC033" w14:textId="58670743" w:rsidR="00C94444" w:rsidRDefault="00C94444" w:rsidP="00C94444">
    <w:pPr>
      <w:pStyle w:val="Pieddepage"/>
      <w:tabs>
        <w:tab w:val="clear" w:pos="4536"/>
        <w:tab w:val="clear" w:pos="9072"/>
        <w:tab w:val="right" w:pos="9638"/>
      </w:tabs>
      <w:rPr>
        <w:rFonts w:ascii="Calibri" w:hAnsi="Calibri"/>
        <w:sz w:val="22"/>
        <w:szCs w:val="22"/>
      </w:rPr>
    </w:pPr>
    <w:r w:rsidRPr="00C30299">
      <w:rPr>
        <w:rFonts w:ascii="Calibri" w:hAnsi="Calibri"/>
        <w:sz w:val="18"/>
        <w:szCs w:val="18"/>
        <w:u w:val="single"/>
      </w:rPr>
      <w:tab/>
    </w:r>
    <w:r w:rsidR="00AC54DB">
      <w:rPr>
        <w:rFonts w:ascii="Calibri" w:hAnsi="Calibri"/>
        <w:sz w:val="22"/>
        <w:szCs w:val="22"/>
      </w:rPr>
      <w:tab/>
    </w:r>
    <w:r w:rsidR="00AC54DB" w:rsidRPr="0036169C">
      <w:rPr>
        <w:rFonts w:asciiTheme="minorHAnsi" w:hAnsiTheme="minorHAnsi"/>
        <w:sz w:val="22"/>
        <w:szCs w:val="22"/>
      </w:rPr>
      <w:t xml:space="preserve">Page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PAGE</w:instrText>
    </w:r>
    <w:r w:rsidR="00AC54DB" w:rsidRPr="0036169C">
      <w:rPr>
        <w:rFonts w:asciiTheme="minorHAnsi" w:hAnsiTheme="minorHAnsi"/>
        <w:b/>
        <w:bCs/>
        <w:sz w:val="22"/>
        <w:szCs w:val="22"/>
      </w:rPr>
      <w:fldChar w:fldCharType="separate"/>
    </w:r>
    <w:r w:rsidR="006171CA">
      <w:rPr>
        <w:rFonts w:asciiTheme="minorHAnsi" w:hAnsiTheme="minorHAnsi"/>
        <w:b/>
        <w:bCs/>
        <w:noProof/>
        <w:sz w:val="22"/>
        <w:szCs w:val="22"/>
      </w:rPr>
      <w:t>13</w:t>
    </w:r>
    <w:r w:rsidR="00AC54DB" w:rsidRPr="0036169C">
      <w:rPr>
        <w:rFonts w:asciiTheme="minorHAnsi" w:hAnsiTheme="minorHAnsi"/>
        <w:b/>
        <w:bCs/>
        <w:sz w:val="22"/>
        <w:szCs w:val="22"/>
      </w:rPr>
      <w:fldChar w:fldCharType="end"/>
    </w:r>
    <w:r w:rsidR="00AC54DB" w:rsidRPr="0036169C">
      <w:rPr>
        <w:rFonts w:asciiTheme="minorHAnsi" w:hAnsiTheme="minorHAnsi"/>
        <w:sz w:val="22"/>
        <w:szCs w:val="22"/>
      </w:rPr>
      <w:t xml:space="preserve"> sur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NUMPAGES</w:instrText>
    </w:r>
    <w:r w:rsidR="00AC54DB" w:rsidRPr="0036169C">
      <w:rPr>
        <w:rFonts w:asciiTheme="minorHAnsi" w:hAnsiTheme="minorHAnsi"/>
        <w:b/>
        <w:bCs/>
        <w:sz w:val="22"/>
        <w:szCs w:val="22"/>
      </w:rPr>
      <w:fldChar w:fldCharType="separate"/>
    </w:r>
    <w:r w:rsidR="006171CA">
      <w:rPr>
        <w:rFonts w:asciiTheme="minorHAnsi" w:hAnsiTheme="minorHAnsi"/>
        <w:b/>
        <w:bCs/>
        <w:noProof/>
        <w:sz w:val="22"/>
        <w:szCs w:val="22"/>
      </w:rPr>
      <w:t>13</w:t>
    </w:r>
    <w:r w:rsidR="00AC54DB" w:rsidRPr="0036169C">
      <w:rPr>
        <w:rFonts w:asciiTheme="minorHAnsi" w:hAnsiTheme="minorHAnsi"/>
        <w:b/>
        <w:bCs/>
        <w:sz w:val="22"/>
        <w:szCs w:val="22"/>
      </w:rPr>
      <w:fldChar w:fldCharType="end"/>
    </w:r>
    <w:r w:rsidR="00AC54DB" w:rsidDel="00133659">
      <w:rPr>
        <w:rFonts w:ascii="Calibri" w:hAnsi="Calibri"/>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6A381" w14:textId="77777777" w:rsidR="00AC54DB" w:rsidRPr="00C30299" w:rsidRDefault="00AC54DB" w:rsidP="00AC54DB">
    <w:pPr>
      <w:pStyle w:val="Pieddepage"/>
      <w:tabs>
        <w:tab w:val="clear" w:pos="4536"/>
        <w:tab w:val="clear" w:pos="9072"/>
        <w:tab w:val="right" w:pos="9638"/>
      </w:tabs>
      <w:rPr>
        <w:rFonts w:ascii="Calibri" w:hAnsi="Calibri"/>
        <w:sz w:val="18"/>
        <w:szCs w:val="18"/>
        <w:u w:val="single"/>
      </w:rPr>
    </w:pPr>
    <w:r w:rsidRPr="00C30299">
      <w:rPr>
        <w:rFonts w:ascii="Calibri" w:hAnsi="Calibri"/>
        <w:sz w:val="18"/>
        <w:szCs w:val="18"/>
        <w:u w:val="single"/>
      </w:rPr>
      <w:tab/>
    </w:r>
  </w:p>
  <w:p w14:paraId="689B8578" w14:textId="5D5185CB" w:rsidR="00AC54DB" w:rsidRPr="00825775" w:rsidRDefault="006171CA" w:rsidP="00AC54DB">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1743717585"/>
        <w:docPartObj>
          <w:docPartGallery w:val="Page Numbers (Top of Page)"/>
          <w:docPartUnique/>
        </w:docPartObj>
      </w:sdtPr>
      <w:sdtEndPr/>
      <w:sdtContent>
        <w:r w:rsidR="00AC54DB" w:rsidRPr="00825775">
          <w:rPr>
            <w:rFonts w:asciiTheme="minorHAnsi" w:hAnsiTheme="minorHAnsi" w:cstheme="minorHAnsi"/>
            <w:sz w:val="22"/>
            <w:szCs w:val="22"/>
          </w:rPr>
          <w:t>DAJ_M00</w:t>
        </w:r>
        <w:r w:rsidR="00AC54DB">
          <w:rPr>
            <w:rFonts w:asciiTheme="minorHAnsi" w:hAnsiTheme="minorHAnsi" w:cstheme="minorHAnsi"/>
            <w:sz w:val="22"/>
            <w:szCs w:val="22"/>
          </w:rPr>
          <w:t>1</w:t>
        </w:r>
        <w:r w:rsidR="00AC54DB" w:rsidRPr="00825775">
          <w:rPr>
            <w:rFonts w:asciiTheme="minorHAnsi" w:hAnsiTheme="minorHAnsi" w:cstheme="minorHAnsi"/>
            <w:sz w:val="22"/>
            <w:szCs w:val="22"/>
          </w:rPr>
          <w:t>_v0</w:t>
        </w:r>
        <w:r w:rsidR="002D1687">
          <w:rPr>
            <w:rFonts w:asciiTheme="minorHAnsi" w:hAnsiTheme="minorHAnsi" w:cstheme="minorHAnsi"/>
            <w:sz w:val="22"/>
            <w:szCs w:val="22"/>
          </w:rPr>
          <w:t>6</w:t>
        </w:r>
        <w:r w:rsidR="00AC54DB" w:rsidRPr="00825775">
          <w:rPr>
            <w:rFonts w:asciiTheme="minorHAnsi" w:hAnsiTheme="minorHAnsi" w:cstheme="minorHAnsi"/>
            <w:sz w:val="22"/>
            <w:szCs w:val="22"/>
          </w:rPr>
          <w:tab/>
        </w:r>
        <w:r w:rsidR="00AC54DB" w:rsidRPr="0036169C">
          <w:rPr>
            <w:rFonts w:asciiTheme="minorHAnsi" w:hAnsiTheme="minorHAnsi"/>
            <w:sz w:val="22"/>
            <w:szCs w:val="22"/>
          </w:rPr>
          <w:t xml:space="preserve">Page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PAGE</w:instrText>
        </w:r>
        <w:r w:rsidR="00AC54DB" w:rsidRPr="0036169C">
          <w:rPr>
            <w:rFonts w:asciiTheme="minorHAnsi" w:hAnsiTheme="minorHAnsi"/>
            <w:b/>
            <w:bCs/>
            <w:sz w:val="22"/>
            <w:szCs w:val="22"/>
          </w:rPr>
          <w:fldChar w:fldCharType="separate"/>
        </w:r>
        <w:r w:rsidR="00447374">
          <w:rPr>
            <w:rFonts w:asciiTheme="minorHAnsi" w:hAnsiTheme="minorHAnsi"/>
            <w:b/>
            <w:bCs/>
            <w:noProof/>
            <w:sz w:val="22"/>
            <w:szCs w:val="22"/>
          </w:rPr>
          <w:t>1</w:t>
        </w:r>
        <w:r w:rsidR="00AC54DB" w:rsidRPr="0036169C">
          <w:rPr>
            <w:rFonts w:asciiTheme="minorHAnsi" w:hAnsiTheme="minorHAnsi"/>
            <w:b/>
            <w:bCs/>
            <w:sz w:val="22"/>
            <w:szCs w:val="22"/>
          </w:rPr>
          <w:fldChar w:fldCharType="end"/>
        </w:r>
        <w:r w:rsidR="00AC54DB" w:rsidRPr="0036169C">
          <w:rPr>
            <w:rFonts w:asciiTheme="minorHAnsi" w:hAnsiTheme="minorHAnsi"/>
            <w:sz w:val="22"/>
            <w:szCs w:val="22"/>
          </w:rPr>
          <w:t xml:space="preserve"> sur </w:t>
        </w:r>
        <w:r w:rsidR="00AC54DB" w:rsidRPr="0036169C">
          <w:rPr>
            <w:rFonts w:asciiTheme="minorHAnsi" w:hAnsiTheme="minorHAnsi"/>
            <w:b/>
            <w:bCs/>
            <w:sz w:val="22"/>
            <w:szCs w:val="22"/>
          </w:rPr>
          <w:fldChar w:fldCharType="begin"/>
        </w:r>
        <w:r w:rsidR="00AC54DB" w:rsidRPr="0036169C">
          <w:rPr>
            <w:rFonts w:asciiTheme="minorHAnsi" w:hAnsiTheme="minorHAnsi"/>
            <w:b/>
            <w:bCs/>
            <w:sz w:val="22"/>
            <w:szCs w:val="22"/>
          </w:rPr>
          <w:instrText>NUMPAGES</w:instrText>
        </w:r>
        <w:r w:rsidR="00AC54DB" w:rsidRPr="0036169C">
          <w:rPr>
            <w:rFonts w:asciiTheme="minorHAnsi" w:hAnsiTheme="minorHAnsi"/>
            <w:b/>
            <w:bCs/>
            <w:sz w:val="22"/>
            <w:szCs w:val="22"/>
          </w:rPr>
          <w:fldChar w:fldCharType="separate"/>
        </w:r>
        <w:r w:rsidR="00447374">
          <w:rPr>
            <w:rFonts w:asciiTheme="minorHAnsi" w:hAnsiTheme="minorHAnsi"/>
            <w:b/>
            <w:bCs/>
            <w:noProof/>
            <w:sz w:val="22"/>
            <w:szCs w:val="22"/>
          </w:rPr>
          <w:t>13</w:t>
        </w:r>
        <w:r w:rsidR="00AC54DB" w:rsidRPr="0036169C">
          <w:rPr>
            <w:rFonts w:asciiTheme="minorHAnsi" w:hAnsiTheme="minorHAnsi"/>
            <w:b/>
            <w:bCs/>
            <w:sz w:val="22"/>
            <w:szCs w:val="22"/>
          </w:rPr>
          <w:fldChar w:fldCharType="end"/>
        </w:r>
      </w:sdtContent>
    </w:sdt>
  </w:p>
  <w:p w14:paraId="315C453B" w14:textId="1E80720E" w:rsidR="00AC54DB" w:rsidRPr="00825775" w:rsidRDefault="00FF0E5F" w:rsidP="00AC54DB">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w:t>
    </w:r>
    <w:r w:rsidR="002D1687">
      <w:rPr>
        <w:rFonts w:asciiTheme="minorHAnsi" w:hAnsiTheme="minorHAnsi" w:cstheme="minorHAnsi"/>
        <w:b/>
        <w:sz w:val="22"/>
        <w:szCs w:val="22"/>
      </w:rPr>
      <w:t xml:space="preserve"> 2023</w:t>
    </w:r>
  </w:p>
  <w:p w14:paraId="78506EDF" w14:textId="77777777" w:rsidR="002D1687" w:rsidRDefault="002D1687" w:rsidP="002D1687">
    <w:pPr>
      <w:rPr>
        <w:rFonts w:asciiTheme="minorHAnsi" w:eastAsia="Times New Roman" w:hAnsiTheme="minorHAnsi" w:cs="Arial"/>
        <w:color w:val="auto"/>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14:paraId="51BC8AF4" w14:textId="5F35A41E" w:rsidR="00297C87" w:rsidRDefault="002D1687">
    <w:r>
      <w:rPr>
        <w:rFonts w:asciiTheme="minorHAnsi" w:eastAsia="Times New Roman" w:hAnsiTheme="minorHAnsi" w:cs="Arial"/>
        <w:sz w:val="16"/>
        <w:szCs w:val="16"/>
      </w:rPr>
      <w:t xml:space="preserve">40, Boulevard de Port-Royal - 75005 Paris – France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792F1" w14:textId="77777777" w:rsidR="00BA07A8" w:rsidRDefault="00BA07A8" w:rsidP="00962504">
      <w:r>
        <w:separator/>
      </w:r>
    </w:p>
  </w:footnote>
  <w:footnote w:type="continuationSeparator" w:id="0">
    <w:p w14:paraId="64E0C9B5" w14:textId="77777777" w:rsidR="00BA07A8" w:rsidRDefault="00BA07A8" w:rsidP="00962504">
      <w:r>
        <w:continuationSeparator/>
      </w:r>
    </w:p>
  </w:footnote>
  <w:footnote w:id="1">
    <w:p w14:paraId="3779A2C7" w14:textId="77777777" w:rsidR="005A40CD" w:rsidRDefault="005A40CD" w:rsidP="005A40CD">
      <w:pPr>
        <w:pStyle w:val="Notedebasdepage"/>
      </w:pPr>
      <w:r>
        <w:rPr>
          <w:rStyle w:val="Appelnotedebasdep"/>
        </w:rPr>
        <w:footnoteRef/>
      </w:r>
      <w:r>
        <w:t xml:space="preserve"> </w:t>
      </w:r>
      <w:r>
        <w:rPr>
          <w:rFonts w:ascii="Arial" w:hAnsi="Arial" w:cs="Arial"/>
          <w:sz w:val="22"/>
          <w:szCs w:val="22"/>
        </w:rPr>
        <w:t>Un engagement volontaire est défini comme un accord par lequel une ou plusieurs parties prenantes s’engagent à mettre en œuvre des actions stratégiques, concertées et fondées scientifiquement, visant un changement mesurable en faveur de la biodiversité.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31D9" w14:textId="5A49E38D" w:rsidR="00C94444" w:rsidRDefault="00C94444" w:rsidP="00C94444">
    <w:pPr>
      <w:pStyle w:val="En-tte"/>
      <w:tabs>
        <w:tab w:val="right" w:pos="9214"/>
      </w:tabs>
      <w:rPr>
        <w:rFonts w:ascii="Calibri" w:hAnsi="Calibri"/>
        <w:bCs/>
        <w:sz w:val="22"/>
        <w:szCs w:val="28"/>
        <w:u w:val="single"/>
        <w:lang w:val="en-US"/>
      </w:rPr>
    </w:pPr>
  </w:p>
  <w:p w14:paraId="12DD4573" w14:textId="5D45A4C2" w:rsidR="00C94444" w:rsidRPr="00A61456" w:rsidRDefault="0093045C" w:rsidP="00C94444">
    <w:pPr>
      <w:pStyle w:val="En-tte"/>
      <w:tabs>
        <w:tab w:val="clear" w:pos="4536"/>
        <w:tab w:val="clear" w:pos="9072"/>
        <w:tab w:val="right" w:pos="9638"/>
      </w:tabs>
      <w:rPr>
        <w:rFonts w:ascii="Calibri" w:hAnsi="Calibri"/>
        <w:smallCaps/>
        <w:u w:val="single"/>
      </w:rPr>
    </w:pPr>
    <w:r>
      <w:rPr>
        <w:rFonts w:ascii="Calibri" w:hAnsi="Calibri"/>
        <w:bCs/>
        <w:smallCaps/>
        <w:sz w:val="22"/>
        <w:szCs w:val="28"/>
        <w:u w:val="single"/>
      </w:rPr>
      <w:t>Lettre de consultation</w:t>
    </w:r>
    <w:r w:rsidR="00C94444" w:rsidRPr="00C94444">
      <w:rPr>
        <w:rFonts w:ascii="Calibri" w:hAnsi="Calibri"/>
        <w:bCs/>
        <w:smallCaps/>
        <w:sz w:val="22"/>
        <w:szCs w:val="28"/>
        <w:u w:val="single"/>
      </w:rPr>
      <w:tab/>
    </w:r>
  </w:p>
  <w:p w14:paraId="4DBE0ABE" w14:textId="77777777" w:rsidR="00C94444" w:rsidRPr="005964BE" w:rsidRDefault="00C94444" w:rsidP="005964BE">
    <w:pPr>
      <w:pStyle w:val="En-tte"/>
      <w:tabs>
        <w:tab w:val="clear" w:pos="4536"/>
        <w:tab w:val="clear" w:pos="9072"/>
        <w:tab w:val="right" w:pos="9781"/>
      </w:tabs>
      <w:spacing w:line="240" w:lineRule="auto"/>
      <w:rPr>
        <w:rFonts w:ascii="Calibri" w:hAnsi="Calibr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ADAF" w14:textId="3AAA57F0" w:rsidR="00206C94" w:rsidRDefault="00206C94" w:rsidP="00F45DFD">
    <w:pPr>
      <w:pStyle w:val="En-tte"/>
      <w:tabs>
        <w:tab w:val="clear" w:pos="4536"/>
        <w:tab w:val="clear" w:pos="9072"/>
        <w:tab w:val="right" w:pos="9356"/>
      </w:tabs>
      <w:jc w:val="both"/>
      <w:rPr>
        <w:rFonts w:ascii="Calibri" w:hAnsi="Calibri"/>
        <w:b/>
        <w:bCs/>
        <w:sz w:val="24"/>
      </w:rPr>
    </w:pPr>
    <w:r>
      <w:rPr>
        <w:rFonts w:eastAsia="Cambria"/>
        <w:noProof/>
        <w:color w:val="auto"/>
        <w:sz w:val="16"/>
      </w:rPr>
      <w:drawing>
        <wp:inline distT="0" distB="0" distL="0" distR="0" wp14:anchorId="175F20CB" wp14:editId="09AC511E">
          <wp:extent cx="1996655" cy="1047750"/>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F-AFD.jpg"/>
                  <pic:cNvPicPr/>
                </pic:nvPicPr>
                <pic:blipFill>
                  <a:blip r:embed="rId1">
                    <a:extLst>
                      <a:ext uri="{28A0092B-C50C-407E-A947-70E740481C1C}">
                        <a14:useLocalDpi xmlns:a14="http://schemas.microsoft.com/office/drawing/2010/main" val="0"/>
                      </a:ext>
                    </a:extLst>
                  </a:blip>
                  <a:stretch>
                    <a:fillRect/>
                  </a:stretch>
                </pic:blipFill>
                <pic:spPr>
                  <a:xfrm>
                    <a:off x="0" y="0"/>
                    <a:ext cx="2018335" cy="1059127"/>
                  </a:xfrm>
                  <a:prstGeom prst="rect">
                    <a:avLst/>
                  </a:prstGeom>
                </pic:spPr>
              </pic:pic>
            </a:graphicData>
          </a:graphic>
        </wp:inline>
      </w:drawing>
    </w:r>
    <w:r w:rsidRPr="00C17FE5">
      <w:rPr>
        <w:rFonts w:ascii="Calibri" w:hAnsi="Calibri"/>
        <w:b/>
        <w:bCs/>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pStyle w:val="Titre5"/>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40D1E00"/>
    <w:multiLevelType w:val="hybridMultilevel"/>
    <w:tmpl w:val="0870FCC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F58A4"/>
    <w:multiLevelType w:val="hybridMultilevel"/>
    <w:tmpl w:val="56F6A5B2"/>
    <w:lvl w:ilvl="0" w:tplc="F02C57F8">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C71D8"/>
    <w:multiLevelType w:val="hybridMultilevel"/>
    <w:tmpl w:val="99F86016"/>
    <w:lvl w:ilvl="0" w:tplc="38EAF280">
      <w:start w:val="1"/>
      <w:numFmt w:val="bullet"/>
      <w:pStyle w:val="LISTE"/>
      <w:lvlText w:val=""/>
      <w:lvlJc w:val="left"/>
      <w:pPr>
        <w:ind w:left="720" w:hanging="360"/>
      </w:pPr>
      <w:rPr>
        <w:rFonts w:ascii="Symbol" w:hAnsi="Symbol" w:hint="default"/>
        <w:color w:val="F6B705"/>
        <w:position w:val="0"/>
      </w:rPr>
    </w:lvl>
    <w:lvl w:ilvl="1" w:tplc="040C0003">
      <w:start w:val="1"/>
      <w:numFmt w:val="bullet"/>
      <w:lvlText w:val="o"/>
      <w:lvlJc w:val="left"/>
      <w:pPr>
        <w:ind w:left="2905" w:hanging="360"/>
      </w:pPr>
      <w:rPr>
        <w:rFonts w:ascii="Courier New" w:hAnsi="Courier New" w:hint="default"/>
      </w:rPr>
    </w:lvl>
    <w:lvl w:ilvl="2" w:tplc="040C0005" w:tentative="1">
      <w:start w:val="1"/>
      <w:numFmt w:val="bullet"/>
      <w:lvlText w:val=""/>
      <w:lvlJc w:val="left"/>
      <w:pPr>
        <w:ind w:left="3625" w:hanging="360"/>
      </w:pPr>
      <w:rPr>
        <w:rFonts w:ascii="Wingdings" w:hAnsi="Wingdings" w:hint="default"/>
      </w:rPr>
    </w:lvl>
    <w:lvl w:ilvl="3" w:tplc="040C0001" w:tentative="1">
      <w:start w:val="1"/>
      <w:numFmt w:val="bullet"/>
      <w:lvlText w:val=""/>
      <w:lvlJc w:val="left"/>
      <w:pPr>
        <w:ind w:left="4345" w:hanging="360"/>
      </w:pPr>
      <w:rPr>
        <w:rFonts w:ascii="Symbol" w:hAnsi="Symbol" w:hint="default"/>
      </w:rPr>
    </w:lvl>
    <w:lvl w:ilvl="4" w:tplc="040C0003" w:tentative="1">
      <w:start w:val="1"/>
      <w:numFmt w:val="bullet"/>
      <w:lvlText w:val="o"/>
      <w:lvlJc w:val="left"/>
      <w:pPr>
        <w:ind w:left="5065" w:hanging="360"/>
      </w:pPr>
      <w:rPr>
        <w:rFonts w:ascii="Courier New" w:hAnsi="Courier New" w:hint="default"/>
      </w:rPr>
    </w:lvl>
    <w:lvl w:ilvl="5" w:tplc="040C0005" w:tentative="1">
      <w:start w:val="1"/>
      <w:numFmt w:val="bullet"/>
      <w:lvlText w:val=""/>
      <w:lvlJc w:val="left"/>
      <w:pPr>
        <w:ind w:left="5785" w:hanging="360"/>
      </w:pPr>
      <w:rPr>
        <w:rFonts w:ascii="Wingdings" w:hAnsi="Wingdings" w:hint="default"/>
      </w:rPr>
    </w:lvl>
    <w:lvl w:ilvl="6" w:tplc="040C0001" w:tentative="1">
      <w:start w:val="1"/>
      <w:numFmt w:val="bullet"/>
      <w:lvlText w:val=""/>
      <w:lvlJc w:val="left"/>
      <w:pPr>
        <w:ind w:left="6505" w:hanging="360"/>
      </w:pPr>
      <w:rPr>
        <w:rFonts w:ascii="Symbol" w:hAnsi="Symbol" w:hint="default"/>
      </w:rPr>
    </w:lvl>
    <w:lvl w:ilvl="7" w:tplc="040C0003" w:tentative="1">
      <w:start w:val="1"/>
      <w:numFmt w:val="bullet"/>
      <w:lvlText w:val="o"/>
      <w:lvlJc w:val="left"/>
      <w:pPr>
        <w:ind w:left="7225" w:hanging="360"/>
      </w:pPr>
      <w:rPr>
        <w:rFonts w:ascii="Courier New" w:hAnsi="Courier New" w:hint="default"/>
      </w:rPr>
    </w:lvl>
    <w:lvl w:ilvl="8" w:tplc="040C0005" w:tentative="1">
      <w:start w:val="1"/>
      <w:numFmt w:val="bullet"/>
      <w:lvlText w:val=""/>
      <w:lvlJc w:val="left"/>
      <w:pPr>
        <w:ind w:left="7945" w:hanging="360"/>
      </w:pPr>
      <w:rPr>
        <w:rFonts w:ascii="Wingdings" w:hAnsi="Wingdings" w:hint="default"/>
      </w:rPr>
    </w:lvl>
  </w:abstractNum>
  <w:abstractNum w:abstractNumId="4" w15:restartNumberingAfterBreak="0">
    <w:nsid w:val="099B3C1D"/>
    <w:multiLevelType w:val="hybridMultilevel"/>
    <w:tmpl w:val="14FC72B8"/>
    <w:lvl w:ilvl="0" w:tplc="E744D88C">
      <w:start w:val="1"/>
      <w:numFmt w:val="bullet"/>
      <w:lvlText w:val=""/>
      <w:lvlJc w:val="left"/>
      <w:pPr>
        <w:ind w:left="720" w:hanging="360"/>
      </w:pPr>
      <w:rPr>
        <w:rFonts w:ascii="Symbol" w:eastAsia="Liberation Sans" w:hAnsi="Symbol"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66A26"/>
    <w:multiLevelType w:val="hybridMultilevel"/>
    <w:tmpl w:val="4F4EC23A"/>
    <w:lvl w:ilvl="0" w:tplc="0590D63C">
      <w:start w:val="1"/>
      <w:numFmt w:val="upperRoman"/>
      <w:lvlText w:val="%1."/>
      <w:lvlJc w:val="right"/>
      <w:pPr>
        <w:tabs>
          <w:tab w:val="num" w:pos="720"/>
        </w:tabs>
        <w:ind w:left="720" w:hanging="180"/>
      </w:pPr>
      <w:rPr>
        <w:rFonts w:ascii="Calibri" w:hAnsi="Calibri" w:hint="default"/>
        <w:b/>
        <w:i w:val="0"/>
        <w:sz w:val="24"/>
      </w:rPr>
    </w:lvl>
    <w:lvl w:ilvl="1" w:tplc="B978C322">
      <w:start w:val="1"/>
      <w:numFmt w:val="decimal"/>
      <w:lvlText w:val="%2)"/>
      <w:lvlJc w:val="left"/>
      <w:pPr>
        <w:tabs>
          <w:tab w:val="num" w:pos="1440"/>
        </w:tabs>
        <w:ind w:left="1440" w:hanging="360"/>
      </w:pPr>
      <w:rPr>
        <w:rFonts w:ascii="Calibri" w:hAnsi="Calibri" w:hint="default"/>
        <w:b/>
        <w:i w:val="0"/>
        <w:color w:val="000000" w:themeColor="text1"/>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BD77B0D"/>
    <w:multiLevelType w:val="hybridMultilevel"/>
    <w:tmpl w:val="A2DC3DF2"/>
    <w:lvl w:ilvl="0" w:tplc="AA6A50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424EFD"/>
    <w:multiLevelType w:val="hybridMultilevel"/>
    <w:tmpl w:val="4C9AFD16"/>
    <w:lvl w:ilvl="0" w:tplc="0D5A7B4E">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1BC4B90C">
      <w:start w:val="1"/>
      <w:numFmt w:val="bullet"/>
      <w:lvlText w:val=""/>
      <w:lvlJc w:val="left"/>
      <w:pPr>
        <w:ind w:left="2880" w:hanging="360"/>
      </w:pPr>
      <w:rPr>
        <w:rFonts w:ascii="Symbol" w:hAnsi="Symbol" w:hint="default"/>
        <w:color w:val="2E74B5" w:themeColor="accent1" w:themeShade="BF"/>
        <w:spacing w:val="38"/>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361342B"/>
    <w:multiLevelType w:val="hybridMultilevel"/>
    <w:tmpl w:val="325E895C"/>
    <w:lvl w:ilvl="0" w:tplc="9FE0E8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A77B24"/>
    <w:multiLevelType w:val="hybridMultilevel"/>
    <w:tmpl w:val="C2720DD4"/>
    <w:lvl w:ilvl="0" w:tplc="BCE2D194">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B6ADF"/>
    <w:multiLevelType w:val="hybridMultilevel"/>
    <w:tmpl w:val="F5E4D210"/>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C46BD"/>
    <w:multiLevelType w:val="hybridMultilevel"/>
    <w:tmpl w:val="23CCCD0A"/>
    <w:lvl w:ilvl="0" w:tplc="6C92BB32">
      <w:start w:val="1"/>
      <w:numFmt w:val="upperRoman"/>
      <w:lvlText w:val="%1."/>
      <w:lvlJc w:val="righ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22914D9"/>
    <w:multiLevelType w:val="hybridMultilevel"/>
    <w:tmpl w:val="DD885E7E"/>
    <w:lvl w:ilvl="0" w:tplc="9FE0E8E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AF131F"/>
    <w:multiLevelType w:val="hybridMultilevel"/>
    <w:tmpl w:val="78B88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15"/>
  </w:num>
  <w:num w:numId="5">
    <w:abstractNumId w:val="10"/>
  </w:num>
  <w:num w:numId="6">
    <w:abstractNumId w:val="17"/>
  </w:num>
  <w:num w:numId="7">
    <w:abstractNumId w:val="11"/>
  </w:num>
  <w:num w:numId="8">
    <w:abstractNumId w:val="19"/>
  </w:num>
  <w:num w:numId="9">
    <w:abstractNumId w:val="16"/>
  </w:num>
  <w:num w:numId="10">
    <w:abstractNumId w:val="18"/>
  </w:num>
  <w:num w:numId="11">
    <w:abstractNumId w:val="8"/>
  </w:num>
  <w:num w:numId="12">
    <w:abstractNumId w:val="13"/>
  </w:num>
  <w:num w:numId="13">
    <w:abstractNumId w:val="4"/>
  </w:num>
  <w:num w:numId="14">
    <w:abstractNumId w:val="5"/>
  </w:num>
  <w:num w:numId="15">
    <w:abstractNumId w:val="12"/>
  </w:num>
  <w:num w:numId="16">
    <w:abstractNumId w:val="3"/>
  </w:num>
  <w:num w:numId="17">
    <w:abstractNumId w:val="7"/>
  </w:num>
  <w:num w:numId="18">
    <w:abstractNumId w:val="9"/>
  </w:num>
  <w:num w:numId="19">
    <w:abstractNumId w:val="2"/>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pos w:val="beneathText"/>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D8"/>
    <w:rsid w:val="00005E8E"/>
    <w:rsid w:val="00007282"/>
    <w:rsid w:val="00010D8E"/>
    <w:rsid w:val="0002439A"/>
    <w:rsid w:val="00026B17"/>
    <w:rsid w:val="000305E4"/>
    <w:rsid w:val="00032B4D"/>
    <w:rsid w:val="00036030"/>
    <w:rsid w:val="00036CE9"/>
    <w:rsid w:val="0004370D"/>
    <w:rsid w:val="00047608"/>
    <w:rsid w:val="000627D7"/>
    <w:rsid w:val="000718ED"/>
    <w:rsid w:val="0008471B"/>
    <w:rsid w:val="000904E8"/>
    <w:rsid w:val="00090FD9"/>
    <w:rsid w:val="000A2239"/>
    <w:rsid w:val="000D208B"/>
    <w:rsid w:val="000E4ADF"/>
    <w:rsid w:val="000E6839"/>
    <w:rsid w:val="000E687E"/>
    <w:rsid w:val="000F0066"/>
    <w:rsid w:val="000F136E"/>
    <w:rsid w:val="000F7AFB"/>
    <w:rsid w:val="00100E21"/>
    <w:rsid w:val="00107F79"/>
    <w:rsid w:val="00115594"/>
    <w:rsid w:val="0011714F"/>
    <w:rsid w:val="00117C41"/>
    <w:rsid w:val="00120CFB"/>
    <w:rsid w:val="00124622"/>
    <w:rsid w:val="00133103"/>
    <w:rsid w:val="00133659"/>
    <w:rsid w:val="00140DAC"/>
    <w:rsid w:val="00150C32"/>
    <w:rsid w:val="001577D9"/>
    <w:rsid w:val="00165139"/>
    <w:rsid w:val="001660DE"/>
    <w:rsid w:val="00174464"/>
    <w:rsid w:val="001744B5"/>
    <w:rsid w:val="00175456"/>
    <w:rsid w:val="00175DFF"/>
    <w:rsid w:val="00177320"/>
    <w:rsid w:val="00191926"/>
    <w:rsid w:val="00192535"/>
    <w:rsid w:val="0019299F"/>
    <w:rsid w:val="00192E18"/>
    <w:rsid w:val="00197F98"/>
    <w:rsid w:val="001A151A"/>
    <w:rsid w:val="001A2513"/>
    <w:rsid w:val="001C6797"/>
    <w:rsid w:val="001C7CFE"/>
    <w:rsid w:val="001E54C8"/>
    <w:rsid w:val="001F0D18"/>
    <w:rsid w:val="001F2BAE"/>
    <w:rsid w:val="001F30F9"/>
    <w:rsid w:val="002000C6"/>
    <w:rsid w:val="00206C94"/>
    <w:rsid w:val="002128A2"/>
    <w:rsid w:val="00220CF5"/>
    <w:rsid w:val="00221236"/>
    <w:rsid w:val="00227E94"/>
    <w:rsid w:val="00233B3E"/>
    <w:rsid w:val="002401F9"/>
    <w:rsid w:val="0024044E"/>
    <w:rsid w:val="00242376"/>
    <w:rsid w:val="0024383B"/>
    <w:rsid w:val="002478F2"/>
    <w:rsid w:val="00251BB2"/>
    <w:rsid w:val="00270DD2"/>
    <w:rsid w:val="00285514"/>
    <w:rsid w:val="002872AD"/>
    <w:rsid w:val="00297C87"/>
    <w:rsid w:val="002B280B"/>
    <w:rsid w:val="002B32C7"/>
    <w:rsid w:val="002C129F"/>
    <w:rsid w:val="002C71E4"/>
    <w:rsid w:val="002D1687"/>
    <w:rsid w:val="002D70CA"/>
    <w:rsid w:val="002F01C4"/>
    <w:rsid w:val="00305C28"/>
    <w:rsid w:val="00313AB8"/>
    <w:rsid w:val="003216BF"/>
    <w:rsid w:val="00323D4E"/>
    <w:rsid w:val="00324D88"/>
    <w:rsid w:val="00347EDB"/>
    <w:rsid w:val="00352C82"/>
    <w:rsid w:val="00356B80"/>
    <w:rsid w:val="00357F4F"/>
    <w:rsid w:val="00360F93"/>
    <w:rsid w:val="003657A1"/>
    <w:rsid w:val="00377835"/>
    <w:rsid w:val="00381333"/>
    <w:rsid w:val="00383499"/>
    <w:rsid w:val="00385B50"/>
    <w:rsid w:val="003B508A"/>
    <w:rsid w:val="003C019B"/>
    <w:rsid w:val="003C5F90"/>
    <w:rsid w:val="003E07BA"/>
    <w:rsid w:val="003E30D0"/>
    <w:rsid w:val="003E7D15"/>
    <w:rsid w:val="003F128E"/>
    <w:rsid w:val="003F4E30"/>
    <w:rsid w:val="004017D8"/>
    <w:rsid w:val="00404E95"/>
    <w:rsid w:val="004050CF"/>
    <w:rsid w:val="00411C8D"/>
    <w:rsid w:val="00423A46"/>
    <w:rsid w:val="00427E05"/>
    <w:rsid w:val="00437A57"/>
    <w:rsid w:val="0044018D"/>
    <w:rsid w:val="00442FCF"/>
    <w:rsid w:val="00447374"/>
    <w:rsid w:val="00461517"/>
    <w:rsid w:val="00470205"/>
    <w:rsid w:val="00476456"/>
    <w:rsid w:val="00484DE4"/>
    <w:rsid w:val="00492AB4"/>
    <w:rsid w:val="00494529"/>
    <w:rsid w:val="004A00C7"/>
    <w:rsid w:val="004A4A9D"/>
    <w:rsid w:val="004A5902"/>
    <w:rsid w:val="004A6680"/>
    <w:rsid w:val="004B0A04"/>
    <w:rsid w:val="004B409C"/>
    <w:rsid w:val="004B6416"/>
    <w:rsid w:val="004C4471"/>
    <w:rsid w:val="004C73A6"/>
    <w:rsid w:val="00501C5C"/>
    <w:rsid w:val="00506764"/>
    <w:rsid w:val="00507227"/>
    <w:rsid w:val="00511979"/>
    <w:rsid w:val="00512625"/>
    <w:rsid w:val="005137FF"/>
    <w:rsid w:val="00517824"/>
    <w:rsid w:val="005245A8"/>
    <w:rsid w:val="005258B0"/>
    <w:rsid w:val="005261A5"/>
    <w:rsid w:val="00526B3C"/>
    <w:rsid w:val="00526BF2"/>
    <w:rsid w:val="00530202"/>
    <w:rsid w:val="00530F37"/>
    <w:rsid w:val="005311B9"/>
    <w:rsid w:val="0053426B"/>
    <w:rsid w:val="00534ADE"/>
    <w:rsid w:val="00537BA2"/>
    <w:rsid w:val="0054675C"/>
    <w:rsid w:val="005564C9"/>
    <w:rsid w:val="00556D99"/>
    <w:rsid w:val="00557909"/>
    <w:rsid w:val="00564612"/>
    <w:rsid w:val="005940E8"/>
    <w:rsid w:val="0059571F"/>
    <w:rsid w:val="005964BE"/>
    <w:rsid w:val="00596865"/>
    <w:rsid w:val="00597B6A"/>
    <w:rsid w:val="005A40CD"/>
    <w:rsid w:val="005B32E1"/>
    <w:rsid w:val="005B627C"/>
    <w:rsid w:val="005B758E"/>
    <w:rsid w:val="005B7C4C"/>
    <w:rsid w:val="005C0D7C"/>
    <w:rsid w:val="005C4ADB"/>
    <w:rsid w:val="005E43E2"/>
    <w:rsid w:val="005E4FD2"/>
    <w:rsid w:val="005E5953"/>
    <w:rsid w:val="005F1E7D"/>
    <w:rsid w:val="005F6EBE"/>
    <w:rsid w:val="00600B32"/>
    <w:rsid w:val="00603B0F"/>
    <w:rsid w:val="00611CB3"/>
    <w:rsid w:val="00615699"/>
    <w:rsid w:val="00615DCB"/>
    <w:rsid w:val="006171CA"/>
    <w:rsid w:val="0063083E"/>
    <w:rsid w:val="006323CF"/>
    <w:rsid w:val="00633FF0"/>
    <w:rsid w:val="00637905"/>
    <w:rsid w:val="0064102E"/>
    <w:rsid w:val="00642257"/>
    <w:rsid w:val="00646ACD"/>
    <w:rsid w:val="0065075B"/>
    <w:rsid w:val="006657B7"/>
    <w:rsid w:val="00665E80"/>
    <w:rsid w:val="0068165A"/>
    <w:rsid w:val="00683F08"/>
    <w:rsid w:val="0068441B"/>
    <w:rsid w:val="0069083A"/>
    <w:rsid w:val="00695E66"/>
    <w:rsid w:val="00696B61"/>
    <w:rsid w:val="006B1263"/>
    <w:rsid w:val="006B4254"/>
    <w:rsid w:val="006D3F46"/>
    <w:rsid w:val="006D78B2"/>
    <w:rsid w:val="006E6AAF"/>
    <w:rsid w:val="006E71ED"/>
    <w:rsid w:val="006F1DD7"/>
    <w:rsid w:val="006F2D8F"/>
    <w:rsid w:val="006F7643"/>
    <w:rsid w:val="00702306"/>
    <w:rsid w:val="00704CE8"/>
    <w:rsid w:val="0071561E"/>
    <w:rsid w:val="00715EF7"/>
    <w:rsid w:val="0073077C"/>
    <w:rsid w:val="00733DBC"/>
    <w:rsid w:val="0076117F"/>
    <w:rsid w:val="00776208"/>
    <w:rsid w:val="007821D8"/>
    <w:rsid w:val="0078522C"/>
    <w:rsid w:val="00785310"/>
    <w:rsid w:val="00794B26"/>
    <w:rsid w:val="007950F5"/>
    <w:rsid w:val="0079658F"/>
    <w:rsid w:val="0079723E"/>
    <w:rsid w:val="007A2123"/>
    <w:rsid w:val="007B2A72"/>
    <w:rsid w:val="007C0170"/>
    <w:rsid w:val="007D5A0F"/>
    <w:rsid w:val="007D7D63"/>
    <w:rsid w:val="007E3AF4"/>
    <w:rsid w:val="007F1B9F"/>
    <w:rsid w:val="00801237"/>
    <w:rsid w:val="00807031"/>
    <w:rsid w:val="00811BAF"/>
    <w:rsid w:val="00822E6E"/>
    <w:rsid w:val="00824007"/>
    <w:rsid w:val="0083206A"/>
    <w:rsid w:val="00834B87"/>
    <w:rsid w:val="00834F9A"/>
    <w:rsid w:val="00841D71"/>
    <w:rsid w:val="00852503"/>
    <w:rsid w:val="00854EBD"/>
    <w:rsid w:val="008560D8"/>
    <w:rsid w:val="008819CA"/>
    <w:rsid w:val="00885773"/>
    <w:rsid w:val="00886480"/>
    <w:rsid w:val="008911EB"/>
    <w:rsid w:val="00892F74"/>
    <w:rsid w:val="008959CE"/>
    <w:rsid w:val="008970EE"/>
    <w:rsid w:val="008C102A"/>
    <w:rsid w:val="008D4103"/>
    <w:rsid w:val="008D4BB5"/>
    <w:rsid w:val="008D599F"/>
    <w:rsid w:val="009001B2"/>
    <w:rsid w:val="009022DF"/>
    <w:rsid w:val="009115C8"/>
    <w:rsid w:val="00916FF2"/>
    <w:rsid w:val="0092750A"/>
    <w:rsid w:val="0093045C"/>
    <w:rsid w:val="0093503C"/>
    <w:rsid w:val="00935F35"/>
    <w:rsid w:val="00941684"/>
    <w:rsid w:val="009449E5"/>
    <w:rsid w:val="00952FFF"/>
    <w:rsid w:val="00953867"/>
    <w:rsid w:val="00954828"/>
    <w:rsid w:val="00962504"/>
    <w:rsid w:val="00971FA3"/>
    <w:rsid w:val="0097470C"/>
    <w:rsid w:val="00976F7E"/>
    <w:rsid w:val="00982640"/>
    <w:rsid w:val="009949DE"/>
    <w:rsid w:val="009A201A"/>
    <w:rsid w:val="009A56BD"/>
    <w:rsid w:val="009D1E08"/>
    <w:rsid w:val="009D4158"/>
    <w:rsid w:val="009E2BBF"/>
    <w:rsid w:val="00A004BD"/>
    <w:rsid w:val="00A068C5"/>
    <w:rsid w:val="00A06BA2"/>
    <w:rsid w:val="00A163B4"/>
    <w:rsid w:val="00A20CDB"/>
    <w:rsid w:val="00A342C3"/>
    <w:rsid w:val="00A46B4E"/>
    <w:rsid w:val="00A53289"/>
    <w:rsid w:val="00A573C2"/>
    <w:rsid w:val="00A61215"/>
    <w:rsid w:val="00A83609"/>
    <w:rsid w:val="00A90690"/>
    <w:rsid w:val="00AA3022"/>
    <w:rsid w:val="00AA4E66"/>
    <w:rsid w:val="00AB188D"/>
    <w:rsid w:val="00AB3178"/>
    <w:rsid w:val="00AB7DDD"/>
    <w:rsid w:val="00AC0ED6"/>
    <w:rsid w:val="00AC54D3"/>
    <w:rsid w:val="00AC54DB"/>
    <w:rsid w:val="00AD2690"/>
    <w:rsid w:val="00AD30A1"/>
    <w:rsid w:val="00AD3B00"/>
    <w:rsid w:val="00AD5EF5"/>
    <w:rsid w:val="00AE0CB2"/>
    <w:rsid w:val="00B01FD6"/>
    <w:rsid w:val="00B052A3"/>
    <w:rsid w:val="00B27692"/>
    <w:rsid w:val="00B32358"/>
    <w:rsid w:val="00B35C00"/>
    <w:rsid w:val="00B569F0"/>
    <w:rsid w:val="00B57876"/>
    <w:rsid w:val="00B67B03"/>
    <w:rsid w:val="00B72DCD"/>
    <w:rsid w:val="00B810B2"/>
    <w:rsid w:val="00BA07A8"/>
    <w:rsid w:val="00BA1BA5"/>
    <w:rsid w:val="00BA68E1"/>
    <w:rsid w:val="00BA7E5B"/>
    <w:rsid w:val="00BC03CA"/>
    <w:rsid w:val="00BC1AB6"/>
    <w:rsid w:val="00BC25A2"/>
    <w:rsid w:val="00BF2281"/>
    <w:rsid w:val="00C03DEC"/>
    <w:rsid w:val="00C04083"/>
    <w:rsid w:val="00C04280"/>
    <w:rsid w:val="00C04D5D"/>
    <w:rsid w:val="00C07878"/>
    <w:rsid w:val="00C17CEF"/>
    <w:rsid w:val="00C26B35"/>
    <w:rsid w:val="00C26C16"/>
    <w:rsid w:val="00C27E73"/>
    <w:rsid w:val="00C4140C"/>
    <w:rsid w:val="00C41AD6"/>
    <w:rsid w:val="00C47B9C"/>
    <w:rsid w:val="00C555CE"/>
    <w:rsid w:val="00C768A3"/>
    <w:rsid w:val="00C84B52"/>
    <w:rsid w:val="00C85AA9"/>
    <w:rsid w:val="00C90940"/>
    <w:rsid w:val="00C92A62"/>
    <w:rsid w:val="00C94444"/>
    <w:rsid w:val="00C96655"/>
    <w:rsid w:val="00CA629B"/>
    <w:rsid w:val="00CB32BC"/>
    <w:rsid w:val="00CB43FA"/>
    <w:rsid w:val="00CB59C1"/>
    <w:rsid w:val="00CC3D26"/>
    <w:rsid w:val="00CC417D"/>
    <w:rsid w:val="00CC5D5B"/>
    <w:rsid w:val="00CD3F14"/>
    <w:rsid w:val="00CD521A"/>
    <w:rsid w:val="00CE0CB0"/>
    <w:rsid w:val="00CF759D"/>
    <w:rsid w:val="00CF7BF5"/>
    <w:rsid w:val="00D06E35"/>
    <w:rsid w:val="00D121AD"/>
    <w:rsid w:val="00D13686"/>
    <w:rsid w:val="00D141A3"/>
    <w:rsid w:val="00D14400"/>
    <w:rsid w:val="00D21835"/>
    <w:rsid w:val="00D31CA1"/>
    <w:rsid w:val="00D40A42"/>
    <w:rsid w:val="00D470A0"/>
    <w:rsid w:val="00D47EFD"/>
    <w:rsid w:val="00D6150E"/>
    <w:rsid w:val="00D63B3D"/>
    <w:rsid w:val="00D63EBB"/>
    <w:rsid w:val="00D63F6C"/>
    <w:rsid w:val="00D64F0D"/>
    <w:rsid w:val="00D727C7"/>
    <w:rsid w:val="00D800D1"/>
    <w:rsid w:val="00D815D2"/>
    <w:rsid w:val="00D853AC"/>
    <w:rsid w:val="00D85BD5"/>
    <w:rsid w:val="00D878C7"/>
    <w:rsid w:val="00D91875"/>
    <w:rsid w:val="00DA4B48"/>
    <w:rsid w:val="00DA4CA2"/>
    <w:rsid w:val="00DB093A"/>
    <w:rsid w:val="00DD42D1"/>
    <w:rsid w:val="00DF04E8"/>
    <w:rsid w:val="00DF41AE"/>
    <w:rsid w:val="00DF6B05"/>
    <w:rsid w:val="00E07892"/>
    <w:rsid w:val="00E13A8F"/>
    <w:rsid w:val="00E1434C"/>
    <w:rsid w:val="00E166EC"/>
    <w:rsid w:val="00E27BFC"/>
    <w:rsid w:val="00E33F52"/>
    <w:rsid w:val="00E46980"/>
    <w:rsid w:val="00E52F3B"/>
    <w:rsid w:val="00E64FCC"/>
    <w:rsid w:val="00E666BB"/>
    <w:rsid w:val="00E70CEA"/>
    <w:rsid w:val="00E772AF"/>
    <w:rsid w:val="00E963EC"/>
    <w:rsid w:val="00EB2115"/>
    <w:rsid w:val="00EB6219"/>
    <w:rsid w:val="00EC4D9F"/>
    <w:rsid w:val="00ED1860"/>
    <w:rsid w:val="00EF247D"/>
    <w:rsid w:val="00F01191"/>
    <w:rsid w:val="00F02BEB"/>
    <w:rsid w:val="00F055ED"/>
    <w:rsid w:val="00F13B17"/>
    <w:rsid w:val="00F14165"/>
    <w:rsid w:val="00F205DC"/>
    <w:rsid w:val="00F4056A"/>
    <w:rsid w:val="00F44405"/>
    <w:rsid w:val="00F45DFD"/>
    <w:rsid w:val="00F462C1"/>
    <w:rsid w:val="00F47BD0"/>
    <w:rsid w:val="00F52458"/>
    <w:rsid w:val="00F53104"/>
    <w:rsid w:val="00F557BA"/>
    <w:rsid w:val="00F607DF"/>
    <w:rsid w:val="00F65390"/>
    <w:rsid w:val="00F667C3"/>
    <w:rsid w:val="00F66A48"/>
    <w:rsid w:val="00F947F8"/>
    <w:rsid w:val="00FA3040"/>
    <w:rsid w:val="00FA7E4C"/>
    <w:rsid w:val="00FB6245"/>
    <w:rsid w:val="00FC27AF"/>
    <w:rsid w:val="00FC281B"/>
    <w:rsid w:val="00FD60DA"/>
    <w:rsid w:val="00FE0F80"/>
    <w:rsid w:val="00FF0E5F"/>
    <w:rsid w:val="00FF155E"/>
    <w:rsid w:val="00FF4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DCD87F"/>
  <w15:chartTrackingRefBased/>
  <w15:docId w15:val="{BB0EC5ED-1F12-4535-9931-84102BE1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autoSpaceDE w:val="0"/>
    </w:pPr>
    <w:rPr>
      <w:rFonts w:ascii="Liberation Sans" w:eastAsia="Liberation Sans" w:hAnsi="Liberation Sans" w:cs="Liberation Sans"/>
      <w:color w:val="000000"/>
      <w:sz w:val="24"/>
      <w:szCs w:val="24"/>
    </w:rPr>
  </w:style>
  <w:style w:type="paragraph" w:styleId="Titre2">
    <w:name w:val="heading 2"/>
    <w:basedOn w:val="Normal"/>
    <w:next w:val="Normal"/>
    <w:qFormat/>
    <w:pPr>
      <w:keepNext/>
      <w:tabs>
        <w:tab w:val="left" w:pos="426"/>
      </w:tabs>
      <w:outlineLvl w:val="1"/>
    </w:pPr>
    <w:rPr>
      <w:rFonts w:eastAsia="Times New Roman"/>
      <w:szCs w:val="20"/>
      <w:lang w:val="fr-BE" w:eastAsia="en-GB"/>
    </w:rPr>
  </w:style>
  <w:style w:type="paragraph" w:styleId="Titre3">
    <w:name w:val="heading 3"/>
    <w:basedOn w:val="Normal"/>
    <w:next w:val="Normal"/>
    <w:link w:val="Titre3Car"/>
    <w:uiPriority w:val="9"/>
    <w:semiHidden/>
    <w:unhideWhenUsed/>
    <w:qFormat/>
    <w:rsid w:val="005A40CD"/>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Titre"/>
    <w:next w:val="Corpsdetexte"/>
    <w:qFormat/>
    <w:pPr>
      <w:numPr>
        <w:ilvl w:val="4"/>
        <w:numId w:val="1"/>
      </w:numPr>
      <w:ind w:left="0" w:firstLine="0"/>
      <w:jc w:val="center"/>
      <w:outlineLvl w:val="4"/>
    </w:pPr>
    <w:rPr>
      <w:rFonts w:eastAsia="SimSun"/>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80"/>
      <w:u w:val="single"/>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styleId="lev">
    <w:name w:val="Strong"/>
    <w:qFormat/>
    <w:rPr>
      <w:b/>
      <w:bCs/>
    </w:rPr>
  </w:style>
  <w:style w:type="character" w:styleId="Accentuation">
    <w:name w:val="Emphasis"/>
    <w:qFormat/>
    <w:rPr>
      <w:i/>
      <w:iCs/>
    </w:rPr>
  </w:style>
  <w:style w:type="paragraph" w:styleId="Titre">
    <w:name w:val="Title"/>
    <w:basedOn w:val="Normal"/>
    <w:next w:val="Corpsdetexte"/>
    <w:qFormat/>
    <w:pPr>
      <w:keepNext/>
      <w:spacing w:before="240" w:after="120"/>
    </w:pPr>
    <w:rPr>
      <w:rFonts w:ascii="Arial" w:eastAsia="Microsoft YaHei" w:hAnsi="Arial"/>
      <w:sz w:val="28"/>
      <w:szCs w:val="28"/>
    </w:rPr>
  </w:style>
  <w:style w:type="paragraph" w:styleId="Corpsdetexte">
    <w:name w:val="Body Text"/>
    <w:basedOn w:val="Normal"/>
    <w:semiHidden/>
    <w:pPr>
      <w:spacing w:after="120"/>
    </w:pPr>
  </w:style>
  <w:style w:type="paragraph" w:styleId="Liste0">
    <w:name w:val="List"/>
    <w:basedOn w:val="Corpsdetexte"/>
    <w:semiHidden/>
  </w:style>
  <w:style w:type="paragraph" w:styleId="Lgende">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WW8Num4z3">
    <w:name w:val="WW8Num4z3"/>
    <w:rPr>
      <w:rFonts w:ascii="Symbol" w:hAnsi="Symbol" w:cs="Symbol"/>
    </w:rPr>
  </w:style>
  <w:style w:type="paragraph" w:styleId="En-tte">
    <w:name w:val="header"/>
    <w:basedOn w:val="Normal"/>
    <w:link w:val="En-tteCar"/>
    <w:uiPriority w:val="99"/>
    <w:pPr>
      <w:tabs>
        <w:tab w:val="center" w:pos="4536"/>
        <w:tab w:val="right" w:pos="9072"/>
      </w:tabs>
      <w:spacing w:line="300" w:lineRule="atLeast"/>
    </w:pPr>
    <w:rPr>
      <w:rFonts w:ascii="Arial" w:eastAsia="Times" w:hAnsi="Arial" w:cs="Arial"/>
      <w:sz w:val="20"/>
      <w:szCs w:val="20"/>
    </w:rPr>
  </w:style>
  <w:style w:type="character" w:customStyle="1" w:styleId="timark">
    <w:name w:val="timark"/>
    <w:basedOn w:val="Policepardfaut"/>
  </w:style>
  <w:style w:type="character" w:customStyle="1" w:styleId="nomark">
    <w:name w:val="nomark"/>
    <w:basedOn w:val="Policepardfau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bodytext">
    <w:name w:val="bodytext"/>
    <w:basedOn w:val="Normal"/>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semiHidden/>
    <w:pPr>
      <w:jc w:val="both"/>
    </w:pPr>
  </w:style>
  <w:style w:type="character" w:styleId="Lienhypertextesuivivisit">
    <w:name w:val="FollowedHyperlink"/>
    <w:semiHidden/>
    <w:rPr>
      <w:color w:val="800080"/>
      <w:u w:val="single"/>
    </w:rPr>
  </w:style>
  <w:style w:type="paragraph" w:customStyle="1" w:styleId="Corpsdetexte31">
    <w:name w:val="Corps de texte 31"/>
    <w:basedOn w:val="Normal"/>
    <w:pPr>
      <w:jc w:val="both"/>
    </w:pPr>
    <w:rPr>
      <w:rFonts w:eastAsia="Times New Roman"/>
      <w:bCs/>
      <w:caps/>
      <w:szCs w:val="26"/>
    </w:rPr>
  </w:style>
  <w:style w:type="paragraph" w:customStyle="1" w:styleId="Style11ptJustifiedAfter12pt">
    <w:name w:val="Style 11 pt Justified After:  12 pt"/>
    <w:basedOn w:val="Normal"/>
    <w:pPr>
      <w:spacing w:after="120"/>
      <w:jc w:val="both"/>
    </w:pPr>
    <w:rPr>
      <w:rFonts w:eastAsia="Times New Roman"/>
      <w:sz w:val="22"/>
      <w:szCs w:val="20"/>
      <w:lang w:val="en-GB" w:eastAsia="en-GB"/>
    </w:rPr>
  </w:style>
  <w:style w:type="paragraph" w:styleId="Normalcentr">
    <w:name w:val="Block Text"/>
    <w:basedOn w:val="Normal"/>
    <w:semiHidden/>
    <w:pPr>
      <w:autoSpaceDN w:val="0"/>
      <w:adjustRightInd w:val="0"/>
      <w:spacing w:line="370" w:lineRule="exact"/>
      <w:ind w:left="142" w:right="-426"/>
    </w:pPr>
    <w:rPr>
      <w:rFonts w:ascii="Arial" w:eastAsia="Times" w:hAnsi="Arial" w:cs="Arial"/>
      <w:sz w:val="20"/>
      <w:szCs w:val="20"/>
    </w:rPr>
  </w:style>
  <w:style w:type="paragraph" w:customStyle="1" w:styleId="Default">
    <w:name w:val="Default"/>
    <w:pPr>
      <w:autoSpaceDE w:val="0"/>
      <w:autoSpaceDN w:val="0"/>
      <w:adjustRightInd w:val="0"/>
    </w:pPr>
    <w:rPr>
      <w:rFonts w:ascii="EUAlbertina" w:hAnsi="EUAlbertina"/>
      <w:color w:val="000000"/>
      <w:sz w:val="24"/>
      <w:szCs w:val="24"/>
    </w:rPr>
  </w:style>
  <w:style w:type="paragraph" w:customStyle="1" w:styleId="western">
    <w:name w:val="western"/>
    <w:basedOn w:val="Normal"/>
    <w:pPr>
      <w:spacing w:before="100" w:beforeAutospacing="1" w:after="119"/>
    </w:pPr>
    <w:rPr>
      <w:rFonts w:ascii="Calibri" w:eastAsia="Arial Unicode MS" w:hAnsi="Calibri" w:cs="Arial Unicode MS"/>
    </w:rPr>
  </w:style>
  <w:style w:type="paragraph" w:styleId="Textedebulles">
    <w:name w:val="Balloon Text"/>
    <w:basedOn w:val="Normal"/>
    <w:semiHidden/>
    <w:unhideWhenUsed/>
    <w:rPr>
      <w:rFonts w:ascii="Tahoma" w:hAnsi="Tahoma"/>
      <w:sz w:val="16"/>
      <w:szCs w:val="14"/>
    </w:rPr>
  </w:style>
  <w:style w:type="character" w:customStyle="1" w:styleId="TextedebullesCar">
    <w:name w:val="Texte de bulles Car"/>
    <w:semiHidden/>
    <w:rPr>
      <w:rFonts w:ascii="Tahoma" w:eastAsia="SimSun" w:hAnsi="Tahoma" w:cs="Mangal"/>
      <w:kern w:val="1"/>
      <w:sz w:val="16"/>
      <w:szCs w:val="14"/>
      <w:lang w:eastAsia="zh-CN" w:bidi="hi-IN"/>
    </w:rPr>
  </w:style>
  <w:style w:type="paragraph" w:styleId="Paragraphedeliste">
    <w:name w:val="List Paragraph"/>
    <w:aliases w:val="References,List Paragraph1,Paragraphe de liste1,List Paragraph (numbered (a)),Use Case List Paragraph,Numbered List Paragraph,Main numbered paragraph,En tête 1,Listes,Yellow Bullet,Normal bullet 2,Paragraph,TITRE REFERENCE,Bullets,Ha"/>
    <w:basedOn w:val="Normal"/>
    <w:link w:val="ParagraphedelisteCar"/>
    <w:uiPriority w:val="34"/>
    <w:qFormat/>
    <w:rsid w:val="00107F79"/>
    <w:pPr>
      <w:spacing w:after="200" w:line="276" w:lineRule="auto"/>
      <w:ind w:left="720"/>
    </w:pPr>
    <w:rPr>
      <w:rFonts w:ascii="Calibri" w:eastAsia="Times New Roman" w:hAnsi="Calibri" w:cs="Calibri"/>
      <w:sz w:val="22"/>
      <w:szCs w:val="22"/>
      <w:lang w:val="en-US" w:eastAsia="en-US"/>
    </w:rPr>
  </w:style>
  <w:style w:type="character" w:customStyle="1" w:styleId="st">
    <w:name w:val="st"/>
    <w:rsid w:val="00377835"/>
  </w:style>
  <w:style w:type="paragraph" w:styleId="Notedebasdepage">
    <w:name w:val="footnote text"/>
    <w:aliases w:val="Fußnotentextf,Fuﬂnotentextf,Footnote Text Blue,Geneva 9,Font: Geneva 9,Boston 10,f,Podrozdział,Footnote text,Footnote Text Char Char Char Char Char Char,Tekst przypisu,Footnote Text Char Char Char,Footnote,fn"/>
    <w:basedOn w:val="Normal"/>
    <w:link w:val="NotedebasdepageCar"/>
    <w:unhideWhenUsed/>
    <w:qFormat/>
    <w:rsid w:val="00962504"/>
    <w:rPr>
      <w:rFonts w:ascii="Cambria" w:eastAsia="MS Mincho" w:hAnsi="Cambria" w:cs="Times New Roman"/>
    </w:rPr>
  </w:style>
  <w:style w:type="character" w:customStyle="1" w:styleId="NotedebasdepageCar">
    <w:name w:val="Note de bas de page Car"/>
    <w:aliases w:val="Fußnotentextf Car,Fuﬂnotentextf Car,Footnote Text Blue Car,Geneva 9 Car,Font: Geneva 9 Car,Boston 10 Car,f Car,Podrozdział Car,Footnote text Car,Footnote Text Char Char Char Char Char Char Car,Tekst przypisu Car,Footnote Car"/>
    <w:link w:val="Notedebasdepage"/>
    <w:rsid w:val="00962504"/>
    <w:rPr>
      <w:rFonts w:ascii="Cambria" w:eastAsia="MS Mincho" w:hAnsi="Cambria"/>
      <w:sz w:val="24"/>
      <w:szCs w:val="24"/>
    </w:rPr>
  </w:style>
  <w:style w:type="character" w:styleId="Appelnotedebasdep">
    <w:name w:val="footnote reference"/>
    <w:aliases w:val="16 Point,Superscript 6 Point,Char Char,Ref,de nota al pie,Footnote Reference Superscript,Footnote symbol,BVI fnr,ftref,BVI fnr Char Car Char,ftref Char Car Char,16 Point Char Car Char,Footnote reference number"/>
    <w:link w:val="BVIfnrCharCar1CarChar"/>
    <w:unhideWhenUsed/>
    <w:rsid w:val="00962504"/>
    <w:rPr>
      <w:vertAlign w:val="superscript"/>
    </w:rPr>
  </w:style>
  <w:style w:type="character" w:styleId="Marquedecommentaire">
    <w:name w:val="annotation reference"/>
    <w:unhideWhenUsed/>
    <w:rsid w:val="00822E6E"/>
    <w:rPr>
      <w:sz w:val="16"/>
      <w:szCs w:val="16"/>
    </w:rPr>
  </w:style>
  <w:style w:type="paragraph" w:styleId="Commentaire">
    <w:name w:val="annotation text"/>
    <w:basedOn w:val="Normal"/>
    <w:link w:val="CommentaireCar"/>
    <w:uiPriority w:val="99"/>
    <w:unhideWhenUsed/>
    <w:rsid w:val="00822E6E"/>
    <w:rPr>
      <w:sz w:val="20"/>
      <w:szCs w:val="18"/>
    </w:rPr>
  </w:style>
  <w:style w:type="character" w:customStyle="1" w:styleId="CommentaireCar">
    <w:name w:val="Commentaire Car"/>
    <w:link w:val="Commentaire"/>
    <w:uiPriority w:val="99"/>
    <w:rsid w:val="00822E6E"/>
    <w:rPr>
      <w:rFonts w:eastAsia="SimSun"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822E6E"/>
    <w:rPr>
      <w:b/>
      <w:bCs/>
    </w:rPr>
  </w:style>
  <w:style w:type="character" w:customStyle="1" w:styleId="ObjetducommentaireCar">
    <w:name w:val="Objet du commentaire Car"/>
    <w:link w:val="Objetducommentaire"/>
    <w:uiPriority w:val="99"/>
    <w:semiHidden/>
    <w:rsid w:val="00822E6E"/>
    <w:rPr>
      <w:rFonts w:eastAsia="SimSun" w:cs="Mangal"/>
      <w:b/>
      <w:bCs/>
      <w:kern w:val="1"/>
      <w:szCs w:val="18"/>
      <w:lang w:eastAsia="zh-CN" w:bidi="hi-IN"/>
    </w:rPr>
  </w:style>
  <w:style w:type="paragraph" w:styleId="Pieddepage">
    <w:name w:val="footer"/>
    <w:basedOn w:val="Normal"/>
    <w:link w:val="PieddepageCar"/>
    <w:uiPriority w:val="99"/>
    <w:unhideWhenUsed/>
    <w:rsid w:val="001F2BAE"/>
    <w:pPr>
      <w:tabs>
        <w:tab w:val="center" w:pos="4536"/>
        <w:tab w:val="right" w:pos="9072"/>
      </w:tabs>
    </w:pPr>
    <w:rPr>
      <w:szCs w:val="21"/>
    </w:rPr>
  </w:style>
  <w:style w:type="character" w:customStyle="1" w:styleId="PieddepageCar">
    <w:name w:val="Pied de page Car"/>
    <w:basedOn w:val="Policepardfaut"/>
    <w:link w:val="Pieddepage"/>
    <w:uiPriority w:val="99"/>
    <w:rsid w:val="001F2BAE"/>
    <w:rPr>
      <w:rFonts w:eastAsia="SimSun" w:cs="Mangal"/>
      <w:kern w:val="1"/>
      <w:sz w:val="24"/>
      <w:szCs w:val="21"/>
      <w:lang w:eastAsia="zh-CN" w:bidi="hi-IN"/>
    </w:rPr>
  </w:style>
  <w:style w:type="paragraph" w:customStyle="1" w:styleId="Text1">
    <w:name w:val="Text 1"/>
    <w:basedOn w:val="Normal"/>
    <w:rsid w:val="00AB7DDD"/>
    <w:pPr>
      <w:autoSpaceDE/>
      <w:spacing w:before="120" w:after="120"/>
      <w:ind w:left="850"/>
      <w:jc w:val="both"/>
    </w:pPr>
    <w:rPr>
      <w:rFonts w:ascii="Times New Roman" w:eastAsia="Times New Roman" w:hAnsi="Times New Roman" w:cs="Times New Roman"/>
      <w:snapToGrid w:val="0"/>
      <w:color w:val="auto"/>
      <w:lang w:val="en-GB" w:eastAsia="en-GB"/>
    </w:rPr>
  </w:style>
  <w:style w:type="table" w:styleId="Grilledutableau">
    <w:name w:val="Table Grid"/>
    <w:basedOn w:val="TableauNormal"/>
    <w:uiPriority w:val="59"/>
    <w:rsid w:val="009E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C94444"/>
  </w:style>
  <w:style w:type="character" w:customStyle="1" w:styleId="En-tteCar">
    <w:name w:val="En-tête Car"/>
    <w:link w:val="En-tte"/>
    <w:uiPriority w:val="99"/>
    <w:rsid w:val="00C94444"/>
    <w:rPr>
      <w:rFonts w:ascii="Arial" w:eastAsia="Times" w:hAnsi="Arial" w:cs="Arial"/>
      <w:color w:val="000000"/>
    </w:rPr>
  </w:style>
  <w:style w:type="paragraph" w:styleId="Sous-titre">
    <w:name w:val="Subtitle"/>
    <w:basedOn w:val="Normal"/>
    <w:link w:val="Sous-titreCar"/>
    <w:qFormat/>
    <w:rsid w:val="002B32C7"/>
    <w:pPr>
      <w:autoSpaceDE/>
      <w:jc w:val="center"/>
    </w:pPr>
    <w:rPr>
      <w:rFonts w:ascii="Times New Roman" w:eastAsia="Times New Roman" w:hAnsi="Times New Roman" w:cs="Times New Roman"/>
      <w:b/>
      <w:color w:val="auto"/>
      <w:sz w:val="28"/>
      <w:szCs w:val="20"/>
      <w:lang w:val="fr-BE" w:eastAsia="en-GB"/>
    </w:rPr>
  </w:style>
  <w:style w:type="character" w:customStyle="1" w:styleId="Sous-titreCar">
    <w:name w:val="Sous-titre Car"/>
    <w:basedOn w:val="Policepardfaut"/>
    <w:link w:val="Sous-titre"/>
    <w:rsid w:val="002B32C7"/>
    <w:rPr>
      <w:b/>
      <w:sz w:val="28"/>
      <w:lang w:val="fr-BE" w:eastAsia="en-GB"/>
    </w:rPr>
  </w:style>
  <w:style w:type="character" w:customStyle="1" w:styleId="Titre3Car">
    <w:name w:val="Titre 3 Car"/>
    <w:basedOn w:val="Policepardfaut"/>
    <w:link w:val="Titre3"/>
    <w:uiPriority w:val="9"/>
    <w:semiHidden/>
    <w:rsid w:val="005A40CD"/>
    <w:rPr>
      <w:rFonts w:asciiTheme="majorHAnsi" w:eastAsiaTheme="majorEastAsia" w:hAnsiTheme="majorHAnsi" w:cstheme="majorBidi"/>
      <w:color w:val="1F4D78" w:themeColor="accent1" w:themeShade="7F"/>
      <w:sz w:val="24"/>
      <w:szCs w:val="24"/>
    </w:rPr>
  </w:style>
  <w:style w:type="paragraph" w:customStyle="1" w:styleId="LISTE">
    <w:name w:val="LISTE"/>
    <w:basedOn w:val="Normal"/>
    <w:qFormat/>
    <w:rsid w:val="005A40CD"/>
    <w:pPr>
      <w:widowControl w:val="0"/>
      <w:numPr>
        <w:numId w:val="16"/>
      </w:numPr>
      <w:autoSpaceDN w:val="0"/>
      <w:adjustRightInd w:val="0"/>
      <w:spacing w:before="120" w:after="120" w:line="247" w:lineRule="auto"/>
      <w:textAlignment w:val="center"/>
    </w:pPr>
    <w:rPr>
      <w:rFonts w:ascii="Arial" w:eastAsiaTheme="minorHAnsi" w:hAnsi="Arial" w:cs="Perpetua"/>
      <w:sz w:val="22"/>
      <w:szCs w:val="26"/>
      <w:lang w:val="fr-CA" w:eastAsia="en-US"/>
    </w:rPr>
  </w:style>
  <w:style w:type="character" w:customStyle="1" w:styleId="ParagraphedelisteCar">
    <w:name w:val="Paragraphe de liste Car"/>
    <w:aliases w:val="References Car,List Paragraph1 Car,Paragraphe de liste1 Car,List Paragraph (numbered (a)) Car,Use Case List Paragraph Car,Numbered List Paragraph Car,Main numbered paragraph Car,En tête 1 Car,Listes Car,Yellow Bullet Car,Ha Car"/>
    <w:basedOn w:val="Policepardfaut"/>
    <w:link w:val="Paragraphedeliste"/>
    <w:uiPriority w:val="34"/>
    <w:qFormat/>
    <w:rsid w:val="005A40CD"/>
    <w:rPr>
      <w:rFonts w:ascii="Calibri" w:hAnsi="Calibri" w:cs="Calibri"/>
      <w:color w:val="000000"/>
      <w:sz w:val="22"/>
      <w:szCs w:val="22"/>
      <w:lang w:val="en-US" w:eastAsia="en-US"/>
    </w:rPr>
  </w:style>
  <w:style w:type="paragraph" w:customStyle="1" w:styleId="BVIfnrCharCar1CarChar">
    <w:name w:val="BVI fnr Char Car1 Car Char"/>
    <w:aliases w:val="BVI fnr Char Car Car Char,ftref Char Car Car Char,BVI fnr Char Car Char Char Car Car Char,ftref Char Car Char Char Car Car Char,BVI fnr Char"/>
    <w:basedOn w:val="Normal"/>
    <w:next w:val="Normal"/>
    <w:link w:val="Appelnotedebasdep"/>
    <w:rsid w:val="005A40CD"/>
    <w:pPr>
      <w:autoSpaceDE/>
      <w:spacing w:after="160" w:line="240" w:lineRule="exact"/>
    </w:pPr>
    <w:rPr>
      <w:rFonts w:ascii="Times New Roman" w:eastAsia="Times New Roman" w:hAnsi="Times New Roman" w:cs="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7687">
      <w:bodyDiv w:val="1"/>
      <w:marLeft w:val="0"/>
      <w:marRight w:val="0"/>
      <w:marTop w:val="0"/>
      <w:marBottom w:val="0"/>
      <w:divBdr>
        <w:top w:val="none" w:sz="0" w:space="0" w:color="auto"/>
        <w:left w:val="none" w:sz="0" w:space="0" w:color="auto"/>
        <w:bottom w:val="none" w:sz="0" w:space="0" w:color="auto"/>
        <w:right w:val="none" w:sz="0" w:space="0" w:color="auto"/>
      </w:divBdr>
    </w:div>
    <w:div w:id="207688147">
      <w:bodyDiv w:val="1"/>
      <w:marLeft w:val="0"/>
      <w:marRight w:val="0"/>
      <w:marTop w:val="0"/>
      <w:marBottom w:val="0"/>
      <w:divBdr>
        <w:top w:val="none" w:sz="0" w:space="0" w:color="auto"/>
        <w:left w:val="none" w:sz="0" w:space="0" w:color="auto"/>
        <w:bottom w:val="none" w:sz="0" w:space="0" w:color="auto"/>
        <w:right w:val="none" w:sz="0" w:space="0" w:color="auto"/>
      </w:divBdr>
    </w:div>
    <w:div w:id="324095436">
      <w:bodyDiv w:val="1"/>
      <w:marLeft w:val="0"/>
      <w:marRight w:val="0"/>
      <w:marTop w:val="0"/>
      <w:marBottom w:val="0"/>
      <w:divBdr>
        <w:top w:val="none" w:sz="0" w:space="0" w:color="auto"/>
        <w:left w:val="none" w:sz="0" w:space="0" w:color="auto"/>
        <w:bottom w:val="none" w:sz="0" w:space="0" w:color="auto"/>
        <w:right w:val="none" w:sz="0" w:space="0" w:color="auto"/>
      </w:divBdr>
    </w:div>
    <w:div w:id="370502559">
      <w:bodyDiv w:val="1"/>
      <w:marLeft w:val="0"/>
      <w:marRight w:val="0"/>
      <w:marTop w:val="0"/>
      <w:marBottom w:val="0"/>
      <w:divBdr>
        <w:top w:val="none" w:sz="0" w:space="0" w:color="auto"/>
        <w:left w:val="none" w:sz="0" w:space="0" w:color="auto"/>
        <w:bottom w:val="none" w:sz="0" w:space="0" w:color="auto"/>
        <w:right w:val="none" w:sz="0" w:space="0" w:color="auto"/>
      </w:divBdr>
    </w:div>
    <w:div w:id="1077947195">
      <w:bodyDiv w:val="1"/>
      <w:marLeft w:val="0"/>
      <w:marRight w:val="0"/>
      <w:marTop w:val="0"/>
      <w:marBottom w:val="0"/>
      <w:divBdr>
        <w:top w:val="none" w:sz="0" w:space="0" w:color="auto"/>
        <w:left w:val="none" w:sz="0" w:space="0" w:color="auto"/>
        <w:bottom w:val="none" w:sz="0" w:space="0" w:color="auto"/>
        <w:right w:val="none" w:sz="0" w:space="0" w:color="auto"/>
      </w:divBdr>
    </w:div>
    <w:div w:id="1831290908">
      <w:bodyDiv w:val="1"/>
      <w:marLeft w:val="0"/>
      <w:marRight w:val="0"/>
      <w:marTop w:val="0"/>
      <w:marBottom w:val="0"/>
      <w:divBdr>
        <w:top w:val="none" w:sz="0" w:space="0" w:color="auto"/>
        <w:left w:val="none" w:sz="0" w:space="0" w:color="auto"/>
        <w:bottom w:val="none" w:sz="0" w:space="0" w:color="auto"/>
        <w:right w:val="none" w:sz="0" w:space="0" w:color="auto"/>
      </w:divBdr>
    </w:div>
    <w:div w:id="2010209132">
      <w:bodyDiv w:val="1"/>
      <w:marLeft w:val="0"/>
      <w:marRight w:val="0"/>
      <w:marTop w:val="0"/>
      <w:marBottom w:val="0"/>
      <w:divBdr>
        <w:top w:val="none" w:sz="0" w:space="0" w:color="auto"/>
        <w:left w:val="none" w:sz="0" w:space="0" w:color="auto"/>
        <w:bottom w:val="none" w:sz="0" w:space="0" w:color="auto"/>
        <w:right w:val="none" w:sz="0" w:space="0" w:color="auto"/>
      </w:divBdr>
    </w:div>
    <w:div w:id="20124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plomatie.gouv.fr/fr/conseils-aux-voyageu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iplomatie.gouv.fr/fr/conseils-aux-voyageu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effe.ta-paris@juradm.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greffe.ta-paris@juradm.fr" TargetMode="External"/><Relationship Id="rId10" Type="http://schemas.openxmlformats.org/officeDocument/2006/relationships/hyperlink" Target="https://www.biodev2030.org/ressource/page/2/?categories%5B0%5D=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iodev2030.org/" TargetMode="External"/><Relationship Id="rId14" Type="http://schemas.openxmlformats.org/officeDocument/2006/relationships/hyperlink" Target="http://www.marches-publics.gouv.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B74B6-3FBC-4769-85EC-A42649EE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4268</Words>
  <Characters>23478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AVIS D’APPEL À CANDIDATURES</vt:lpstr>
    </vt:vector>
  </TitlesOfParts>
  <Company>MEIE</Company>
  <LinksUpToDate>false</LinksUpToDate>
  <CharactersWithSpaces>27691</CharactersWithSpaces>
  <SharedDoc>false</SharedDoc>
  <HLinks>
    <vt:vector size="36" baseType="variant">
      <vt:variant>
        <vt:i4>1572917</vt:i4>
      </vt:variant>
      <vt:variant>
        <vt:i4>15</vt:i4>
      </vt:variant>
      <vt:variant>
        <vt:i4>0</vt:i4>
      </vt:variant>
      <vt:variant>
        <vt:i4>5</vt:i4>
      </vt:variant>
      <vt:variant>
        <vt:lpwstr>mailto:greffe.ta-paris@juradm.fr</vt:lpwstr>
      </vt:variant>
      <vt:variant>
        <vt:lpwstr/>
      </vt:variant>
      <vt:variant>
        <vt:i4>1572917</vt:i4>
      </vt:variant>
      <vt:variant>
        <vt:i4>12</vt:i4>
      </vt:variant>
      <vt:variant>
        <vt:i4>0</vt:i4>
      </vt:variant>
      <vt:variant>
        <vt:i4>5</vt:i4>
      </vt:variant>
      <vt:variant>
        <vt:lpwstr>mailto:greffe.ta-paris@juradm.fr</vt:lpwstr>
      </vt:variant>
      <vt:variant>
        <vt:lpwstr/>
      </vt:variant>
      <vt:variant>
        <vt:i4>393218</vt:i4>
      </vt:variant>
      <vt:variant>
        <vt:i4>9</vt:i4>
      </vt:variant>
      <vt:variant>
        <vt:i4>0</vt:i4>
      </vt:variant>
      <vt:variant>
        <vt:i4>5</vt:i4>
      </vt:variant>
      <vt:variant>
        <vt:lpwstr>https://www.marches-publics.gouv.fr/</vt:lpwstr>
      </vt:variant>
      <vt:variant>
        <vt:lpwstr/>
      </vt:variant>
      <vt:variant>
        <vt:i4>1572917</vt:i4>
      </vt:variant>
      <vt:variant>
        <vt:i4>6</vt:i4>
      </vt:variant>
      <vt:variant>
        <vt:i4>0</vt:i4>
      </vt:variant>
      <vt:variant>
        <vt:i4>5</vt:i4>
      </vt:variant>
      <vt:variant>
        <vt:lpwstr>mailto:greffe.ta-paris@juradm.fr</vt:lpwstr>
      </vt:variant>
      <vt:variant>
        <vt:lpwstr/>
      </vt:variant>
      <vt:variant>
        <vt:i4>1572917</vt:i4>
      </vt:variant>
      <vt:variant>
        <vt:i4>3</vt:i4>
      </vt:variant>
      <vt:variant>
        <vt:i4>0</vt:i4>
      </vt:variant>
      <vt:variant>
        <vt:i4>5</vt:i4>
      </vt:variant>
      <vt:variant>
        <vt:lpwstr>mailto:greffe.ta-paris@juradm.fr</vt:lpwstr>
      </vt:variant>
      <vt:variant>
        <vt:lpwstr/>
      </vt: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D’APPEL À CANDIDATURES</dc:title>
  <dc:subject/>
  <dc:creator>Claire NAVAL</dc:creator>
  <cp:keywords/>
  <cp:lastModifiedBy>Simone NDZIE NKOA</cp:lastModifiedBy>
  <cp:revision>14</cp:revision>
  <cp:lastPrinted>2016-01-28T08:36:00Z</cp:lastPrinted>
  <dcterms:created xsi:type="dcterms:W3CDTF">2023-03-15T11:06:00Z</dcterms:created>
  <dcterms:modified xsi:type="dcterms:W3CDTF">2026-03-02T10:38:00Z</dcterms:modified>
</cp:coreProperties>
</file>