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560" w:type="dxa"/>
        <w:jc w:val="left"/>
        <w:tblInd w:w="-71" w:type="dxa"/>
        <w:tblLayout w:type="fixed"/>
        <w:tblCellMar>
          <w:top w:w="0" w:type="dxa"/>
          <w:left w:w="71" w:type="dxa"/>
          <w:bottom w:w="0" w:type="dxa"/>
          <w:right w:w="71" w:type="dxa"/>
        </w:tblCellMar>
      </w:tblPr>
      <w:tblGrid>
        <w:gridCol w:w="9889"/>
        <w:gridCol w:w="670"/>
      </w:tblGrid>
      <w:tr>
        <w:trPr/>
        <w:tc>
          <w:tcPr>
            <w:tcW w:w="9889" w:type="dxa"/>
            <w:tcBorders/>
            <w:shd w:fill="66CCFF" w:val="clear"/>
          </w:tcPr>
          <w:p>
            <w:pPr>
              <w:pStyle w:val="Normal"/>
              <w:widowControl w:val="false"/>
              <w:tabs>
                <w:tab w:val="clear" w:pos="567"/>
                <w:tab w:val="left" w:pos="851" w:leader="none"/>
              </w:tabs>
              <w:spacing w:before="120" w:after="120"/>
              <w:jc w:val="center"/>
              <w:rPr>
                <w:rFonts w:ascii="Arial" w:hAnsi="Arial" w:cs="Arial"/>
                <w:b/>
                <w:bCs/>
                <w:sz w:val="28"/>
                <w:szCs w:val="28"/>
              </w:rPr>
            </w:pPr>
            <w:r>
              <w:rPr>
                <w:rFonts w:cs="Arial" w:ascii="Arial" w:hAnsi="Arial"/>
                <w:b/>
                <w:bCs/>
                <w:sz w:val="28"/>
                <w:szCs w:val="28"/>
              </w:rPr>
              <w:t>MARCHE SUBSÉQUENT VALANT ACTE D’ENGAGEMENT</w:t>
            </w:r>
          </w:p>
          <w:p>
            <w:pPr>
              <w:pStyle w:val="Normal"/>
              <w:widowControl w:val="false"/>
              <w:tabs>
                <w:tab w:val="clear" w:pos="567"/>
                <w:tab w:val="left" w:pos="851" w:leader="none"/>
              </w:tabs>
              <w:spacing w:before="120" w:after="120"/>
              <w:jc w:val="center"/>
              <w:rPr>
                <w:rFonts w:ascii="Arial" w:hAnsi="Arial" w:cs="Arial"/>
                <w:b/>
                <w:bCs/>
                <w:sz w:val="28"/>
                <w:szCs w:val="28"/>
                <w:lang w:val="en-US"/>
              </w:rPr>
            </w:pPr>
            <w:r>
              <w:rPr>
                <w:rFonts w:cs="Arial" w:ascii="Arial" w:hAnsi="Arial"/>
                <w:b/>
                <w:bCs/>
                <w:sz w:val="28"/>
                <w:szCs w:val="28"/>
                <w:lang w:val="en-US"/>
              </w:rPr>
              <w:t>CONCLUS SUR LE FONDEMENT DE L’ACCORD CADRE</w:t>
            </w:r>
          </w:p>
          <w:p>
            <w:pPr>
              <w:pStyle w:val="Normal"/>
              <w:widowControl w:val="false"/>
              <w:tabs>
                <w:tab w:val="clear" w:pos="567"/>
                <w:tab w:val="left" w:pos="851" w:leader="none"/>
              </w:tabs>
              <w:spacing w:before="120" w:after="120"/>
              <w:jc w:val="center"/>
              <w:rPr>
                <w:rFonts w:ascii="Arial" w:hAnsi="Arial" w:cs="Arial"/>
                <w:b/>
                <w:bCs/>
                <w:sz w:val="28"/>
                <w:szCs w:val="28"/>
                <w:lang w:val="en-US"/>
              </w:rPr>
            </w:pPr>
            <w:bookmarkStart w:id="0" w:name="ctl0_CONTENU_PAGE_ConsultationSummary_re"/>
            <w:bookmarkEnd w:id="0"/>
            <w:r>
              <w:rPr>
                <w:rFonts w:cs="Arial" w:ascii="Arial" w:hAnsi="Arial"/>
                <w:b/>
                <w:bCs/>
                <w:sz w:val="28"/>
                <w:szCs w:val="28"/>
                <w:lang w:val="en-US"/>
              </w:rPr>
              <w:t>MAINT-SSI-EA-ELI-2025</w:t>
            </w:r>
          </w:p>
          <w:p>
            <w:pPr>
              <w:pStyle w:val="Normal"/>
              <w:widowControl w:val="false"/>
              <w:tabs>
                <w:tab w:val="clear" w:pos="567"/>
                <w:tab w:val="left" w:pos="851" w:leader="none"/>
              </w:tabs>
              <w:spacing w:before="120" w:after="120"/>
              <w:jc w:val="center"/>
              <w:rPr>
                <w:rFonts w:ascii="Arial" w:hAnsi="Arial" w:cs="Arial"/>
                <w:b/>
                <w:bCs/>
                <w:sz w:val="28"/>
                <w:szCs w:val="28"/>
                <w:lang w:val="en-US"/>
              </w:rPr>
            </w:pPr>
            <w:r>
              <w:rPr>
                <w:rFonts w:cs="Arial" w:ascii="Arial" w:hAnsi="Arial"/>
                <w:b/>
                <w:bCs/>
                <w:sz w:val="28"/>
                <w:szCs w:val="28"/>
                <w:lang w:val="en-US"/>
              </w:rPr>
            </w:r>
          </w:p>
          <w:p>
            <w:pPr>
              <w:pStyle w:val="Normal"/>
              <w:widowControl w:val="false"/>
              <w:tabs>
                <w:tab w:val="clear" w:pos="567"/>
                <w:tab w:val="left" w:pos="851" w:leader="none"/>
              </w:tabs>
              <w:spacing w:before="120" w:after="120"/>
              <w:jc w:val="center"/>
              <w:rPr>
                <w:lang w:val="en-US"/>
              </w:rPr>
            </w:pPr>
            <w:r>
              <w:rPr>
                <w:rFonts w:cs="Arial" w:ascii="Arial" w:hAnsi="Arial"/>
                <w:b/>
                <w:bCs/>
                <w:sz w:val="28"/>
                <w:szCs w:val="28"/>
                <w:lang w:val="en-US"/>
              </w:rPr>
              <w:t xml:space="preserve">LOT </w:t>
            </w:r>
            <w:r>
              <w:rPr>
                <w:rFonts w:cs="Arial" w:ascii="Arial" w:hAnsi="Arial"/>
                <w:b/>
                <w:bCs/>
                <w:sz w:val="28"/>
                <w:szCs w:val="28"/>
                <w:shd w:fill="FFFF00" w:val="clear"/>
                <w:lang w:val="en-US"/>
              </w:rPr>
              <w:t>4</w:t>
            </w:r>
          </w:p>
          <w:p>
            <w:pPr>
              <w:pStyle w:val="Normal"/>
              <w:widowControl w:val="false"/>
              <w:tabs>
                <w:tab w:val="clear" w:pos="567"/>
                <w:tab w:val="left" w:pos="851" w:leader="none"/>
              </w:tabs>
              <w:spacing w:before="120" w:after="120"/>
              <w:jc w:val="center"/>
              <w:rPr>
                <w:lang w:val="en-US"/>
              </w:rPr>
            </w:pPr>
            <w:r>
              <w:rPr>
                <w:rFonts w:cs="Arial" w:ascii="Arial" w:hAnsi="Arial"/>
                <w:b/>
                <w:bCs/>
                <w:sz w:val="28"/>
                <w:szCs w:val="28"/>
                <w:lang w:val="en-US"/>
              </w:rPr>
              <w:t xml:space="preserve">SITES: </w:t>
            </w:r>
            <w:r>
              <w:rPr>
                <w:rFonts w:cs="Arial" w:ascii="Arial" w:hAnsi="Arial"/>
                <w:b/>
                <w:bCs/>
                <w:sz w:val="28"/>
                <w:szCs w:val="28"/>
                <w:lang w:val="en-US"/>
              </w:rPr>
              <w:t>04-05</w:t>
            </w:r>
          </w:p>
        </w:tc>
        <w:tc>
          <w:tcPr>
            <w:tcW w:w="670" w:type="dxa"/>
            <w:tcBorders/>
            <w:shd w:fill="66CCFF" w:val="clear"/>
          </w:tcPr>
          <w:p>
            <w:pPr>
              <w:pStyle w:val="Titre8"/>
              <w:widowControl w:val="false"/>
              <w:numPr>
                <w:ilvl w:val="0"/>
                <w:numId w:val="0"/>
              </w:numPr>
              <w:tabs>
                <w:tab w:val="clear" w:pos="567"/>
                <w:tab w:val="left" w:pos="851" w:leader="none"/>
                <w:tab w:val="right" w:pos="9639" w:leader="none"/>
              </w:tabs>
              <w:spacing w:before="120" w:after="120"/>
              <w:ind w:left="1440" w:hanging="0"/>
              <w:jc w:val="both"/>
              <w:rPr>
                <w:caps/>
                <w:sz w:val="28"/>
                <w:szCs w:val="28"/>
              </w:rPr>
            </w:pPr>
            <w:r>
              <w:rPr>
                <w:caps/>
                <w:sz w:val="28"/>
                <w:szCs w:val="28"/>
              </w:rPr>
              <w:t>TRI1</w:t>
            </w:r>
          </w:p>
        </w:tc>
      </w:tr>
    </w:tbl>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426" w:leader="none"/>
          <w:tab w:val="left" w:pos="851" w:leader="none"/>
        </w:tabs>
        <w:spacing w:before="0" w:after="120"/>
        <w:jc w:val="both"/>
        <w:rPr>
          <w:rFonts w:ascii="Arial" w:hAnsi="Arial" w:cs="Arial"/>
        </w:rPr>
      </w:pPr>
      <w:r>
        <w:rPr>
          <w:rFonts w:cs="Arial" w:ascii="Arial" w:hAnsi="Arial"/>
        </w:rPr>
        <w:t>Le présent marché subséquent est passé en exécution de l'accord-cadre régional relatif à la réalisation des prestations de maintenance des Systèmes de sécurité incendie (SSI) et des équipements de lutte contre l’incendie (ELI)des services de l’Etat et de certains de ses établissements</w:t>
        <w:br/>
        <w:t xml:space="preserve">publics en région PACA </w:t>
      </w:r>
    </w:p>
    <w:p>
      <w:pPr>
        <w:pStyle w:val="Titre51"/>
        <w:spacing w:before="0" w:after="0"/>
        <w:ind w:left="0" w:right="0" w:hanging="0"/>
        <w:jc w:val="both"/>
        <w:rPr/>
      </w:pPr>
      <w:r>
        <w:rPr>
          <w:rFonts w:cs="Arial" w:ascii="Century Gothic" w:hAnsi="Century Gothic"/>
          <w:sz w:val="18"/>
          <w:szCs w:val="18"/>
          <w:u w:val="none"/>
        </w:rPr>
        <w:t xml:space="preserve">Numéro de référence l’accord- cadre : </w:t>
      </w:r>
      <w:bookmarkStart w:id="1" w:name="ctl0_CONTENU_PAGE_ConsultationSummary_r1"/>
      <w:bookmarkEnd w:id="1"/>
      <w:r>
        <w:rPr>
          <w:rFonts w:cs="Arial" w:ascii="Century Gothic" w:hAnsi="Century Gothic"/>
          <w:b/>
          <w:sz w:val="18"/>
          <w:szCs w:val="18"/>
          <w:u w:val="none"/>
        </w:rPr>
        <w:t xml:space="preserve">MAINT-SSI-EA-ELI-2025 </w:t>
      </w:r>
    </w:p>
    <w:p>
      <w:pPr>
        <w:pStyle w:val="Normal"/>
        <w:tabs>
          <w:tab w:val="clear" w:pos="567"/>
          <w:tab w:val="left" w:pos="426" w:leader="none"/>
          <w:tab w:val="left" w:pos="851" w:leader="none"/>
        </w:tabs>
        <w:jc w:val="both"/>
        <w:rPr>
          <w:rFonts w:ascii="Century Gothic" w:hAnsi="Century Gothic" w:cs="Arial"/>
          <w:sz w:val="18"/>
          <w:szCs w:val="18"/>
        </w:rPr>
      </w:pPr>
      <w:r>
        <w:rPr>
          <w:rFonts w:cs="Arial" w:ascii="Century Gothic" w:hAnsi="Century Gothic"/>
          <w:sz w:val="18"/>
          <w:szCs w:val="18"/>
        </w:rPr>
      </w:r>
    </w:p>
    <w:p>
      <w:pPr>
        <w:pStyle w:val="Normal"/>
        <w:tabs>
          <w:tab w:val="clear" w:pos="567"/>
          <w:tab w:val="left" w:pos="426" w:leader="none"/>
          <w:tab w:val="left" w:pos="851" w:leader="none"/>
        </w:tabs>
        <w:jc w:val="both"/>
        <w:rPr/>
      </w:pPr>
      <w:r>
        <w:rPr>
          <w:rFonts w:eastAsia="Arial" w:cs="Arial" w:ascii="Century Gothic" w:hAnsi="Century Gothic"/>
          <w:spacing w:val="-10"/>
          <w:sz w:val="18"/>
          <w:szCs w:val="18"/>
        </w:rPr>
        <w:t xml:space="preserve"> </w:t>
      </w:r>
      <w:r>
        <w:rPr>
          <w:rFonts w:cs="Arial" w:ascii="Century Gothic" w:hAnsi="Century Gothic"/>
          <w:sz w:val="18"/>
          <w:szCs w:val="18"/>
        </w:rPr>
        <w:t>Cet acte d'engagement correspond :</w:t>
      </w:r>
    </w:p>
    <w:p>
      <w:pPr>
        <w:pStyle w:val="Normal"/>
        <w:tabs>
          <w:tab w:val="clear" w:pos="567"/>
          <w:tab w:val="left" w:pos="426" w:leader="none"/>
          <w:tab w:val="left" w:pos="851" w:leader="none"/>
        </w:tabs>
        <w:jc w:val="both"/>
        <w:rPr>
          <w:rFonts w:ascii="Century Gothic" w:hAnsi="Century Gothic"/>
          <w:sz w:val="18"/>
          <w:szCs w:val="18"/>
        </w:rPr>
      </w:pPr>
      <w:r>
        <w:rPr>
          <w:rFonts w:ascii="Century Gothic" w:hAnsi="Century Gothic"/>
          <w:sz w:val="18"/>
          <w:szCs w:val="18"/>
        </w:rPr>
      </w:r>
    </w:p>
    <w:p>
      <w:pPr>
        <w:pStyle w:val="Normal"/>
        <w:spacing w:before="0" w:after="0"/>
        <w:contextualSpacing/>
        <w:rPr/>
      </w:pPr>
      <w:r>
        <w:fldChar w:fldCharType="begin">
          <w:ffData>
            <w:name w:val=""/>
            <w:enabled/>
            <w:calcOnExit w:val="0"/>
            <w:checkBox>
              <w:sizeAuto/>
              <w:checked/>
            </w:checkBox>
          </w:ffData>
        </w:fldChar>
      </w:r>
      <w:r>
        <w:rPr/>
        <w:instrText xml:space="preserve"> FORMCHECKBOX </w:instrText>
      </w:r>
      <w:r>
        <w:rPr/>
        <w:fldChar w:fldCharType="separate"/>
      </w:r>
      <w:bookmarkStart w:id="2" w:name="Bookmark"/>
      <w:bookmarkStart w:id="3" w:name="Bookmark"/>
      <w:bookmarkEnd w:id="3"/>
      <w:r>
        <w:rPr/>
      </w:r>
      <w:r>
        <w:rPr/>
        <w:fldChar w:fldCharType="end"/>
      </w:r>
      <w:bookmarkStart w:id="4" w:name="Bookmark_Copie_1_Copie_1"/>
      <w:bookmarkStart w:id="5" w:name="Bookmark_Copie_1_Copie_1_Copie_1"/>
      <w:bookmarkStart w:id="6" w:name="__Fieldmark__28_1025506368"/>
      <w:bookmarkStart w:id="7" w:name="__Fieldmark__341_22124219"/>
      <w:bookmarkStart w:id="8" w:name="__Fieldmark__337_462180751"/>
      <w:bookmarkStart w:id="9" w:name="Bookmark_Copie_1"/>
      <w:bookmarkStart w:id="10" w:name="Bookmark_Copie_1_Copie_1"/>
      <w:bookmarkStart w:id="11" w:name="Bookmark_Copie_1"/>
      <w:bookmarkEnd w:id="4"/>
      <w:bookmarkEnd w:id="5"/>
      <w:bookmarkEnd w:id="6"/>
      <w:bookmarkEnd w:id="7"/>
      <w:bookmarkEnd w:id="8"/>
      <w:bookmarkEnd w:id="9"/>
      <w:bookmarkEnd w:id="10"/>
      <w:bookmarkEnd w:id="11"/>
      <w:r>
        <w:rPr>
          <w:rFonts w:ascii="Century Gothic" w:hAnsi="Century Gothic"/>
          <w:sz w:val="18"/>
          <w:szCs w:val="18"/>
        </w:rPr>
        <w:t xml:space="preserve">  </w:t>
      </w:r>
      <w:r>
        <w:rPr>
          <w:rFonts w:cs="Arial" w:ascii="Century Gothic" w:hAnsi="Century Gothic"/>
          <w:sz w:val="18"/>
          <w:szCs w:val="18"/>
        </w:rPr>
        <w:t xml:space="preserve">au </w:t>
      </w:r>
      <w:r>
        <w:rPr>
          <w:rFonts w:ascii="Century Gothic" w:hAnsi="Century Gothic"/>
          <w:b/>
          <w:sz w:val="18"/>
          <w:szCs w:val="18"/>
        </w:rPr>
        <w:t xml:space="preserve">LOT </w:t>
      </w:r>
      <w:r>
        <w:rPr>
          <w:rFonts w:ascii="Century Gothic" w:hAnsi="Century Gothic"/>
          <w:b/>
          <w:sz w:val="18"/>
          <w:szCs w:val="18"/>
          <w:shd w:fill="FFFF00" w:val="clear"/>
        </w:rPr>
        <w:t>4</w:t>
      </w:r>
    </w:p>
    <w:p>
      <w:pPr>
        <w:pStyle w:val="Normal"/>
        <w:spacing w:before="0" w:after="0"/>
        <w:contextualSpacing/>
        <w:rPr>
          <w:rFonts w:ascii="Century Gothic" w:hAnsi="Century Gothic"/>
          <w:b/>
          <w:sz w:val="18"/>
          <w:szCs w:val="18"/>
          <w:shd w:fill="FFFF00" w:val="clear"/>
        </w:rPr>
      </w:pPr>
      <w:r>
        <w:rPr>
          <w:rFonts w:ascii="Century Gothic" w:hAnsi="Century Gothic"/>
          <w:b/>
          <w:sz w:val="18"/>
          <w:szCs w:val="18"/>
          <w:shd w:fill="FFFF00" w:val="clear"/>
        </w:rPr>
      </w:r>
    </w:p>
    <w:p>
      <w:pPr>
        <w:pStyle w:val="ListParagraph"/>
        <w:tabs>
          <w:tab w:val="clear" w:pos="567"/>
          <w:tab w:val="center" w:pos="4536" w:leader="none"/>
          <w:tab w:val="right" w:pos="9072" w:leader="none"/>
        </w:tabs>
        <w:spacing w:before="0" w:after="0"/>
        <w:ind w:left="0" w:hanging="0"/>
        <w:contextualSpacing/>
        <w:jc w:val="left"/>
        <w:rPr>
          <w:rFonts w:ascii="Century Gothic" w:hAnsi="Century Gothic"/>
          <w:sz w:val="18"/>
          <w:szCs w:val="18"/>
        </w:rPr>
      </w:pPr>
      <w:r>
        <w:rPr>
          <w:rFonts w:ascii="Century Gothic" w:hAnsi="Century Gothic"/>
          <w:sz w:val="18"/>
          <w:szCs w:val="18"/>
        </w:rPr>
      </w:r>
    </w:p>
    <w:p>
      <w:pPr>
        <w:pStyle w:val="Normal"/>
        <w:tabs>
          <w:tab w:val="clear" w:pos="567"/>
          <w:tab w:val="left" w:pos="426" w:leader="none"/>
          <w:tab w:val="left" w:pos="851" w:leader="none"/>
        </w:tabs>
        <w:spacing w:before="0" w:after="120"/>
        <w:jc w:val="both"/>
        <w:rPr/>
      </w:pPr>
      <w:r>
        <w:rPr>
          <w:rFonts w:cs="Arial" w:ascii="Century Gothic" w:hAnsi="Century Gothic"/>
          <w:sz w:val="16"/>
          <w:szCs w:val="16"/>
        </w:rPr>
        <w:t> </w:t>
      </w:r>
      <w:r>
        <w:rPr>
          <w:rFonts w:cs="Arial" w:ascii="Century Gothic" w:hAnsi="Century Gothic"/>
          <w:b/>
        </w:rPr>
        <w:t>CPV :</w:t>
      </w:r>
      <w:r>
        <w:rPr>
          <w:rFonts w:cs="Arial" w:ascii="Century Gothic" w:hAnsi="Century Gothic"/>
          <w:b/>
          <w:shd w:fill="FFFF00" w:val="clear"/>
        </w:rPr>
        <w:t xml:space="preserve"> 50413200</w:t>
      </w:r>
    </w:p>
    <w:p>
      <w:pPr>
        <w:pStyle w:val="Normal"/>
        <w:tabs>
          <w:tab w:val="clear" w:pos="567"/>
          <w:tab w:val="left" w:pos="426" w:leader="none"/>
          <w:tab w:val="left" w:pos="851" w:leader="none"/>
        </w:tabs>
        <w:spacing w:before="0" w:after="120"/>
        <w:jc w:val="both"/>
        <w:rPr/>
      </w:pPr>
      <w:r>
        <w:rPr>
          <w:rFonts w:cs="Arial" w:ascii="Century Gothic" w:hAnsi="Century Gothic"/>
          <w:b/>
          <w:shd w:fill="FFFF00" w:val="clear"/>
        </w:rPr>
        <w:t>Groupe de marchandise : 37,02,08</w:t>
      </w:r>
    </w:p>
    <w:p>
      <w:pPr>
        <w:pStyle w:val="Normal"/>
        <w:jc w:val="both"/>
        <w:rPr/>
      </w:pPr>
      <w:r>
        <w:rPr/>
      </w:r>
    </w:p>
    <w:tbl>
      <w:tblPr>
        <w:tblW w:w="10277" w:type="dxa"/>
        <w:jc w:val="left"/>
        <w:tblInd w:w="-71" w:type="dxa"/>
        <w:tblLayout w:type="fixed"/>
        <w:tblCellMar>
          <w:top w:w="0" w:type="dxa"/>
          <w:left w:w="71" w:type="dxa"/>
          <w:bottom w:w="0" w:type="dxa"/>
          <w:right w:w="71" w:type="dxa"/>
        </w:tblCellMar>
      </w:tblPr>
      <w:tblGrid>
        <w:gridCol w:w="10277"/>
      </w:tblGrid>
      <w:tr>
        <w:trPr/>
        <w:tc>
          <w:tcPr>
            <w:tcW w:w="10277" w:type="dxa"/>
            <w:tcBorders/>
            <w:shd w:fill="66CCFF" w:val="clear"/>
          </w:tcPr>
          <w:p>
            <w:pPr>
              <w:pStyle w:val="Normal"/>
              <w:widowControl w:val="false"/>
              <w:tabs>
                <w:tab w:val="clear" w:pos="567"/>
                <w:tab w:val="left" w:pos="-142" w:leader="none"/>
                <w:tab w:val="left" w:pos="851" w:leader="none"/>
                <w:tab w:val="left" w:pos="4111" w:leader="none"/>
              </w:tabs>
              <w:jc w:val="both"/>
              <w:rPr>
                <w:rFonts w:ascii="Arial" w:hAnsi="Arial" w:cs="Arial"/>
                <w:b/>
                <w:sz w:val="22"/>
                <w:szCs w:val="22"/>
              </w:rPr>
            </w:pPr>
            <w:r>
              <w:rPr>
                <w:rFonts w:cs="Arial" w:ascii="Arial" w:hAnsi="Arial"/>
                <w:b/>
                <w:sz w:val="22"/>
                <w:szCs w:val="22"/>
              </w:rPr>
              <w:t>A – Identification du pouvoir adjudicateur</w:t>
            </w:r>
          </w:p>
        </w:tc>
      </w:tr>
    </w:tbl>
    <w:p>
      <w:pPr>
        <w:pStyle w:val="Normal"/>
        <w:tabs>
          <w:tab w:val="clear" w:pos="567"/>
          <w:tab w:val="left" w:pos="426" w:leader="none"/>
          <w:tab w:val="left" w:pos="851" w:leader="none"/>
        </w:tabs>
        <w:jc w:val="both"/>
        <w:rPr/>
      </w:pPr>
      <w:r>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Ministère  / direction /service</w:t>
      </w:r>
      <w:r>
        <w:rPr>
          <w:rFonts w:cs="Arial" w:ascii="Century Gothic" w:hAnsi="Century Gothic"/>
          <w:sz w:val="18"/>
          <w:szCs w:val="18"/>
        </w:rPr>
        <w:t xml:space="preserve"> :</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79"/>
        <w:gridCol w:w="7464"/>
      </w:tblGrid>
      <w:tr>
        <w:trPr/>
        <w:tc>
          <w:tcPr>
            <w:tcW w:w="2879"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MINISTERE</w:t>
            </w:r>
          </w:p>
        </w:tc>
        <w:tc>
          <w:tcPr>
            <w:tcW w:w="7464"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Ministère de l’Economie, des finances, et de la souveraineté industrielle et numérique</w:t>
            </w:r>
          </w:p>
        </w:tc>
      </w:tr>
      <w:tr>
        <w:trPr/>
        <w:tc>
          <w:tcPr>
            <w:tcW w:w="2879"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DIRECTION</w:t>
            </w:r>
          </w:p>
        </w:tc>
        <w:tc>
          <w:tcPr>
            <w:tcW w:w="7464"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Direction Interrégionale des douanes de PACA Corse</w:t>
            </w:r>
          </w:p>
        </w:tc>
      </w:tr>
      <w:tr>
        <w:trPr/>
        <w:tc>
          <w:tcPr>
            <w:tcW w:w="2879"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SERVICE</w:t>
            </w:r>
          </w:p>
        </w:tc>
        <w:tc>
          <w:tcPr>
            <w:tcW w:w="7464"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Pole Immobilier et Informatique</w:t>
            </w:r>
          </w:p>
        </w:tc>
      </w:tr>
      <w:tr>
        <w:trPr/>
        <w:tc>
          <w:tcPr>
            <w:tcW w:w="2879"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SIRET (service)</w:t>
            </w:r>
          </w:p>
        </w:tc>
        <w:tc>
          <w:tcPr>
            <w:tcW w:w="7464"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17130230000016</w:t>
            </w:r>
          </w:p>
        </w:tc>
      </w:tr>
    </w:tbl>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Coordonnées du pouvoir adjudicateur </w:t>
      </w:r>
      <w:r>
        <w:rPr>
          <w:rFonts w:cs="Arial" w:ascii="Century Gothic" w:hAnsi="Century Gothic"/>
          <w:sz w:val="18"/>
          <w:szCs w:val="18"/>
        </w:rPr>
        <w:t>:</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ADRESSE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48 avenue Robert Schuman 13002 Marseille</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TELEPHONE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07-72-72-74-79</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MAIL</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Elodie.berger@douane.finances.gouv.fr</w:t>
            </w:r>
          </w:p>
        </w:tc>
      </w:tr>
    </w:tbl>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Nom  prénom et qualité du signataire du Marché subséquent </w:t>
      </w:r>
      <w:r>
        <w:rPr>
          <w:rFonts w:cs="Arial" w:ascii="Century Gothic" w:hAnsi="Century Gothic"/>
          <w:sz w:val="18"/>
          <w:szCs w:val="18"/>
        </w:rPr>
        <w:t>:</w:t>
      </w:r>
    </w:p>
    <w:p>
      <w:pPr>
        <w:pStyle w:val="Normal"/>
        <w:tabs>
          <w:tab w:val="clear" w:pos="567"/>
          <w:tab w:val="left" w:pos="851" w:leader="none"/>
        </w:tabs>
        <w:rPr>
          <w:rFonts w:ascii="Century Gothic" w:hAnsi="Century Gothic"/>
          <w:i/>
          <w:i/>
          <w:sz w:val="16"/>
          <w:szCs w:val="16"/>
        </w:rPr>
      </w:pPr>
      <w:r>
        <w:rPr>
          <w:rFonts w:ascii="Century Gothic" w:hAnsi="Century Gothic"/>
          <w:i/>
          <w:sz w:val="16"/>
          <w:szCs w:val="16"/>
        </w:rPr>
        <w:t xml:space="preserve">(Le signataire doit avoir le pouvoir d’engager la personne qu’il représente)  </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BULIARD</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PRENOM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Marjorie</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QUALITE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Adjointe à la cheffe de PLI</w:t>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bl>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Nom  prénom et qualité du responsable du suivi opérationnel du marché subséquent </w:t>
      </w:r>
      <w:r>
        <w:rPr>
          <w:rFonts w:cs="Arial" w:ascii="Century Gothic" w:hAnsi="Century Gothic"/>
          <w:sz w:val="18"/>
          <w:szCs w:val="18"/>
        </w:rPr>
        <w:t>:</w:t>
      </w:r>
    </w:p>
    <w:p>
      <w:pPr>
        <w:pStyle w:val="Normal"/>
        <w:tabs>
          <w:tab w:val="clear" w:pos="567"/>
          <w:tab w:val="left" w:pos="851" w:leader="none"/>
        </w:tabs>
        <w:rPr/>
      </w:pPr>
      <w:r>
        <w:rPr>
          <w:rFonts w:ascii="Century Gothic" w:hAnsi="Century Gothic"/>
          <w:i/>
          <w:sz w:val="16"/>
          <w:szCs w:val="16"/>
        </w:rPr>
        <w:t xml:space="preserve">(Le signataire doit avoir le pouvoir d’engager la personne qu’il représente)  </w:t>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BERGER</w:t>
            </w:r>
          </w:p>
        </w:tc>
      </w:tr>
      <w:tr>
        <w:trPr>
          <w:trHeight w:val="476" w:hRule="atLeast"/>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PRENOM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Elodie</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rFonts w:ascii="Century Gothic" w:hAnsi="Century Gothic"/>
                <w:sz w:val="18"/>
                <w:szCs w:val="18"/>
              </w:rPr>
              <w:t>QUALITE / FONCTION</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Rédactrice service immobilier PLI</w:t>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TELEPHONE FIXE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TELEPHONE MOBILE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07-72-72-74-79</w:t>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COURRIEL INDIVIDUEL</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Elodie.berger@douane.finances.gouv.fr</w:t>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COURRIEL DE SERVICE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immobilier-marseille@douane.finances.gouv.fr</w:t>
            </w:r>
          </w:p>
        </w:tc>
      </w:tr>
    </w:tbl>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shd w:val="clear" w:fill="DAEEF3"/>
        <w:tabs>
          <w:tab w:val="clear" w:pos="567"/>
          <w:tab w:val="left" w:pos="426" w:leader="none"/>
          <w:tab w:val="left" w:pos="851" w:leader="none"/>
        </w:tabs>
        <w:jc w:val="both"/>
        <w:rPr/>
      </w:pP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Nom  prénom et qualité du gestionnaire ou responsable financier du marché subséquent </w:t>
      </w:r>
      <w:r>
        <w:rPr>
          <w:rFonts w:cs="Arial" w:ascii="Century Gothic" w:hAnsi="Century Gothic"/>
          <w:sz w:val="18"/>
          <w:szCs w:val="18"/>
        </w:rPr>
        <w:t>:</w:t>
      </w:r>
    </w:p>
    <w:p>
      <w:pPr>
        <w:pStyle w:val="Normal"/>
        <w:tabs>
          <w:tab w:val="clear" w:pos="567"/>
          <w:tab w:val="left" w:pos="851" w:leader="none"/>
        </w:tabs>
        <w:rPr>
          <w:rFonts w:ascii="Century Gothic" w:hAnsi="Century Gothic"/>
          <w:i/>
          <w:i/>
          <w:sz w:val="16"/>
          <w:szCs w:val="16"/>
        </w:rPr>
      </w:pPr>
      <w:r>
        <w:rPr>
          <w:rFonts w:ascii="Century Gothic" w:hAnsi="Century Gothic"/>
          <w:i/>
          <w:sz w:val="16"/>
          <w:szCs w:val="16"/>
        </w:rPr>
        <w:t xml:space="preserve">(Le signataire doit avoir le pouvoir d’engager la personne qu’il représente)  </w:t>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BULIARD</w:t>
            </w:r>
          </w:p>
        </w:tc>
      </w:tr>
      <w:tr>
        <w:trPr>
          <w:trHeight w:val="476" w:hRule="atLeast"/>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PRENOM</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Marjorie</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rFonts w:ascii="Century Gothic" w:hAnsi="Century Gothic"/>
                <w:sz w:val="18"/>
                <w:szCs w:val="18"/>
              </w:rPr>
              <w:t>QUALITE / FONCTION</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Adjointe à la cheffe de PLI</w:t>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TELEPHONE FIXE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TELEPHONE MOBILE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06-64-58-50-58</w:t>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COURRIEL INDIVIDUEL</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marjorie.buliard@douane.finances.gouv.fr</w:t>
            </w:r>
          </w:p>
        </w:tc>
      </w:tr>
      <w:tr>
        <w:trPr/>
        <w:tc>
          <w:tcPr>
            <w:tcW w:w="2802"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pPr>
            <w:r>
              <w:rPr/>
              <w:t>COURRIEL DE SERVICE</w:t>
            </w:r>
          </w:p>
        </w:tc>
        <w:tc>
          <w:tcPr>
            <w:tcW w:w="7541" w:type="dxa"/>
            <w:tcBorders>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bl>
    <w:p>
      <w:pPr>
        <w:pStyle w:val="Normal"/>
        <w:tabs>
          <w:tab w:val="clear" w:pos="567"/>
          <w:tab w:val="left" w:pos="851" w:leader="none"/>
        </w:tabs>
        <w:jc w:val="both"/>
        <w:rPr>
          <w:rFonts w:ascii="Arial" w:hAnsi="Arial" w:eastAsia="Arial" w:cs="Arial"/>
        </w:rPr>
      </w:pPr>
      <w:r>
        <w:rPr>
          <w:rFonts w:eastAsia="Arial" w:cs="Arial" w:ascii="Arial" w:hAnsi="Arial"/>
        </w:rPr>
      </w:r>
    </w:p>
    <w:p>
      <w:pPr>
        <w:pStyle w:val="Normal"/>
        <w:tabs>
          <w:tab w:val="clear" w:pos="567"/>
          <w:tab w:val="left" w:pos="851" w:leader="none"/>
        </w:tabs>
        <w:jc w:val="both"/>
        <w:rPr>
          <w:rFonts w:ascii="Arial" w:hAnsi="Arial" w:eastAsia="Arial" w:cs="Arial"/>
        </w:rPr>
      </w:pPr>
      <w:r>
        <w:rPr>
          <w:rFonts w:cs="Arial" w:ascii="Arial" w:hAnsi="Arial"/>
          <w:shd w:fill="FFFF00" w:val="clear"/>
        </w:rPr>
        <w:t>Descriptif des sites</w:t>
      </w:r>
    </w:p>
    <w:p>
      <w:pPr>
        <w:pStyle w:val="Normal"/>
        <w:tabs>
          <w:tab w:val="clear" w:pos="567"/>
          <w:tab w:val="left" w:pos="426" w:leader="none"/>
          <w:tab w:val="left" w:pos="851" w:leader="none"/>
        </w:tabs>
        <w:rPr>
          <w:rFonts w:ascii="Arial" w:hAnsi="Arial" w:cs="Arial"/>
          <w:shd w:fill="FFFF00" w:val="clear"/>
        </w:rPr>
      </w:pPr>
      <w:r>
        <w:rPr>
          <w:rFonts w:cs="Arial" w:ascii="Arial" w:hAnsi="Arial"/>
          <w:shd w:fill="FFFF00" w:val="clear"/>
        </w:rPr>
      </w:r>
    </w:p>
    <w:tbl>
      <w:tblPr>
        <w:tblW w:w="5000" w:type="pct"/>
        <w:jc w:val="left"/>
        <w:tblInd w:w="0" w:type="dxa"/>
        <w:tblLayout w:type="fixed"/>
        <w:tblCellMar>
          <w:top w:w="0" w:type="dxa"/>
          <w:left w:w="0" w:type="dxa"/>
          <w:bottom w:w="0" w:type="dxa"/>
          <w:right w:w="0" w:type="dxa"/>
        </w:tblCellMar>
      </w:tblPr>
      <w:tblGrid>
        <w:gridCol w:w="1457"/>
        <w:gridCol w:w="1458"/>
        <w:gridCol w:w="1458"/>
        <w:gridCol w:w="1457"/>
        <w:gridCol w:w="1458"/>
        <w:gridCol w:w="1458"/>
        <w:gridCol w:w="1457"/>
      </w:tblGrid>
      <w:tr>
        <w:trPr/>
        <w:tc>
          <w:tcPr>
            <w:tcW w:w="1457" w:type="dxa"/>
            <w:tcBorders/>
          </w:tcPr>
          <w:p>
            <w:pPr>
              <w:pStyle w:val="Contenudetableau"/>
              <w:widowControl w:val="false"/>
              <w:jc w:val="center"/>
              <w:rPr/>
            </w:pPr>
            <w:r>
              <w:rPr/>
              <w:t>Désignation du site</w:t>
            </w:r>
          </w:p>
        </w:tc>
        <w:tc>
          <w:tcPr>
            <w:tcW w:w="1458" w:type="dxa"/>
            <w:tcBorders/>
          </w:tcPr>
          <w:p>
            <w:pPr>
              <w:pStyle w:val="Contenudetableau"/>
              <w:widowControl w:val="false"/>
              <w:jc w:val="center"/>
              <w:rPr/>
            </w:pPr>
            <w:r>
              <w:rPr/>
              <w:t>Adresse du site</w:t>
            </w:r>
          </w:p>
        </w:tc>
        <w:tc>
          <w:tcPr>
            <w:tcW w:w="1458" w:type="dxa"/>
            <w:tcBorders/>
          </w:tcPr>
          <w:p>
            <w:pPr>
              <w:pStyle w:val="Contenudetableau"/>
              <w:widowControl w:val="false"/>
              <w:jc w:val="center"/>
              <w:rPr/>
            </w:pPr>
            <w:r>
              <w:rPr/>
              <w:t>Équipements concernés (en référence au BPU)</w:t>
            </w:r>
          </w:p>
        </w:tc>
        <w:tc>
          <w:tcPr>
            <w:tcW w:w="1457" w:type="dxa"/>
            <w:tcBorders/>
          </w:tcPr>
          <w:p>
            <w:pPr>
              <w:pStyle w:val="Contenudetableau"/>
              <w:widowControl w:val="false"/>
              <w:jc w:val="center"/>
              <w:rPr/>
            </w:pPr>
            <w:r>
              <w:rPr/>
              <w:t>Nombre d’équipements sur le site</w:t>
            </w:r>
          </w:p>
        </w:tc>
        <w:tc>
          <w:tcPr>
            <w:tcW w:w="1458" w:type="dxa"/>
            <w:tcBorders/>
          </w:tcPr>
          <w:p>
            <w:pPr>
              <w:pStyle w:val="Contenudetableau"/>
              <w:widowControl w:val="false"/>
              <w:jc w:val="center"/>
              <w:rPr/>
            </w:pPr>
            <w:r>
              <w:rPr/>
              <w:t>Visite de site</w:t>
            </w:r>
          </w:p>
          <w:p>
            <w:pPr>
              <w:pStyle w:val="Contenudetableau"/>
              <w:widowControl w:val="false"/>
              <w:jc w:val="center"/>
              <w:rPr/>
            </w:pPr>
            <w:r>
              <w:rPr/>
              <w:t>OUI/NON</w:t>
            </w:r>
          </w:p>
        </w:tc>
        <w:tc>
          <w:tcPr>
            <w:tcW w:w="1458" w:type="dxa"/>
            <w:tcBorders/>
          </w:tcPr>
          <w:p>
            <w:pPr>
              <w:pStyle w:val="Contenudetableau"/>
              <w:widowControl w:val="false"/>
              <w:jc w:val="center"/>
              <w:rPr/>
            </w:pPr>
            <w:r>
              <w:rPr/>
              <w:t>NOM / Prénom du référent de site</w:t>
            </w:r>
          </w:p>
        </w:tc>
        <w:tc>
          <w:tcPr>
            <w:tcW w:w="1457" w:type="dxa"/>
            <w:tcBorders/>
          </w:tcPr>
          <w:p>
            <w:pPr>
              <w:pStyle w:val="Contenudetableau"/>
              <w:widowControl w:val="false"/>
              <w:jc w:val="center"/>
              <w:rPr/>
            </w:pPr>
            <w:r>
              <w:rPr/>
              <w:t>Commentaires ou demande compélmentaire</w:t>
            </w:r>
          </w:p>
        </w:tc>
      </w:tr>
      <w:tr>
        <w:trPr/>
        <w:tc>
          <w:tcPr>
            <w:tcW w:w="1457" w:type="dxa"/>
            <w:tcBorders/>
          </w:tcPr>
          <w:p>
            <w:pPr>
              <w:pStyle w:val="Contenudetableau"/>
              <w:widowControl w:val="false"/>
              <w:rPr/>
            </w:pPr>
            <w:r>
              <w:rPr/>
              <w:t>Gap BSI</w:t>
            </w:r>
          </w:p>
        </w:tc>
        <w:tc>
          <w:tcPr>
            <w:tcW w:w="1458" w:type="dxa"/>
            <w:tcBorders/>
          </w:tcPr>
          <w:p>
            <w:pPr>
              <w:pStyle w:val="Contenudetableau"/>
              <w:widowControl w:val="false"/>
              <w:rPr/>
            </w:pPr>
            <w:r>
              <w:rPr/>
              <w:t>Chemin de Pic Poncon 05000 Gap</w:t>
            </w:r>
          </w:p>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t>NC</w:t>
            </w:r>
          </w:p>
        </w:tc>
        <w:tc>
          <w:tcPr>
            <w:tcW w:w="1458" w:type="dxa"/>
            <w:tcBorders/>
          </w:tcPr>
          <w:p>
            <w:pPr>
              <w:pStyle w:val="Contenudetableau"/>
              <w:widowControl w:val="false"/>
              <w:rPr/>
            </w:pPr>
            <w:r>
              <w:rPr/>
              <w:t>Non</w:t>
            </w:r>
          </w:p>
        </w:tc>
        <w:tc>
          <w:tcPr>
            <w:tcW w:w="1458" w:type="dxa"/>
            <w:tcBorders/>
          </w:tcPr>
          <w:p>
            <w:pPr>
              <w:pStyle w:val="Contenudetableau"/>
              <w:widowControl w:val="false"/>
              <w:rPr/>
            </w:pPr>
            <w:r>
              <w:rPr/>
              <w:t>Cécile Peyras</w:t>
            </w:r>
          </w:p>
        </w:tc>
        <w:tc>
          <w:tcPr>
            <w:tcW w:w="1457" w:type="dxa"/>
            <w:tcBorders/>
          </w:tcPr>
          <w:p>
            <w:pPr>
              <w:pStyle w:val="Contenudetableau"/>
              <w:widowControl w:val="false"/>
              <w:rPr/>
            </w:pPr>
            <w:r>
              <w:rPr/>
            </w:r>
          </w:p>
        </w:tc>
      </w:tr>
      <w:tr>
        <w:trPr>
          <w:trHeight w:val="265"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r>
        <w:trPr>
          <w:trHeight w:val="255"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r>
        <w:trPr>
          <w:trHeight w:val="270"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r>
        <w:trPr>
          <w:trHeight w:val="270"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r>
        <w:trPr>
          <w:trHeight w:val="270"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r>
        <w:trPr>
          <w:trHeight w:val="270" w:hRule="atLeast"/>
        </w:trPr>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c>
          <w:tcPr>
            <w:tcW w:w="1458" w:type="dxa"/>
            <w:tcBorders/>
          </w:tcPr>
          <w:p>
            <w:pPr>
              <w:pStyle w:val="Contenudetableau"/>
              <w:widowControl w:val="false"/>
              <w:rPr/>
            </w:pPr>
            <w:r>
              <w:rPr/>
            </w:r>
          </w:p>
        </w:tc>
        <w:tc>
          <w:tcPr>
            <w:tcW w:w="1458" w:type="dxa"/>
            <w:tcBorders/>
          </w:tcPr>
          <w:p>
            <w:pPr>
              <w:pStyle w:val="Contenudetableau"/>
              <w:widowControl w:val="false"/>
              <w:rPr/>
            </w:pPr>
            <w:r>
              <w:rPr/>
            </w:r>
          </w:p>
        </w:tc>
        <w:tc>
          <w:tcPr>
            <w:tcW w:w="1457" w:type="dxa"/>
            <w:tcBorders/>
          </w:tcPr>
          <w:p>
            <w:pPr>
              <w:pStyle w:val="Contenudetableau"/>
              <w:widowControl w:val="false"/>
              <w:rPr/>
            </w:pPr>
            <w:r>
              <w:rPr/>
            </w:r>
          </w:p>
        </w:tc>
      </w:tr>
    </w:tbl>
    <w:p>
      <w:pPr>
        <w:pStyle w:val="Normal"/>
        <w:tabs>
          <w:tab w:val="clear" w:pos="567"/>
          <w:tab w:val="left" w:pos="426" w:leader="none"/>
          <w:tab w:val="left" w:pos="851" w:leader="none"/>
        </w:tabs>
        <w:rPr>
          <w:rFonts w:ascii="Arial" w:hAnsi="Arial" w:cs="Arial"/>
          <w:shd w:fill="FFFF00" w:val="clear"/>
        </w:rPr>
      </w:pPr>
      <w:r>
        <w:rPr>
          <w:rFonts w:cs="Arial" w:ascii="Arial" w:hAnsi="Arial"/>
          <w:shd w:fill="FFFF00" w:val="clear"/>
        </w:rPr>
      </w:r>
    </w:p>
    <w:p>
      <w:pPr>
        <w:pStyle w:val="Fcase1ertab"/>
        <w:tabs>
          <w:tab w:val="left" w:pos="426" w:leader="none"/>
          <w:tab w:val="left" w:pos="851" w:leader="none"/>
        </w:tabs>
        <w:ind w:left="0" w:hanging="0"/>
        <w:rPr>
          <w:rFonts w:ascii="Arial" w:hAnsi="Arial" w:cs="Arial"/>
          <w:shd w:fill="FFFF00" w:val="clear"/>
        </w:rPr>
      </w:pPr>
      <w:r>
        <w:rPr>
          <w:rFonts w:cs="Arial" w:ascii="Arial" w:hAnsi="Arial"/>
          <w:shd w:fill="FFFF00" w:val="clear"/>
        </w:rPr>
      </w:r>
    </w:p>
    <w:p>
      <w:pPr>
        <w:pStyle w:val="Fcase1ertab"/>
        <w:tabs>
          <w:tab w:val="left" w:pos="426" w:leader="none"/>
          <w:tab w:val="left" w:pos="851" w:leader="none"/>
        </w:tabs>
        <w:ind w:left="0" w:hanging="0"/>
        <w:rPr>
          <w:rFonts w:ascii="Century Gothic" w:hAnsi="Century Gothic" w:eastAsia="Arial" w:cs="Arial"/>
          <w:sz w:val="18"/>
          <w:szCs w:val="18"/>
          <w:shd w:fill="FFFF00" w:val="clear"/>
        </w:rPr>
      </w:pPr>
      <w:r>
        <w:rPr>
          <w:b w:val="false"/>
          <w:bCs w:val="false"/>
          <w:u w:val="none"/>
          <w:shd w:fill="auto" w:val="clear"/>
        </w:rPr>
        <w:t>Prestations complémentaires demandées (en référence au BPU)</w:t>
      </w:r>
    </w:p>
    <w:p>
      <w:pPr>
        <w:pStyle w:val="Fcase1ertab"/>
        <w:tabs>
          <w:tab w:val="left" w:pos="426" w:leader="none"/>
          <w:tab w:val="left" w:pos="851" w:leader="none"/>
        </w:tabs>
        <w:ind w:left="0" w:hanging="0"/>
        <w:rPr>
          <w:rFonts w:ascii="Century Gothic" w:hAnsi="Century Gothic" w:eastAsia="Arial" w:cs="Arial"/>
          <w:sz w:val="18"/>
          <w:szCs w:val="18"/>
          <w:shd w:fill="FFFF00" w:val="clear"/>
        </w:rPr>
      </w:pPr>
      <w:r>
        <w:rPr>
          <w:rFonts w:eastAsia="Arial" w:cs="Arial" w:ascii="Century Gothic" w:hAnsi="Century Gothic"/>
          <w:sz w:val="18"/>
          <w:szCs w:val="18"/>
          <w:shd w:fill="FFFF00" w:val="clear"/>
        </w:rPr>
      </w:r>
    </w:p>
    <w:p>
      <w:pPr>
        <w:pStyle w:val="Fcase1ertab"/>
        <w:tabs>
          <w:tab w:val="left" w:pos="426" w:leader="none"/>
          <w:tab w:val="left" w:pos="851" w:leader="none"/>
        </w:tabs>
        <w:ind w:left="0" w:hanging="0"/>
        <w:rPr>
          <w:highlight w:val="none"/>
          <w:shd w:fill="FFFF00" w:val="clear"/>
        </w:rPr>
      </w:pPr>
      <w:r>
        <w:rPr>
          <w:b w:val="false"/>
          <w:bCs w:val="false"/>
          <w:u w:val="none"/>
          <w:shd w:fill="FFFF00" w:val="clear"/>
        </w:rPr>
        <w:t>xxxx</w:t>
      </w:r>
    </w:p>
    <w:p>
      <w:pPr>
        <w:pStyle w:val="Fcase1ertab"/>
        <w:tabs>
          <w:tab w:val="left" w:pos="426" w:leader="none"/>
          <w:tab w:val="left" w:pos="851" w:leader="none"/>
        </w:tabs>
        <w:ind w:left="0" w:hanging="0"/>
        <w:rPr>
          <w:rFonts w:ascii="Century Gothic" w:hAnsi="Century Gothic"/>
          <w:sz w:val="18"/>
          <w:szCs w:val="18"/>
        </w:rPr>
      </w:pPr>
      <w:r>
        <w:rPr>
          <w:rFonts w:ascii="Century Gothic" w:hAnsi="Century Gothic"/>
          <w:sz w:val="18"/>
          <w:szCs w:val="18"/>
        </w:rPr>
      </w:r>
    </w:p>
    <w:p>
      <w:pPr>
        <w:pStyle w:val="Normal"/>
        <w:tabs>
          <w:tab w:val="clear" w:pos="567"/>
          <w:tab w:val="left" w:pos="426" w:leader="none"/>
          <w:tab w:val="left" w:pos="851" w:leader="none"/>
        </w:tabs>
        <w:rPr>
          <w:b/>
          <w:bCs/>
          <w:u w:val="single"/>
          <w:shd w:fill="auto" w:val="clear"/>
        </w:rPr>
      </w:pPr>
      <w:r>
        <w:rPr>
          <w:b/>
          <w:bCs/>
          <w:u w:val="single"/>
          <w:shd w:fill="auto" w:val="clear"/>
        </w:rPr>
        <w:t>Modalités d’accès au site et de remise des moyens d’accès</w:t>
      </w:r>
    </w:p>
    <w:p>
      <w:pPr>
        <w:pStyle w:val="Normal"/>
        <w:tabs>
          <w:tab w:val="clear" w:pos="567"/>
          <w:tab w:val="left" w:pos="426" w:leader="none"/>
          <w:tab w:val="left" w:pos="851" w:leader="none"/>
        </w:tabs>
        <w:rPr>
          <w:b/>
          <w:bCs/>
          <w:u w:val="single"/>
          <w:shd w:fill="auto" w:val="clear"/>
        </w:rPr>
      </w:pPr>
      <w:r>
        <w:rPr>
          <w:b/>
          <w:bCs/>
          <w:u w:val="single"/>
          <w:shd w:fill="auto" w:val="clear"/>
        </w:rPr>
      </w:r>
    </w:p>
    <w:p>
      <w:pPr>
        <w:pStyle w:val="Normal"/>
        <w:tabs>
          <w:tab w:val="clear" w:pos="567"/>
          <w:tab w:val="left" w:pos="426" w:leader="none"/>
          <w:tab w:val="left" w:pos="851" w:leader="none"/>
        </w:tabs>
        <w:rPr>
          <w:b w:val="false"/>
          <w:bCs w:val="false"/>
          <w:u w:val="none"/>
          <w:shd w:fill="auto" w:val="clear"/>
        </w:rPr>
      </w:pPr>
      <w:r>
        <w:rPr>
          <w:b w:val="false"/>
          <w:bCs w:val="false"/>
          <w:u w:val="none"/>
          <w:shd w:fill="auto" w:val="clear"/>
        </w:rPr>
        <w:t xml:space="preserve">Le titulaire s’engage à respecter les règles d’accès au site et de sécurité jointes en annexe </w:t>
      </w:r>
      <w:r>
        <w:rPr>
          <w:b w:val="false"/>
          <w:bCs w:val="false"/>
          <w:u w:val="none"/>
          <w:shd w:fill="FFFF00" w:val="clear"/>
        </w:rPr>
        <w:t>xxx ,</w:t>
      </w:r>
      <w:r>
        <w:rPr>
          <w:b w:val="false"/>
          <w:bCs w:val="false"/>
          <w:u w:val="none"/>
          <w:shd w:fill="auto" w:val="clear"/>
        </w:rPr>
        <w:t xml:space="preserve"> et à communiquer et faire connaître ces éléments à l’ensemble de ces équipes et intervenants récurrents et ponctuels. </w:t>
      </w:r>
    </w:p>
    <w:p>
      <w:pPr>
        <w:pStyle w:val="Normal"/>
        <w:tabs>
          <w:tab w:val="clear" w:pos="567"/>
          <w:tab w:val="left" w:pos="426" w:leader="none"/>
          <w:tab w:val="left" w:pos="851" w:leader="none"/>
        </w:tabs>
        <w:rPr>
          <w:b w:val="false"/>
          <w:bCs w:val="false"/>
          <w:u w:val="none"/>
          <w:shd w:fill="auto" w:val="clear"/>
        </w:rPr>
      </w:pPr>
      <w:r>
        <w:rPr>
          <w:b w:val="false"/>
          <w:bCs w:val="false"/>
          <w:u w:val="none"/>
          <w:shd w:fill="auto" w:val="clear"/>
        </w:rPr>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t xml:space="preserve">joindre les éléments correspondant </w:t>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t xml:space="preserve">Les moyens suivants d’accès suivants seront remis au titulaire (liste à joindre éventuellement) : </w:t>
      </w:r>
    </w:p>
    <w:p>
      <w:pPr>
        <w:pStyle w:val="Normal"/>
        <w:tabs>
          <w:tab w:val="clear" w:pos="567"/>
          <w:tab w:val="left" w:pos="426" w:leader="none"/>
          <w:tab w:val="left" w:pos="851" w:leader="none"/>
        </w:tabs>
        <w:rPr>
          <w:b w:val="false"/>
          <w:bCs w:val="false"/>
          <w:u w:val="none"/>
          <w:shd w:fill="auto" w:val="clear"/>
        </w:rPr>
      </w:pPr>
      <w:r>
        <w:rPr>
          <w:b w:val="false"/>
          <w:bCs w:val="false"/>
          <w:u w:val="none"/>
          <w:shd w:fill="auto" w:val="clear"/>
        </w:rPr>
      </w:r>
    </w:p>
    <w:p>
      <w:pPr>
        <w:pStyle w:val="Normal"/>
        <w:tabs>
          <w:tab w:val="clear" w:pos="567"/>
          <w:tab w:val="left" w:pos="426" w:leader="none"/>
          <w:tab w:val="left" w:pos="851" w:leader="none"/>
        </w:tabs>
        <w:rPr>
          <w:b w:val="false"/>
          <w:bCs w:val="false"/>
          <w:u w:val="none"/>
          <w:shd w:fill="auto" w:val="clear"/>
        </w:rPr>
      </w:pPr>
      <w:r>
        <w:rPr>
          <w:b w:val="false"/>
          <w:bCs w:val="false"/>
          <w:u w:val="none"/>
          <w:shd w:fill="auto" w:val="clear"/>
        </w:rPr>
      </w:r>
    </w:p>
    <w:p>
      <w:pPr>
        <w:pStyle w:val="Normal"/>
        <w:tabs>
          <w:tab w:val="clear" w:pos="567"/>
          <w:tab w:val="left" w:pos="426" w:leader="none"/>
          <w:tab w:val="left" w:pos="851" w:leader="none"/>
        </w:tabs>
        <w:rPr>
          <w:b/>
          <w:bCs/>
          <w:u w:val="single"/>
          <w:shd w:fill="auto" w:val="clear"/>
        </w:rPr>
      </w:pPr>
      <w:r>
        <w:rPr>
          <w:b/>
          <w:bCs/>
          <w:u w:val="single"/>
          <w:shd w:fill="auto" w:val="clear"/>
        </w:rPr>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r>
    </w:p>
    <w:p>
      <w:pPr>
        <w:pStyle w:val="Normal"/>
        <w:tabs>
          <w:tab w:val="clear" w:pos="567"/>
          <w:tab w:val="left" w:pos="426" w:leader="none"/>
          <w:tab w:val="left" w:pos="851" w:leader="none"/>
        </w:tabs>
        <w:rPr>
          <w:b/>
          <w:bCs/>
          <w:u w:val="single"/>
          <w:shd w:fill="auto" w:val="clear"/>
        </w:rPr>
      </w:pPr>
      <w:r>
        <w:rPr>
          <w:b/>
          <w:bCs/>
          <w:u w:val="single"/>
          <w:shd w:fill="auto" w:val="clear"/>
        </w:rPr>
        <w:t>Plan des sites (optionnel)</w:t>
      </w:r>
    </w:p>
    <w:p>
      <w:pPr>
        <w:pStyle w:val="Normal"/>
        <w:tabs>
          <w:tab w:val="clear" w:pos="567"/>
          <w:tab w:val="left" w:pos="426" w:leader="none"/>
          <w:tab w:val="left" w:pos="851" w:leader="none"/>
        </w:tabs>
        <w:rPr>
          <w:b/>
          <w:bCs/>
          <w:u w:val="single"/>
          <w:shd w:fill="auto" w:val="clear"/>
        </w:rPr>
      </w:pPr>
      <w:r>
        <w:rPr>
          <w:b/>
          <w:bCs/>
          <w:u w:val="single"/>
          <w:shd w:fill="auto" w:val="clear"/>
        </w:rPr>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t>annexe xxxx</w:t>
      </w:r>
    </w:p>
    <w:p>
      <w:pPr>
        <w:pStyle w:val="Normal"/>
        <w:tabs>
          <w:tab w:val="clear" w:pos="567"/>
          <w:tab w:val="left" w:pos="426" w:leader="none"/>
          <w:tab w:val="left" w:pos="851" w:leader="none"/>
        </w:tabs>
        <w:rPr>
          <w:b w:val="false"/>
          <w:bCs w:val="false"/>
          <w:u w:val="none"/>
          <w:shd w:fill="FFFF00" w:val="clear"/>
        </w:rPr>
      </w:pPr>
      <w:r>
        <w:rPr>
          <w:b w:val="false"/>
          <w:bCs w:val="false"/>
          <w:u w:val="none"/>
          <w:shd w:fill="FFFF00" w:val="clear"/>
        </w:rPr>
      </w:r>
    </w:p>
    <w:p>
      <w:pPr>
        <w:pStyle w:val="Normal"/>
        <w:tabs>
          <w:tab w:val="clear" w:pos="567"/>
          <w:tab w:val="left" w:pos="426" w:leader="none"/>
          <w:tab w:val="left" w:pos="851" w:leader="none"/>
        </w:tabs>
        <w:rPr>
          <w:b/>
          <w:bCs/>
          <w:u w:val="single"/>
          <w:shd w:fill="auto" w:val="clear"/>
        </w:rPr>
      </w:pPr>
      <w:r>
        <w:rPr>
          <w:b/>
          <w:bCs/>
          <w:u w:val="single"/>
          <w:shd w:fill="auto" w:val="clear"/>
        </w:rPr>
        <w:t>Locaux à disposition des titulaires pour le stockage du matériel</w:t>
      </w:r>
    </w:p>
    <w:p>
      <w:pPr>
        <w:pStyle w:val="Normal"/>
        <w:tabs>
          <w:tab w:val="clear" w:pos="567"/>
          <w:tab w:val="left" w:pos="426" w:leader="none"/>
          <w:tab w:val="left" w:pos="851" w:leader="none"/>
        </w:tabs>
        <w:rPr>
          <w:b/>
          <w:bCs/>
          <w:u w:val="single"/>
          <w:shd w:fill="auto" w:val="clear"/>
        </w:rPr>
      </w:pPr>
      <w:r>
        <w:rPr>
          <w:b/>
          <w:bCs/>
          <w:u w:val="single"/>
          <w:shd w:fill="auto" w:val="clear"/>
        </w:rPr>
      </w:r>
    </w:p>
    <w:p>
      <w:pPr>
        <w:pStyle w:val="Normal"/>
        <w:tabs>
          <w:tab w:val="clear" w:pos="567"/>
          <w:tab w:val="left" w:pos="426" w:leader="none"/>
          <w:tab w:val="left" w:pos="851" w:leader="none"/>
        </w:tabs>
        <w:jc w:val="both"/>
        <w:rPr>
          <w:b w:val="false"/>
          <w:bCs w:val="false"/>
          <w:u w:val="none"/>
          <w:shd w:fill="FFFF00" w:val="clear"/>
        </w:rPr>
      </w:pPr>
      <w:r>
        <w:rPr>
          <w:b w:val="false"/>
          <w:bCs w:val="false"/>
          <w:u w:val="none"/>
          <w:shd w:fill="FFFF00" w:val="clear"/>
        </w:rPr>
        <w:t xml:space="preserve">Décrire les locaux et préciser leur localisation </w:t>
      </w:r>
    </w:p>
    <w:p>
      <w:pPr>
        <w:pStyle w:val="Normal"/>
        <w:tabs>
          <w:tab w:val="clear" w:pos="567"/>
          <w:tab w:val="left" w:pos="426" w:leader="none"/>
          <w:tab w:val="left" w:pos="851" w:leader="none"/>
        </w:tabs>
        <w:jc w:val="both"/>
        <w:rPr>
          <w:b w:val="false"/>
          <w:bCs w:val="false"/>
          <w:u w:val="none"/>
        </w:rPr>
      </w:pPr>
      <w:r>
        <w:rPr>
          <w:b w:val="false"/>
          <w:bCs w:val="false"/>
          <w:u w:val="none"/>
        </w:rPr>
      </w:r>
    </w:p>
    <w:p>
      <w:pPr>
        <w:pStyle w:val="Normal"/>
        <w:tabs>
          <w:tab w:val="clear" w:pos="567"/>
          <w:tab w:val="left" w:pos="426" w:leader="none"/>
          <w:tab w:val="left" w:pos="851" w:leader="none"/>
        </w:tabs>
        <w:jc w:val="both"/>
        <w:rPr/>
      </w:pPr>
      <w:r>
        <w:rPr>
          <w:b w:val="false"/>
          <w:bCs w:val="false"/>
          <w:u w:val="none"/>
          <w:shd w:fill="auto" w:val="clear"/>
        </w:rPr>
        <w:t xml:space="preserve"> </w:t>
      </w:r>
    </w:p>
    <w:p>
      <w:pPr>
        <w:pStyle w:val="Normal"/>
        <w:tabs>
          <w:tab w:val="clear" w:pos="567"/>
          <w:tab w:val="left" w:pos="426" w:leader="none"/>
          <w:tab w:val="left" w:pos="851" w:leader="none"/>
        </w:tabs>
        <w:jc w:val="both"/>
        <w:rPr>
          <w:b w:val="false"/>
          <w:bCs w:val="false"/>
          <w:u w:val="none"/>
          <w:shd w:fill="auto" w:val="clear"/>
        </w:rPr>
      </w:pPr>
      <w:r>
        <w:rPr>
          <w:b w:val="false"/>
          <w:bCs w:val="false"/>
          <w:u w:val="none"/>
          <w:shd w:fill="auto" w:val="clear"/>
        </w:rPr>
      </w:r>
    </w:p>
    <w:p>
      <w:pPr>
        <w:pStyle w:val="Normal"/>
        <w:shd w:val="clear" w:fill="B6DDE8"/>
        <w:tabs>
          <w:tab w:val="clear" w:pos="567"/>
          <w:tab w:val="left" w:pos="-142" w:leader="none"/>
          <w:tab w:val="left" w:pos="851" w:leader="none"/>
          <w:tab w:val="left" w:pos="4111" w:leader="none"/>
        </w:tabs>
        <w:rPr/>
      </w:pPr>
      <w:r>
        <w:rPr>
          <w:rStyle w:val="Strong"/>
        </w:rPr>
        <w:t xml:space="preserve">B – Désignation du comptable assignataire </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DESIGNATION </w:t>
      </w:r>
      <w:r>
        <w:rPr>
          <w:rFonts w:cs="Arial" w:ascii="Century Gothic" w:hAnsi="Century Gothic"/>
          <w:sz w:val="18"/>
          <w:szCs w:val="18"/>
        </w:rPr>
        <w:t>:</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DESIGNATION</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Trésorerie générale des douanes</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ADRESSE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30 rue Raoul Wallenberg 75019 Paris</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TELEPHONE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MAIL</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cgf0754-condorcet3@douane.finances.gouv.fr</w:t>
            </w:r>
          </w:p>
        </w:tc>
      </w:tr>
    </w:tbl>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IMPUTATION BUDGETAIRE </w:t>
      </w:r>
      <w:r>
        <w:rPr>
          <w:rFonts w:cs="Arial" w:ascii="Century Gothic" w:hAnsi="Century Gothic"/>
          <w:sz w:val="18"/>
          <w:szCs w:val="18"/>
        </w:rPr>
        <w:t>:</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PROGRAMME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723/302</w:t>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BOP</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0723-DI13-DI13/0302-Di13-DI13</w:t>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ACTION</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bl>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 xml:space="preserve">SERVICE ET ADRESSE DU CENTRE DE SERVICES PARTAGES (CSP) </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tbl>
      <w:tblPr>
        <w:tblW w:w="10344" w:type="dxa"/>
        <w:jc w:val="center"/>
        <w:tblInd w:w="0" w:type="dxa"/>
        <w:tblLayout w:type="fixed"/>
        <w:tblCellMar>
          <w:top w:w="0" w:type="dxa"/>
          <w:left w:w="108" w:type="dxa"/>
          <w:bottom w:w="0" w:type="dxa"/>
          <w:right w:w="108" w:type="dxa"/>
        </w:tblCellMar>
      </w:tblPr>
      <w:tblGrid>
        <w:gridCol w:w="2802"/>
        <w:gridCol w:w="7541"/>
      </w:tblGrid>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DESIGNATION</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ADRESSE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TELEPHONE</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r>
        <w:trPr>
          <w:trHeight w:val="453" w:hRule="atLeast"/>
        </w:trPr>
        <w:tc>
          <w:tcPr>
            <w:tcW w:w="2802"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t>MAIL</w:t>
            </w:r>
          </w:p>
        </w:tc>
        <w:tc>
          <w:tcPr>
            <w:tcW w:w="7541" w:type="dxa"/>
            <w:tcBorders>
              <w:top w:val="single" w:sz="4" w:space="0" w:color="808080"/>
              <w:left w:val="single" w:sz="4" w:space="0" w:color="808080"/>
              <w:bottom w:val="single" w:sz="4" w:space="0" w:color="808080"/>
              <w:right w:val="single" w:sz="4" w:space="0" w:color="808080"/>
            </w:tcBorders>
          </w:tcPr>
          <w:p>
            <w:pPr>
              <w:pStyle w:val="Normal"/>
              <w:widowControl w:val="false"/>
              <w:tabs>
                <w:tab w:val="clear" w:pos="567"/>
                <w:tab w:val="left" w:pos="851" w:leader="none"/>
              </w:tabs>
              <w:rPr>
                <w:rFonts w:ascii="Century Gothic" w:hAnsi="Century Gothic"/>
                <w:sz w:val="18"/>
                <w:szCs w:val="18"/>
              </w:rPr>
            </w:pPr>
            <w:r>
              <w:rPr>
                <w:rFonts w:ascii="Century Gothic" w:hAnsi="Century Gothic"/>
                <w:sz w:val="18"/>
                <w:szCs w:val="18"/>
              </w:rPr>
            </w:r>
          </w:p>
        </w:tc>
      </w:tr>
    </w:tbl>
    <w:p>
      <w:pPr>
        <w:pStyle w:val="Fcase1ertab"/>
        <w:tabs>
          <w:tab w:val="left" w:pos="426" w:leader="none"/>
          <w:tab w:val="left" w:pos="851" w:leader="none"/>
        </w:tabs>
        <w:ind w:left="0" w:hanging="0"/>
        <w:rPr>
          <w:rFonts w:ascii="Arial" w:hAnsi="Arial" w:cs="Arial"/>
          <w:shd w:fill="FFFF00" w:val="clear"/>
        </w:rPr>
      </w:pPr>
      <w:r>
        <w:rPr>
          <w:rFonts w:cs="Arial" w:ascii="Arial" w:hAnsi="Arial"/>
          <w:shd w:fill="FFFF00" w:val="clear"/>
        </w:rPr>
      </w:r>
    </w:p>
    <w:p>
      <w:pPr>
        <w:pStyle w:val="Fcase1ertab"/>
        <w:tabs>
          <w:tab w:val="left" w:pos="426" w:leader="none"/>
          <w:tab w:val="left" w:pos="851" w:leader="none"/>
        </w:tabs>
        <w:ind w:left="0" w:hanging="0"/>
        <w:rPr>
          <w:rFonts w:ascii="Arial" w:hAnsi="Arial" w:cs="Arial"/>
          <w:shd w:fill="FFFF00" w:val="clear"/>
        </w:rPr>
      </w:pPr>
      <w:r>
        <w:rPr>
          <w:rFonts w:cs="Arial" w:ascii="Arial" w:hAnsi="Arial"/>
          <w:shd w:fill="FFFF00" w:val="clear"/>
        </w:rPr>
      </w:r>
    </w:p>
    <w:p>
      <w:pPr>
        <w:pStyle w:val="Fcase1ertab"/>
        <w:tabs>
          <w:tab w:val="left" w:pos="426" w:leader="none"/>
          <w:tab w:val="left" w:pos="851" w:leader="none"/>
        </w:tabs>
        <w:ind w:left="0" w:hanging="0"/>
        <w:rPr>
          <w:rFonts w:cs="Arial"/>
        </w:rPr>
      </w:pPr>
      <w:r>
        <w:rPr>
          <w:rFonts w:cs="Arial"/>
        </w:rPr>
      </w:r>
    </w:p>
    <w:p>
      <w:pPr>
        <w:pStyle w:val="Normal"/>
        <w:shd w:val="clear" w:fill="B6DDE8"/>
        <w:tabs>
          <w:tab w:val="clear" w:pos="567"/>
          <w:tab w:val="left" w:pos="-142" w:leader="none"/>
          <w:tab w:val="left" w:pos="851" w:leader="none"/>
          <w:tab w:val="left" w:pos="4111" w:leader="none"/>
        </w:tabs>
        <w:rPr/>
      </w:pPr>
      <w:r>
        <w:rPr>
          <w:rStyle w:val="Strong"/>
        </w:rPr>
        <w:t xml:space="preserve">C – Engagement du titulaire </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color w:val="66CCFF"/>
          <w:spacing w:val="-10"/>
          <w:sz w:val="18"/>
          <w:szCs w:val="18"/>
        </w:rPr>
        <w:t></w:t>
      </w:r>
      <w:r>
        <w:rPr>
          <w:rFonts w:eastAsia="Arial" w:cs="Arial" w:ascii="Century Gothic" w:hAnsi="Century Gothic"/>
          <w:spacing w:val="-10"/>
          <w:sz w:val="18"/>
          <w:szCs w:val="18"/>
        </w:rPr>
        <w:t xml:space="preserve">  </w:t>
      </w:r>
      <w:r>
        <w:rPr>
          <w:rFonts w:eastAsia="Arial" w:cs="Arial" w:ascii="Century Gothic" w:hAnsi="Century Gothic"/>
          <w:spacing w:val="-10"/>
          <w:sz w:val="18"/>
          <w:szCs w:val="18"/>
        </w:rPr>
        <w:t>IDENTIFICATION DU TITULAIRE:</w:t>
      </w:r>
    </w:p>
    <w:p>
      <w:pPr>
        <w:pStyle w:val="Normal"/>
        <w:tabs>
          <w:tab w:val="clear" w:pos="567"/>
          <w:tab w:val="left" w:pos="851" w:leader="none"/>
        </w:tabs>
        <w:rPr>
          <w:rFonts w:ascii="Century Gothic" w:hAnsi="Century Gothic"/>
          <w:sz w:val="18"/>
          <w:szCs w:val="18"/>
        </w:rPr>
      </w:pPr>
      <w:r>
        <w:rPr>
          <w:rFonts w:ascii="Century Gothic" w:hAnsi="Century Gothic"/>
          <w:sz w:val="18"/>
          <w:szCs w:val="18"/>
        </w:rPr>
      </w:r>
    </w:p>
    <w:p>
      <w:pPr>
        <w:pStyle w:val="Normal"/>
        <w:tabs>
          <w:tab w:val="clear" w:pos="567"/>
          <w:tab w:val="left" w:pos="851" w:leader="none"/>
        </w:tabs>
        <w:jc w:val="both"/>
        <w:rPr>
          <w:rFonts w:ascii="Century Gothic" w:hAnsi="Century Gothic" w:cs="Arial"/>
          <w:sz w:val="18"/>
          <w:szCs w:val="18"/>
        </w:rPr>
      </w:pPr>
      <w:r>
        <w:rPr>
          <w:rFonts w:cs="Arial" w:ascii="Century Gothic" w:hAnsi="Century Gothic"/>
          <w:sz w:val="18"/>
          <w:szCs w:val="18"/>
        </w:rPr>
        <w:t>Après avoir pris connaissance des pièces constitutives  de l’accord-cadre suivantes et du marché subséquent (par ordre de priorité)</w:t>
      </w:r>
    </w:p>
    <w:p>
      <w:pPr>
        <w:pStyle w:val="Normal"/>
        <w:numPr>
          <w:ilvl w:val="0"/>
          <w:numId w:val="0"/>
        </w:numPr>
        <w:suppressAutoHyphens w:val="false"/>
        <w:ind w:left="720" w:hanging="0"/>
        <w:jc w:val="both"/>
        <w:rPr>
          <w:rFonts w:ascii="Century Gothic" w:hAnsi="Century Gothic" w:cs="Arial"/>
          <w:color w:val="000000"/>
          <w:sz w:val="18"/>
          <w:szCs w:val="18"/>
          <w:u w:val="single"/>
          <w:lang w:eastAsia="fr-FR"/>
        </w:rPr>
      </w:pPr>
      <w:r>
        <w:rPr>
          <w:rFonts w:cs="Arial" w:ascii="Century Gothic" w:hAnsi="Century Gothic"/>
          <w:color w:val="000000"/>
          <w:sz w:val="18"/>
          <w:szCs w:val="18"/>
          <w:u w:val="single"/>
          <w:lang w:eastAsia="fr-FR"/>
        </w:rPr>
      </w:r>
    </w:p>
    <w:p>
      <w:pPr>
        <w:pStyle w:val="Normal"/>
        <w:numPr>
          <w:ilvl w:val="0"/>
          <w:numId w:val="0"/>
        </w:numPr>
        <w:suppressAutoHyphens w:val="false"/>
        <w:ind w:left="720" w:hanging="0"/>
        <w:jc w:val="both"/>
        <w:rPr>
          <w:b/>
          <w:bCs/>
        </w:rPr>
      </w:pPr>
      <w:r>
        <w:rPr>
          <w:rFonts w:cs="Arial" w:ascii="Century Gothic" w:hAnsi="Century Gothic"/>
          <w:b/>
          <w:bCs/>
          <w:color w:val="000000"/>
          <w:sz w:val="18"/>
          <w:szCs w:val="18"/>
          <w:u w:val="single"/>
          <w:lang w:eastAsia="fr-FR"/>
        </w:rPr>
        <w:t>Les pièces de l’accord-cadre (article 3 du CCAP de l’accord-cadre) :</w:t>
      </w:r>
    </w:p>
    <w:p>
      <w:pPr>
        <w:pStyle w:val="Normal"/>
        <w:numPr>
          <w:ilvl w:val="0"/>
          <w:numId w:val="0"/>
        </w:numPr>
        <w:suppressAutoHyphens w:val="false"/>
        <w:ind w:left="720" w:hanging="0"/>
        <w:jc w:val="both"/>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Normal"/>
        <w:numPr>
          <w:ilvl w:val="0"/>
          <w:numId w:val="7"/>
        </w:numPr>
        <w:suppressAutoHyphens w:val="false"/>
        <w:jc w:val="both"/>
        <w:rPr/>
      </w:pPr>
      <w:r>
        <w:rPr>
          <w:rFonts w:cs="Arial" w:ascii="Century Gothic" w:hAnsi="Century Gothic"/>
          <w:color w:val="000000"/>
          <w:sz w:val="18"/>
          <w:szCs w:val="18"/>
          <w:lang w:eastAsia="fr-FR"/>
        </w:rPr>
        <w:t>L’acte d’engagement de l’accord-cadre et ses 5 annexes ;</w:t>
      </w:r>
    </w:p>
    <w:p>
      <w:pPr>
        <w:pStyle w:val="Normal"/>
        <w:numPr>
          <w:ilvl w:val="0"/>
          <w:numId w:val="7"/>
        </w:numPr>
        <w:suppressAutoHyphens w:val="false"/>
        <w:jc w:val="both"/>
        <w:rPr>
          <w:rFonts w:ascii="Century Gothic" w:hAnsi="Century Gothic" w:cs="Arial"/>
          <w:color w:val="000000"/>
          <w:sz w:val="18"/>
          <w:szCs w:val="18"/>
          <w:lang w:eastAsia="fr-FR"/>
        </w:rPr>
      </w:pPr>
      <w:r>
        <w:rPr>
          <w:rFonts w:cs="Arial" w:ascii="Century Gothic" w:hAnsi="Century Gothic"/>
          <w:color w:val="000000"/>
          <w:sz w:val="18"/>
          <w:szCs w:val="18"/>
          <w:lang w:eastAsia="fr-FR"/>
        </w:rPr>
        <w:t>Le cahier des clauses administratives particulières (CCAP) de l’accord-cadre et ses 2 annexes ;</w:t>
      </w:r>
    </w:p>
    <w:p>
      <w:pPr>
        <w:pStyle w:val="Normal"/>
        <w:numPr>
          <w:ilvl w:val="0"/>
          <w:numId w:val="7"/>
        </w:numPr>
        <w:suppressAutoHyphens w:val="false"/>
        <w:jc w:val="both"/>
        <w:rPr/>
      </w:pPr>
      <w:r>
        <w:rPr>
          <w:rFonts w:cs="Arial" w:ascii="Century Gothic" w:hAnsi="Century Gothic"/>
          <w:color w:val="000000"/>
          <w:sz w:val="18"/>
          <w:szCs w:val="18"/>
          <w:lang w:eastAsia="fr-FR"/>
        </w:rPr>
        <w:t>Le cahier des clauses techniques particulières (CCTP) de l’accord-cadre et ses 5 annexes  ;</w:t>
      </w:r>
    </w:p>
    <w:p>
      <w:pPr>
        <w:pStyle w:val="Normal"/>
        <w:numPr>
          <w:ilvl w:val="0"/>
          <w:numId w:val="7"/>
        </w:numPr>
        <w:suppressAutoHyphens w:val="false"/>
        <w:jc w:val="both"/>
        <w:rPr/>
      </w:pPr>
      <w:r>
        <w:rPr>
          <w:rFonts w:cs="Arial" w:ascii="Century Gothic" w:hAnsi="Century Gothic"/>
          <w:color w:val="000000"/>
          <w:sz w:val="18"/>
          <w:szCs w:val="18"/>
          <w:lang w:eastAsia="fr-FR"/>
        </w:rPr>
        <w:t xml:space="preserve">L’ensemble des </w:t>
      </w:r>
      <w:r>
        <w:rPr>
          <w:rFonts w:cs="Arial" w:ascii="Century Gothic" w:hAnsi="Century Gothic"/>
          <w:color w:val="000000"/>
          <w:kern w:val="0"/>
          <w:sz w:val="18"/>
          <w:szCs w:val="18"/>
          <w:lang w:eastAsia="fr-FR"/>
        </w:rPr>
        <w:t>précisions et réponses publiées sur PLACE au cours la consultation, le cas échéant</w:t>
      </w:r>
    </w:p>
    <w:p>
      <w:pPr>
        <w:pStyle w:val="ListParagraph"/>
        <w:numPr>
          <w:ilvl w:val="0"/>
          <w:numId w:val="7"/>
        </w:numPr>
        <w:rPr>
          <w:kern w:val="0"/>
          <w:lang w:eastAsia="fr-FR"/>
        </w:rPr>
      </w:pPr>
      <w:r>
        <w:rPr>
          <w:rFonts w:cs="Arial" w:ascii="Century Gothic" w:hAnsi="Century Gothic"/>
          <w:color w:val="000000"/>
          <w:kern w:val="0"/>
          <w:sz w:val="18"/>
          <w:szCs w:val="18"/>
          <w:lang w:eastAsia="fr-FR"/>
        </w:rPr>
        <w:t>La mise au point avant notification de l’accord- cadre, le cas échéant</w:t>
      </w:r>
    </w:p>
    <w:p>
      <w:pPr>
        <w:pStyle w:val="ListParagraph"/>
        <w:numPr>
          <w:ilvl w:val="0"/>
          <w:numId w:val="7"/>
        </w:numPr>
        <w:rPr>
          <w:kern w:val="0"/>
          <w:lang w:eastAsia="fr-FR"/>
        </w:rPr>
      </w:pPr>
      <w:r>
        <w:rPr>
          <w:rFonts w:cs="Arial" w:ascii="Century Gothic" w:hAnsi="Century Gothic"/>
          <w:color w:val="000000"/>
          <w:sz w:val="18"/>
          <w:szCs w:val="18"/>
          <w:lang w:eastAsia="fr-FR"/>
        </w:rPr>
        <w:t xml:space="preserve">Le cahier des clauses administratives générales </w:t>
      </w:r>
      <w:r>
        <w:rPr>
          <w:rFonts w:cs="Arial" w:ascii="Century Gothic" w:hAnsi="Century Gothic"/>
          <w:color w:val="000000"/>
          <w:kern w:val="0"/>
          <w:sz w:val="18"/>
          <w:szCs w:val="18"/>
          <w:lang w:eastAsia="fr-FR"/>
        </w:rPr>
        <w:t>(CCAG-FCS) approuvé par arrêté du 30 mars 2021</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mémoire technique et l’offre du titulaire à l’accord-cadre</w:t>
      </w:r>
    </w:p>
    <w:p>
      <w:pPr>
        <w:pStyle w:val="ListParagraph"/>
        <w:numPr>
          <w:ilvl w:val="0"/>
          <w:numId w:val="7"/>
        </w:numPr>
        <w:rPr>
          <w:rFonts w:ascii="Century Gothic" w:hAnsi="Century Gothic" w:cs="Arial"/>
          <w:color w:val="000000"/>
          <w:sz w:val="18"/>
          <w:szCs w:val="18"/>
          <w:lang w:eastAsia="fr-FR"/>
        </w:rPr>
      </w:pPr>
      <w:r>
        <w:rPr>
          <w:rFonts w:cs="Arial"/>
          <w:color w:val="000000"/>
          <w:kern w:val="0"/>
          <w:sz w:val="18"/>
          <w:szCs w:val="18"/>
          <w:lang w:eastAsia="fr-FR"/>
        </w:rPr>
        <w:t>Les pièces complémentaires et annexes remis par le titulaire</w:t>
      </w:r>
      <w:r>
        <w:rPr>
          <w:rFonts w:cs="Arial"/>
          <w:color w:val="000000"/>
          <w:sz w:val="18"/>
          <w:szCs w:val="18"/>
          <w:lang w:eastAsia="fr-FR"/>
        </w:rPr>
        <w:t> en réponse à l’accord-cadre</w:t>
      </w:r>
    </w:p>
    <w:p>
      <w:pPr>
        <w:pStyle w:val="ListParagraph"/>
        <w:numPr>
          <w:ilvl w:val="0"/>
          <w:numId w:val="0"/>
        </w:numPr>
        <w:ind w:left="720" w:hanging="0"/>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Normal"/>
        <w:numPr>
          <w:ilvl w:val="0"/>
          <w:numId w:val="0"/>
        </w:numPr>
        <w:suppressAutoHyphens w:val="false"/>
        <w:ind w:left="720" w:hanging="0"/>
        <w:jc w:val="both"/>
        <w:rPr>
          <w:b/>
          <w:bCs/>
        </w:rPr>
      </w:pPr>
      <w:r>
        <w:rPr>
          <w:rFonts w:cs="Arial" w:ascii="Century Gothic" w:hAnsi="Century Gothic"/>
          <w:b/>
          <w:bCs/>
          <w:color w:val="000000"/>
          <w:sz w:val="18"/>
          <w:szCs w:val="18"/>
          <w:u w:val="single"/>
          <w:lang w:eastAsia="fr-FR"/>
        </w:rPr>
        <w:t>Les pièces du marché subséquent :</w:t>
      </w:r>
    </w:p>
    <w:p>
      <w:pPr>
        <w:pStyle w:val="ListParagraph"/>
        <w:numPr>
          <w:ilvl w:val="0"/>
          <w:numId w:val="0"/>
        </w:numPr>
        <w:ind w:left="720" w:hanging="0"/>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 xml:space="preserve">Le présent </w:t>
      </w:r>
      <w:r>
        <w:rPr>
          <w:rFonts w:cs="Arial" w:ascii="Century Gothic" w:hAnsi="Century Gothic"/>
          <w:color w:val="000000" w:themeColor="dark1"/>
          <w:sz w:val="18"/>
          <w:szCs w:val="18"/>
          <w:lang w:eastAsia="fr-FR"/>
        </w:rPr>
        <w:t>marché subséquent valant</w:t>
      </w:r>
      <w:r>
        <w:rPr>
          <w:rFonts w:cs="Arial" w:ascii="Century Gothic" w:hAnsi="Century Gothic"/>
          <w:color w:val="000000"/>
          <w:sz w:val="18"/>
          <w:szCs w:val="18"/>
          <w:lang w:eastAsia="fr-FR"/>
        </w:rPr>
        <w:t xml:space="preserve"> acte d’engagement, y compris son ou ses annexes financières ;</w:t>
      </w:r>
    </w:p>
    <w:p>
      <w:pPr>
        <w:pStyle w:val="Normal"/>
        <w:numPr>
          <w:ilvl w:val="0"/>
          <w:numId w:val="7"/>
        </w:numPr>
        <w:spacing w:before="0" w:after="120"/>
        <w:ind w:left="708" w:hanging="360"/>
        <w:contextualSpacing/>
        <w:rPr>
          <w:kern w:val="0"/>
          <w:lang w:eastAsia="fr-FR"/>
        </w:rPr>
      </w:pPr>
      <w:r>
        <w:rPr>
          <w:kern w:val="0"/>
          <w:lang w:eastAsia="fr-FR"/>
        </w:rPr>
        <w:t xml:space="preserve">Les modalités et règlement d’accès aux sites </w:t>
      </w:r>
    </w:p>
    <w:p>
      <w:pPr>
        <w:pStyle w:val="Normal"/>
        <w:numPr>
          <w:ilvl w:val="0"/>
          <w:numId w:val="7"/>
        </w:numPr>
        <w:spacing w:before="0" w:after="120"/>
        <w:ind w:left="708" w:hanging="360"/>
        <w:contextualSpacing/>
        <w:rPr>
          <w:kern w:val="0"/>
          <w:lang w:eastAsia="fr-FR"/>
        </w:rPr>
      </w:pPr>
      <w:r>
        <w:rPr>
          <w:rFonts w:cs="Arial" w:ascii="Century Gothic" w:hAnsi="Century Gothic"/>
          <w:color w:val="000000"/>
          <w:kern w:val="0"/>
          <w:sz w:val="18"/>
          <w:szCs w:val="18"/>
          <w:lang w:eastAsia="fr-FR"/>
        </w:rPr>
        <w:t>Les plans des locaux, le cas échéant</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Les actes spéciaux de sous-traitance et leurs avenants postérieurs à la notification de l'accord-cadre ;</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mémoire technique et l’offre complémentaire éventuelle du marché subséquent</w:t>
      </w:r>
    </w:p>
    <w:p>
      <w:pPr>
        <w:pStyle w:val="Normal"/>
        <w:numPr>
          <w:ilvl w:val="0"/>
          <w:numId w:val="7"/>
        </w:numPr>
        <w:spacing w:before="0" w:after="120"/>
        <w:ind w:left="708" w:hanging="360"/>
        <w:contextualSpacing/>
        <w:rPr>
          <w:kern w:val="0"/>
          <w:lang w:eastAsia="fr-FR"/>
        </w:rPr>
      </w:pPr>
      <w:r>
        <w:rPr>
          <w:rFonts w:cs="Arial" w:ascii="Century Gothic" w:hAnsi="Century Gothic"/>
          <w:color w:val="000000"/>
          <w:kern w:val="0"/>
          <w:sz w:val="18"/>
          <w:szCs w:val="18"/>
          <w:lang w:eastAsia="fr-FR"/>
        </w:rPr>
        <w:t>les annexes, planning et autres éléments apportés par le titulaire dans le cadre du marché subséquent</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mémoire technique et l’offre complémentaire éventuelle du marché subséquent</w:t>
      </w:r>
    </w:p>
    <w:p>
      <w:pPr>
        <w:pStyle w:val="Normal"/>
        <w:tabs>
          <w:tab w:val="clear" w:pos="567"/>
          <w:tab w:val="left" w:pos="851" w:leader="none"/>
        </w:tabs>
        <w:jc w:val="both"/>
        <w:rPr>
          <w:rFonts w:ascii="Century Gothic" w:hAnsi="Century Gothic" w:cs="Arial"/>
          <w:sz w:val="18"/>
          <w:szCs w:val="18"/>
        </w:rPr>
      </w:pPr>
      <w:r>
        <w:rPr>
          <w:rFonts w:cs="Arial" w:ascii="Century Gothic" w:hAnsi="Century Gothic"/>
          <w:sz w:val="18"/>
          <w:szCs w:val="18"/>
        </w:rPr>
      </w:r>
    </w:p>
    <w:p>
      <w:pPr>
        <w:pStyle w:val="Normal"/>
        <w:tabs>
          <w:tab w:val="clear" w:pos="567"/>
          <w:tab w:val="left" w:pos="851" w:leader="none"/>
        </w:tabs>
        <w:jc w:val="both"/>
        <w:rPr>
          <w:rFonts w:ascii="Century Gothic" w:hAnsi="Century Gothic" w:cs="Arial"/>
          <w:sz w:val="18"/>
          <w:szCs w:val="18"/>
        </w:rPr>
      </w:pPr>
      <w:r>
        <w:rPr>
          <w:rFonts w:cs="Arial" w:ascii="Century Gothic" w:hAnsi="Century Gothic"/>
          <w:sz w:val="18"/>
          <w:szCs w:val="18"/>
        </w:rPr>
        <w:t>et conformément à leurs clauses,</w:t>
      </w:r>
    </w:p>
    <w:p>
      <w:pPr>
        <w:pStyle w:val="Normal"/>
        <w:tabs>
          <w:tab w:val="clear" w:pos="567"/>
          <w:tab w:val="left" w:pos="851" w:leader="none"/>
        </w:tabs>
        <w:jc w:val="both"/>
        <w:rPr>
          <w:rFonts w:ascii="Century Gothic" w:hAnsi="Century Gothic" w:cs="Arial"/>
          <w:sz w:val="18"/>
          <w:szCs w:val="18"/>
        </w:rPr>
      </w:pPr>
      <w:r>
        <w:rPr>
          <w:rFonts w:cs="Arial" w:ascii="Century Gothic" w:hAnsi="Century Gothic"/>
          <w:sz w:val="18"/>
          <w:szCs w:val="18"/>
        </w:rPr>
      </w:r>
    </w:p>
    <w:p>
      <w:pPr>
        <w:pStyle w:val="Normal"/>
        <w:tabs>
          <w:tab w:val="clear" w:pos="567"/>
          <w:tab w:val="left" w:pos="9781" w:leader="dot"/>
        </w:tabs>
        <w:spacing w:lineRule="auto" w:line="360"/>
        <w:jc w:val="both"/>
        <w:rPr>
          <w:rFonts w:ascii="Century Gothic" w:hAnsi="Century Gothic" w:cs="Arial"/>
          <w:b/>
          <w:i/>
          <w:i/>
          <w:sz w:val="18"/>
          <w:szCs w:val="18"/>
        </w:rPr>
      </w:pPr>
      <w:r>
        <w:rPr>
          <w:rFonts w:cs="Arial" w:ascii="Century Gothic" w:hAnsi="Century Gothic"/>
          <w:b/>
          <w:i/>
          <w:sz w:val="18"/>
          <w:szCs w:val="18"/>
        </w:rPr>
      </w:r>
    </w:p>
    <w:p>
      <w:pPr>
        <w:pStyle w:val="Normal"/>
        <w:tabs>
          <w:tab w:val="clear" w:pos="567"/>
          <w:tab w:val="left" w:pos="9781" w:leader="dot"/>
        </w:tabs>
        <w:spacing w:lineRule="auto" w:line="360"/>
        <w:jc w:val="both"/>
        <w:rPr>
          <w:rFonts w:ascii="Century Gothic" w:hAnsi="Century Gothic" w:cs="Arial"/>
          <w:b/>
          <w:i/>
          <w:i/>
          <w:sz w:val="18"/>
          <w:szCs w:val="18"/>
        </w:rPr>
      </w:pPr>
      <w:r>
        <w:rPr>
          <w:rFonts w:cs="Arial" w:ascii="Century Gothic" w:hAnsi="Century Gothic"/>
          <w:b/>
          <w:i/>
          <w:sz w:val="18"/>
          <w:szCs w:val="18"/>
        </w:rPr>
      </w:r>
    </w:p>
    <w:p>
      <w:pPr>
        <w:pStyle w:val="Normal"/>
        <w:tabs>
          <w:tab w:val="clear" w:pos="567"/>
          <w:tab w:val="left" w:pos="9781" w:leader="dot"/>
        </w:tabs>
        <w:spacing w:lineRule="auto" w:line="360"/>
        <w:jc w:val="both"/>
        <w:rPr/>
      </w:pPr>
      <w:r>
        <w:rPr>
          <w:rFonts w:cs="Arial" w:ascii="Century Gothic" w:hAnsi="Century Gothic"/>
          <w:b/>
          <w:i/>
          <w:sz w:val="18"/>
          <w:szCs w:val="18"/>
        </w:rPr>
        <w:t>Nom Commercial</w:t>
      </w:r>
      <w:r>
        <w:rPr>
          <w:rFonts w:cs="Arial" w:ascii="Century Gothic" w:hAnsi="Century Gothic"/>
          <w:i/>
          <w:sz w:val="18"/>
          <w:szCs w:val="18"/>
        </w:rPr>
        <w:t xml:space="preserve"> </w:t>
      </w:r>
      <w:r>
        <w:rPr>
          <w:rFonts w:cs="Arial" w:ascii="Century Gothic" w:hAnsi="Century Gothic"/>
          <w:b/>
          <w:i/>
          <w:sz w:val="18"/>
          <w:szCs w:val="18"/>
        </w:rPr>
        <w:t>(Dénomination sociale du  candidat)</w:t>
      </w:r>
      <w:r>
        <w:rPr>
          <w:rFonts w:cs="Arial" w:ascii="Century Gothic" w:hAnsi="Century Gothic"/>
          <w:i/>
          <w:sz w:val="18"/>
          <w:szCs w:val="18"/>
        </w:rPr>
        <w:t> </w:t>
      </w:r>
      <w:r>
        <w:rPr>
          <w:rFonts w:cs="Arial" w:ascii="Century Gothic" w:hAnsi="Century Gothic"/>
          <w:b/>
          <w:i/>
          <w:sz w:val="18"/>
          <w:szCs w:val="18"/>
        </w:rPr>
        <w:t xml:space="preserve">: </w:t>
      </w:r>
    </w:p>
    <w:p>
      <w:pPr>
        <w:pStyle w:val="Default"/>
        <w:rPr>
          <w:strike w:val="false"/>
          <w:dstrike w:val="false"/>
          <w:sz w:val="20"/>
          <w:u w:val="none"/>
        </w:rPr>
      </w:pPr>
      <w:r>
        <w:rPr/>
      </w:r>
    </w:p>
    <w:tbl>
      <w:tblPr>
        <w:tblW w:w="12240" w:type="dxa"/>
        <w:jc w:val="left"/>
        <w:tblInd w:w="0" w:type="dxa"/>
        <w:tblLayout w:type="fixed"/>
        <w:tblCellMar>
          <w:top w:w="0" w:type="dxa"/>
          <w:left w:w="108" w:type="dxa"/>
          <w:bottom w:w="0" w:type="dxa"/>
          <w:right w:w="108" w:type="dxa"/>
        </w:tblCellMar>
      </w:tblPr>
      <w:tblGrid>
        <w:gridCol w:w="12240"/>
      </w:tblGrid>
      <w:tr>
        <w:trPr>
          <w:trHeight w:val="712" w:hRule="atLeast"/>
        </w:trPr>
        <w:tc>
          <w:tcPr>
            <w:tcW w:w="12240" w:type="dxa"/>
            <w:tcBorders/>
          </w:tcPr>
          <w:p>
            <w:pPr>
              <w:pStyle w:val="Default"/>
              <w:tabs>
                <w:tab w:val="clear" w:pos="567"/>
              </w:tabs>
              <w:rPr>
                <w:b w:val="false"/>
                <w:strike w:val="false"/>
                <w:dstrike w:val="false"/>
                <w:sz w:val="20"/>
                <w:u w:val="none"/>
              </w:rPr>
            </w:pPr>
            <w:r>
              <w:rPr>
                <w:rFonts w:cs="Arial" w:ascii="Century Gothic" w:hAnsi="Century Gothic"/>
                <w:b/>
                <w:i/>
                <w:strike w:val="false"/>
                <w:dstrike w:val="false"/>
                <w:sz w:val="20"/>
                <w:szCs w:val="18"/>
                <w:u w:val="none"/>
              </w:rPr>
              <w:t>INEO PROVENCE ET COTE D</w:t>
            </w:r>
            <w:r>
              <w:rPr>
                <w:b/>
                <w:sz w:val="20"/>
              </w:rPr>
              <w:t xml:space="preserve">’AZUR SAS </w:t>
            </w:r>
          </w:p>
          <w:p>
            <w:pPr>
              <w:pStyle w:val="Default"/>
              <w:tabs>
                <w:tab w:val="clear" w:pos="567"/>
              </w:tabs>
              <w:rPr>
                <w:b w:val="false"/>
                <w:strike w:val="false"/>
                <w:dstrike w:val="false"/>
                <w:sz w:val="20"/>
                <w:u w:val="none"/>
              </w:rPr>
            </w:pPr>
            <w:r>
              <w:rPr>
                <w:b w:val="false"/>
                <w:strike w:val="false"/>
                <w:dstrike w:val="false"/>
                <w:sz w:val="20"/>
                <w:u w:val="none"/>
              </w:rPr>
              <w:t xml:space="preserve">205 rue Georges Claude CS 20333 </w:t>
            </w:r>
          </w:p>
          <w:p>
            <w:pPr>
              <w:pStyle w:val="Default"/>
              <w:tabs>
                <w:tab w:val="clear" w:pos="567"/>
              </w:tabs>
              <w:rPr>
                <w:b w:val="false"/>
                <w:strike w:val="false"/>
                <w:dstrike w:val="false"/>
                <w:sz w:val="20"/>
                <w:u w:val="none"/>
              </w:rPr>
            </w:pPr>
            <w:r>
              <w:rPr>
                <w:b w:val="false"/>
                <w:strike w:val="false"/>
                <w:dstrike w:val="false"/>
                <w:sz w:val="20"/>
                <w:u w:val="none"/>
              </w:rPr>
              <w:t xml:space="preserve">Pôle d’Activités d’Aix-en-Provence </w:t>
            </w:r>
          </w:p>
          <w:p>
            <w:pPr>
              <w:pStyle w:val="Default"/>
              <w:tabs>
                <w:tab w:val="clear" w:pos="567"/>
              </w:tabs>
              <w:rPr>
                <w:b w:val="false"/>
                <w:strike w:val="false"/>
                <w:dstrike w:val="false"/>
                <w:sz w:val="20"/>
                <w:u w:val="none"/>
              </w:rPr>
            </w:pPr>
            <w:r>
              <w:rPr>
                <w:b w:val="false"/>
                <w:strike w:val="false"/>
                <w:dstrike w:val="false"/>
                <w:sz w:val="20"/>
                <w:u w:val="none"/>
              </w:rPr>
              <w:t xml:space="preserve">13799 Aix-en-Provence Cedex 3 </w:t>
            </w:r>
          </w:p>
          <w:p>
            <w:pPr>
              <w:pStyle w:val="Default"/>
              <w:tabs>
                <w:tab w:val="clear" w:pos="567"/>
              </w:tabs>
              <w:rPr>
                <w:b w:val="false"/>
                <w:strike w:val="false"/>
                <w:dstrike w:val="false"/>
                <w:sz w:val="20"/>
                <w:u w:val="none"/>
              </w:rPr>
            </w:pPr>
            <w:r>
              <w:rPr>
                <w:b w:val="false"/>
                <w:strike w:val="false"/>
                <w:dstrike w:val="false"/>
                <w:sz w:val="20"/>
                <w:u w:val="none"/>
              </w:rPr>
              <w:t xml:space="preserve">Tél : 04 42 16 58 00 – Fax : 04 42 16 58 16 </w:t>
            </w:r>
          </w:p>
          <w:p>
            <w:pPr>
              <w:pStyle w:val="Default"/>
              <w:tabs>
                <w:tab w:val="clear" w:pos="567"/>
              </w:tabs>
              <w:rPr>
                <w:strike w:val="false"/>
                <w:dstrike w:val="false"/>
                <w:sz w:val="20"/>
                <w:u w:val="none"/>
              </w:rPr>
            </w:pPr>
            <w:r>
              <w:rPr>
                <w:b w:val="false"/>
                <w:strike w:val="false"/>
                <w:dstrike w:val="false"/>
                <w:sz w:val="20"/>
                <w:u w:val="none"/>
              </w:rPr>
              <w:t xml:space="preserve">SIRET 429 811 284 00034 </w:t>
            </w:r>
          </w:p>
        </w:tc>
      </w:tr>
    </w:tbl>
    <w:p>
      <w:pPr>
        <w:pStyle w:val="Default"/>
        <w:rPr>
          <w:b w:val="false"/>
          <w:strike w:val="false"/>
          <w:dstrike w:val="false"/>
          <w:sz w:val="20"/>
          <w:u w:val="none"/>
        </w:rPr>
      </w:pPr>
      <w:r>
        <w:rPr>
          <w:b w:val="false"/>
          <w:strike w:val="false"/>
          <w:dstrike w:val="false"/>
          <w:sz w:val="20"/>
          <w:u w:val="none"/>
        </w:rPr>
      </w:r>
    </w:p>
    <w:p>
      <w:pPr>
        <w:pStyle w:val="Normal"/>
        <w:rPr>
          <w:strike w:val="false"/>
          <w:dstrike w:val="false"/>
          <w:sz w:val="20"/>
          <w:u w:val="none"/>
        </w:rPr>
      </w:pPr>
      <w:r>
        <w:rPr/>
      </w:r>
    </w:p>
    <w:p>
      <w:pPr>
        <w:pStyle w:val="Default"/>
        <w:rPr>
          <w:strike w:val="false"/>
          <w:dstrike w:val="false"/>
          <w:sz w:val="20"/>
          <w:u w:val="none"/>
        </w:rPr>
      </w:pPr>
      <w:r>
        <w:rPr/>
      </w:r>
    </w:p>
    <w:p>
      <w:pPr>
        <w:pStyle w:val="Default"/>
        <w:rPr>
          <w:strike w:val="false"/>
          <w:dstrike w:val="false"/>
          <w:sz w:val="20"/>
          <w:u w:val="none"/>
        </w:rPr>
      </w:pPr>
      <w:r>
        <w:rPr/>
      </w:r>
    </w:p>
    <w:p>
      <w:pPr>
        <w:pStyle w:val="Default"/>
        <w:rPr>
          <w:strike w:val="false"/>
          <w:dstrike w:val="false"/>
          <w:sz w:val="20"/>
          <w:u w:val="none"/>
        </w:rPr>
      </w:pPr>
      <w:r>
        <w:rPr/>
      </w:r>
    </w:p>
    <w:p>
      <w:pPr>
        <w:pStyle w:val="Default"/>
        <w:rPr>
          <w:strike w:val="false"/>
          <w:dstrike w:val="false"/>
          <w:sz w:val="20"/>
          <w:u w:val="none"/>
        </w:rPr>
      </w:pPr>
      <w:r>
        <w:rPr/>
      </w:r>
    </w:p>
    <w:p>
      <w:pPr>
        <w:pStyle w:val="Normal"/>
        <w:tabs>
          <w:tab w:val="clear" w:pos="567"/>
          <w:tab w:val="left" w:pos="9781" w:leader="dot"/>
        </w:tabs>
        <w:spacing w:lineRule="auto" w:line="360"/>
        <w:jc w:val="both"/>
        <w:rPr>
          <w:rFonts w:ascii="Century Gothic" w:hAnsi="Century Gothic" w:cs="Arial"/>
          <w:b/>
          <w:i/>
          <w:i/>
          <w:sz w:val="18"/>
          <w:szCs w:val="18"/>
        </w:rPr>
      </w:pPr>
      <w:r>
        <w:rPr>
          <w:rFonts w:cs="Arial" w:ascii="Century Gothic" w:hAnsi="Century Gothic"/>
          <w:b/>
          <w:i/>
          <w:sz w:val="18"/>
          <w:szCs w:val="18"/>
        </w:rPr>
      </w:r>
    </w:p>
    <w:p>
      <w:pPr>
        <w:pStyle w:val="Normal"/>
        <w:tabs>
          <w:tab w:val="clear" w:pos="567"/>
          <w:tab w:val="left" w:pos="9781" w:leader="dot"/>
        </w:tabs>
        <w:spacing w:lineRule="auto" w:line="360"/>
        <w:jc w:val="both"/>
        <w:rPr>
          <w:rFonts w:ascii="Century Gothic" w:hAnsi="Century Gothic" w:cs="Arial"/>
          <w:sz w:val="18"/>
          <w:szCs w:val="18"/>
        </w:rPr>
      </w:pPr>
      <w:r>
        <w:rPr>
          <w:rFonts w:cs="Arial" w:ascii="Century Gothic" w:hAnsi="Century Gothic"/>
          <w:b/>
          <w:sz w:val="18"/>
          <w:szCs w:val="18"/>
        </w:rPr>
        <w:t xml:space="preserve">ADRESSE DE L’AGENCE pour l’exploitation (si différent) : </w:t>
      </w:r>
    </w:p>
    <w:p>
      <w:pPr>
        <w:pStyle w:val="Normal"/>
        <w:tabs>
          <w:tab w:val="clear" w:pos="567"/>
          <w:tab w:val="left" w:pos="9781" w:leader="dot"/>
        </w:tabs>
        <w:spacing w:lineRule="auto" w:line="360"/>
        <w:jc w:val="both"/>
        <w:rPr>
          <w:rFonts w:ascii="Century Gothic" w:hAnsi="Century Gothic" w:cs="Arial"/>
          <w:sz w:val="18"/>
          <w:szCs w:val="18"/>
        </w:rPr>
      </w:pPr>
      <w:r>
        <w:rPr>
          <w:b/>
          <w:strike w:val="false"/>
          <w:dstrike w:val="false"/>
          <w:sz w:val="20"/>
          <w:u w:val="none"/>
        </w:rPr>
      </w:r>
    </w:p>
    <w:p>
      <w:pPr>
        <w:pStyle w:val="Normal"/>
        <w:jc w:val="both"/>
        <w:rPr>
          <w:rFonts w:ascii="Century Gothic" w:hAnsi="Century Gothic"/>
          <w:b/>
          <w:color w:val="000000"/>
          <w:sz w:val="18"/>
          <w:szCs w:val="18"/>
        </w:rPr>
      </w:pPr>
      <w:r>
        <w:rPr>
          <w:rFonts w:ascii="Century Gothic" w:hAnsi="Century Gothic"/>
          <w:b/>
          <w:color w:val="000000"/>
          <w:sz w:val="18"/>
          <w:szCs w:val="18"/>
        </w:rPr>
      </w:r>
    </w:p>
    <w:tbl>
      <w:tblPr>
        <w:tblW w:w="12240" w:type="dxa"/>
        <w:jc w:val="left"/>
        <w:tblInd w:w="0" w:type="dxa"/>
        <w:tblLayout w:type="fixed"/>
        <w:tblCellMar>
          <w:top w:w="0" w:type="dxa"/>
          <w:left w:w="108" w:type="dxa"/>
          <w:bottom w:w="0" w:type="dxa"/>
          <w:right w:w="108" w:type="dxa"/>
        </w:tblCellMar>
      </w:tblPr>
      <w:tblGrid>
        <w:gridCol w:w="12240"/>
      </w:tblGrid>
      <w:tr>
        <w:trPr>
          <w:trHeight w:val="827" w:hRule="atLeast"/>
        </w:trPr>
        <w:tc>
          <w:tcPr>
            <w:tcW w:w="12240" w:type="dxa"/>
            <w:tcBorders/>
          </w:tcPr>
          <w:p>
            <w:pPr>
              <w:pStyle w:val="Default"/>
              <w:tabs>
                <w:tab w:val="clear" w:pos="567"/>
              </w:tabs>
              <w:rPr>
                <w:b w:val="false"/>
                <w:strike w:val="false"/>
                <w:dstrike w:val="false"/>
                <w:sz w:val="20"/>
                <w:u w:val="none"/>
              </w:rPr>
            </w:pPr>
            <w:r>
              <w:rPr>
                <w:b/>
                <w:sz w:val="20"/>
              </w:rPr>
              <w:t xml:space="preserve">INEO PROVENCE ET COTE D’AZUR SAS </w:t>
            </w:r>
          </w:p>
          <w:p>
            <w:pPr>
              <w:pStyle w:val="Default"/>
              <w:tabs>
                <w:tab w:val="clear" w:pos="567"/>
              </w:tabs>
              <w:rPr>
                <w:b w:val="false"/>
                <w:strike w:val="false"/>
                <w:dstrike w:val="false"/>
                <w:sz w:val="20"/>
                <w:u w:val="none"/>
              </w:rPr>
            </w:pPr>
            <w:r>
              <w:rPr>
                <w:b w:val="false"/>
                <w:strike w:val="false"/>
                <w:dstrike w:val="false"/>
                <w:sz w:val="20"/>
                <w:u w:val="none"/>
              </w:rPr>
              <w:t xml:space="preserve">255 rue Georges Claude CS 20333 </w:t>
            </w:r>
          </w:p>
          <w:p>
            <w:pPr>
              <w:pStyle w:val="Default"/>
              <w:tabs>
                <w:tab w:val="clear" w:pos="567"/>
              </w:tabs>
              <w:rPr>
                <w:b w:val="false"/>
                <w:strike w:val="false"/>
                <w:dstrike w:val="false"/>
                <w:sz w:val="20"/>
                <w:u w:val="none"/>
              </w:rPr>
            </w:pPr>
            <w:r>
              <w:rPr>
                <w:b w:val="false"/>
                <w:strike w:val="false"/>
                <w:dstrike w:val="false"/>
                <w:sz w:val="20"/>
                <w:u w:val="none"/>
              </w:rPr>
              <w:t xml:space="preserve">Pôle d’Activités d’Aix-en-Provence </w:t>
            </w:r>
          </w:p>
          <w:p>
            <w:pPr>
              <w:pStyle w:val="Default"/>
              <w:tabs>
                <w:tab w:val="clear" w:pos="567"/>
              </w:tabs>
              <w:rPr>
                <w:b w:val="false"/>
                <w:strike w:val="false"/>
                <w:dstrike w:val="false"/>
                <w:sz w:val="20"/>
                <w:u w:val="none"/>
              </w:rPr>
            </w:pPr>
            <w:r>
              <w:rPr>
                <w:b w:val="false"/>
                <w:strike w:val="false"/>
                <w:dstrike w:val="false"/>
                <w:sz w:val="20"/>
                <w:u w:val="none"/>
              </w:rPr>
              <w:t xml:space="preserve">13799 Aix-en-Provence Cedex 3 </w:t>
            </w:r>
          </w:p>
          <w:p>
            <w:pPr>
              <w:pStyle w:val="Default"/>
              <w:tabs>
                <w:tab w:val="clear" w:pos="567"/>
              </w:tabs>
              <w:rPr>
                <w:b w:val="false"/>
                <w:strike w:val="false"/>
                <w:dstrike w:val="false"/>
                <w:sz w:val="20"/>
                <w:u w:val="none"/>
              </w:rPr>
            </w:pPr>
            <w:r>
              <w:rPr>
                <w:b w:val="false"/>
                <w:strike w:val="false"/>
                <w:dstrike w:val="false"/>
                <w:sz w:val="20"/>
                <w:u w:val="none"/>
              </w:rPr>
              <w:t xml:space="preserve">Tél : 04 42 16 58 00 – Fax : 04 42 16 58 16 </w:t>
            </w:r>
          </w:p>
          <w:p>
            <w:pPr>
              <w:pStyle w:val="Default"/>
              <w:tabs>
                <w:tab w:val="clear" w:pos="567"/>
              </w:tabs>
              <w:rPr>
                <w:b w:val="false"/>
                <w:strike w:val="false"/>
                <w:dstrike w:val="false"/>
                <w:sz w:val="20"/>
                <w:u w:val="none"/>
              </w:rPr>
            </w:pPr>
            <w:r>
              <w:rPr>
                <w:b w:val="false"/>
                <w:strike w:val="false"/>
                <w:dstrike w:val="false"/>
                <w:sz w:val="20"/>
                <w:u w:val="none"/>
              </w:rPr>
              <w:t xml:space="preserve">Ao.ineopca.ipc9@equans.com </w:t>
            </w:r>
          </w:p>
          <w:p>
            <w:pPr>
              <w:pStyle w:val="Default"/>
              <w:tabs>
                <w:tab w:val="clear" w:pos="567"/>
              </w:tabs>
              <w:rPr>
                <w:rFonts w:ascii="Century Gothic" w:hAnsi="Century Gothic"/>
                <w:b/>
                <w:color w:val="000000"/>
                <w:sz w:val="18"/>
                <w:szCs w:val="18"/>
              </w:rPr>
            </w:pPr>
            <w:r>
              <w:rPr>
                <w:b w:val="false"/>
                <w:strike w:val="false"/>
                <w:dstrike w:val="false"/>
                <w:sz w:val="20"/>
                <w:u w:val="none"/>
              </w:rPr>
              <w:t xml:space="preserve">SIRET 429 811 284 00034 </w:t>
            </w:r>
          </w:p>
        </w:tc>
      </w:tr>
    </w:tbl>
    <w:p>
      <w:pPr>
        <w:pStyle w:val="Default"/>
        <w:rPr>
          <w:b w:val="false"/>
          <w:strike w:val="false"/>
          <w:dstrike w:val="false"/>
          <w:sz w:val="20"/>
          <w:u w:val="none"/>
        </w:rPr>
      </w:pPr>
      <w:r>
        <w:rPr>
          <w:b w:val="false"/>
          <w:strike w:val="false"/>
          <w:dstrike w:val="false"/>
          <w:sz w:val="20"/>
          <w:u w:val="none"/>
        </w:rPr>
      </w:r>
    </w:p>
    <w:p>
      <w:pPr>
        <w:pStyle w:val="Normal"/>
        <w:jc w:val="both"/>
        <w:rPr>
          <w:rFonts w:ascii="Century Gothic" w:hAnsi="Century Gothic"/>
          <w:b/>
          <w:color w:val="000000"/>
          <w:sz w:val="18"/>
          <w:szCs w:val="18"/>
        </w:rPr>
      </w:pPr>
      <w:r>
        <w:rPr>
          <w:rFonts w:ascii="Century Gothic" w:hAnsi="Century Gothic"/>
          <w:b/>
          <w:color w:val="000000"/>
          <w:sz w:val="18"/>
          <w:szCs w:val="18"/>
        </w:rPr>
      </w:r>
    </w:p>
    <w:p>
      <w:pPr>
        <w:pStyle w:val="Normal"/>
        <w:jc w:val="both"/>
        <w:rPr>
          <w:rFonts w:ascii="Century Gothic" w:hAnsi="Century Gothic"/>
          <w:b/>
          <w:color w:val="000000"/>
          <w:sz w:val="18"/>
          <w:szCs w:val="18"/>
        </w:rPr>
      </w:pPr>
      <w:r>
        <w:rPr>
          <w:rFonts w:ascii="Century Gothic" w:hAnsi="Century Gothic"/>
          <w:b/>
          <w:color w:val="000000"/>
          <w:sz w:val="18"/>
          <w:szCs w:val="18"/>
        </w:rPr>
      </w:r>
    </w:p>
    <w:p>
      <w:pPr>
        <w:pStyle w:val="Normal"/>
        <w:jc w:val="both"/>
        <w:rPr>
          <w:rFonts w:ascii="Century Gothic" w:hAnsi="Century Gothic"/>
          <w:b/>
          <w:bCs/>
          <w:color w:val="000000"/>
          <w:sz w:val="18"/>
          <w:szCs w:val="18"/>
        </w:rPr>
      </w:pPr>
      <w:r>
        <w:rPr>
          <w:rFonts w:ascii="Century Gothic" w:hAnsi="Century Gothic"/>
          <w:b/>
          <w:bCs/>
          <w:color w:val="000000"/>
          <w:sz w:val="18"/>
          <w:szCs w:val="18"/>
        </w:rPr>
      </w:r>
    </w:p>
    <w:p>
      <w:pPr>
        <w:pStyle w:val="Normal"/>
        <w:shd w:val="clear" w:fill="DAEEF3"/>
        <w:tabs>
          <w:tab w:val="clear" w:pos="567"/>
          <w:tab w:val="left" w:pos="426" w:leader="none"/>
          <w:tab w:val="left" w:pos="851" w:leader="none"/>
        </w:tabs>
        <w:jc w:val="both"/>
        <w:rPr/>
      </w:pPr>
      <w:r>
        <w:rPr>
          <w:rFonts w:eastAsia="Wingdings" w:cs="Wingdings" w:ascii="Century Gothic" w:hAnsi="Century Gothic"/>
          <w:b/>
          <w:bCs/>
          <w:color w:val="66CCFF"/>
          <w:spacing w:val="-10"/>
          <w:sz w:val="18"/>
          <w:szCs w:val="18"/>
        </w:rPr>
        <w:t></w:t>
      </w:r>
      <w:r>
        <w:rPr>
          <w:rFonts w:eastAsia="Arial" w:cs="Arial" w:ascii="Century Gothic" w:hAnsi="Century Gothic"/>
          <w:b/>
          <w:bCs/>
          <w:spacing w:val="-10"/>
          <w:sz w:val="18"/>
          <w:szCs w:val="18"/>
        </w:rPr>
        <w:t xml:space="preserve">  </w:t>
      </w:r>
      <w:r>
        <w:rPr>
          <w:rFonts w:eastAsia="Arial" w:cs="Arial" w:ascii="Century Gothic" w:hAnsi="Century Gothic"/>
          <w:b/>
          <w:bCs/>
          <w:spacing w:val="-10"/>
          <w:sz w:val="18"/>
          <w:szCs w:val="18"/>
        </w:rPr>
        <w:t xml:space="preserve">ENGAGEMENT DU TITULAIRE:  </w:t>
      </w:r>
      <w:r>
        <w:rPr>
          <w:rFonts w:eastAsia="Arial" w:cs="Arial" w:ascii="Century Gothic" w:hAnsi="Century Gothic"/>
          <w:b/>
          <w:bCs/>
          <w:spacing w:val="-10"/>
          <w:sz w:val="21"/>
          <w:szCs w:val="21"/>
        </w:rPr>
        <w:t xml:space="preserve"> Se reférer à l’annexe financière</w:t>
      </w:r>
    </w:p>
    <w:p>
      <w:pPr>
        <w:pStyle w:val="Fcase1ertab"/>
        <w:tabs>
          <w:tab w:val="left" w:pos="426" w:leader="none"/>
          <w:tab w:val="left" w:pos="851" w:leader="none"/>
        </w:tabs>
        <w:ind w:left="0" w:hanging="0"/>
        <w:rPr>
          <w:rFonts w:ascii="Century Gothic" w:hAnsi="Century Gothic" w:cs="Arial"/>
          <w:sz w:val="18"/>
          <w:szCs w:val="18"/>
        </w:rPr>
      </w:pPr>
      <w:r>
        <w:rPr>
          <w:rFonts w:cs="Arial" w:ascii="Century Gothic" w:hAnsi="Century Gothic"/>
          <w:sz w:val="18"/>
          <w:szCs w:val="18"/>
        </w:rPr>
      </w:r>
    </w:p>
    <w:p>
      <w:pPr>
        <w:pStyle w:val="Fcase1ertab"/>
        <w:tabs>
          <w:tab w:val="left" w:pos="426" w:leader="none"/>
          <w:tab w:val="left" w:pos="851" w:leader="none"/>
        </w:tabs>
        <w:ind w:left="0" w:hanging="0"/>
        <w:rPr>
          <w:rFonts w:ascii="Century Gothic" w:hAnsi="Century Gothic" w:cs="Arial"/>
          <w:sz w:val="18"/>
          <w:szCs w:val="18"/>
        </w:rPr>
      </w:pPr>
      <w:r>
        <w:rPr>
          <w:rFonts w:cs="Arial" w:ascii="Century Gothic" w:hAnsi="Century Gothic"/>
          <w:sz w:val="18"/>
          <w:szCs w:val="18"/>
        </w:rPr>
        <w:t xml:space="preserve">Le titulaire s’engage à exécuter les prestations demandées pour les sites portés au point A du présent marché  subséquent conformément aux prix plafonds indiqués dans l’annexe financière  de l’accord cadre, et pour le montant forfaitaire ci-dessous : </w:t>
      </w:r>
    </w:p>
    <w:p>
      <w:pPr>
        <w:pStyle w:val="Fcase1ertab"/>
        <w:tabs>
          <w:tab w:val="left" w:pos="426" w:leader="none"/>
          <w:tab w:val="left" w:pos="851" w:leader="none"/>
        </w:tabs>
        <w:ind w:left="0" w:hanging="0"/>
        <w:rPr>
          <w:rFonts w:ascii="Century Gothic" w:hAnsi="Century Gothic" w:cs="Arial"/>
          <w:sz w:val="18"/>
          <w:szCs w:val="18"/>
        </w:rPr>
      </w:pPr>
      <w:r>
        <w:rPr>
          <w:rFonts w:cs="Arial" w:ascii="Century Gothic" w:hAnsi="Century Gothic"/>
          <w:sz w:val="18"/>
          <w:szCs w:val="18"/>
        </w:rPr>
      </w:r>
    </w:p>
    <w:tbl>
      <w:tblPr>
        <w:tblW w:w="5000" w:type="pct"/>
        <w:jc w:val="left"/>
        <w:tblInd w:w="0" w:type="dxa"/>
        <w:tblLayout w:type="fixed"/>
        <w:tblCellMar>
          <w:top w:w="0" w:type="dxa"/>
          <w:left w:w="0" w:type="dxa"/>
          <w:bottom w:w="0" w:type="dxa"/>
          <w:right w:w="0" w:type="dxa"/>
        </w:tblCellMar>
      </w:tblPr>
      <w:tblGrid>
        <w:gridCol w:w="1700"/>
        <w:gridCol w:w="1694"/>
        <w:gridCol w:w="1707"/>
        <w:gridCol w:w="1701"/>
        <w:gridCol w:w="1700"/>
        <w:gridCol w:w="1701"/>
      </w:tblGrid>
      <w:tr>
        <w:trPr/>
        <w:tc>
          <w:tcPr>
            <w:tcW w:w="1700" w:type="dxa"/>
            <w:tcBorders/>
          </w:tcPr>
          <w:p>
            <w:pPr>
              <w:pStyle w:val="Contenudetableau"/>
              <w:widowControl w:val="false"/>
              <w:jc w:val="center"/>
              <w:rPr/>
            </w:pPr>
            <w:r>
              <w:rPr/>
              <w:t>Désignation du site</w:t>
            </w:r>
          </w:p>
        </w:tc>
        <w:tc>
          <w:tcPr>
            <w:tcW w:w="1694" w:type="dxa"/>
            <w:tcBorders/>
          </w:tcPr>
          <w:p>
            <w:pPr>
              <w:pStyle w:val="Contenudetableau"/>
              <w:widowControl w:val="false"/>
              <w:jc w:val="center"/>
              <w:rPr/>
            </w:pPr>
            <w:r>
              <w:rPr/>
              <w:t>Adresse du site</w:t>
            </w:r>
          </w:p>
        </w:tc>
        <w:tc>
          <w:tcPr>
            <w:tcW w:w="1707" w:type="dxa"/>
            <w:tcBorders/>
          </w:tcPr>
          <w:p>
            <w:pPr>
              <w:pStyle w:val="Contenudetableau"/>
              <w:widowControl w:val="false"/>
              <w:jc w:val="center"/>
              <w:rPr/>
            </w:pPr>
            <w:r>
              <w:rPr/>
              <w:t>Équipements concernés (en référence au BPU)</w:t>
            </w:r>
          </w:p>
        </w:tc>
        <w:tc>
          <w:tcPr>
            <w:tcW w:w="1701" w:type="dxa"/>
            <w:tcBorders/>
          </w:tcPr>
          <w:p>
            <w:pPr>
              <w:pStyle w:val="Contenudetableau"/>
              <w:widowControl w:val="false"/>
              <w:jc w:val="center"/>
              <w:rPr/>
            </w:pPr>
            <w:r>
              <w:rPr/>
              <w:t>Nombre d’équipements sur le site</w:t>
            </w:r>
          </w:p>
        </w:tc>
        <w:tc>
          <w:tcPr>
            <w:tcW w:w="1700" w:type="dxa"/>
            <w:tcBorders/>
          </w:tcPr>
          <w:p>
            <w:pPr>
              <w:pStyle w:val="Contenudetableau"/>
              <w:widowControl w:val="false"/>
              <w:jc w:val="center"/>
              <w:rPr/>
            </w:pPr>
            <w:r>
              <w:rPr/>
              <w:t>Prix unitaire par équipement en euros HT</w:t>
            </w:r>
          </w:p>
        </w:tc>
        <w:tc>
          <w:tcPr>
            <w:tcW w:w="1701" w:type="dxa"/>
            <w:tcBorders/>
          </w:tcPr>
          <w:p>
            <w:pPr>
              <w:pStyle w:val="Contenudetableau"/>
              <w:widowControl w:val="false"/>
              <w:jc w:val="center"/>
              <w:rPr/>
            </w:pPr>
            <w:r>
              <w:rPr/>
              <w:t>Prix total pour les équipements en euros HT</w:t>
            </w:r>
          </w:p>
        </w:tc>
      </w:tr>
      <w:tr>
        <w:trPr/>
        <w:tc>
          <w:tcPr>
            <w:tcW w:w="1700" w:type="dxa"/>
            <w:tcBorders/>
          </w:tcPr>
          <w:p>
            <w:pPr>
              <w:pStyle w:val="Contenudetableau"/>
              <w:widowControl w:val="false"/>
              <w:rPr/>
            </w:pPr>
            <w:r>
              <w:rPr/>
              <w:t>Draguignan Bureau</w:t>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t>229</w:t>
            </w:r>
          </w:p>
        </w:tc>
      </w:tr>
      <w:tr>
        <w:trPr/>
        <w:tc>
          <w:tcPr>
            <w:tcW w:w="1700" w:type="dxa"/>
            <w:tcBorders/>
          </w:tcPr>
          <w:p>
            <w:pPr>
              <w:pStyle w:val="Contenudetableau"/>
              <w:widowControl w:val="false"/>
              <w:rPr/>
            </w:pPr>
            <w:r>
              <w:rPr/>
              <w:t>Toulon Bureau</w:t>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t>227</w:t>
            </w:r>
          </w:p>
        </w:tc>
      </w:tr>
      <w:tr>
        <w:trPr/>
        <w:tc>
          <w:tcPr>
            <w:tcW w:w="1700" w:type="dxa"/>
            <w:tcBorders/>
          </w:tcPr>
          <w:p>
            <w:pPr>
              <w:pStyle w:val="Contenudetableau"/>
              <w:widowControl w:val="false"/>
              <w:rPr/>
            </w:pPr>
            <w:r>
              <w:rPr/>
              <w:t>Toulon BSI</w:t>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t>306</w:t>
            </w:r>
          </w:p>
        </w:tc>
      </w:tr>
      <w:tr>
        <w:trPr>
          <w:trHeight w:val="270" w:hRule="atLeast"/>
        </w:trPr>
        <w:tc>
          <w:tcPr>
            <w:tcW w:w="1700" w:type="dxa"/>
            <w:tcBorders/>
          </w:tcPr>
          <w:p>
            <w:pPr>
              <w:pStyle w:val="Contenudetableau"/>
              <w:widowControl w:val="false"/>
              <w:rPr/>
            </w:pPr>
            <w:r>
              <w:rPr/>
              <w:t>Frejus BSI</w:t>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t>216</w:t>
            </w:r>
          </w:p>
        </w:tc>
      </w:tr>
      <w:tr>
        <w:trPr>
          <w:trHeight w:val="270" w:hRule="atLeast"/>
        </w:trPr>
        <w:tc>
          <w:tcPr>
            <w:tcW w:w="1700" w:type="dxa"/>
            <w:tcBorders/>
          </w:tcPr>
          <w:p>
            <w:pPr>
              <w:pStyle w:val="Contenudetableau"/>
              <w:widowControl w:val="false"/>
              <w:rPr/>
            </w:pPr>
            <w:r>
              <w:rPr/>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r>
          </w:p>
        </w:tc>
      </w:tr>
      <w:tr>
        <w:trPr>
          <w:trHeight w:val="270" w:hRule="atLeast"/>
        </w:trPr>
        <w:tc>
          <w:tcPr>
            <w:tcW w:w="1700" w:type="dxa"/>
            <w:tcBorders/>
          </w:tcPr>
          <w:p>
            <w:pPr>
              <w:pStyle w:val="Contenudetableau"/>
              <w:widowControl w:val="false"/>
              <w:rPr/>
            </w:pPr>
            <w:r>
              <w:rPr/>
            </w:r>
          </w:p>
        </w:tc>
        <w:tc>
          <w:tcPr>
            <w:tcW w:w="1694" w:type="dxa"/>
            <w:tcBorders/>
          </w:tcPr>
          <w:p>
            <w:pPr>
              <w:pStyle w:val="Contenudetableau"/>
              <w:widowControl w:val="false"/>
              <w:rPr/>
            </w:pPr>
            <w:r>
              <w:rPr/>
            </w:r>
          </w:p>
        </w:tc>
        <w:tc>
          <w:tcPr>
            <w:tcW w:w="1707" w:type="dxa"/>
            <w:tcBorders/>
          </w:tcPr>
          <w:p>
            <w:pPr>
              <w:pStyle w:val="Contenudetableau"/>
              <w:widowControl w:val="false"/>
              <w:rPr/>
            </w:pPr>
            <w:r>
              <w:rPr/>
            </w:r>
          </w:p>
        </w:tc>
        <w:tc>
          <w:tcPr>
            <w:tcW w:w="1701" w:type="dxa"/>
            <w:tcBorders/>
          </w:tcPr>
          <w:p>
            <w:pPr>
              <w:pStyle w:val="Contenudetableau"/>
              <w:widowControl w:val="false"/>
              <w:rPr/>
            </w:pPr>
            <w:r>
              <w:rPr/>
            </w:r>
          </w:p>
        </w:tc>
        <w:tc>
          <w:tcPr>
            <w:tcW w:w="1700" w:type="dxa"/>
            <w:tcBorders/>
          </w:tcPr>
          <w:p>
            <w:pPr>
              <w:pStyle w:val="Contenudetableau"/>
              <w:widowControl w:val="false"/>
              <w:rPr/>
            </w:pPr>
            <w:r>
              <w:rPr/>
            </w:r>
          </w:p>
        </w:tc>
        <w:tc>
          <w:tcPr>
            <w:tcW w:w="1701" w:type="dxa"/>
            <w:tcBorders/>
          </w:tcPr>
          <w:p>
            <w:pPr>
              <w:pStyle w:val="Contenudetableau"/>
              <w:widowControl w:val="false"/>
              <w:rPr/>
            </w:pPr>
            <w:r>
              <w:rPr/>
            </w:r>
          </w:p>
        </w:tc>
      </w:tr>
      <w:tr>
        <w:trPr>
          <w:trHeight w:val="270" w:hRule="atLeast"/>
        </w:trPr>
        <w:tc>
          <w:tcPr>
            <w:tcW w:w="1700" w:type="dxa"/>
            <w:tcBorders/>
            <w:shd w:fill="000000" w:val="clear"/>
          </w:tcPr>
          <w:p>
            <w:pPr>
              <w:pStyle w:val="Contenudetableau"/>
              <w:widowControl w:val="false"/>
              <w:rPr/>
            </w:pPr>
            <w:r>
              <w:rPr/>
            </w:r>
          </w:p>
        </w:tc>
        <w:tc>
          <w:tcPr>
            <w:tcW w:w="1694" w:type="dxa"/>
            <w:tcBorders/>
            <w:shd w:fill="000000" w:val="clear"/>
          </w:tcPr>
          <w:p>
            <w:pPr>
              <w:pStyle w:val="Contenudetableau"/>
              <w:widowControl w:val="false"/>
              <w:rPr/>
            </w:pPr>
            <w:r>
              <w:rPr/>
            </w:r>
          </w:p>
        </w:tc>
        <w:tc>
          <w:tcPr>
            <w:tcW w:w="1707" w:type="dxa"/>
            <w:tcBorders/>
            <w:shd w:fill="000000" w:val="clear"/>
          </w:tcPr>
          <w:p>
            <w:pPr>
              <w:pStyle w:val="Contenudetableau"/>
              <w:widowControl w:val="false"/>
              <w:rPr/>
            </w:pPr>
            <w:r>
              <w:rPr/>
            </w:r>
          </w:p>
        </w:tc>
        <w:tc>
          <w:tcPr>
            <w:tcW w:w="1701" w:type="dxa"/>
            <w:tcBorders/>
            <w:shd w:fill="000000" w:val="clear"/>
          </w:tcPr>
          <w:p>
            <w:pPr>
              <w:pStyle w:val="Contenudetableau"/>
              <w:widowControl w:val="false"/>
              <w:rPr/>
            </w:pPr>
            <w:r>
              <w:rPr/>
            </w:r>
          </w:p>
        </w:tc>
        <w:tc>
          <w:tcPr>
            <w:tcW w:w="1700" w:type="dxa"/>
            <w:tcBorders/>
          </w:tcPr>
          <w:p>
            <w:pPr>
              <w:pStyle w:val="Contenudetableau"/>
              <w:widowControl w:val="false"/>
              <w:rPr/>
            </w:pPr>
            <w:r>
              <w:rPr/>
              <w:t>Montant global annuel HT</w:t>
            </w:r>
          </w:p>
        </w:tc>
        <w:tc>
          <w:tcPr>
            <w:tcW w:w="1701" w:type="dxa"/>
            <w:tcBorders/>
          </w:tcPr>
          <w:p>
            <w:pPr>
              <w:pStyle w:val="Contenudetableau"/>
              <w:widowControl w:val="false"/>
              <w:rPr/>
            </w:pPr>
            <w:r>
              <w:rPr/>
            </w:r>
          </w:p>
          <w:p>
            <w:pPr>
              <w:pStyle w:val="Contenudetableau"/>
              <w:widowControl w:val="false"/>
              <w:rPr/>
            </w:pPr>
            <w:r>
              <w:rPr/>
            </w:r>
          </w:p>
        </w:tc>
      </w:tr>
      <w:tr>
        <w:trPr>
          <w:trHeight w:val="270" w:hRule="atLeast"/>
        </w:trPr>
        <w:tc>
          <w:tcPr>
            <w:tcW w:w="1700" w:type="dxa"/>
            <w:tcBorders/>
            <w:shd w:fill="000000" w:val="clear"/>
          </w:tcPr>
          <w:p>
            <w:pPr>
              <w:pStyle w:val="Contenudetableau"/>
              <w:widowControl w:val="false"/>
              <w:rPr/>
            </w:pPr>
            <w:r>
              <w:rPr/>
            </w:r>
          </w:p>
        </w:tc>
        <w:tc>
          <w:tcPr>
            <w:tcW w:w="1694" w:type="dxa"/>
            <w:tcBorders/>
            <w:shd w:fill="000000" w:val="clear"/>
          </w:tcPr>
          <w:p>
            <w:pPr>
              <w:pStyle w:val="Contenudetableau"/>
              <w:widowControl w:val="false"/>
              <w:rPr/>
            </w:pPr>
            <w:r>
              <w:rPr/>
            </w:r>
          </w:p>
        </w:tc>
        <w:tc>
          <w:tcPr>
            <w:tcW w:w="1707" w:type="dxa"/>
            <w:tcBorders/>
            <w:shd w:fill="000000" w:val="clear"/>
          </w:tcPr>
          <w:p>
            <w:pPr>
              <w:pStyle w:val="Contenudetableau"/>
              <w:widowControl w:val="false"/>
              <w:rPr/>
            </w:pPr>
            <w:r>
              <w:rPr/>
            </w:r>
          </w:p>
        </w:tc>
        <w:tc>
          <w:tcPr>
            <w:tcW w:w="1701" w:type="dxa"/>
            <w:tcBorders/>
            <w:shd w:fill="000000" w:val="clear"/>
          </w:tcPr>
          <w:p>
            <w:pPr>
              <w:pStyle w:val="Contenudetableau"/>
              <w:widowControl w:val="false"/>
              <w:rPr/>
            </w:pPr>
            <w:r>
              <w:rPr/>
            </w:r>
          </w:p>
        </w:tc>
        <w:tc>
          <w:tcPr>
            <w:tcW w:w="1700" w:type="dxa"/>
            <w:tcBorders/>
          </w:tcPr>
          <w:p>
            <w:pPr>
              <w:pStyle w:val="Contenudetableau"/>
              <w:widowControl w:val="false"/>
              <w:rPr/>
            </w:pPr>
            <w:r>
              <w:rPr/>
              <w:t>Montant TVA</w:t>
            </w:r>
          </w:p>
        </w:tc>
        <w:tc>
          <w:tcPr>
            <w:tcW w:w="1701" w:type="dxa"/>
            <w:tcBorders/>
          </w:tcPr>
          <w:p>
            <w:pPr>
              <w:pStyle w:val="Contenudetableau"/>
              <w:widowControl w:val="false"/>
              <w:rPr/>
            </w:pPr>
            <w:r>
              <w:rPr/>
            </w:r>
          </w:p>
        </w:tc>
      </w:tr>
      <w:tr>
        <w:trPr>
          <w:trHeight w:val="270" w:hRule="atLeast"/>
        </w:trPr>
        <w:tc>
          <w:tcPr>
            <w:tcW w:w="1700" w:type="dxa"/>
            <w:tcBorders/>
            <w:shd w:fill="000000" w:val="clear"/>
          </w:tcPr>
          <w:p>
            <w:pPr>
              <w:pStyle w:val="Contenudetableau"/>
              <w:widowControl w:val="false"/>
              <w:rPr/>
            </w:pPr>
            <w:r>
              <w:rPr/>
            </w:r>
          </w:p>
        </w:tc>
        <w:tc>
          <w:tcPr>
            <w:tcW w:w="1694" w:type="dxa"/>
            <w:tcBorders/>
            <w:shd w:fill="000000" w:val="clear"/>
          </w:tcPr>
          <w:p>
            <w:pPr>
              <w:pStyle w:val="Contenudetableau"/>
              <w:widowControl w:val="false"/>
              <w:rPr/>
            </w:pPr>
            <w:r>
              <w:rPr/>
            </w:r>
          </w:p>
        </w:tc>
        <w:tc>
          <w:tcPr>
            <w:tcW w:w="1707" w:type="dxa"/>
            <w:tcBorders/>
            <w:shd w:fill="000000" w:val="clear"/>
          </w:tcPr>
          <w:p>
            <w:pPr>
              <w:pStyle w:val="Contenudetableau"/>
              <w:widowControl w:val="false"/>
              <w:rPr/>
            </w:pPr>
            <w:r>
              <w:rPr/>
            </w:r>
          </w:p>
        </w:tc>
        <w:tc>
          <w:tcPr>
            <w:tcW w:w="1701" w:type="dxa"/>
            <w:tcBorders/>
            <w:shd w:fill="000000" w:val="clear"/>
          </w:tcPr>
          <w:p>
            <w:pPr>
              <w:pStyle w:val="Contenudetableau"/>
              <w:widowControl w:val="false"/>
              <w:rPr/>
            </w:pPr>
            <w:r>
              <w:rPr/>
            </w:r>
          </w:p>
        </w:tc>
        <w:tc>
          <w:tcPr>
            <w:tcW w:w="1700" w:type="dxa"/>
            <w:tcBorders/>
          </w:tcPr>
          <w:p>
            <w:pPr>
              <w:pStyle w:val="Contenudetableau"/>
              <w:widowControl w:val="false"/>
              <w:rPr/>
            </w:pPr>
            <w:r>
              <w:rPr/>
              <w:t>Montant TTC</w:t>
            </w:r>
          </w:p>
        </w:tc>
        <w:tc>
          <w:tcPr>
            <w:tcW w:w="1701" w:type="dxa"/>
            <w:tcBorders/>
          </w:tcPr>
          <w:p>
            <w:pPr>
              <w:pStyle w:val="Contenudetableau"/>
              <w:widowControl w:val="false"/>
              <w:rPr/>
            </w:pPr>
            <w:r>
              <w:rPr/>
            </w:r>
          </w:p>
        </w:tc>
      </w:tr>
    </w:tbl>
    <w:p>
      <w:pPr>
        <w:pStyle w:val="Normal"/>
        <w:tabs>
          <w:tab w:val="clear" w:pos="567"/>
          <w:tab w:val="left" w:pos="426" w:leader="none"/>
          <w:tab w:val="left" w:pos="851" w:leader="none"/>
        </w:tabs>
        <w:ind w:left="0" w:hanging="0"/>
        <w:rPr>
          <w:rFonts w:ascii="Century Gothic" w:hAnsi="Century Gothic" w:cs="Arial"/>
          <w:sz w:val="18"/>
          <w:szCs w:val="18"/>
        </w:rPr>
      </w:pPr>
      <w:r>
        <w:rPr>
          <w:rFonts w:cs="Arial" w:ascii="Century Gothic" w:hAnsi="Century Gothic"/>
          <w:sz w:val="18"/>
          <w:szCs w:val="18"/>
        </w:rPr>
      </w:r>
    </w:p>
    <w:p>
      <w:pPr>
        <w:pStyle w:val="Fcase1ertab"/>
        <w:tabs>
          <w:tab w:val="clear" w:pos="426"/>
          <w:tab w:val="left" w:pos="851" w:leader="none"/>
        </w:tabs>
        <w:spacing w:before="120" w:after="0"/>
        <w:ind w:left="709" w:hanging="0"/>
        <w:jc w:val="left"/>
        <w:rPr>
          <w:rFonts w:ascii="Century Gothic" w:hAnsi="Century Gothic" w:cs="Arial"/>
          <w:sz w:val="18"/>
          <w:szCs w:val="18"/>
        </w:rPr>
      </w:pPr>
      <w:r>
        <w:rPr>
          <w:rFonts w:cs="Arial" w:ascii="Century Gothic" w:hAnsi="Century Gothic"/>
          <w:sz w:val="18"/>
          <w:szCs w:val="18"/>
        </w:rPr>
      </w:r>
    </w:p>
    <w:p>
      <w:pPr>
        <w:pStyle w:val="Fcase1ertab"/>
        <w:numPr>
          <w:ilvl w:val="0"/>
          <w:numId w:val="0"/>
        </w:numPr>
        <w:tabs>
          <w:tab w:val="left" w:pos="426" w:leader="none"/>
          <w:tab w:val="left" w:pos="851" w:leader="none"/>
        </w:tabs>
        <w:ind w:left="720" w:hanging="0"/>
        <w:rPr>
          <w:rFonts w:ascii="Century Gothic" w:hAnsi="Century Gothic"/>
          <w:sz w:val="18"/>
          <w:szCs w:val="18"/>
        </w:rPr>
      </w:pPr>
      <w:r>
        <w:rPr>
          <w:rFonts w:ascii="Century Gothic" w:hAnsi="Century Gothic"/>
          <w:sz w:val="18"/>
          <w:szCs w:val="18"/>
        </w:rPr>
      </w:r>
    </w:p>
    <w:p>
      <w:pPr>
        <w:pStyle w:val="Normal"/>
        <w:tabs>
          <w:tab w:val="clear" w:pos="567"/>
          <w:tab w:val="left" w:pos="426" w:leader="none"/>
          <w:tab w:val="left" w:pos="851" w:leader="none"/>
        </w:tabs>
        <w:ind w:left="709" w:hanging="0"/>
        <w:rPr>
          <w:rFonts w:ascii="Arial" w:hAnsi="Arial" w:cs="Arial"/>
          <w:b/>
        </w:rPr>
      </w:pPr>
      <w:r>
        <w:rPr>
          <w:rFonts w:cs="Arial" w:ascii="Arial" w:hAnsi="Arial"/>
          <w:b/>
        </w:rPr>
        <w:t xml:space="preserve">Numéro de compte : 00010381966 </w:t>
      </w:r>
    </w:p>
    <w:p>
      <w:pPr>
        <w:pStyle w:val="Normal"/>
        <w:tabs>
          <w:tab w:val="clear" w:pos="567"/>
          <w:tab w:val="left" w:pos="426" w:leader="none"/>
          <w:tab w:val="left" w:pos="851" w:leader="none"/>
        </w:tabs>
        <w:ind w:left="709" w:hanging="0"/>
        <w:rPr>
          <w:rFonts w:ascii="Arial" w:hAnsi="Arial" w:cs="Arial"/>
          <w:b/>
        </w:rPr>
      </w:pPr>
      <w:r>
        <w:rPr>
          <w:rFonts w:cs="Arial" w:ascii="Arial" w:hAnsi="Arial"/>
          <w:b/>
        </w:rPr>
      </w:r>
    </w:p>
    <w:p>
      <w:pPr>
        <w:pStyle w:val="Normal"/>
        <w:tabs>
          <w:tab w:val="clear" w:pos="567"/>
          <w:tab w:val="left" w:pos="426" w:leader="none"/>
          <w:tab w:val="left" w:pos="851" w:leader="none"/>
        </w:tabs>
        <w:ind w:left="709" w:hanging="0"/>
        <w:rPr>
          <w:rFonts w:ascii="Arial" w:hAnsi="Arial" w:cs="Arial"/>
          <w:b/>
        </w:rPr>
      </w:pPr>
      <w:r>
        <w:rPr>
          <w:rFonts w:cs="Arial" w:ascii="Arial" w:hAnsi="Arial"/>
          <w:b/>
        </w:rPr>
      </w:r>
    </w:p>
    <w:p>
      <w:pPr>
        <w:pStyle w:val="Normal"/>
        <w:tabs>
          <w:tab w:val="clear" w:pos="567"/>
          <w:tab w:val="left" w:pos="851" w:leader="none"/>
        </w:tabs>
        <w:jc w:val="center"/>
        <w:rPr>
          <w:rFonts w:ascii="Arial" w:hAnsi="Arial" w:cs="Arial"/>
          <w:b/>
        </w:rPr>
      </w:pPr>
      <w:r>
        <w:rPr>
          <w:rFonts w:cs="Arial" w:ascii="Arial" w:hAnsi="Arial"/>
          <w:b/>
        </w:rPr>
      </w:r>
    </w:p>
    <w:p>
      <w:pPr>
        <w:pStyle w:val="Normal"/>
        <w:tabs>
          <w:tab w:val="clear" w:pos="567"/>
          <w:tab w:val="left" w:pos="851" w:leader="none"/>
        </w:tabs>
        <w:jc w:val="center"/>
        <w:rPr>
          <w:rFonts w:ascii="Arial" w:hAnsi="Arial" w:cs="Arial"/>
          <w:b/>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479540" cy="27686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479540" cy="2768600"/>
                    </a:xfrm>
                    <a:prstGeom prst="rect">
                      <a:avLst/>
                    </a:prstGeom>
                  </pic:spPr>
                </pic:pic>
              </a:graphicData>
            </a:graphic>
          </wp:anchor>
        </w:drawing>
      </w:r>
    </w:p>
    <w:p>
      <w:pPr>
        <w:pStyle w:val="Normal"/>
        <w:tabs>
          <w:tab w:val="clear" w:pos="567"/>
          <w:tab w:val="left" w:pos="9781" w:leader="dot"/>
        </w:tabs>
        <w:spacing w:lineRule="auto" w:line="360"/>
        <w:jc w:val="both"/>
        <w:rPr>
          <w:rFonts w:ascii="Arial" w:hAnsi="Arial" w:cs="Arial"/>
          <w:color w:val="000000"/>
        </w:rPr>
      </w:pPr>
      <w:r>
        <w:rPr>
          <w:rFonts w:cs="Arial" w:ascii="Arial" w:hAnsi="Arial"/>
          <w:color w:val="000000"/>
        </w:rPr>
      </w:r>
    </w:p>
    <w:p>
      <w:pPr>
        <w:pStyle w:val="Normal"/>
        <w:tabs>
          <w:tab w:val="clear" w:pos="567"/>
          <w:tab w:val="left" w:pos="9781" w:leader="dot"/>
        </w:tabs>
        <w:spacing w:lineRule="auto" w:line="360"/>
        <w:jc w:val="both"/>
        <w:rPr>
          <w:rFonts w:ascii="Arial" w:hAnsi="Arial" w:cs="Arial"/>
          <w:color w:val="000000"/>
        </w:rPr>
      </w:pPr>
      <w:r>
        <w:rPr>
          <w:rFonts w:cs="Arial" w:ascii="Arial" w:hAnsi="Arial"/>
          <w:color w:val="000000"/>
        </w:rPr>
      </w:r>
    </w:p>
    <w:p>
      <w:pPr>
        <w:pStyle w:val="Normal"/>
        <w:shd w:val="clear" w:fill="B6DDE8"/>
        <w:tabs>
          <w:tab w:val="clear" w:pos="567"/>
          <w:tab w:val="left" w:pos="-142" w:leader="none"/>
          <w:tab w:val="left" w:pos="851" w:leader="none"/>
          <w:tab w:val="left" w:pos="4111" w:leader="none"/>
        </w:tabs>
        <w:rPr/>
      </w:pPr>
      <w:r>
        <w:rPr>
          <w:rStyle w:val="Strong"/>
        </w:rPr>
        <w:t xml:space="preserve"> </w:t>
      </w:r>
      <w:r>
        <w:rPr>
          <w:rStyle w:val="Strong"/>
        </w:rPr>
        <w:t>D- documents qui régissent le marché subséquent</w:t>
      </w:r>
    </w:p>
    <w:p>
      <w:pPr>
        <w:pStyle w:val="Normal"/>
        <w:tabs>
          <w:tab w:val="clear" w:pos="567"/>
          <w:tab w:val="left" w:pos="426" w:leader="none"/>
          <w:tab w:val="left" w:pos="851" w:leader="none"/>
        </w:tabs>
        <w:spacing w:before="120" w:after="0"/>
        <w:jc w:val="both"/>
        <w:rPr>
          <w:rFonts w:ascii="Century Gothic" w:hAnsi="Century Gothic"/>
          <w:sz w:val="18"/>
          <w:szCs w:val="18"/>
        </w:rPr>
      </w:pPr>
      <w:r>
        <w:rPr>
          <w:rFonts w:ascii="Century Gothic" w:hAnsi="Century Gothic"/>
          <w:sz w:val="18"/>
          <w:szCs w:val="18"/>
        </w:rPr>
      </w:r>
    </w:p>
    <w:p>
      <w:pPr>
        <w:pStyle w:val="Normal"/>
        <w:suppressAutoHyphens w:val="false"/>
        <w:jc w:val="both"/>
        <w:rPr>
          <w:rFonts w:ascii="Century Gothic" w:hAnsi="Century Gothic" w:cs="Arial"/>
          <w:color w:val="000000"/>
          <w:sz w:val="18"/>
          <w:szCs w:val="18"/>
          <w:lang w:eastAsia="fr-FR"/>
        </w:rPr>
      </w:pPr>
      <w:r>
        <w:rPr>
          <w:rFonts w:cs="Arial" w:ascii="Century Gothic" w:hAnsi="Century Gothic"/>
          <w:color w:val="000000"/>
          <w:sz w:val="18"/>
          <w:szCs w:val="18"/>
          <w:lang w:eastAsia="fr-FR"/>
        </w:rPr>
        <w:t>Le marché subséquent est régi par ordre de priorité :</w:t>
      </w:r>
    </w:p>
    <w:p>
      <w:pPr>
        <w:pStyle w:val="Normal"/>
        <w:suppressAutoHyphens w:val="false"/>
        <w:jc w:val="both"/>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Normal"/>
        <w:suppressAutoHyphens w:val="false"/>
        <w:jc w:val="both"/>
        <w:rPr>
          <w:rFonts w:ascii="Century Gothic" w:hAnsi="Century Gothic" w:cs="Arial"/>
          <w:color w:val="000000"/>
          <w:sz w:val="18"/>
          <w:szCs w:val="18"/>
          <w:u w:val="single"/>
          <w:lang w:eastAsia="fr-FR"/>
        </w:rPr>
      </w:pPr>
      <w:r>
        <w:rPr>
          <w:rFonts w:cs="Arial" w:ascii="Century Gothic" w:hAnsi="Century Gothic"/>
          <w:color w:val="000000"/>
          <w:sz w:val="18"/>
          <w:szCs w:val="18"/>
          <w:u w:val="single"/>
          <w:lang w:eastAsia="fr-FR"/>
        </w:rPr>
        <w:t>Les pièces de l’accord-cadre (article 3 du CCAP de l’accord-cadre) :</w:t>
      </w:r>
    </w:p>
    <w:p>
      <w:pPr>
        <w:pStyle w:val="Normal"/>
        <w:suppressAutoHyphens w:val="false"/>
        <w:jc w:val="both"/>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l’acte d’engagement (AE) par lot,</w:t>
      </w:r>
    </w:p>
    <w:p>
      <w:pPr>
        <w:pStyle w:val="ListParagraph"/>
        <w:numPr>
          <w:ilvl w:val="1"/>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Annexe 1 : Maintenance préventive SSI-EA et ELI bordereau de prix unitaires (BPU) par lot,</w:t>
      </w:r>
    </w:p>
    <w:p>
      <w:pPr>
        <w:pStyle w:val="ListParagraph"/>
        <w:numPr>
          <w:ilvl w:val="1"/>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Annexe 2 : Maintenance corrective SSI EA et ELI bordereau de prix unitaires (BPU) par lot,</w:t>
      </w:r>
    </w:p>
    <w:p>
      <w:pPr>
        <w:pStyle w:val="ListParagraph"/>
        <w:numPr>
          <w:ilvl w:val="1"/>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Annexe 3 :Maintenance corrective ELI bordereau de prix unitaires (BPU) par lot</w:t>
      </w:r>
    </w:p>
    <w:p>
      <w:pPr>
        <w:pStyle w:val="ListParagraph"/>
        <w:numPr>
          <w:ilvl w:val="1"/>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Annexe 4 : document d’insertion sociale</w:t>
      </w:r>
    </w:p>
    <w:p>
      <w:pPr>
        <w:pStyle w:val="ListParagraph"/>
        <w:numPr>
          <w:ilvl w:val="1"/>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Annexe 5 : Liste des établissements publics bénéficiaires de l’accord-cadre,</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cahier des clauses administratives particulières (CCAP) et ses/son annexe(s), commun à tous les lots dont l’exemplaire conservé dans les archives de l’administration fait seul foi,</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cahier des clauses techniques particulières (CCTP) et son/ses annexe(s) dont l’exemplaire conservé dans les archives de l’administration fait seul foi,</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Cahier des Clauses Administratives Générales (CCAG-FCS) applicables aux marchés de fournitures courantes et de services en vigueur le jour du lancement de la consultation ,</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les actes spéciaux de sous-traitance et leurs modificatifs,</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l’offre technique du titulaire,</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CRT- Cadre de réponse technique</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CRT- Cadre de réponse technique sociale</w:t>
      </w:r>
    </w:p>
    <w:p>
      <w:pPr>
        <w:pStyle w:val="ListParagraph"/>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Normal"/>
        <w:suppressAutoHyphens w:val="false"/>
        <w:jc w:val="both"/>
        <w:rPr>
          <w:rFonts w:ascii="Century Gothic" w:hAnsi="Century Gothic" w:cs="Arial"/>
          <w:color w:val="000000"/>
          <w:sz w:val="18"/>
          <w:szCs w:val="18"/>
          <w:u w:val="single"/>
          <w:lang w:eastAsia="fr-FR"/>
        </w:rPr>
      </w:pPr>
      <w:r>
        <w:rPr>
          <w:rFonts w:cs="Arial" w:ascii="Century Gothic" w:hAnsi="Century Gothic"/>
          <w:color w:val="000000"/>
          <w:sz w:val="18"/>
          <w:szCs w:val="18"/>
          <w:u w:val="single"/>
          <w:lang w:eastAsia="fr-FR"/>
        </w:rPr>
        <w:t>Les pièces du marché subséquent :</w:t>
      </w:r>
    </w:p>
    <w:p>
      <w:pPr>
        <w:pStyle w:val="ListParagraph"/>
        <w:rPr>
          <w:rFonts w:ascii="Century Gothic" w:hAnsi="Century Gothic" w:cs="Arial"/>
          <w:color w:val="000000"/>
          <w:sz w:val="18"/>
          <w:szCs w:val="18"/>
          <w:lang w:eastAsia="fr-FR"/>
        </w:rPr>
      </w:pPr>
      <w:r>
        <w:rPr>
          <w:rFonts w:cs="Arial" w:ascii="Century Gothic" w:hAnsi="Century Gothic"/>
          <w:color w:val="000000"/>
          <w:sz w:val="18"/>
          <w:szCs w:val="18"/>
          <w:lang w:eastAsia="fr-FR"/>
        </w:rPr>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Les pièces de l’accord-cadre dans l’ordre de priorité précité.</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 marché subséquent, et son annexe financière.</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Les bons de commande passés sur la base du marché subséquent.</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sz w:val="18"/>
          <w:szCs w:val="18"/>
          <w:lang w:eastAsia="fr-FR"/>
        </w:rPr>
        <w:t xml:space="preserve">Le mémoire technique et l’offre complémentaire du marché subséquent, le cas échéant. </w:t>
      </w:r>
    </w:p>
    <w:p>
      <w:pPr>
        <w:pStyle w:val="ListParagraph"/>
        <w:numPr>
          <w:ilvl w:val="0"/>
          <w:numId w:val="7"/>
        </w:numPr>
        <w:rPr>
          <w:rFonts w:ascii="Century Gothic" w:hAnsi="Century Gothic" w:cs="Arial"/>
          <w:color w:val="000000"/>
          <w:sz w:val="18"/>
          <w:szCs w:val="18"/>
          <w:lang w:eastAsia="fr-FR"/>
        </w:rPr>
      </w:pPr>
      <w:r>
        <w:rPr>
          <w:rFonts w:cs="Arial" w:ascii="Century Gothic" w:hAnsi="Century Gothic"/>
          <w:color w:val="000000"/>
          <w:kern w:val="0"/>
          <w:sz w:val="18"/>
          <w:szCs w:val="18"/>
          <w:lang w:eastAsia="fr-FR"/>
        </w:rPr>
        <w:t>les annexes, planning et autres éléments apportés par le titulaire dans le cadre du marché subséquent</w:t>
      </w:r>
    </w:p>
    <w:p>
      <w:pPr>
        <w:pStyle w:val="Fcasegauche"/>
        <w:tabs>
          <w:tab w:val="clear" w:pos="567"/>
          <w:tab w:val="left" w:pos="426" w:leader="none"/>
          <w:tab w:val="left" w:pos="851" w:leader="none"/>
        </w:tabs>
        <w:spacing w:before="0" w:after="0"/>
        <w:ind w:left="0" w:hanging="0"/>
        <w:rPr>
          <w:rFonts w:ascii="Century Gothic" w:hAnsi="Century Gothic" w:cs="Arial"/>
          <w:b/>
          <w:color w:val="000000"/>
          <w:sz w:val="18"/>
          <w:szCs w:val="18"/>
          <w:lang w:eastAsia="fr-FR"/>
        </w:rPr>
      </w:pPr>
      <w:r>
        <w:rPr>
          <w:rFonts w:cs="Arial" w:ascii="Century Gothic" w:hAnsi="Century Gothic"/>
          <w:b/>
          <w:color w:val="000000"/>
          <w:sz w:val="18"/>
          <w:szCs w:val="18"/>
          <w:lang w:eastAsia="fr-FR"/>
        </w:rPr>
      </w:r>
    </w:p>
    <w:p>
      <w:pPr>
        <w:pStyle w:val="Titre4"/>
        <w:numPr>
          <w:ilvl w:val="3"/>
          <w:numId w:val="3"/>
        </w:numPr>
        <w:shd w:val="clear" w:fill="66CCFF"/>
        <w:tabs>
          <w:tab w:val="clear" w:pos="4111"/>
          <w:tab w:val="left" w:pos="-142" w:leader="none"/>
          <w:tab w:val="left" w:pos="426" w:leader="none"/>
          <w:tab w:val="left" w:pos="851" w:leader="none"/>
        </w:tabs>
        <w:rPr>
          <w:b w:val="false"/>
        </w:rPr>
      </w:pPr>
      <w:r>
        <w:rPr>
          <w:rStyle w:val="Strong"/>
          <w:rFonts w:ascii="Univers" w:hAnsi="Univers"/>
          <w:b/>
          <w:sz w:val="22"/>
          <w:szCs w:val="22"/>
        </w:rPr>
        <w:t>E – Forme et durée du marché subséquent</w:t>
      </w:r>
    </w:p>
    <w:p>
      <w:pPr>
        <w:pStyle w:val="Normal"/>
        <w:jc w:val="both"/>
        <w:rPr>
          <w:rFonts w:ascii="Arial" w:hAnsi="Arial" w:cs="Arial"/>
        </w:rPr>
      </w:pPr>
      <w:r>
        <w:rPr>
          <w:rFonts w:cs="Arial" w:ascii="Arial" w:hAnsi="Arial"/>
        </w:rPr>
      </w:r>
    </w:p>
    <w:p>
      <w:pPr>
        <w:pStyle w:val="Normal"/>
        <w:rPr>
          <w:rFonts w:ascii="Century Gothic" w:hAnsi="Century Gothic" w:cs="Arial"/>
          <w:sz w:val="18"/>
          <w:szCs w:val="18"/>
          <w:shd w:fill="auto" w:val="clear"/>
        </w:rPr>
      </w:pPr>
      <w:r>
        <w:rPr>
          <w:rFonts w:cs="Arial" w:ascii="Century Gothic" w:hAnsi="Century Gothic"/>
          <w:sz w:val="18"/>
          <w:szCs w:val="18"/>
          <w:shd w:fill="auto" w:val="clear"/>
        </w:rPr>
        <w:t xml:space="preserve">Les marchés subséquents peuvent être conclus durant toute la durée de l’accord-cadre. </w:t>
      </w:r>
    </w:p>
    <w:p>
      <w:pPr>
        <w:pStyle w:val="Normal"/>
        <w:rPr>
          <w:shd w:fill="auto" w:val="clear"/>
        </w:rPr>
      </w:pPr>
      <w:r>
        <w:rPr>
          <w:shd w:fill="auto" w:val="clear"/>
        </w:rPr>
      </w:r>
    </w:p>
    <w:p>
      <w:pPr>
        <w:pStyle w:val="Normal"/>
        <w:jc w:val="both"/>
        <w:rPr/>
      </w:pPr>
      <w:r>
        <w:rPr>
          <w:rFonts w:cs="Arial" w:ascii="Century Gothic" w:hAnsi="Century Gothic"/>
          <w:sz w:val="18"/>
          <w:szCs w:val="18"/>
          <w:shd w:fill="auto" w:val="clear"/>
        </w:rPr>
        <w:t xml:space="preserve">Ils prennent effet à leur date de notification et suivent les modalités de reconduction de l’accord-cadre, pour une durée maximum limitée par les dispositions de l’accord-cadre. </w:t>
      </w:r>
    </w:p>
    <w:p>
      <w:pPr>
        <w:pStyle w:val="Normal"/>
        <w:jc w:val="both"/>
        <w:rPr>
          <w:rFonts w:ascii="Century Gothic" w:hAnsi="Century Gothic" w:cs="Arial"/>
          <w:sz w:val="18"/>
          <w:szCs w:val="18"/>
        </w:rPr>
      </w:pPr>
      <w:r>
        <w:rPr>
          <w:rFonts w:cs="Arial" w:ascii="Century Gothic" w:hAnsi="Century Gothic"/>
          <w:sz w:val="18"/>
          <w:szCs w:val="18"/>
        </w:rPr>
      </w:r>
    </w:p>
    <w:p>
      <w:pPr>
        <w:pStyle w:val="Fcasegauche"/>
        <w:tabs>
          <w:tab w:val="clear" w:pos="567"/>
          <w:tab w:val="left" w:pos="426" w:leader="none"/>
          <w:tab w:val="left" w:pos="851" w:leader="none"/>
        </w:tabs>
        <w:spacing w:before="0" w:after="0"/>
        <w:ind w:left="0" w:hanging="0"/>
        <w:rPr>
          <w:rFonts w:ascii="Arial" w:hAnsi="Arial" w:cs="Arial"/>
          <w:b/>
        </w:rPr>
      </w:pPr>
      <w:r>
        <w:rPr>
          <w:rFonts w:cs="Arial" w:ascii="Arial" w:hAnsi="Arial"/>
          <w:b/>
        </w:rPr>
      </w:r>
    </w:p>
    <w:p>
      <w:pPr>
        <w:pStyle w:val="Titre4"/>
        <w:numPr>
          <w:ilvl w:val="3"/>
          <w:numId w:val="3"/>
        </w:numPr>
        <w:shd w:val="clear" w:fill="66CCFF"/>
        <w:tabs>
          <w:tab w:val="clear" w:pos="4111"/>
          <w:tab w:val="left" w:pos="-142" w:leader="none"/>
          <w:tab w:val="left" w:pos="426" w:leader="none"/>
          <w:tab w:val="left" w:pos="851" w:leader="none"/>
        </w:tabs>
        <w:rPr>
          <w:bCs/>
          <w:sz w:val="22"/>
          <w:szCs w:val="22"/>
        </w:rPr>
      </w:pPr>
      <w:r>
        <w:rPr>
          <w:bCs/>
          <w:sz w:val="22"/>
          <w:szCs w:val="22"/>
        </w:rPr>
        <w:t>F – Bons de commande</w:t>
      </w:r>
    </w:p>
    <w:p>
      <w:pPr>
        <w:pStyle w:val="Normal"/>
        <w:tabs>
          <w:tab w:val="clear" w:pos="567"/>
          <w:tab w:val="left" w:pos="851" w:leader="none"/>
        </w:tabs>
        <w:jc w:val="both"/>
        <w:rPr>
          <w:rFonts w:ascii="Arial" w:hAnsi="Arial" w:cs="Arial"/>
          <w:bCs/>
          <w:sz w:val="22"/>
          <w:szCs w:val="22"/>
        </w:rPr>
      </w:pPr>
      <w:r>
        <w:rPr>
          <w:rFonts w:cs="Arial" w:ascii="Arial" w:hAnsi="Arial"/>
          <w:bCs/>
          <w:sz w:val="22"/>
          <w:szCs w:val="22"/>
        </w:rPr>
      </w:r>
    </w:p>
    <w:p>
      <w:pPr>
        <w:pStyle w:val="Normal"/>
        <w:rPr>
          <w:rFonts w:ascii="Century Gothic" w:hAnsi="Century Gothic" w:cs="Arial"/>
          <w:sz w:val="18"/>
          <w:szCs w:val="18"/>
        </w:rPr>
      </w:pPr>
      <w:r>
        <w:rPr>
          <w:rFonts w:cs="Arial" w:ascii="Century Gothic" w:hAnsi="Century Gothic"/>
          <w:sz w:val="18"/>
          <w:szCs w:val="18"/>
          <w:shd w:fill="FFFFFF" w:val="clear"/>
        </w:rPr>
        <w:t xml:space="preserve">Chaque prestation est déclenchée par l’émission d’un bon de commande spécifique du service bénéficiaire auprès du titulaire. </w:t>
      </w:r>
    </w:p>
    <w:p>
      <w:pPr>
        <w:pStyle w:val="Normal"/>
        <w:jc w:val="both"/>
        <w:rPr>
          <w:rFonts w:ascii="Century Gothic" w:hAnsi="Century Gothic" w:cs="Arial"/>
          <w:sz w:val="18"/>
          <w:szCs w:val="18"/>
        </w:rPr>
      </w:pPr>
      <w:r>
        <w:rPr>
          <w:rFonts w:cs="Arial" w:ascii="Century Gothic" w:hAnsi="Century Gothic"/>
          <w:color w:val="000000" w:themeColor="dark1"/>
          <w:sz w:val="18"/>
          <w:szCs w:val="18"/>
        </w:rPr>
        <w:t xml:space="preserve">La notification du bon de commande vaut lancement des prestations au titre de l’année concernée : </w:t>
      </w:r>
    </w:p>
    <w:p>
      <w:pPr>
        <w:pStyle w:val="Normal"/>
        <w:jc w:val="both"/>
        <w:rPr>
          <w:rFonts w:ascii="Century Gothic" w:hAnsi="Century Gothic" w:cs="Arial"/>
          <w:sz w:val="18"/>
          <w:szCs w:val="18"/>
        </w:rPr>
      </w:pPr>
      <w:r>
        <w:rPr>
          <w:rFonts w:cs="Arial" w:ascii="Century Gothic" w:hAnsi="Century Gothic"/>
          <w:sz w:val="18"/>
          <w:szCs w:val="18"/>
        </w:rPr>
      </w:r>
    </w:p>
    <w:p>
      <w:pPr>
        <w:pStyle w:val="Normal"/>
        <w:numPr>
          <w:ilvl w:val="0"/>
          <w:numId w:val="8"/>
        </w:numPr>
        <w:rPr>
          <w:rFonts w:ascii="Century Gothic" w:hAnsi="Century Gothic" w:cs="Arial"/>
          <w:sz w:val="18"/>
          <w:szCs w:val="18"/>
        </w:rPr>
      </w:pPr>
      <w:r>
        <w:rPr>
          <w:rFonts w:cs="Arial" w:ascii="Century Gothic" w:hAnsi="Century Gothic"/>
          <w:color w:val="000000" w:themeColor="dark1"/>
          <w:sz w:val="18"/>
          <w:szCs w:val="18"/>
        </w:rPr>
        <w:t>Pour les prestations forfaitaires, le bon de commande est d’une durée d’exécution de douze mois.</w:t>
      </w:r>
    </w:p>
    <w:p>
      <w:pPr>
        <w:pStyle w:val="Standard"/>
        <w:numPr>
          <w:ilvl w:val="0"/>
          <w:numId w:val="8"/>
        </w:numPr>
        <w:rPr>
          <w:rFonts w:ascii="Century Gothic" w:hAnsi="Century Gothic" w:cs="Arial"/>
          <w:sz w:val="18"/>
          <w:szCs w:val="18"/>
        </w:rPr>
      </w:pPr>
      <w:r>
        <w:rPr>
          <w:rFonts w:cs="Arial" w:ascii="Century Gothic" w:hAnsi="Century Gothic"/>
          <w:sz w:val="18"/>
          <w:szCs w:val="18"/>
        </w:rPr>
        <w:t>Les prestations exceptionnelles ou correctives</w:t>
      </w:r>
      <w:r>
        <w:rPr>
          <w:rFonts w:cs="Arial" w:ascii="Century Gothic" w:hAnsi="Century Gothic"/>
          <w:sz w:val="18"/>
          <w:szCs w:val="18"/>
          <w:shd w:fill="auto" w:val="clear"/>
        </w:rPr>
        <w:t xml:space="preserve"> </w:t>
      </w:r>
      <w:r>
        <w:rPr>
          <w:rFonts w:cs="Arial" w:ascii="Century Gothic" w:hAnsi="Century Gothic"/>
          <w:sz w:val="18"/>
          <w:szCs w:val="18"/>
        </w:rPr>
        <w:t>font l’objet de bons de commande émis par l’ordonnateur au fur et à mesure de la survenance des besoins.</w:t>
      </w:r>
    </w:p>
    <w:p>
      <w:pPr>
        <w:pStyle w:val="Standard"/>
        <w:rPr>
          <w:rFonts w:ascii="Century Gothic" w:hAnsi="Century Gothic" w:cs="Arial"/>
          <w:sz w:val="18"/>
          <w:szCs w:val="18"/>
        </w:rPr>
      </w:pPr>
      <w:r>
        <w:rPr>
          <w:rFonts w:cs="Arial" w:ascii="Century Gothic" w:hAnsi="Century Gothic"/>
          <w:sz w:val="18"/>
          <w:szCs w:val="18"/>
        </w:rPr>
      </w:r>
    </w:p>
    <w:p>
      <w:pPr>
        <w:pStyle w:val="Standard"/>
        <w:rPr>
          <w:rFonts w:ascii="Century Gothic" w:hAnsi="Century Gothic" w:cs="Arial"/>
          <w:sz w:val="18"/>
          <w:szCs w:val="18"/>
        </w:rPr>
      </w:pPr>
      <w:r>
        <w:rPr>
          <w:rFonts w:cs="Arial" w:ascii="Century Gothic" w:hAnsi="Century Gothic"/>
          <w:sz w:val="18"/>
          <w:szCs w:val="18"/>
        </w:rPr>
        <w:t>Les bons de commandes sont émis et transmis par l'ordonnateur au titulaire. Ils sont adressés sous forme dématérialisés sur la ou les adresses courriel fournie(s) par le titulaire.</w:t>
      </w:r>
    </w:p>
    <w:p>
      <w:pPr>
        <w:pStyle w:val="Standard"/>
        <w:rPr>
          <w:rFonts w:ascii="Century Gothic" w:hAnsi="Century Gothic" w:cs="Arial"/>
          <w:color w:val="000000" w:themeColor="dark1"/>
          <w:sz w:val="18"/>
          <w:szCs w:val="18"/>
        </w:rPr>
      </w:pPr>
      <w:r>
        <w:rPr>
          <w:rFonts w:cs="Arial" w:ascii="Century Gothic" w:hAnsi="Century Gothic"/>
          <w:color w:val="000000" w:themeColor="dark1"/>
          <w:sz w:val="18"/>
          <w:szCs w:val="18"/>
        </w:rPr>
      </w:r>
    </w:p>
    <w:p>
      <w:pPr>
        <w:pStyle w:val="Normal"/>
        <w:widowControl w:val="false"/>
        <w:tabs>
          <w:tab w:val="clear" w:pos="567"/>
          <w:tab w:val="left" w:pos="1196" w:leader="none"/>
        </w:tabs>
        <w:spacing w:before="32" w:after="0"/>
        <w:ind w:right="-144" w:hanging="0"/>
        <w:rPr>
          <w:rFonts w:ascii="Century Gothic" w:hAnsi="Century Gothic" w:cs="Arial"/>
          <w:color w:val="000000" w:themeColor="dark1"/>
          <w:sz w:val="18"/>
          <w:szCs w:val="18"/>
        </w:rPr>
      </w:pPr>
      <w:r>
        <w:rPr>
          <w:rFonts w:cs="Arial" w:ascii="Century Gothic" w:hAnsi="Century Gothic"/>
          <w:color w:val="000000" w:themeColor="dark1"/>
          <w:sz w:val="18"/>
          <w:szCs w:val="18"/>
        </w:rPr>
        <w:t>Les bons de commande sont établis par chaque service bénéficiaire et transmis au titulaire.</w:t>
      </w:r>
    </w:p>
    <w:p>
      <w:pPr>
        <w:pStyle w:val="Normal"/>
        <w:widowControl w:val="false"/>
        <w:tabs>
          <w:tab w:val="clear" w:pos="567"/>
          <w:tab w:val="left" w:pos="1196" w:leader="none"/>
        </w:tabs>
        <w:spacing w:before="32" w:after="0"/>
        <w:ind w:right="-144" w:hanging="0"/>
        <w:rPr>
          <w:rFonts w:ascii="Century Gothic" w:hAnsi="Century Gothic" w:cs="Arial"/>
          <w:sz w:val="18"/>
          <w:szCs w:val="18"/>
        </w:rPr>
      </w:pPr>
      <w:r>
        <w:rPr>
          <w:rFonts w:cs="Arial" w:ascii="Century Gothic" w:hAnsi="Century Gothic"/>
          <w:sz w:val="18"/>
          <w:szCs w:val="18"/>
        </w:rPr>
      </w:r>
    </w:p>
    <w:p>
      <w:pPr>
        <w:pStyle w:val="Titre4"/>
        <w:numPr>
          <w:ilvl w:val="3"/>
          <w:numId w:val="3"/>
        </w:numPr>
        <w:shd w:val="clear" w:fill="66CCFF"/>
        <w:tabs>
          <w:tab w:val="clear" w:pos="4111"/>
          <w:tab w:val="left" w:pos="-142" w:leader="none"/>
          <w:tab w:val="left" w:pos="426" w:leader="none"/>
          <w:tab w:val="left" w:pos="851" w:leader="none"/>
        </w:tabs>
        <w:rPr>
          <w:bCs/>
          <w:sz w:val="22"/>
          <w:szCs w:val="22"/>
        </w:rPr>
      </w:pPr>
      <w:r>
        <w:rPr>
          <w:bCs/>
          <w:sz w:val="22"/>
          <w:szCs w:val="22"/>
        </w:rPr>
        <w:t>G –Avance</w:t>
      </w:r>
    </w:p>
    <w:p>
      <w:pPr>
        <w:pStyle w:val="Normal"/>
        <w:jc w:val="both"/>
        <w:rPr>
          <w:rFonts w:cs="Arial"/>
        </w:rPr>
      </w:pPr>
      <w:r>
        <w:rPr>
          <w:rFonts w:cs="Arial"/>
        </w:rPr>
      </w:r>
    </w:p>
    <w:p>
      <w:pPr>
        <w:pStyle w:val="Normal"/>
        <w:rPr>
          <w:rFonts w:ascii="Century Gothic" w:hAnsi="Century Gothic" w:cs="Arial"/>
          <w:color w:val="000000" w:themeColor="dark1"/>
          <w:sz w:val="18"/>
          <w:szCs w:val="18"/>
        </w:rPr>
      </w:pPr>
      <w:r>
        <w:rPr>
          <w:rFonts w:cs="Arial" w:ascii="Century Gothic" w:hAnsi="Century Gothic"/>
          <w:color w:val="000000" w:themeColor="dark1"/>
          <w:sz w:val="18"/>
          <w:szCs w:val="18"/>
        </w:rPr>
        <w:t>Le régime des avances est régi par les dispositions des articles R2191-3 et suivants du code de la commande publique.</w:t>
      </w:r>
    </w:p>
    <w:p>
      <w:pPr>
        <w:pStyle w:val="Normal"/>
        <w:rPr>
          <w:rFonts w:ascii="Century Gothic" w:hAnsi="Century Gothic" w:cs="Arial"/>
          <w:color w:val="000000" w:themeColor="dark1"/>
          <w:sz w:val="18"/>
          <w:szCs w:val="18"/>
        </w:rPr>
      </w:pPr>
      <w:r>
        <w:rPr>
          <w:rFonts w:cs="Arial" w:ascii="Century Gothic" w:hAnsi="Century Gothic"/>
          <w:iCs/>
          <w:color w:val="000000" w:themeColor="dark1"/>
          <w:sz w:val="18"/>
          <w:szCs w:val="18"/>
        </w:rPr>
        <w:t>L’avance est accordée pour chaque bon de commande ou marché subséquent d’un montant supérieur à 50 000 euros HT et d’une durée d’exécution supérieure à deux mois.</w:t>
      </w:r>
    </w:p>
    <w:p>
      <w:pPr>
        <w:pStyle w:val="Normal"/>
        <w:rPr>
          <w:rFonts w:ascii="Century Gothic" w:hAnsi="Century Gothic" w:cs="Arial"/>
          <w:color w:val="000000" w:themeColor="dark1"/>
          <w:sz w:val="18"/>
          <w:szCs w:val="18"/>
        </w:rPr>
      </w:pPr>
      <w:r>
        <w:rPr>
          <w:rFonts w:cs="Arial" w:ascii="Century Gothic" w:hAnsi="Century Gothic"/>
          <w:color w:val="000000" w:themeColor="dark1"/>
          <w:sz w:val="18"/>
          <w:szCs w:val="18"/>
        </w:rPr>
      </w:r>
    </w:p>
    <w:p>
      <w:pPr>
        <w:pStyle w:val="Normal"/>
        <w:rPr>
          <w:rFonts w:ascii="Century Gothic" w:hAnsi="Century Gothic" w:cs="Arial"/>
          <w:color w:val="000000" w:themeColor="dark1"/>
          <w:sz w:val="18"/>
          <w:szCs w:val="18"/>
        </w:rPr>
      </w:pPr>
      <w:r>
        <w:rPr>
          <w:rFonts w:cs="Arial" w:ascii="Century Gothic" w:hAnsi="Century Gothic"/>
          <w:iCs/>
          <w:color w:val="000000" w:themeColor="dark1"/>
          <w:sz w:val="18"/>
          <w:szCs w:val="18"/>
        </w:rPr>
        <w:t xml:space="preserve">L’avance correspond à 10 % du montant du bon de commande ou du marché subséquent, et de 30 % pour les PME. </w:t>
      </w:r>
    </w:p>
    <w:p>
      <w:pPr>
        <w:pStyle w:val="Normal"/>
        <w:rPr>
          <w:rFonts w:ascii="Century Gothic" w:hAnsi="Century Gothic" w:cs="Arial"/>
          <w:color w:val="000000" w:themeColor="dark1"/>
          <w:sz w:val="18"/>
          <w:szCs w:val="18"/>
        </w:rPr>
      </w:pPr>
      <w:r>
        <w:rPr>
          <w:rFonts w:cs="Arial" w:ascii="Century Gothic" w:hAnsi="Century Gothic"/>
          <w:color w:val="000000" w:themeColor="dark1"/>
          <w:sz w:val="18"/>
          <w:szCs w:val="18"/>
        </w:rPr>
      </w:r>
    </w:p>
    <w:p>
      <w:pPr>
        <w:pStyle w:val="Normal"/>
        <w:rPr>
          <w:rFonts w:ascii="Century Gothic" w:hAnsi="Century Gothic" w:cs="Arial"/>
          <w:color w:val="000000" w:themeColor="dark1"/>
          <w:sz w:val="18"/>
          <w:szCs w:val="18"/>
        </w:rPr>
      </w:pPr>
      <w:r>
        <w:rPr>
          <w:rFonts w:cs="Arial" w:ascii="Century Gothic" w:hAnsi="Century Gothic"/>
          <w:iCs/>
          <w:color w:val="000000" w:themeColor="dark1"/>
          <w:sz w:val="18"/>
          <w:szCs w:val="18"/>
        </w:rPr>
        <w:t>Le titulaire peut refuser le versement de l'avance.</w:t>
      </w:r>
    </w:p>
    <w:p>
      <w:pPr>
        <w:pStyle w:val="Normal"/>
        <w:rPr>
          <w:rFonts w:ascii="Century Gothic" w:hAnsi="Century Gothic" w:cs="Arial"/>
          <w:color w:val="000000" w:themeColor="dark1"/>
          <w:sz w:val="18"/>
          <w:szCs w:val="18"/>
        </w:rPr>
      </w:pPr>
      <w:r>
        <w:rPr>
          <w:rFonts w:cs="Arial" w:ascii="Century Gothic" w:hAnsi="Century Gothic"/>
          <w:color w:val="000000" w:themeColor="dark1"/>
          <w:sz w:val="18"/>
          <w:szCs w:val="18"/>
        </w:rPr>
      </w:r>
    </w:p>
    <w:p>
      <w:pPr>
        <w:pStyle w:val="Normal"/>
        <w:rPr>
          <w:rFonts w:ascii="Century Gothic" w:hAnsi="Century Gothic" w:cs="Arial"/>
          <w:color w:val="000000" w:themeColor="dark1"/>
          <w:sz w:val="18"/>
          <w:szCs w:val="18"/>
        </w:rPr>
      </w:pPr>
      <w:r>
        <w:rPr>
          <w:rFonts w:cs="Arial" w:ascii="Century Gothic" w:hAnsi="Century Gothic"/>
          <w:iCs/>
          <w:color w:val="000000" w:themeColor="dark1"/>
          <w:sz w:val="18"/>
          <w:szCs w:val="18"/>
        </w:rPr>
        <w:t>Le paiement de cette avance intervient dans un délai de 30 jours à compter de la date de notification du marché ou du bon de commande. Le montant de l'avance ne peut être affecté par la mise en œuvre d'une clause de variation de prix.</w:t>
      </w:r>
    </w:p>
    <w:p>
      <w:pPr>
        <w:pStyle w:val="Normal"/>
        <w:jc w:val="both"/>
        <w:rPr>
          <w:iCs/>
        </w:rPr>
      </w:pPr>
      <w:r>
        <w:rPr>
          <w:iCs/>
        </w:rPr>
      </w:r>
    </w:p>
    <w:p>
      <w:pPr>
        <w:pStyle w:val="Normal"/>
        <w:jc w:val="both"/>
        <w:rPr>
          <w:iCs/>
        </w:rPr>
      </w:pPr>
      <w:r>
        <w:rPr>
          <w:iCs/>
        </w:rPr>
      </w:r>
    </w:p>
    <w:p>
      <w:pPr>
        <w:pStyle w:val="Titre4"/>
        <w:numPr>
          <w:ilvl w:val="3"/>
          <w:numId w:val="2"/>
        </w:numPr>
        <w:shd w:val="clear" w:fill="66CCFF"/>
        <w:tabs>
          <w:tab w:val="clear" w:pos="4111"/>
          <w:tab w:val="left" w:pos="-142" w:leader="none"/>
          <w:tab w:val="left" w:pos="426" w:leader="none"/>
          <w:tab w:val="left" w:pos="851" w:leader="none"/>
        </w:tabs>
        <w:rPr>
          <w:rFonts w:ascii="Century Gothic" w:hAnsi="Century Gothic"/>
          <w:b w:val="false"/>
          <w:color w:val="000000" w:themeColor="dark1"/>
          <w:sz w:val="18"/>
          <w:szCs w:val="18"/>
        </w:rPr>
      </w:pPr>
      <w:r>
        <w:rPr>
          <w:rFonts w:ascii="Century Gothic" w:hAnsi="Century Gothic"/>
          <w:bCs/>
          <w:iCs/>
          <w:color w:val="000000" w:themeColor="dark1"/>
          <w:sz w:val="22"/>
          <w:szCs w:val="22"/>
        </w:rPr>
        <w:t>H -  Forme des Prix</w:t>
      </w:r>
    </w:p>
    <w:p>
      <w:pPr>
        <w:pStyle w:val="Normal"/>
        <w:jc w:val="both"/>
        <w:rPr>
          <w:iCs/>
        </w:rPr>
      </w:pPr>
      <w:r>
        <w:rPr>
          <w:iCs/>
        </w:rPr>
      </w:r>
    </w:p>
    <w:p>
      <w:pPr>
        <w:pStyle w:val="Normal"/>
        <w:jc w:val="both"/>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t xml:space="preserve">Le marché est traité pour partie à prix forfaitaires pour la maintenance préventive et pour partie à prix unitaires pour la maintenance corrective et certaines prestations spécifiques.  </w:t>
      </w:r>
    </w:p>
    <w:p>
      <w:pPr>
        <w:pStyle w:val="Standard"/>
        <w:jc w:val="both"/>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r>
    </w:p>
    <w:p>
      <w:pPr>
        <w:pStyle w:val="Standard"/>
        <w:jc w:val="both"/>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t>Le prix est réputé comprendre toutes les charges fiscales et autres frappant obligatoirement la prestation. En cas de modification de la législation fiscale, il sera fait application de la taxe sur la valeur ajoutée en vigueur à la date du fait générateur en vertu duquel les paiements sont exigibles.</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Titre4"/>
        <w:numPr>
          <w:ilvl w:val="3"/>
          <w:numId w:val="2"/>
        </w:numPr>
        <w:shd w:val="clear" w:fill="66CCFF"/>
        <w:tabs>
          <w:tab w:val="clear" w:pos="4111"/>
          <w:tab w:val="left" w:pos="-142" w:leader="none"/>
          <w:tab w:val="left" w:pos="426" w:leader="none"/>
          <w:tab w:val="left" w:pos="851" w:leader="none"/>
        </w:tabs>
        <w:rPr>
          <w:rFonts w:ascii="Century Gothic" w:hAnsi="Century Gothic"/>
          <w:b w:val="false"/>
          <w:iCs/>
          <w:color w:val="000000" w:themeColor="dark1"/>
          <w:sz w:val="18"/>
          <w:szCs w:val="18"/>
        </w:rPr>
      </w:pPr>
      <w:r>
        <w:rPr>
          <w:rFonts w:ascii="Century Gothic" w:hAnsi="Century Gothic"/>
          <w:bCs/>
          <w:iCs/>
          <w:color w:val="000000" w:themeColor="dark1"/>
          <w:sz w:val="22"/>
          <w:szCs w:val="22"/>
        </w:rPr>
        <w:t>I -  Révision des Prix</w:t>
      </w:r>
    </w:p>
    <w:p>
      <w:pPr>
        <w:pStyle w:val="Standard"/>
        <w:jc w:val="both"/>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r>
    </w:p>
    <w:p>
      <w:pPr>
        <w:pStyle w:val="Normal"/>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t>A l’expiration de la première année de validité du marché, les prix des prestations sont révisables selon les conditions indiquées dans l’accord-cadre.</w:t>
      </w:r>
    </w:p>
    <w:p>
      <w:pPr>
        <w:pStyle w:val="Normal"/>
        <w:rPr>
          <w:shd w:fill="auto" w:val="clear"/>
        </w:rPr>
      </w:pPr>
      <w:r>
        <w:rPr>
          <w:shd w:fill="auto" w:val="clear"/>
        </w:rPr>
      </w:r>
    </w:p>
    <w:p>
      <w:pPr>
        <w:pStyle w:val="Normal"/>
        <w:suppressAutoHyphens w:val="false"/>
        <w:rPr>
          <w:rFonts w:ascii="Century Gothic" w:hAnsi="Century Gothic" w:cs="Arial"/>
          <w:iCs/>
          <w:color w:val="000000" w:themeColor="dark1"/>
          <w:sz w:val="18"/>
          <w:szCs w:val="18"/>
          <w:shd w:fill="auto" w:val="clear"/>
        </w:rPr>
      </w:pPr>
      <w:r>
        <w:rPr>
          <w:rFonts w:cs="Arial" w:ascii="Century Gothic" w:hAnsi="Century Gothic"/>
          <w:iCs/>
          <w:color w:val="000000" w:themeColor="dark1"/>
          <w:sz w:val="18"/>
          <w:szCs w:val="18"/>
          <w:shd w:fill="auto" w:val="clear"/>
        </w:rPr>
        <w:t>La formule de révision annuelle est fixée à l’accord-cadre.</w:t>
      </w:r>
    </w:p>
    <w:p>
      <w:pPr>
        <w:pStyle w:val="Normal"/>
        <w:suppressAutoHyphens w:val="false"/>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Titre4"/>
        <w:numPr>
          <w:ilvl w:val="0"/>
          <w:numId w:val="0"/>
        </w:numPr>
        <w:shd w:val="clear" w:fill="66CCFF"/>
        <w:tabs>
          <w:tab w:val="clear" w:pos="4111"/>
          <w:tab w:val="left" w:pos="-142" w:leader="none"/>
          <w:tab w:val="left" w:pos="426" w:leader="none"/>
          <w:tab w:val="left" w:pos="851" w:leader="none"/>
        </w:tabs>
        <w:ind w:left="864" w:hanging="0"/>
        <w:rPr>
          <w:rFonts w:ascii="Century Gothic" w:hAnsi="Century Gothic"/>
          <w:b w:val="false"/>
          <w:iCs/>
          <w:color w:val="000000" w:themeColor="dark1"/>
          <w:sz w:val="18"/>
          <w:szCs w:val="18"/>
        </w:rPr>
      </w:pPr>
      <w:r>
        <w:rPr>
          <w:rFonts w:ascii="Century Gothic" w:hAnsi="Century Gothic"/>
          <w:b w:val="false"/>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Titre4"/>
        <w:numPr>
          <w:ilvl w:val="3"/>
          <w:numId w:val="2"/>
        </w:numPr>
        <w:shd w:val="clear" w:fill="66CCFF"/>
        <w:tabs>
          <w:tab w:val="clear" w:pos="4111"/>
          <w:tab w:val="left" w:pos="-142" w:leader="none"/>
          <w:tab w:val="left" w:pos="426" w:leader="none"/>
          <w:tab w:val="left" w:pos="851" w:leader="none"/>
        </w:tabs>
        <w:rPr>
          <w:rFonts w:ascii="Century Gothic" w:hAnsi="Century Gothic"/>
          <w:b w:val="false"/>
          <w:iCs/>
          <w:color w:val="000000" w:themeColor="dark1"/>
          <w:sz w:val="18"/>
          <w:szCs w:val="18"/>
        </w:rPr>
      </w:pPr>
      <w:r>
        <w:rPr>
          <w:rFonts w:ascii="Century Gothic" w:hAnsi="Century Gothic"/>
          <w:bCs/>
          <w:iCs/>
          <w:color w:val="000000" w:themeColor="dark1"/>
          <w:sz w:val="22"/>
          <w:szCs w:val="22"/>
        </w:rPr>
        <w:t xml:space="preserve">J -  </w:t>
      </w:r>
      <w:r>
        <w:rPr>
          <w:rFonts w:ascii="Century Gothic" w:hAnsi="Century Gothic"/>
          <w:bCs/>
          <w:iCs/>
          <w:color w:val="000000" w:themeColor="dark1"/>
          <w:sz w:val="22"/>
          <w:szCs w:val="22"/>
          <w:lang w:eastAsia="fr-FR"/>
        </w:rPr>
        <w:t>Facturation</w:t>
      </w:r>
    </w:p>
    <w:p>
      <w:pPr>
        <w:pStyle w:val="Titre3"/>
        <w:numPr>
          <w:ilvl w:val="2"/>
          <w:numId w:val="2"/>
        </w:numPr>
        <w:rPr>
          <w:lang w:eastAsia="fr-FR"/>
        </w:rPr>
      </w:pPr>
      <w:r>
        <w:rPr>
          <w:lang w:eastAsia="fr-FR"/>
        </w:rPr>
      </w:r>
      <w:bookmarkStart w:id="12" w:name="_Toc43216440"/>
      <w:bookmarkStart w:id="13" w:name="_Toc43216440"/>
      <w:bookmarkEnd w:id="13"/>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La facture devra comprendre les éléments ci-dessous :</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tbl>
      <w:tblPr>
        <w:tblW w:w="9639" w:type="dxa"/>
        <w:jc w:val="left"/>
        <w:tblInd w:w="147" w:type="dxa"/>
        <w:tblLayout w:type="fixed"/>
        <w:tblCellMar>
          <w:top w:w="0" w:type="dxa"/>
          <w:left w:w="98" w:type="dxa"/>
          <w:bottom w:w="0" w:type="dxa"/>
          <w:right w:w="108" w:type="dxa"/>
        </w:tblCellMar>
      </w:tblPr>
      <w:tblGrid>
        <w:gridCol w:w="5101"/>
        <w:gridCol w:w="4537"/>
      </w:tblGrid>
      <w:tr>
        <w:trPr>
          <w:trHeight w:val="263" w:hRule="atLeast"/>
        </w:trPr>
        <w:tc>
          <w:tcPr>
            <w:tcW w:w="9638" w:type="dxa"/>
            <w:gridSpan w:val="2"/>
            <w:tcBorders>
              <w:top w:val="single" w:sz="4" w:space="0" w:color="92CDDC"/>
              <w:left w:val="single" w:sz="4" w:space="0" w:color="92CDDC"/>
              <w:bottom w:val="single" w:sz="12" w:space="0" w:color="92CDDC"/>
              <w:right w:val="single" w:sz="4" w:space="0" w:color="92CDDC"/>
            </w:tcBorders>
          </w:tcPr>
          <w:p>
            <w:pPr>
              <w:pStyle w:val="Standard"/>
              <w:widowControl w:val="false"/>
              <w:jc w:val="center"/>
              <w:rPr>
                <w:bCs/>
              </w:rPr>
            </w:pPr>
            <w:r>
              <w:rPr>
                <w:bCs/>
              </w:rPr>
              <w:t>ÉLÉMENTS DE LA FACTURE</w:t>
            </w:r>
          </w:p>
        </w:tc>
      </w:tr>
      <w:tr>
        <w:trPr/>
        <w:tc>
          <w:tcPr>
            <w:tcW w:w="5101"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bCs/>
              </w:rPr>
            </w:pPr>
            <w:r>
              <w:rPr>
                <w:bCs/>
              </w:rPr>
              <w:t>La prestation</w:t>
            </w:r>
          </w:p>
        </w:tc>
        <w:tc>
          <w:tcPr>
            <w:tcW w:w="4537"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pPr>
            <w:r>
              <w:rPr/>
              <w:t>La raison sociale du prestataire</w:t>
            </w:r>
          </w:p>
        </w:tc>
      </w:tr>
      <w:tr>
        <w:trPr/>
        <w:tc>
          <w:tcPr>
            <w:tcW w:w="5101"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bCs/>
              </w:rPr>
            </w:pPr>
            <w:r>
              <w:rPr>
                <w:bCs/>
              </w:rPr>
              <w:t>La période de référence de la prestation</w:t>
            </w:r>
          </w:p>
        </w:tc>
        <w:tc>
          <w:tcPr>
            <w:tcW w:w="4537"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pPr>
            <w:r>
              <w:rPr/>
              <w:t>Siège social du prestataire</w:t>
            </w:r>
          </w:p>
        </w:tc>
      </w:tr>
      <w:tr>
        <w:trPr/>
        <w:tc>
          <w:tcPr>
            <w:tcW w:w="5101"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bCs/>
              </w:rPr>
            </w:pPr>
            <w:r>
              <w:rPr>
                <w:bCs/>
              </w:rPr>
              <w:t>Le périmètre géographique</w:t>
            </w:r>
          </w:p>
        </w:tc>
        <w:tc>
          <w:tcPr>
            <w:tcW w:w="4537"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pPr>
            <w:r>
              <w:rPr/>
              <w:t>SIRET</w:t>
            </w:r>
          </w:p>
        </w:tc>
      </w:tr>
      <w:tr>
        <w:trPr>
          <w:trHeight w:val="64" w:hRule="atLeast"/>
        </w:trPr>
        <w:tc>
          <w:tcPr>
            <w:tcW w:w="5101"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bCs/>
              </w:rPr>
            </w:pPr>
            <w:r>
              <w:rPr>
                <w:bCs/>
              </w:rPr>
              <w:t>Les quantités exécutées</w:t>
            </w:r>
          </w:p>
        </w:tc>
        <w:tc>
          <w:tcPr>
            <w:tcW w:w="4537"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pPr>
            <w:r>
              <w:rPr/>
              <w:t>APE</w:t>
            </w:r>
          </w:p>
        </w:tc>
      </w:tr>
      <w:tr>
        <w:trPr>
          <w:trHeight w:val="64" w:hRule="atLeast"/>
        </w:trPr>
        <w:tc>
          <w:tcPr>
            <w:tcW w:w="5101"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bCs/>
              </w:rPr>
            </w:pPr>
            <w:r>
              <w:rPr>
                <w:bCs/>
              </w:rPr>
              <w:t>Les références du bon de commande ou du marché subséquent (numéro d’engagement juridique (EJ), date, montant)</w:t>
            </w:r>
          </w:p>
        </w:tc>
        <w:tc>
          <w:tcPr>
            <w:tcW w:w="4537"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pPr>
            <w:r>
              <w:rPr/>
              <w:t>RIB (IBAN BIC)</w:t>
            </w:r>
          </w:p>
        </w:tc>
      </w:tr>
      <w:tr>
        <w:trPr>
          <w:trHeight w:val="64" w:hRule="atLeast"/>
        </w:trPr>
        <w:tc>
          <w:tcPr>
            <w:tcW w:w="5101"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bCs/>
              </w:rPr>
            </w:pPr>
            <w:r>
              <w:rPr>
                <w:bCs/>
              </w:rPr>
              <w:t>Le code du service bénéficiaire</w:t>
            </w:r>
          </w:p>
          <w:p>
            <w:pPr>
              <w:pStyle w:val="Standard"/>
              <w:widowControl w:val="false"/>
              <w:jc w:val="center"/>
              <w:rPr>
                <w:bCs/>
              </w:rPr>
            </w:pPr>
            <w:r>
              <w:rPr>
                <w:bCs/>
              </w:rPr>
              <w:t xml:space="preserve"> </w:t>
            </w:r>
            <w:r>
              <w:rPr>
                <w:bCs/>
              </w:rPr>
              <w:t>(Mentionné au bon de commande)</w:t>
            </w:r>
          </w:p>
        </w:tc>
        <w:tc>
          <w:tcPr>
            <w:tcW w:w="4537"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pPr>
            <w:r>
              <w:rPr/>
              <w:t>Les prix unitaires HT et TTC du BPU</w:t>
            </w:r>
          </w:p>
        </w:tc>
      </w:tr>
      <w:tr>
        <w:trPr>
          <w:trHeight w:val="64" w:hRule="atLeast"/>
        </w:trPr>
        <w:tc>
          <w:tcPr>
            <w:tcW w:w="5101"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bCs/>
              </w:rPr>
            </w:pPr>
            <w:r>
              <w:rPr>
                <w:bCs/>
              </w:rPr>
              <w:t>Le code du service exécutant</w:t>
            </w:r>
          </w:p>
          <w:p>
            <w:pPr>
              <w:pStyle w:val="Standard"/>
              <w:widowControl w:val="false"/>
              <w:jc w:val="center"/>
              <w:rPr>
                <w:bCs/>
              </w:rPr>
            </w:pPr>
            <w:r>
              <w:rPr>
                <w:bCs/>
              </w:rPr>
              <w:t>(Mentionné au bon de commande)</w:t>
            </w:r>
          </w:p>
        </w:tc>
        <w:tc>
          <w:tcPr>
            <w:tcW w:w="4537" w:type="dxa"/>
            <w:tcBorders>
              <w:top w:val="single" w:sz="4" w:space="0" w:color="92CDDC"/>
              <w:left w:val="single" w:sz="4" w:space="0" w:color="92CDDC"/>
              <w:bottom w:val="single" w:sz="4" w:space="0" w:color="92CDDC"/>
              <w:right w:val="single" w:sz="4" w:space="0" w:color="92CDDC"/>
            </w:tcBorders>
            <w:shd w:fill="DAEEF3" w:val="clear"/>
          </w:tcPr>
          <w:p>
            <w:pPr>
              <w:pStyle w:val="Standard"/>
              <w:widowControl w:val="false"/>
              <w:jc w:val="center"/>
              <w:rPr/>
            </w:pPr>
            <w:r>
              <w:rPr/>
              <w:t>Le taux de TVA</w:t>
            </w:r>
          </w:p>
        </w:tc>
      </w:tr>
      <w:tr>
        <w:trPr>
          <w:trHeight w:val="64" w:hRule="atLeast"/>
        </w:trPr>
        <w:tc>
          <w:tcPr>
            <w:tcW w:w="5101"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bCs/>
              </w:rPr>
            </w:pPr>
            <w:r>
              <w:rPr>
                <w:bCs/>
              </w:rPr>
            </w:r>
          </w:p>
        </w:tc>
        <w:tc>
          <w:tcPr>
            <w:tcW w:w="4537" w:type="dxa"/>
            <w:tcBorders>
              <w:top w:val="single" w:sz="4" w:space="0" w:color="92CDDC"/>
              <w:left w:val="single" w:sz="4" w:space="0" w:color="92CDDC"/>
              <w:bottom w:val="single" w:sz="4" w:space="0" w:color="92CDDC"/>
              <w:right w:val="single" w:sz="4" w:space="0" w:color="92CDDC"/>
            </w:tcBorders>
          </w:tcPr>
          <w:p>
            <w:pPr>
              <w:pStyle w:val="Standard"/>
              <w:widowControl w:val="false"/>
              <w:jc w:val="center"/>
              <w:rPr/>
            </w:pPr>
            <w:r>
              <w:rPr/>
              <w:t>Le prix total HT et TTC de la prestation</w:t>
            </w:r>
          </w:p>
        </w:tc>
      </w:tr>
    </w:tbl>
    <w:p>
      <w:pPr>
        <w:pStyle w:val="Normal"/>
        <w:rPr>
          <w:rFonts w:ascii="Century Gothic" w:hAnsi="Century Gothic" w:cs="Arial"/>
          <w:iCs/>
          <w:color w:val="000000" w:themeColor="dark1"/>
          <w:sz w:val="18"/>
          <w:szCs w:val="18"/>
        </w:rPr>
      </w:pPr>
      <w:bookmarkStart w:id="14" w:name="_Toc43216441"/>
      <w:bookmarkEnd w:id="14"/>
      <w:r>
        <w:rPr>
          <w:rFonts w:cs="Arial" w:ascii="Century Gothic" w:hAnsi="Century Gothic"/>
          <w:iCs/>
          <w:color w:val="000000" w:themeColor="dark1"/>
          <w:sz w:val="18"/>
          <w:szCs w:val="18"/>
        </w:rPr>
        <w:t>La transmission des factures s'effectue conformément aux dispositions :</w:t>
      </w:r>
    </w:p>
    <w:p>
      <w:pPr>
        <w:pStyle w:val="ListParagraph"/>
        <w:numPr>
          <w:ilvl w:val="0"/>
          <w:numId w:val="5"/>
        </w:numPr>
        <w:rPr>
          <w:rFonts w:ascii="Century Gothic" w:hAnsi="Century Gothic" w:eastAsia="Times New Roman" w:cs="Arial"/>
          <w:iCs/>
          <w:color w:val="000000" w:themeColor="dark1"/>
          <w:sz w:val="18"/>
          <w:szCs w:val="18"/>
          <w:lang w:eastAsia="zh-CN"/>
        </w:rPr>
      </w:pPr>
      <w:r>
        <w:rPr>
          <w:rFonts w:eastAsia="Times New Roman" w:cs="Arial" w:ascii="Century Gothic" w:hAnsi="Century Gothic"/>
          <w:iCs/>
          <w:color w:val="000000" w:themeColor="dark1"/>
          <w:sz w:val="18"/>
          <w:szCs w:val="18"/>
          <w:lang w:eastAsia="zh-CN"/>
        </w:rPr>
        <w:t>de l'ordonnance n°2014-697 du 26 juin 2014 relative au développement de la facturation électronique ;</w:t>
      </w:r>
    </w:p>
    <w:p>
      <w:pPr>
        <w:pStyle w:val="ListParagraph"/>
        <w:numPr>
          <w:ilvl w:val="0"/>
          <w:numId w:val="5"/>
        </w:numPr>
        <w:rPr>
          <w:rFonts w:ascii="Century Gothic" w:hAnsi="Century Gothic" w:eastAsia="Times New Roman" w:cs="Arial"/>
          <w:iCs/>
          <w:color w:val="000000" w:themeColor="dark1"/>
          <w:sz w:val="18"/>
          <w:szCs w:val="18"/>
          <w:lang w:eastAsia="zh-CN"/>
        </w:rPr>
      </w:pPr>
      <w:r>
        <w:rPr>
          <w:rFonts w:eastAsia="Times New Roman" w:cs="Arial" w:ascii="Century Gothic" w:hAnsi="Century Gothic"/>
          <w:iCs/>
          <w:color w:val="000000" w:themeColor="dark1"/>
          <w:sz w:val="18"/>
          <w:szCs w:val="18"/>
          <w:lang w:eastAsia="zh-CN"/>
        </w:rPr>
        <w:t>du décret n° 2016-1478 du 2 novembre 2016 relatif au  développement de la facturation électronique ;</w:t>
      </w:r>
    </w:p>
    <w:p>
      <w:pPr>
        <w:pStyle w:val="ListParagraph"/>
        <w:numPr>
          <w:ilvl w:val="0"/>
          <w:numId w:val="5"/>
        </w:numPr>
        <w:rPr>
          <w:rFonts w:ascii="Century Gothic" w:hAnsi="Century Gothic" w:eastAsia="Times New Roman" w:cs="Arial"/>
          <w:iCs/>
          <w:color w:val="000000" w:themeColor="dark1"/>
          <w:sz w:val="18"/>
          <w:szCs w:val="18"/>
          <w:lang w:eastAsia="zh-CN"/>
        </w:rPr>
      </w:pPr>
      <w:r>
        <w:rPr>
          <w:rFonts w:eastAsia="Times New Roman" w:cs="Arial" w:ascii="Century Gothic" w:hAnsi="Century Gothic"/>
          <w:iCs/>
          <w:color w:val="000000" w:themeColor="dark1"/>
          <w:sz w:val="18"/>
          <w:szCs w:val="18"/>
          <w:lang w:eastAsia="zh-CN"/>
        </w:rPr>
        <w:t>de l'arrêté du 9 décembre 2016 relatif au développement de la facturation électronique</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Le titulaire a le choix entre plusieurs modes de transmission électronique des factures.</w:t>
      </w:r>
    </w:p>
    <w:p>
      <w:pPr>
        <w:pStyle w:val="Titre4"/>
        <w:numPr>
          <w:ilvl w:val="3"/>
          <w:numId w:val="6"/>
        </w:numPr>
        <w:rPr>
          <w:rFonts w:ascii="Century Gothic" w:hAnsi="Century Gothic"/>
          <w:b w:val="false"/>
          <w:iCs/>
          <w:color w:val="000000" w:themeColor="dark1"/>
          <w:sz w:val="18"/>
          <w:szCs w:val="18"/>
        </w:rPr>
      </w:pPr>
      <w:bookmarkStart w:id="15" w:name="_Toc506968904"/>
      <w:bookmarkStart w:id="16" w:name="_Toc505596557"/>
      <w:bookmarkEnd w:id="15"/>
      <w:bookmarkEnd w:id="16"/>
      <w:r>
        <w:rPr>
          <w:rFonts w:ascii="Century Gothic" w:hAnsi="Century Gothic"/>
          <w:b w:val="false"/>
          <w:iCs/>
          <w:color w:val="000000" w:themeColor="dark1"/>
          <w:sz w:val="18"/>
          <w:szCs w:val="18"/>
        </w:rPr>
        <w:t>Raccordement direct à la solution mutualisée ou à partir d’un système</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Par transfert de fichier (en mode EDI – Échange de Données Informatisées) : Chorus Pro permet des échanges d'informations par flux issus des systèmes d'information des fournisseurs. L'émetteur de facture adresse ses flux soit directement à Chorus pro soit par l'intermédiaire d'un opérateur de dématérialisation.</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En utilisant des web services (en mode API - Application Programming Interface) : Chorus Pro offre l'ensemble de ses fonctionnalités sous forme de services intégrés dans un portail tiers (API/web service). L'émetteur de facture s'identifie via les API, et accède à l'ensemble des services de Chorus Pro comme par exemple le dépôt ou saisie de factures, le suivi du traitement des factures, l'adjonction et téléchargement de pièces complémentaires, etc.</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Titre4"/>
        <w:numPr>
          <w:ilvl w:val="3"/>
          <w:numId w:val="6"/>
        </w:numPr>
        <w:rPr>
          <w:rFonts w:ascii="Century Gothic" w:hAnsi="Century Gothic"/>
          <w:b w:val="false"/>
          <w:iCs/>
          <w:color w:val="000000" w:themeColor="dark1"/>
          <w:sz w:val="18"/>
          <w:szCs w:val="18"/>
        </w:rPr>
      </w:pPr>
      <w:bookmarkStart w:id="17" w:name="_Toc506968905"/>
      <w:bookmarkStart w:id="18" w:name="_Toc505596558"/>
      <w:bookmarkEnd w:id="17"/>
      <w:bookmarkEnd w:id="18"/>
      <w:r>
        <w:rPr>
          <w:rFonts w:ascii="Century Gothic" w:hAnsi="Century Gothic"/>
          <w:b w:val="false"/>
          <w:iCs/>
          <w:color w:val="000000" w:themeColor="dark1"/>
          <w:sz w:val="18"/>
          <w:szCs w:val="18"/>
        </w:rPr>
        <w:t>Utiliser le portail Chorus Pro accessible par internet</w:t>
      </w:r>
    </w:p>
    <w:p>
      <w:pPr>
        <w:pStyle w:val="Normal"/>
        <w:rPr/>
      </w:pPr>
      <w:r>
        <w:rPr>
          <w:rFonts w:cs="Arial" w:ascii="Century Gothic" w:hAnsi="Century Gothic"/>
          <w:iCs/>
          <w:color w:val="000000" w:themeColor="dark1"/>
          <w:sz w:val="18"/>
          <w:szCs w:val="18"/>
        </w:rPr>
        <w:t xml:space="preserve">Adresse de connexion : </w:t>
      </w:r>
      <w:hyperlink r:id="rId3">
        <w:r>
          <w:rPr>
            <w:rStyle w:val="LienInternet"/>
            <w:rFonts w:cs="Arial" w:ascii="Century Gothic" w:hAnsi="Century Gothic"/>
            <w:iCs/>
            <w:color w:val="000000" w:themeColor="dark1"/>
            <w:sz w:val="18"/>
            <w:szCs w:val="18"/>
          </w:rPr>
          <w:t>https://chorus-pro.gouv.fr</w:t>
        </w:r>
      </w:hyperlink>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Le portail Chorus Pro permet de:</w:t>
      </w:r>
    </w:p>
    <w:p>
      <w:pPr>
        <w:pStyle w:val="ListParagraph"/>
        <w:numPr>
          <w:ilvl w:val="0"/>
          <w:numId w:val="4"/>
        </w:numPr>
        <w:rPr>
          <w:rFonts w:ascii="Century Gothic" w:hAnsi="Century Gothic" w:eastAsia="Times New Roman" w:cs="Arial"/>
          <w:iCs/>
          <w:color w:val="000000" w:themeColor="dark1"/>
          <w:sz w:val="18"/>
          <w:szCs w:val="18"/>
          <w:lang w:eastAsia="zh-CN"/>
        </w:rPr>
      </w:pPr>
      <w:r>
        <w:rPr>
          <w:rFonts w:eastAsia="Times New Roman" w:cs="Arial" w:ascii="Century Gothic" w:hAnsi="Century Gothic"/>
          <w:iCs/>
          <w:color w:val="000000" w:themeColor="dark1"/>
          <w:sz w:val="18"/>
          <w:szCs w:val="18"/>
          <w:lang w:eastAsia="zh-CN"/>
        </w:rPr>
        <w:t>déposer ses factures sur le portail ;</w:t>
      </w:r>
    </w:p>
    <w:p>
      <w:pPr>
        <w:pStyle w:val="ListParagraph"/>
        <w:numPr>
          <w:ilvl w:val="0"/>
          <w:numId w:val="4"/>
        </w:numPr>
        <w:rPr>
          <w:rFonts w:ascii="Century Gothic" w:hAnsi="Century Gothic" w:eastAsia="Times New Roman" w:cs="Arial"/>
          <w:iCs/>
          <w:color w:val="000000" w:themeColor="dark1"/>
          <w:sz w:val="18"/>
          <w:szCs w:val="18"/>
          <w:lang w:eastAsia="zh-CN"/>
        </w:rPr>
      </w:pPr>
      <w:r>
        <w:rPr>
          <w:rFonts w:eastAsia="Times New Roman" w:cs="Arial" w:ascii="Century Gothic" w:hAnsi="Century Gothic"/>
          <w:iCs/>
          <w:color w:val="000000" w:themeColor="dark1"/>
          <w:sz w:val="18"/>
          <w:szCs w:val="18"/>
          <w:lang w:eastAsia="zh-CN"/>
        </w:rPr>
        <w:t>saisir directement ses factures ;</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Pour connaître les conditions techniques (guide utilisateurs du portail, kit de raccordement technique et spécifications du format normalisé d'échange) et réglementaires dans lesquelles s'opère la dématérialisation des factures, le titulaire est invité à consulter le portail internet à l'adresse ci-dessous :</w:t>
      </w:r>
    </w:p>
    <w:p>
      <w:pPr>
        <w:pStyle w:val="Normal"/>
        <w:rPr/>
      </w:pPr>
      <w:hyperlink r:id="rId4">
        <w:r>
          <w:rPr>
            <w:rStyle w:val="LienInternet"/>
            <w:rFonts w:cs="Arial" w:ascii="Century Gothic" w:hAnsi="Century Gothic"/>
            <w:iCs/>
            <w:color w:val="000000" w:themeColor="dark1"/>
            <w:sz w:val="18"/>
            <w:szCs w:val="18"/>
          </w:rPr>
          <w:t>https://communaute-chorus-pro.finances.gouv.fr/?action=publicPage&amp;uri=intranetOnePage/4003</w:t>
        </w:r>
      </w:hyperlink>
      <w:r>
        <w:rPr>
          <w:rFonts w:cs="Arial" w:ascii="Century Gothic" w:hAnsi="Century Gothic"/>
          <w:iCs/>
          <w:color w:val="000000" w:themeColor="dark1"/>
          <w:sz w:val="18"/>
          <w:szCs w:val="18"/>
          <w:u w:val="single"/>
        </w:rPr>
        <w:t xml:space="preserve"> </w:t>
      </w:r>
    </w:p>
    <w:p>
      <w:pPr>
        <w:pStyle w:val="Normal"/>
        <w:rPr/>
      </w:pPr>
      <w:hyperlink r:id="rId5">
        <w:r>
          <w:rPr>
            <w:rStyle w:val="LienInternet"/>
            <w:rFonts w:cs="Arial" w:ascii="Century Gothic" w:hAnsi="Century Gothic"/>
            <w:iCs/>
            <w:color w:val="000000" w:themeColor="dark1"/>
            <w:sz w:val="18"/>
            <w:szCs w:val="18"/>
          </w:rPr>
          <w:t>https://communaute-chorus-pro.finances.gouv.fr/?action=publicPage&amp;uri=intranetOnePage/4210</w:t>
        </w:r>
      </w:hyperlink>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t>Pour tout renseignement, le titulaire peut s'adresser à :</w:t>
      </w:r>
    </w:p>
    <w:p>
      <w:pPr>
        <w:pStyle w:val="Normal"/>
        <w:rPr/>
      </w:pPr>
      <w:hyperlink r:id="rId6">
        <w:r>
          <w:rPr>
            <w:rStyle w:val="LienInternet"/>
            <w:rFonts w:cs="Arial" w:ascii="Century Gothic" w:hAnsi="Century Gothic"/>
            <w:iCs/>
            <w:color w:val="000000" w:themeColor="dark1"/>
            <w:sz w:val="18"/>
            <w:szCs w:val="18"/>
          </w:rPr>
          <w:t>https://chorus-pro.gouv.fr/cpp/utilisateur?execution=e3s1/</w:t>
        </w:r>
      </w:hyperlink>
      <w:r>
        <w:rPr>
          <w:rFonts w:cs="Arial" w:ascii="Century Gothic" w:hAnsi="Century Gothic"/>
          <w:iCs/>
          <w:color w:val="000000" w:themeColor="dark1"/>
          <w:sz w:val="18"/>
          <w:szCs w:val="18"/>
          <w:u w:val="single"/>
        </w:rPr>
        <w:t xml:space="preserve">  rubrique « nous contacter »</w:t>
      </w:r>
    </w:p>
    <w:p>
      <w:pPr>
        <w:pStyle w:val="Normal"/>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numPr>
          <w:ilvl w:val="0"/>
          <w:numId w:val="9"/>
        </w:numPr>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t>Autres modes de transmission Le cas échéant, les factures pourront être établies en un seul original et envoyées à l’adresse figurant sur le bon de commande. Il est précisé que l’envoi d’une facture par courrier ne doit pas être « doublé » par une transmission électronique.</w:t>
      </w:r>
    </w:p>
    <w:p>
      <w:pPr>
        <w:pStyle w:val="Standard"/>
        <w:ind w:left="720" w:hanging="0"/>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Titre4"/>
        <w:numPr>
          <w:ilvl w:val="3"/>
          <w:numId w:val="2"/>
        </w:numPr>
        <w:shd w:val="clear" w:fill="66CCFF"/>
        <w:tabs>
          <w:tab w:val="clear" w:pos="4111"/>
          <w:tab w:val="left" w:pos="-142" w:leader="none"/>
          <w:tab w:val="left" w:pos="426" w:leader="none"/>
          <w:tab w:val="left" w:pos="851" w:leader="none"/>
        </w:tabs>
        <w:rPr>
          <w:rFonts w:ascii="Century Gothic" w:hAnsi="Century Gothic"/>
          <w:b w:val="false"/>
          <w:iCs/>
          <w:color w:val="000000" w:themeColor="dark1"/>
          <w:sz w:val="18"/>
          <w:szCs w:val="18"/>
        </w:rPr>
      </w:pPr>
      <w:r>
        <w:rPr>
          <w:rFonts w:ascii="Century Gothic" w:hAnsi="Century Gothic"/>
          <w:bCs/>
          <w:iCs/>
          <w:color w:val="000000" w:themeColor="dark1"/>
          <w:sz w:val="22"/>
          <w:szCs w:val="22"/>
        </w:rPr>
        <w:t xml:space="preserve">K -  </w:t>
      </w:r>
      <w:r>
        <w:rPr>
          <w:rFonts w:ascii="Century Gothic" w:hAnsi="Century Gothic"/>
          <w:bCs/>
          <w:iCs/>
          <w:color w:val="000000" w:themeColor="dark1"/>
          <w:sz w:val="22"/>
          <w:szCs w:val="22"/>
          <w:lang w:eastAsia="fr-FR"/>
        </w:rPr>
        <w:t>Délais de paiement</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t xml:space="preserve">Les sommes dues sont payées conformément aux dispositions des articles R.2192-10 et suivants du code de la commande publique. Le délai de paiement est fixé à 30 jours maximum. </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t xml:space="preserve">Le délai de paiement court à compter de la date de réception de la demande de paiement par l’acheteur, ou tout autre personne habilitée à cet effet. </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t xml:space="preserve">Lorsque la date de réception de la demande de paiement est incertaine ou antérieure à la date d’exécution des prestations, le délai de paiement court à compter de la date d’exécution des prestations. La date de réception de la demande de paiement ne peut faire l’objet d’un accord contractuel entre l’acheteur et son créancier. </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t>Lorsque les sommes dues ne sont pas mises en paiement à l’expiration du délai de paiement, le titulaire à droit, sans qu’il ait à les demander, au versement des intérêts moratoires et de l’indemnité forfaitaire pour frais de recouvrement conformément aux articles L2192-12 et suivants, R2192-31 à R2192-36 du code de la commande publique</w:t>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ascii="Century Gothic" w:hAnsi="Century Gothic" w:cs="Arial"/>
          <w:iCs/>
          <w:color w:val="000000" w:themeColor="dark1"/>
          <w:sz w:val="18"/>
          <w:szCs w:val="18"/>
        </w:rPr>
      </w:pPr>
      <w:r>
        <w:rPr>
          <w:rFonts w:cs="Arial" w:ascii="Century Gothic" w:hAnsi="Century Gothic"/>
          <w:iCs/>
          <w:color w:val="000000" w:themeColor="dark1"/>
          <w:sz w:val="18"/>
          <w:szCs w:val="18"/>
        </w:rPr>
      </w:r>
    </w:p>
    <w:p>
      <w:pPr>
        <w:pStyle w:val="Standard"/>
        <w:jc w:val="both"/>
        <w:rPr>
          <w:rFonts w:cs="Arial"/>
        </w:rPr>
      </w:pPr>
      <w:r>
        <w:rPr>
          <w:rFonts w:cs="Arial"/>
        </w:rPr>
      </w:r>
    </w:p>
    <w:tbl>
      <w:tblPr>
        <w:tblW w:w="10419" w:type="dxa"/>
        <w:jc w:val="left"/>
        <w:tblInd w:w="-71" w:type="dxa"/>
        <w:tblLayout w:type="fixed"/>
        <w:tblCellMar>
          <w:top w:w="0" w:type="dxa"/>
          <w:left w:w="71" w:type="dxa"/>
          <w:bottom w:w="0" w:type="dxa"/>
          <w:right w:w="71" w:type="dxa"/>
        </w:tblCellMar>
      </w:tblPr>
      <w:tblGrid>
        <w:gridCol w:w="10419"/>
      </w:tblGrid>
      <w:tr>
        <w:trPr/>
        <w:tc>
          <w:tcPr>
            <w:tcW w:w="10419" w:type="dxa"/>
            <w:tcBorders/>
            <w:shd w:fill="66CCFF" w:val="clear"/>
          </w:tcPr>
          <w:p>
            <w:pPr>
              <w:pStyle w:val="Normal"/>
              <w:widowControl w:val="false"/>
              <w:tabs>
                <w:tab w:val="clear" w:pos="567"/>
                <w:tab w:val="left" w:pos="-142" w:leader="none"/>
                <w:tab w:val="left" w:pos="851" w:leader="none"/>
                <w:tab w:val="left" w:pos="4111" w:leader="none"/>
              </w:tabs>
              <w:jc w:val="both"/>
              <w:rPr>
                <w:rFonts w:ascii="Arial" w:hAnsi="Arial" w:cs="Arial"/>
                <w:b/>
                <w:bCs/>
                <w:sz w:val="22"/>
                <w:szCs w:val="22"/>
              </w:rPr>
            </w:pPr>
            <w:r>
              <w:rPr>
                <w:rFonts w:cs="Arial" w:ascii="Arial" w:hAnsi="Arial"/>
                <w:b/>
                <w:bCs/>
                <w:sz w:val="22"/>
                <w:szCs w:val="22"/>
              </w:rPr>
              <w:t>L – Signature du marché subséquent par le titulaire</w:t>
            </w:r>
          </w:p>
        </w:tc>
      </w:tr>
    </w:tbl>
    <w:p>
      <w:pPr>
        <w:pStyle w:val="Fcase1ertab"/>
        <w:tabs>
          <w:tab w:val="left" w:pos="426" w:leader="none"/>
          <w:tab w:val="left" w:pos="851" w:leader="none"/>
        </w:tabs>
        <w:ind w:left="0" w:hanging="0"/>
        <w:rPr>
          <w:rFonts w:ascii="Arial" w:hAnsi="Arial" w:cs="Arial"/>
          <w:b/>
          <w:i/>
          <w:i/>
          <w:sz w:val="22"/>
          <w:szCs w:val="22"/>
        </w:rPr>
      </w:pPr>
      <w:r>
        <w:rPr>
          <w:rFonts w:cs="Arial" w:ascii="Arial" w:hAnsi="Arial"/>
          <w:b/>
          <w:i/>
          <w:sz w:val="22"/>
          <w:szCs w:val="22"/>
        </w:rPr>
      </w:r>
    </w:p>
    <w:tbl>
      <w:tblPr>
        <w:tblW w:w="10414" w:type="dxa"/>
        <w:jc w:val="left"/>
        <w:tblInd w:w="-164" w:type="dxa"/>
        <w:tblLayout w:type="fixed"/>
        <w:tblCellMar>
          <w:top w:w="0" w:type="dxa"/>
          <w:left w:w="108" w:type="dxa"/>
          <w:bottom w:w="0" w:type="dxa"/>
          <w:right w:w="108" w:type="dxa"/>
        </w:tblCellMar>
      </w:tblPr>
      <w:tblGrid>
        <w:gridCol w:w="4641"/>
        <w:gridCol w:w="2691"/>
        <w:gridCol w:w="3082"/>
      </w:tblGrid>
      <w:tr>
        <w:trPr/>
        <w:tc>
          <w:tcPr>
            <w:tcW w:w="4641" w:type="dxa"/>
            <w:tcBorders>
              <w:top w:val="single" w:sz="4" w:space="0" w:color="000000"/>
              <w:left w:val="single" w:sz="4" w:space="0" w:color="000000"/>
              <w:bottom w:val="single" w:sz="4" w:space="0" w:color="000000"/>
            </w:tcBorders>
            <w:vAlign w:val="center"/>
          </w:tcPr>
          <w:p>
            <w:pPr>
              <w:pStyle w:val="Normal"/>
              <w:widowControl w:val="false"/>
              <w:tabs>
                <w:tab w:val="clear" w:pos="567"/>
                <w:tab w:val="left" w:pos="851" w:leader="none"/>
              </w:tabs>
              <w:jc w:val="both"/>
              <w:rPr>
                <w:rFonts w:ascii="Arial" w:hAnsi="Arial" w:cs="Arial"/>
                <w:b/>
                <w:bCs/>
              </w:rPr>
            </w:pPr>
            <w:r>
              <w:rPr>
                <w:rFonts w:cs="Arial" w:ascii="Arial" w:hAnsi="Arial"/>
                <w:b/>
                <w:bCs/>
              </w:rPr>
              <w:t>Nom, prénom et qualité</w:t>
            </w:r>
          </w:p>
          <w:p>
            <w:pPr>
              <w:pStyle w:val="Normal"/>
              <w:widowControl w:val="false"/>
              <w:tabs>
                <w:tab w:val="clear" w:pos="567"/>
                <w:tab w:val="left" w:pos="851" w:leader="none"/>
              </w:tabs>
              <w:jc w:val="both"/>
              <w:rPr>
                <w:rFonts w:ascii="Arial" w:hAnsi="Arial" w:cs="Arial"/>
                <w:b/>
                <w:bCs/>
              </w:rPr>
            </w:pPr>
            <w:r>
              <w:rPr>
                <w:rFonts w:cs="Arial" w:ascii="Arial" w:hAnsi="Arial"/>
                <w:b/>
                <w:bCs/>
              </w:rPr>
              <w:t>du signataire (*)</w:t>
            </w:r>
          </w:p>
        </w:tc>
        <w:tc>
          <w:tcPr>
            <w:tcW w:w="2691" w:type="dxa"/>
            <w:tcBorders>
              <w:top w:val="single" w:sz="4" w:space="0" w:color="000000"/>
              <w:left w:val="single" w:sz="4" w:space="0" w:color="000000"/>
              <w:bottom w:val="single" w:sz="4" w:space="0" w:color="000000"/>
            </w:tcBorders>
            <w:vAlign w:val="center"/>
          </w:tcPr>
          <w:p>
            <w:pPr>
              <w:pStyle w:val="Normal"/>
              <w:widowControl w:val="false"/>
              <w:tabs>
                <w:tab w:val="clear" w:pos="567"/>
                <w:tab w:val="left" w:pos="851" w:leader="none"/>
              </w:tabs>
              <w:jc w:val="both"/>
              <w:rPr>
                <w:rFonts w:ascii="Arial" w:hAnsi="Arial" w:cs="Arial"/>
                <w:b/>
                <w:bCs/>
              </w:rPr>
            </w:pPr>
            <w:r>
              <w:rPr>
                <w:rFonts w:cs="Arial" w:ascii="Arial" w:hAnsi="Arial"/>
                <w:b/>
                <w:bCs/>
              </w:rPr>
              <w:t>Lieu et date de signature</w:t>
            </w:r>
          </w:p>
        </w:tc>
        <w:tc>
          <w:tcPr>
            <w:tcW w:w="30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567"/>
                <w:tab w:val="left" w:pos="851" w:leader="none"/>
              </w:tabs>
              <w:jc w:val="both"/>
              <w:rPr>
                <w:rFonts w:ascii="Arial" w:hAnsi="Arial" w:cs="Arial"/>
                <w:b/>
                <w:bCs/>
              </w:rPr>
            </w:pPr>
            <w:r>
              <w:rPr>
                <w:rFonts w:cs="Arial" w:ascii="Arial" w:hAnsi="Arial"/>
                <w:b/>
                <w:bCs/>
              </w:rPr>
              <w:t>Signature</w:t>
            </w:r>
          </w:p>
        </w:tc>
      </w:tr>
      <w:tr>
        <w:trPr>
          <w:trHeight w:val="1585" w:hRule="atLeast"/>
        </w:trPr>
        <w:tc>
          <w:tcPr>
            <w:tcW w:w="4641" w:type="dxa"/>
            <w:tcBorders>
              <w:top w:val="single" w:sz="4" w:space="0" w:color="000000"/>
              <w:left w:val="single" w:sz="4" w:space="0" w:color="000000"/>
              <w:bottom w:val="single" w:sz="4" w:space="0" w:color="000000"/>
            </w:tcBorders>
          </w:tcPr>
          <w:p>
            <w:pPr>
              <w:pStyle w:val="Normal"/>
              <w:widowControl w:val="false"/>
              <w:tabs>
                <w:tab w:val="clear" w:pos="567"/>
                <w:tab w:val="left" w:pos="851" w:leader="none"/>
              </w:tabs>
              <w:snapToGrid w:val="false"/>
              <w:jc w:val="both"/>
              <w:rPr>
                <w:rFonts w:ascii="Arial" w:hAnsi="Arial" w:cs="Arial"/>
                <w:b/>
                <w:bCs/>
              </w:rPr>
            </w:pPr>
            <w:r>
              <w:rPr>
                <w:rFonts w:cs="Arial" w:ascii="Arial" w:hAnsi="Arial"/>
                <w:b/>
                <w:bCs/>
              </w:rPr>
            </w:r>
          </w:p>
        </w:tc>
        <w:tc>
          <w:tcPr>
            <w:tcW w:w="2691" w:type="dxa"/>
            <w:tcBorders>
              <w:top w:val="single" w:sz="4" w:space="0" w:color="000000"/>
              <w:left w:val="single" w:sz="4" w:space="0" w:color="000000"/>
              <w:bottom w:val="single" w:sz="4" w:space="0" w:color="000000"/>
            </w:tcBorders>
          </w:tcPr>
          <w:p>
            <w:pPr>
              <w:pStyle w:val="Normal"/>
              <w:widowControl w:val="false"/>
              <w:tabs>
                <w:tab w:val="clear" w:pos="567"/>
                <w:tab w:val="left" w:pos="851" w:leader="none"/>
              </w:tabs>
              <w:snapToGrid w:val="false"/>
              <w:jc w:val="both"/>
              <w:rPr>
                <w:rFonts w:ascii="Arial" w:hAnsi="Arial" w:cs="Arial"/>
                <w:b/>
                <w:bCs/>
              </w:rPr>
            </w:pPr>
            <w:r>
              <w:rPr>
                <w:rFonts w:cs="Arial" w:ascii="Arial" w:hAnsi="Arial"/>
                <w:b/>
                <w:bCs/>
              </w:rPr>
            </w:r>
          </w:p>
        </w:tc>
        <w:tc>
          <w:tcPr>
            <w:tcW w:w="30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851" w:leader="none"/>
              </w:tabs>
              <w:snapToGrid w:val="false"/>
              <w:jc w:val="both"/>
              <w:rPr>
                <w:rFonts w:ascii="Arial" w:hAnsi="Arial" w:cs="Arial"/>
                <w:b/>
                <w:bCs/>
              </w:rPr>
            </w:pPr>
            <w:r>
              <w:rPr>
                <w:rFonts w:cs="Arial" w:ascii="Arial" w:hAnsi="Arial"/>
                <w:b/>
                <w:bCs/>
              </w:rPr>
            </w:r>
          </w:p>
        </w:tc>
      </w:tr>
    </w:tbl>
    <w:p>
      <w:pPr>
        <w:pStyle w:val="Normal"/>
        <w:tabs>
          <w:tab w:val="clear" w:pos="567"/>
          <w:tab w:val="left" w:pos="851" w:leader="none"/>
        </w:tabs>
        <w:jc w:val="both"/>
        <w:rPr>
          <w:rFonts w:ascii="Arial" w:hAnsi="Arial" w:cs="Arial"/>
          <w:b/>
          <w:sz w:val="22"/>
          <w:szCs w:val="22"/>
        </w:rPr>
      </w:pPr>
      <w:r>
        <w:rPr>
          <w:rFonts w:cs="Arial" w:ascii="Arial" w:hAnsi="Arial"/>
          <w:sz w:val="18"/>
          <w:szCs w:val="18"/>
        </w:rPr>
        <w:t>(*) Le signataire doit avoir le pouvoir d’engager la personne qu’il représente.</w:t>
      </w:r>
    </w:p>
    <w:p>
      <w:pPr>
        <w:pStyle w:val="Normal"/>
        <w:tabs>
          <w:tab w:val="clear" w:pos="567"/>
          <w:tab w:val="left" w:pos="851" w:leader="none"/>
        </w:tabs>
        <w:jc w:val="both"/>
        <w:rPr>
          <w:rFonts w:ascii="Arial" w:hAnsi="Arial" w:cs="Arial"/>
          <w:b/>
          <w:bCs/>
          <w:sz w:val="22"/>
          <w:szCs w:val="22"/>
        </w:rPr>
      </w:pPr>
      <w:r>
        <w:rPr>
          <w:rFonts w:cs="Arial" w:ascii="Arial" w:hAnsi="Arial"/>
          <w:b/>
          <w:bCs/>
          <w:sz w:val="22"/>
          <w:szCs w:val="22"/>
        </w:rPr>
      </w:r>
    </w:p>
    <w:p>
      <w:pPr>
        <w:pStyle w:val="Normal"/>
        <w:tabs>
          <w:tab w:val="clear" w:pos="567"/>
          <w:tab w:val="left" w:pos="851" w:leader="none"/>
        </w:tabs>
        <w:jc w:val="both"/>
        <w:rPr>
          <w:rFonts w:ascii="Arial" w:hAnsi="Arial" w:cs="Arial"/>
          <w:b/>
          <w:bCs/>
          <w:sz w:val="22"/>
          <w:szCs w:val="22"/>
        </w:rPr>
      </w:pPr>
      <w:r>
        <w:rPr>
          <w:rFonts w:cs="Arial" w:ascii="Arial" w:hAnsi="Arial"/>
          <w:b/>
          <w:bCs/>
          <w:sz w:val="22"/>
          <w:szCs w:val="22"/>
        </w:rPr>
      </w:r>
    </w:p>
    <w:p>
      <w:pPr>
        <w:pStyle w:val="Normal"/>
        <w:tabs>
          <w:tab w:val="clear" w:pos="567"/>
          <w:tab w:val="left" w:pos="851" w:leader="none"/>
        </w:tabs>
        <w:jc w:val="both"/>
        <w:rPr>
          <w:rFonts w:ascii="Arial" w:hAnsi="Arial" w:cs="Arial"/>
          <w:b/>
          <w:bCs/>
          <w:sz w:val="22"/>
          <w:szCs w:val="22"/>
        </w:rPr>
      </w:pPr>
      <w:r>
        <w:rPr>
          <w:rFonts w:cs="Arial" w:ascii="Arial" w:hAnsi="Arial"/>
          <w:b/>
          <w:bCs/>
          <w:sz w:val="22"/>
          <w:szCs w:val="22"/>
        </w:rPr>
      </w:r>
    </w:p>
    <w:tbl>
      <w:tblPr>
        <w:tblW w:w="10277" w:type="dxa"/>
        <w:jc w:val="left"/>
        <w:tblInd w:w="-71" w:type="dxa"/>
        <w:tblLayout w:type="fixed"/>
        <w:tblCellMar>
          <w:top w:w="0" w:type="dxa"/>
          <w:left w:w="71" w:type="dxa"/>
          <w:bottom w:w="0" w:type="dxa"/>
          <w:right w:w="71" w:type="dxa"/>
        </w:tblCellMar>
      </w:tblPr>
      <w:tblGrid>
        <w:gridCol w:w="10277"/>
      </w:tblGrid>
      <w:tr>
        <w:trPr/>
        <w:tc>
          <w:tcPr>
            <w:tcW w:w="10277" w:type="dxa"/>
            <w:tcBorders/>
            <w:shd w:fill="66CCFF" w:val="clear"/>
          </w:tcPr>
          <w:p>
            <w:pPr>
              <w:pStyle w:val="Titre4"/>
              <w:widowControl w:val="false"/>
              <w:numPr>
                <w:ilvl w:val="3"/>
                <w:numId w:val="3"/>
              </w:numPr>
              <w:tabs>
                <w:tab w:val="left" w:pos="-142" w:leader="none"/>
                <w:tab w:val="left" w:pos="851" w:leader="none"/>
                <w:tab w:val="left" w:pos="4111" w:leader="none"/>
              </w:tabs>
              <w:rPr>
                <w:sz w:val="22"/>
                <w:szCs w:val="22"/>
              </w:rPr>
            </w:pPr>
            <w:r>
              <w:rPr>
                <w:sz w:val="22"/>
                <w:szCs w:val="22"/>
              </w:rPr>
              <w:t>M -  Signature du pouvoir adjudicateur</w:t>
            </w:r>
          </w:p>
        </w:tc>
      </w:tr>
    </w:tbl>
    <w:p>
      <w:pPr>
        <w:pStyle w:val="Fcase2metab"/>
        <w:rPr>
          <w:rFonts w:ascii="Arial" w:hAnsi="Arial" w:cs="Arial"/>
        </w:rPr>
      </w:pPr>
      <w:r>
        <w:rPr>
          <w:rFonts w:cs="Arial" w:ascii="Arial" w:hAnsi="Arial"/>
        </w:rPr>
      </w:r>
    </w:p>
    <w:p>
      <w:pPr>
        <w:pStyle w:val="Normal"/>
        <w:tabs>
          <w:tab w:val="clear" w:pos="567"/>
          <w:tab w:val="left" w:pos="851" w:leader="none"/>
        </w:tabs>
        <w:jc w:val="both"/>
        <w:rPr>
          <w:rFonts w:ascii="Arial" w:hAnsi="Arial" w:cs="Arial"/>
        </w:rPr>
      </w:pPr>
      <w:r>
        <w:rPr>
          <w:rFonts w:cs="Arial" w:ascii="Arial" w:hAnsi="Arial"/>
        </w:rPr>
      </w:r>
    </w:p>
    <w:p>
      <w:pPr>
        <w:pStyle w:val="Normal"/>
        <w:tabs>
          <w:tab w:val="clear" w:pos="567"/>
          <w:tab w:val="left" w:pos="851" w:leader="none"/>
          <w:tab w:val="left" w:pos="3402" w:leader="none"/>
          <w:tab w:val="left" w:pos="6237" w:leader="none"/>
          <w:tab w:val="left" w:pos="9072" w:leader="none"/>
        </w:tabs>
        <w:jc w:val="both"/>
        <w:rPr>
          <w:rFonts w:ascii="Arial" w:hAnsi="Arial" w:cs="Arial"/>
          <w:i/>
          <w:i/>
          <w:sz w:val="14"/>
          <w:szCs w:val="14"/>
        </w:rPr>
      </w:pPr>
      <w:r>
        <w:rPr>
          <w:rFonts w:cs="Arial" w:ascii="Arial" w:hAnsi="Arial"/>
          <w:i/>
          <w:sz w:val="14"/>
          <w:szCs w:val="14"/>
        </w:rPr>
      </w:r>
    </w:p>
    <w:tbl>
      <w:tblPr>
        <w:tblW w:w="10501" w:type="dxa"/>
        <w:jc w:val="left"/>
        <w:tblInd w:w="-158" w:type="dxa"/>
        <w:tblLayout w:type="fixed"/>
        <w:tblCellMar>
          <w:top w:w="0" w:type="dxa"/>
          <w:left w:w="108" w:type="dxa"/>
          <w:bottom w:w="0" w:type="dxa"/>
          <w:right w:w="108" w:type="dxa"/>
        </w:tblCellMar>
      </w:tblPr>
      <w:tblGrid>
        <w:gridCol w:w="4634"/>
        <w:gridCol w:w="2873"/>
        <w:gridCol w:w="2994"/>
      </w:tblGrid>
      <w:tr>
        <w:trPr>
          <w:trHeight w:val="452" w:hRule="atLeast"/>
        </w:trPr>
        <w:tc>
          <w:tcPr>
            <w:tcW w:w="4634" w:type="dxa"/>
            <w:tcBorders>
              <w:top w:val="single" w:sz="4" w:space="0" w:color="000000"/>
              <w:left w:val="single" w:sz="4" w:space="0" w:color="000000"/>
              <w:bottom w:val="single" w:sz="4" w:space="0" w:color="000000"/>
            </w:tcBorders>
            <w:vAlign w:val="center"/>
          </w:tcPr>
          <w:p>
            <w:pPr>
              <w:pStyle w:val="Normal"/>
              <w:widowControl w:val="false"/>
              <w:tabs>
                <w:tab w:val="clear" w:pos="567"/>
                <w:tab w:val="left" w:pos="851" w:leader="none"/>
              </w:tabs>
              <w:jc w:val="center"/>
              <w:rPr>
                <w:rFonts w:ascii="Century Gothic" w:hAnsi="Century Gothic" w:cs="Arial"/>
                <w:b/>
                <w:bCs/>
                <w:sz w:val="18"/>
                <w:szCs w:val="18"/>
              </w:rPr>
            </w:pPr>
            <w:r>
              <w:rPr>
                <w:rFonts w:cs="Arial" w:ascii="Century Gothic" w:hAnsi="Century Gothic"/>
                <w:b/>
                <w:bCs/>
                <w:sz w:val="18"/>
                <w:szCs w:val="18"/>
              </w:rPr>
              <w:t>Nom, prénom et qualité</w:t>
            </w:r>
          </w:p>
          <w:p>
            <w:pPr>
              <w:pStyle w:val="Normal"/>
              <w:widowControl w:val="false"/>
              <w:tabs>
                <w:tab w:val="clear" w:pos="567"/>
                <w:tab w:val="left" w:pos="851" w:leader="none"/>
              </w:tabs>
              <w:jc w:val="center"/>
              <w:rPr>
                <w:rFonts w:ascii="Century Gothic" w:hAnsi="Century Gothic" w:cs="Arial"/>
                <w:b/>
                <w:bCs/>
                <w:sz w:val="18"/>
                <w:szCs w:val="18"/>
              </w:rPr>
            </w:pPr>
            <w:r>
              <w:rPr>
                <w:rFonts w:cs="Arial" w:ascii="Century Gothic" w:hAnsi="Century Gothic"/>
                <w:b/>
                <w:bCs/>
                <w:sz w:val="18"/>
                <w:szCs w:val="18"/>
              </w:rPr>
              <w:t>du signataire (*)</w:t>
            </w:r>
          </w:p>
        </w:tc>
        <w:tc>
          <w:tcPr>
            <w:tcW w:w="2873" w:type="dxa"/>
            <w:tcBorders>
              <w:top w:val="single" w:sz="4" w:space="0" w:color="000000"/>
              <w:left w:val="single" w:sz="4" w:space="0" w:color="000000"/>
              <w:bottom w:val="single" w:sz="4" w:space="0" w:color="000000"/>
            </w:tcBorders>
            <w:vAlign w:val="center"/>
          </w:tcPr>
          <w:p>
            <w:pPr>
              <w:pStyle w:val="Normal"/>
              <w:widowControl w:val="false"/>
              <w:tabs>
                <w:tab w:val="clear" w:pos="567"/>
                <w:tab w:val="left" w:pos="851" w:leader="none"/>
              </w:tabs>
              <w:jc w:val="center"/>
              <w:rPr>
                <w:rFonts w:ascii="Century Gothic" w:hAnsi="Century Gothic" w:cs="Arial"/>
                <w:b/>
                <w:bCs/>
                <w:sz w:val="18"/>
                <w:szCs w:val="18"/>
              </w:rPr>
            </w:pPr>
            <w:r>
              <w:rPr>
                <w:rFonts w:cs="Arial" w:ascii="Century Gothic" w:hAnsi="Century Gothic"/>
                <w:b/>
                <w:bCs/>
                <w:sz w:val="18"/>
                <w:szCs w:val="18"/>
              </w:rPr>
              <w:t>Lieu et date de signature</w:t>
            </w:r>
          </w:p>
        </w:tc>
        <w:tc>
          <w:tcPr>
            <w:tcW w:w="29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567"/>
                <w:tab w:val="left" w:pos="851" w:leader="none"/>
              </w:tabs>
              <w:jc w:val="center"/>
              <w:rPr>
                <w:rFonts w:ascii="Century Gothic" w:hAnsi="Century Gothic" w:cs="Arial"/>
                <w:b/>
                <w:bCs/>
                <w:sz w:val="18"/>
                <w:szCs w:val="18"/>
              </w:rPr>
            </w:pPr>
            <w:r>
              <w:rPr>
                <w:rFonts w:cs="Arial" w:ascii="Century Gothic" w:hAnsi="Century Gothic"/>
                <w:b/>
                <w:bCs/>
                <w:sz w:val="18"/>
                <w:szCs w:val="18"/>
              </w:rPr>
              <w:t>Signature</w:t>
            </w:r>
          </w:p>
        </w:tc>
      </w:tr>
      <w:tr>
        <w:trPr>
          <w:trHeight w:val="1847" w:hRule="atLeast"/>
        </w:trPr>
        <w:tc>
          <w:tcPr>
            <w:tcW w:w="4634" w:type="dxa"/>
            <w:tcBorders>
              <w:top w:val="single" w:sz="4" w:space="0" w:color="000000"/>
              <w:left w:val="single" w:sz="4" w:space="0" w:color="000000"/>
              <w:bottom w:val="single" w:sz="4" w:space="0" w:color="000000"/>
            </w:tcBorders>
          </w:tcPr>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tc>
        <w:tc>
          <w:tcPr>
            <w:tcW w:w="2873" w:type="dxa"/>
            <w:tcBorders>
              <w:top w:val="single" w:sz="4" w:space="0" w:color="000000"/>
              <w:left w:val="single" w:sz="4" w:space="0" w:color="000000"/>
              <w:bottom w:val="single" w:sz="4" w:space="0" w:color="000000"/>
            </w:tcBorders>
          </w:tcPr>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tc>
        <w:tc>
          <w:tcPr>
            <w:tcW w:w="299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567"/>
                <w:tab w:val="left" w:pos="851" w:leader="none"/>
              </w:tabs>
              <w:snapToGrid w:val="false"/>
              <w:jc w:val="both"/>
              <w:rPr>
                <w:rFonts w:ascii="Century Gothic" w:hAnsi="Century Gothic" w:cs="Arial"/>
                <w:b/>
                <w:bCs/>
                <w:sz w:val="18"/>
                <w:szCs w:val="18"/>
              </w:rPr>
            </w:pPr>
            <w:r>
              <w:rPr>
                <w:rFonts w:cs="Arial" w:ascii="Century Gothic" w:hAnsi="Century Gothic"/>
                <w:b/>
                <w:bCs/>
                <w:sz w:val="18"/>
                <w:szCs w:val="18"/>
              </w:rPr>
            </w:r>
          </w:p>
        </w:tc>
      </w:tr>
    </w:tbl>
    <w:p>
      <w:pPr>
        <w:pStyle w:val="Normal"/>
        <w:tabs>
          <w:tab w:val="clear" w:pos="567"/>
          <w:tab w:val="left" w:pos="851" w:leader="none"/>
        </w:tabs>
        <w:jc w:val="both"/>
        <w:rPr>
          <w:rFonts w:ascii="Arial" w:hAnsi="Arial" w:cs="Arial"/>
        </w:rPr>
      </w:pPr>
      <w:r>
        <w:rPr>
          <w:rFonts w:cs="Arial" w:ascii="Arial" w:hAnsi="Arial"/>
        </w:rPr>
      </w:r>
    </w:p>
    <w:p>
      <w:pPr>
        <w:pStyle w:val="Normal"/>
        <w:tabs>
          <w:tab w:val="clear" w:pos="567"/>
          <w:tab w:val="left" w:pos="851" w:leader="none"/>
        </w:tabs>
        <w:jc w:val="both"/>
        <w:rPr>
          <w:rFonts w:ascii="Arial" w:hAnsi="Arial" w:cs="Arial"/>
        </w:rPr>
      </w:pPr>
      <w:r>
        <w:rPr>
          <w:rFonts w:cs="Arial" w:ascii="Arial" w:hAnsi="Arial"/>
        </w:rPr>
      </w:r>
    </w:p>
    <w:p>
      <w:pPr>
        <w:pStyle w:val="Normal"/>
        <w:tabs>
          <w:tab w:val="clear" w:pos="567"/>
          <w:tab w:val="left" w:pos="851" w:leader="none"/>
        </w:tabs>
        <w:jc w:val="both"/>
        <w:rPr>
          <w:rFonts w:ascii="Arial" w:hAnsi="Arial" w:cs="Arial"/>
        </w:rPr>
      </w:pPr>
      <w:r>
        <w:rPr>
          <w:rFonts w:cs="Arial" w:ascii="Arial" w:hAnsi="Arial"/>
        </w:rPr>
      </w:r>
    </w:p>
    <w:p>
      <w:pPr>
        <w:pStyle w:val="Normal"/>
        <w:tabs>
          <w:tab w:val="clear" w:pos="567"/>
          <w:tab w:val="left" w:pos="851" w:leader="none"/>
          <w:tab w:val="left" w:pos="5245" w:leader="none"/>
          <w:tab w:val="left" w:pos="7371" w:leader="none"/>
          <w:tab w:val="left" w:pos="7655" w:leader="none"/>
        </w:tabs>
        <w:jc w:val="both"/>
        <w:rPr>
          <w:rFonts w:ascii="Arial" w:hAnsi="Arial" w:cs="Arial"/>
        </w:rPr>
      </w:pPr>
      <w:r>
        <w:rPr>
          <w:rFonts w:cs="Arial" w:ascii="Arial" w:hAnsi="Arial"/>
        </w:rPr>
        <w:tab/>
        <w:t>A : …………………… , le …………………</w:t>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tabs>
          <w:tab w:val="clear" w:pos="567"/>
          <w:tab w:val="left" w:pos="851" w:leader="none"/>
        </w:tabs>
        <w:jc w:val="both"/>
        <w:rPr/>
      </w:pPr>
      <w:r>
        <w:rPr/>
      </w:r>
    </w:p>
    <w:p>
      <w:pPr>
        <w:pStyle w:val="Normal"/>
        <w:numPr>
          <w:ilvl w:val="0"/>
          <w:numId w:val="3"/>
        </w:numPr>
        <w:tabs>
          <w:tab w:val="clear" w:pos="567"/>
          <w:tab w:val="left" w:pos="851" w:leader="none"/>
        </w:tabs>
        <w:jc w:val="both"/>
        <w:rPr>
          <w:rFonts w:ascii="Arial" w:hAnsi="Arial" w:cs="Arial"/>
          <w:b/>
          <w:bCs/>
          <w:sz w:val="22"/>
          <w:szCs w:val="22"/>
        </w:rPr>
      </w:pPr>
      <w:r>
        <w:rPr>
          <w:rFonts w:cs="Arial" w:ascii="Arial" w:hAnsi="Arial"/>
          <w:b/>
          <w:bCs/>
          <w:sz w:val="22"/>
          <w:szCs w:val="22"/>
        </w:rPr>
      </w:r>
    </w:p>
    <w:tbl>
      <w:tblPr>
        <w:tblW w:w="10277" w:type="dxa"/>
        <w:jc w:val="left"/>
        <w:tblInd w:w="-71" w:type="dxa"/>
        <w:tblLayout w:type="fixed"/>
        <w:tblCellMar>
          <w:top w:w="0" w:type="dxa"/>
          <w:left w:w="71" w:type="dxa"/>
          <w:bottom w:w="0" w:type="dxa"/>
          <w:right w:w="71" w:type="dxa"/>
        </w:tblCellMar>
      </w:tblPr>
      <w:tblGrid>
        <w:gridCol w:w="10277"/>
      </w:tblGrid>
      <w:tr>
        <w:trPr/>
        <w:tc>
          <w:tcPr>
            <w:tcW w:w="10277" w:type="dxa"/>
            <w:tcBorders/>
            <w:shd w:fill="66CCFF" w:val="clear"/>
          </w:tcPr>
          <w:p>
            <w:pPr>
              <w:pStyle w:val="Titre4"/>
              <w:widowControl w:val="false"/>
              <w:numPr>
                <w:ilvl w:val="3"/>
                <w:numId w:val="3"/>
              </w:numPr>
              <w:tabs>
                <w:tab w:val="left" w:pos="-142" w:leader="none"/>
                <w:tab w:val="left" w:pos="851" w:leader="none"/>
                <w:tab w:val="left" w:pos="4111" w:leader="none"/>
              </w:tabs>
              <w:rPr/>
            </w:pPr>
            <w:r>
              <w:rPr>
                <w:sz w:val="22"/>
                <w:szCs w:val="22"/>
              </w:rPr>
              <w:t>N -  Annexes</w:t>
            </w:r>
          </w:p>
        </w:tc>
      </w:tr>
    </w:tbl>
    <w:p>
      <w:pPr>
        <w:pStyle w:val="Fcase2metab"/>
        <w:rPr>
          <w:rFonts w:ascii="Arial" w:hAnsi="Arial" w:cs="Arial"/>
        </w:rPr>
      </w:pPr>
      <w:r>
        <w:rPr>
          <w:rFonts w:cs="Arial" w:ascii="Arial" w:hAnsi="Arial"/>
        </w:rPr>
      </w:r>
    </w:p>
    <w:p>
      <w:pPr>
        <w:pStyle w:val="Fcase2metab"/>
        <w:rPr>
          <w:rFonts w:ascii="Arial" w:hAnsi="Arial" w:cs="Arial"/>
        </w:rPr>
      </w:pPr>
      <w:r>
        <w:rPr>
          <w:rFonts w:cs="Arial" w:ascii="Arial" w:hAnsi="Arial"/>
          <w:sz w:val="22"/>
          <w:szCs w:val="22"/>
        </w:rPr>
        <w:t xml:space="preserve">Le présent marché subséquent est complété par les annexes suivantes : </w:t>
      </w:r>
    </w:p>
    <w:p>
      <w:pPr>
        <w:pStyle w:val="Fcase2metab"/>
        <w:rPr>
          <w:rFonts w:ascii="Arial" w:hAnsi="Arial" w:cs="Arial"/>
        </w:rPr>
      </w:pPr>
      <w:r>
        <w:rPr>
          <w:rFonts w:cs="Arial" w:ascii="Arial" w:hAnsi="Arial"/>
        </w:rPr>
      </w:r>
    </w:p>
    <w:p>
      <w:pPr>
        <w:pStyle w:val="Fcase2metab"/>
        <w:ind w:left="1134" w:hanging="0"/>
        <w:rPr>
          <w:sz w:val="22"/>
          <w:szCs w:val="22"/>
        </w:rPr>
      </w:pPr>
      <w:r>
        <w:rPr>
          <w:sz w:val="22"/>
          <w:szCs w:val="22"/>
        </w:rPr>
      </w:r>
    </w:p>
    <w:p>
      <w:pPr>
        <w:pStyle w:val="Fcase2metab"/>
        <w:rPr>
          <w:sz w:val="22"/>
          <w:szCs w:val="22"/>
          <w:highlight w:val="none"/>
          <w:shd w:fill="FFFF00" w:val="clear"/>
        </w:rPr>
      </w:pPr>
      <w:r>
        <w:rPr>
          <w:sz w:val="22"/>
          <w:szCs w:val="22"/>
          <w:shd w:fill="FFFF00" w:val="clear"/>
        </w:rPr>
      </w:r>
    </w:p>
    <w:p>
      <w:pPr>
        <w:pStyle w:val="Fcase2metab"/>
        <w:rPr>
          <w:rFonts w:ascii="Arial" w:hAnsi="Arial" w:eastAsia="Wingdings" w:cs="Arial"/>
          <w:sz w:val="22"/>
          <w:szCs w:val="22"/>
          <w:highlight w:val="none"/>
          <w:shd w:fill="FFFF00" w:val="clear"/>
        </w:rPr>
      </w:pPr>
      <w:r>
        <w:rPr>
          <w:rFonts w:eastAsia="Wingdings" w:cs="Arial" w:ascii="Arial" w:hAnsi="Arial"/>
          <w:sz w:val="22"/>
          <w:szCs w:val="22"/>
          <w:u w:val="single"/>
          <w:shd w:fill="FFFF00" w:val="clear"/>
        </w:rPr>
        <w:t>CCAP à ‘accord cadre</w:t>
      </w:r>
    </w:p>
    <w:p>
      <w:pPr>
        <w:pStyle w:val="Fcase2metab"/>
        <w:rPr>
          <w:rFonts w:ascii="Arial" w:hAnsi="Arial" w:eastAsia="Wingdings" w:cs="Arial"/>
          <w:sz w:val="22"/>
          <w:szCs w:val="22"/>
          <w:highlight w:val="none"/>
          <w:shd w:fill="FFFF00" w:val="clear"/>
        </w:rPr>
      </w:pPr>
      <w:r>
        <w:rPr>
          <w:rFonts w:eastAsia="Wingdings" w:cs="Arial" w:ascii="Arial" w:hAnsi="Arial"/>
          <w:sz w:val="22"/>
          <w:szCs w:val="22"/>
          <w:u w:val="single"/>
          <w:shd w:fill="FFFF00" w:val="clear"/>
        </w:rPr>
        <w:t>CCTP à l’accord cadre</w:t>
      </w:r>
    </w:p>
    <w:p>
      <w:pPr>
        <w:pStyle w:val="Fcase2metab"/>
        <w:rPr>
          <w:rFonts w:ascii="Arial" w:hAnsi="Arial" w:eastAsia="Wingdings" w:cs="Arial"/>
          <w:sz w:val="22"/>
          <w:szCs w:val="22"/>
          <w:highlight w:val="none"/>
          <w:shd w:fill="FFFF00" w:val="clear"/>
        </w:rPr>
      </w:pPr>
      <w:r>
        <w:rPr>
          <w:rFonts w:eastAsia="Wingdings" w:cs="Arial" w:ascii="Arial" w:hAnsi="Arial"/>
          <w:sz w:val="22"/>
          <w:szCs w:val="22"/>
          <w:u w:val="single"/>
          <w:shd w:fill="FFFF00" w:val="clear"/>
        </w:rPr>
        <w:t>Annexe financière  INEO maintenance préventive</w:t>
      </w:r>
    </w:p>
    <w:p>
      <w:pPr>
        <w:pStyle w:val="Fcase2metab"/>
        <w:rPr>
          <w:rFonts w:ascii="Arial" w:hAnsi="Arial" w:eastAsia="Wingdings" w:cs="Arial"/>
          <w:sz w:val="22"/>
          <w:szCs w:val="22"/>
          <w:highlight w:val="none"/>
          <w:shd w:fill="FFFF00" w:val="clear"/>
        </w:rPr>
      </w:pPr>
      <w:r>
        <w:rPr>
          <w:rFonts w:eastAsia="Wingdings" w:cs="Arial" w:ascii="Arial" w:hAnsi="Arial"/>
          <w:sz w:val="22"/>
          <w:szCs w:val="22"/>
          <w:u w:val="single"/>
          <w:shd w:fill="FFFF00" w:val="clear"/>
        </w:rPr>
        <w:t>Clause d’insetion sociale</w:t>
      </w:r>
    </w:p>
    <w:p>
      <w:pPr>
        <w:pStyle w:val="Fcase2metab"/>
        <w:rPr>
          <w:rFonts w:ascii="Arial" w:hAnsi="Arial" w:eastAsia="Wingdings" w:cs="Arial"/>
          <w:sz w:val="22"/>
          <w:szCs w:val="22"/>
          <w:highlight w:val="none"/>
          <w:shd w:fill="FFFF00" w:val="clear"/>
        </w:rPr>
      </w:pPr>
      <w:r>
        <w:rPr>
          <w:rFonts w:eastAsia="Wingdings" w:cs="Arial" w:ascii="Arial" w:hAnsi="Arial"/>
          <w:sz w:val="22"/>
          <w:szCs w:val="22"/>
          <w:shd w:fill="FFFF00" w:val="clear"/>
        </w:rPr>
      </w:r>
    </w:p>
    <w:p>
      <w:pPr>
        <w:pStyle w:val="Fcase2metab"/>
        <w:rPr>
          <w:rFonts w:ascii="Arial" w:hAnsi="Arial" w:eastAsia="Wingdings" w:cs="Arial"/>
          <w:sz w:val="22"/>
          <w:szCs w:val="22"/>
          <w:highlight w:val="none"/>
          <w:shd w:fill="FFFF00" w:val="clear"/>
        </w:rPr>
      </w:pPr>
      <w:r>
        <w:rPr>
          <w:rFonts w:eastAsia="Wingdings" w:cs="Arial" w:ascii="Arial" w:hAnsi="Arial"/>
          <w:sz w:val="22"/>
          <w:szCs w:val="22"/>
          <w:shd w:fill="FFFF00" w:val="clear"/>
        </w:rPr>
      </w:r>
    </w:p>
    <w:p>
      <w:pPr>
        <w:pStyle w:val="Fcase2metab"/>
        <w:rPr>
          <w:rFonts w:ascii="Arial" w:hAnsi="Arial" w:eastAsia="Wingdings" w:cs="Arial"/>
          <w:sz w:val="22"/>
          <w:szCs w:val="22"/>
        </w:rPr>
      </w:pPr>
      <w:r>
        <w:rPr/>
      </w:r>
    </w:p>
    <w:sectPr>
      <w:footerReference w:type="even" r:id="rId7"/>
      <w:footerReference w:type="default" r:id="rId8"/>
      <w:footerReference w:type="first" r:id="rId9"/>
      <w:type w:val="nextPage"/>
      <w:pgSz w:w="11906" w:h="16838"/>
      <w:pgMar w:left="851" w:right="851" w:gutter="0" w:header="0" w:top="777" w:footer="680" w:bottom="737"/>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Univers">
    <w:charset w:val="00"/>
    <w:family w:val="roman"/>
    <w:pitch w:val="variable"/>
  </w:font>
  <w:font w:name="Arial">
    <w:charset w:val="00"/>
    <w:family w:val="roman"/>
    <w:pitch w:val="variable"/>
  </w:font>
  <w:font w:name="Wingdings">
    <w:charset w:val="00"/>
    <w:family w:val="roman"/>
    <w:pitch w:val="variable"/>
  </w:font>
  <w:font w:name="Symbol">
    <w:charset w:val="00"/>
    <w:family w:val="roman"/>
    <w:pitch w:val="variable"/>
  </w:font>
  <w:font w:name="Courier New">
    <w:charset w:val="00"/>
    <w:family w:val="roman"/>
    <w:pitch w:val="variable"/>
  </w:font>
  <w:font w:name="11dni">
    <w:charset w:val="00"/>
    <w:family w:val="roman"/>
    <w:pitch w:val="variable"/>
  </w:font>
  <w:font w:name="OpenSymbol">
    <w:altName w:val="Arial Unicode MS"/>
    <w:charset w:val="00"/>
    <w:family w:val="roman"/>
    <w:pitch w:val="variable"/>
  </w:font>
  <w:font w:name="Marianne">
    <w:charset w:val="00"/>
    <w:family w:val="roman"/>
    <w:pitch w:val="variable"/>
  </w:font>
  <w:font w:name="Liberation Sans">
    <w:altName w:val="Arial"/>
    <w:charset w:val="00"/>
    <w:family w:val="roman"/>
    <w:pitch w:val="variable"/>
  </w:font>
  <w:font w:name="Arial Unicode MS">
    <w:charset w:val="00"/>
    <w:family w:val="roman"/>
    <w:pitch w:val="variable"/>
  </w:font>
  <w:font w:name="Tahoma">
    <w:charset w:val="00"/>
    <w:family w:val="roman"/>
    <w:pitch w:val="variable"/>
  </w:font>
  <w:font w:name="CG Times">
    <w:altName w:val="Times New Roman"/>
    <w:charset w:val="00"/>
    <w:family w:val="roman"/>
    <w:pitch w:val="variable"/>
  </w:font>
  <w:font w:name="Century Gothic">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bookmarkStart w:id="19" w:name="PageNumWizard_FOOTER_Style_de_page_par_d"/>
    <w:r>
      <w:rPr/>
      <w:fldChar w:fldCharType="begin"/>
    </w:r>
    <w:r>
      <w:rPr/>
      <w:instrText xml:space="preserve"> PAGE </w:instrText>
    </w:r>
    <w:r>
      <w:rPr/>
      <w:fldChar w:fldCharType="separate"/>
    </w:r>
    <w:r>
      <w:rPr/>
      <w:t>8</w:t>
    </w:r>
    <w:r>
      <w:rPr/>
      <w:fldChar w:fldCharType="end"/>
    </w:r>
    <w:bookmarkEnd w:id="19"/>
    <w:r>
      <w:rPr/>
      <w:t xml:space="preserve"> </w:t>
    </w:r>
    <w:r>
      <w:rPr/>
      <w:t xml:space="preserve">/ </w:t>
    </w:r>
    <w:r>
      <w:rPr/>
      <w:fldChar w:fldCharType="begin"/>
    </w:r>
    <w:r>
      <w:rPr/>
      <w:instrText xml:space="preserve"> NUMPAGES </w:instrText>
    </w:r>
    <w:r>
      <w:rPr/>
      <w:fldChar w:fldCharType="separate"/>
    </w:r>
    <w:r>
      <w:rPr/>
      <w:t>8</w:t>
    </w:r>
    <w:r>
      <w:rPr/>
      <w:fldChar w:fldCharType="end"/>
    </w:r>
  </w:p>
  <w:p>
    <w:pPr>
      <w:pStyle w:val="Normal"/>
      <w:ind w:left="0" w:right="0" w:hanging="0"/>
      <w:rPr/>
    </w:pPr>
    <w:bookmarkStart w:id="20" w:name="ctl0_CONTENU_PAGE_ConsultationSummary_r2"/>
    <w:bookmarkEnd w:id="20"/>
    <w:r>
      <w:rPr/>
      <w:t>MAINT-SSI-EA-ELI-2025 – Marché subséquent xxx</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right"/>
      <w:rPr/>
    </w:pPr>
    <w:bookmarkStart w:id="21" w:name="PageNumWizard_FOOTER_Style_de_page_par_d"/>
    <w:r>
      <w:rPr/>
      <w:fldChar w:fldCharType="begin"/>
    </w:r>
    <w:r>
      <w:rPr/>
      <w:instrText xml:space="preserve"> PAGE </w:instrText>
    </w:r>
    <w:r>
      <w:rPr/>
      <w:fldChar w:fldCharType="separate"/>
    </w:r>
    <w:r>
      <w:rPr/>
      <w:t>8</w:t>
    </w:r>
    <w:r>
      <w:rPr/>
      <w:fldChar w:fldCharType="end"/>
    </w:r>
    <w:bookmarkEnd w:id="21"/>
    <w:r>
      <w:rPr/>
      <w:t xml:space="preserve"> </w:t>
    </w:r>
    <w:r>
      <w:rPr/>
      <w:t xml:space="preserve">/ </w:t>
    </w:r>
    <w:r>
      <w:rPr/>
      <w:fldChar w:fldCharType="begin"/>
    </w:r>
    <w:r>
      <w:rPr/>
      <w:instrText xml:space="preserve"> NUMPAGES </w:instrText>
    </w:r>
    <w:r>
      <w:rPr/>
      <w:fldChar w:fldCharType="separate"/>
    </w:r>
    <w:r>
      <w:rPr/>
      <w:t>8</w:t>
    </w:r>
    <w:r>
      <w:rPr/>
      <w:fldChar w:fldCharType="end"/>
    </w:r>
  </w:p>
  <w:p>
    <w:pPr>
      <w:pStyle w:val="Normal"/>
      <w:ind w:left="0" w:right="0" w:hanging="0"/>
      <w:rPr/>
    </w:pPr>
    <w:bookmarkStart w:id="22" w:name="ctl0_CONTENU_PAGE_ConsultationSummary_r2"/>
    <w:bookmarkEnd w:id="22"/>
    <w:r>
      <w:rPr/>
      <w:t>MAINT-SSI-EA-ELI-2025 – Marché subséquent xxx</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2">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3">
    <w:lvl w:ilvl="0">
      <w:start w:val="1"/>
      <w:numFmt w:val="none"/>
      <w:suff w:val="nothing"/>
      <w:lvlText w:val="%1"/>
      <w:lvlJc w:val="left"/>
      <w:pPr>
        <w:tabs>
          <w:tab w:val="num" w:pos="0"/>
        </w:tabs>
        <w:ind w:left="432" w:hanging="432"/>
      </w:pPr>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1152" w:hanging="1152"/>
      </w:pPr>
      <w:rPr/>
    </w:lvl>
    <w:lvl w:ilvl="6">
      <w:start w:val="1"/>
      <w:numFmt w:val="none"/>
      <w:suff w:val="nothing"/>
      <w:lvlText w:val="%7"/>
      <w:lvlJc w:val="left"/>
      <w:pPr>
        <w:tabs>
          <w:tab w:val="num" w:pos="0"/>
        </w:tabs>
        <w:ind w:left="1296" w:hanging="1296"/>
      </w:pPr>
      <w:rPr/>
    </w:lvl>
    <w:lvl w:ilvl="7">
      <w:start w:val="1"/>
      <w:numFmt w:val="none"/>
      <w:suff w:val="nothing"/>
      <w:lvlText w:val="%8"/>
      <w:lvlJc w:val="left"/>
      <w:pPr>
        <w:tabs>
          <w:tab w:val="num" w:pos="0"/>
        </w:tabs>
        <w:ind w:left="1440" w:hanging="1440"/>
      </w:pPr>
      <w:rPr/>
    </w:lvl>
    <w:lvl w:ilvl="8">
      <w:start w:val="1"/>
      <w:numFmt w:val="none"/>
      <w:suff w:val="nothing"/>
      <w:lvlText w:val="%9"/>
      <w:lvlJc w:val="left"/>
      <w:pPr>
        <w:tabs>
          <w:tab w:val="num" w:pos="0"/>
        </w:tabs>
        <w:ind w:left="1584" w:hanging="1584"/>
      </w:pPr>
      <w:rPr/>
    </w:lvl>
  </w:abstractNum>
  <w:abstractNum w:abstractNumId="4">
    <w:lvl w:ilvl="0">
      <w:start w:val="1"/>
      <w:numFmt w:val="bullet"/>
      <w:lvlText w:val="-"/>
      <w:lvlJc w:val="left"/>
      <w:pPr>
        <w:tabs>
          <w:tab w:val="num" w:pos="0"/>
        </w:tabs>
        <w:ind w:left="720" w:hanging="360"/>
      </w:pPr>
      <w:rPr>
        <w:rFonts w:ascii="Times New Roman" w:hAnsi="Times New Roman" w:cs="Times New Roman" w:hint="default"/>
        <w:sz w:val="18"/>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Arial" w:hAnsi="Arial" w:cs="Arial" w:hint="default"/>
        <w:sz w:val="18"/>
        <w:b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115" w:hanging="123"/>
      </w:pPr>
      <w:rPr>
        <w:rFonts w:ascii="Arial" w:hAnsi="Arial" w:cs="Arial" w:hint="default"/>
        <w:sz w:val="20"/>
        <w:w w:val="99"/>
      </w:rPr>
    </w:lvl>
    <w:lvl w:ilvl="1">
      <w:start w:val="1"/>
      <w:numFmt w:val="bullet"/>
      <w:lvlText w:val=""/>
      <w:lvlJc w:val="left"/>
      <w:pPr>
        <w:tabs>
          <w:tab w:val="num" w:pos="0"/>
        </w:tabs>
        <w:ind w:left="1255" w:hanging="360"/>
      </w:pPr>
      <w:rPr>
        <w:rFonts w:ascii="Symbol" w:hAnsi="Symbol" w:cs="Symbol" w:hint="default"/>
        <w:sz w:val="20"/>
        <w:w w:val="77"/>
      </w:rPr>
    </w:lvl>
    <w:lvl w:ilvl="2">
      <w:start w:val="1"/>
      <w:numFmt w:val="bullet"/>
      <w:lvlText w:val=""/>
      <w:lvlJc w:val="left"/>
      <w:pPr>
        <w:tabs>
          <w:tab w:val="num" w:pos="0"/>
        </w:tabs>
        <w:ind w:left="931" w:hanging="360"/>
      </w:pPr>
      <w:rPr>
        <w:rFonts w:ascii="Symbol" w:hAnsi="Symbol" w:cs="Symbol" w:hint="default"/>
        <w:sz w:val="20"/>
        <w:w w:val="77"/>
      </w:rPr>
    </w:lvl>
    <w:lvl w:ilvl="3">
      <w:start w:val="1"/>
      <w:numFmt w:val="bullet"/>
      <w:lvlText w:val=""/>
      <w:lvlJc w:val="left"/>
      <w:pPr>
        <w:tabs>
          <w:tab w:val="num" w:pos="0"/>
        </w:tabs>
        <w:ind w:left="1260" w:hanging="360"/>
      </w:pPr>
      <w:rPr>
        <w:rFonts w:ascii="Symbol" w:hAnsi="Symbol" w:cs="Symbol" w:hint="default"/>
      </w:rPr>
    </w:lvl>
    <w:lvl w:ilvl="4">
      <w:start w:val="1"/>
      <w:numFmt w:val="bullet"/>
      <w:lvlText w:val=""/>
      <w:lvlJc w:val="left"/>
      <w:pPr>
        <w:tabs>
          <w:tab w:val="num" w:pos="0"/>
        </w:tabs>
        <w:ind w:left="2488" w:hanging="360"/>
      </w:pPr>
      <w:rPr>
        <w:rFonts w:ascii="Symbol" w:hAnsi="Symbol" w:cs="Symbol" w:hint="default"/>
      </w:rPr>
    </w:lvl>
    <w:lvl w:ilvl="5">
      <w:start w:val="1"/>
      <w:numFmt w:val="bullet"/>
      <w:lvlText w:val=""/>
      <w:lvlJc w:val="left"/>
      <w:pPr>
        <w:tabs>
          <w:tab w:val="num" w:pos="0"/>
        </w:tabs>
        <w:ind w:left="3717" w:hanging="360"/>
      </w:pPr>
      <w:rPr>
        <w:rFonts w:ascii="Symbol" w:hAnsi="Symbol" w:cs="Symbol" w:hint="default"/>
      </w:rPr>
    </w:lvl>
    <w:lvl w:ilvl="6">
      <w:start w:val="1"/>
      <w:numFmt w:val="bullet"/>
      <w:lvlText w:val=""/>
      <w:lvlJc w:val="left"/>
      <w:pPr>
        <w:tabs>
          <w:tab w:val="num" w:pos="0"/>
        </w:tabs>
        <w:ind w:left="4945" w:hanging="360"/>
      </w:pPr>
      <w:rPr>
        <w:rFonts w:ascii="Symbol" w:hAnsi="Symbol" w:cs="Symbol" w:hint="default"/>
      </w:rPr>
    </w:lvl>
    <w:lvl w:ilvl="7">
      <w:start w:val="1"/>
      <w:numFmt w:val="bullet"/>
      <w:lvlText w:val=""/>
      <w:lvlJc w:val="left"/>
      <w:pPr>
        <w:tabs>
          <w:tab w:val="num" w:pos="0"/>
        </w:tabs>
        <w:ind w:left="6174" w:hanging="360"/>
      </w:pPr>
      <w:rPr>
        <w:rFonts w:ascii="Symbol" w:hAnsi="Symbol" w:cs="Symbol" w:hint="default"/>
      </w:rPr>
    </w:lvl>
    <w:lvl w:ilvl="8">
      <w:start w:val="1"/>
      <w:numFmt w:val="bullet"/>
      <w:lvlText w:val=""/>
      <w:lvlJc w:val="left"/>
      <w:pPr>
        <w:tabs>
          <w:tab w:val="num" w:pos="0"/>
        </w:tabs>
        <w:ind w:left="7402" w:hanging="360"/>
      </w:pPr>
      <w:rPr>
        <w:rFonts w:ascii="Symbol" w:hAnsi="Symbol" w:cs="Symbol" w:hint="default"/>
      </w:rPr>
    </w:lvl>
  </w:abstractNum>
  <w:abstractNum w:abstractNumId="7">
    <w:lvl w:ilvl="0">
      <w:start w:val="1"/>
      <w:numFmt w:val="bullet"/>
      <w:lvlText w:val=""/>
      <w:lvlJc w:val="left"/>
      <w:pPr>
        <w:tabs>
          <w:tab w:val="num" w:pos="0"/>
        </w:tabs>
        <w:ind w:left="720" w:hanging="360"/>
      </w:pPr>
      <w:rPr>
        <w:rFonts w:ascii="Symbol" w:hAnsi="Symbol" w:cs="Symbol" w:hint="default"/>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sz w:val="18"/>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isplayBackgroundShape/>
  <w:embedSystemFonts/>
  <w:defaultTabStop w:val="567"/>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Univers" w:hAnsi="Univers" w:eastAsia="Times New Roman" w:cs="Univers"/>
      <w:color w:val="auto"/>
      <w:kern w:val="0"/>
      <w:sz w:val="20"/>
      <w:szCs w:val="20"/>
      <w:lang w:val="fr-FR" w:eastAsia="zh-CN" w:bidi="ar-SA"/>
    </w:rPr>
  </w:style>
  <w:style w:type="paragraph" w:styleId="Titre1">
    <w:name w:val="Heading 1"/>
    <w:basedOn w:val="Normal"/>
    <w:next w:val="Normal"/>
    <w:qFormat/>
    <w:pPr>
      <w:keepNext w:val="true"/>
      <w:numPr>
        <w:ilvl w:val="0"/>
        <w:numId w:val="1"/>
      </w:numPr>
      <w:ind w:left="567" w:hanging="0"/>
      <w:outlineLvl w:val="0"/>
    </w:pPr>
    <w:rPr>
      <w:rFonts w:ascii="Times New Roman" w:hAnsi="Times New Roman" w:cs="Times New Roman"/>
      <w:b/>
    </w:rPr>
  </w:style>
  <w:style w:type="paragraph" w:styleId="Titre2">
    <w:name w:val="Heading 2"/>
    <w:basedOn w:val="Normal"/>
    <w:next w:val="Normal"/>
    <w:qFormat/>
    <w:pPr>
      <w:keepNext w:val="true"/>
      <w:numPr>
        <w:ilvl w:val="1"/>
        <w:numId w:val="1"/>
      </w:numPr>
      <w:outlineLvl w:val="1"/>
    </w:pPr>
    <w:rPr>
      <w:rFonts w:ascii="Times New Roman" w:hAnsi="Times New Roman" w:cs="Times New Roman"/>
      <w:b/>
    </w:rPr>
  </w:style>
  <w:style w:type="paragraph" w:styleId="Titre3">
    <w:name w:val="Heading 3"/>
    <w:basedOn w:val="Normal"/>
    <w:next w:val="Normal"/>
    <w:qFormat/>
    <w:pPr>
      <w:keepNext w:val="true"/>
      <w:numPr>
        <w:ilvl w:val="2"/>
        <w:numId w:val="1"/>
      </w:numPr>
      <w:tabs>
        <w:tab w:val="clear" w:pos="567"/>
        <w:tab w:val="center" w:pos="5103" w:leader="none"/>
        <w:tab w:val="right" w:pos="10065" w:leader="none"/>
      </w:tabs>
      <w:jc w:val="right"/>
      <w:outlineLvl w:val="2"/>
    </w:pPr>
    <w:rPr>
      <w:rFonts w:ascii="Arial" w:hAnsi="Arial" w:cs="Arial"/>
      <w:b/>
      <w:sz w:val="22"/>
    </w:rPr>
  </w:style>
  <w:style w:type="paragraph" w:styleId="Titre4">
    <w:name w:val="Heading 4"/>
    <w:basedOn w:val="Normal"/>
    <w:next w:val="Normal"/>
    <w:qFormat/>
    <w:pPr>
      <w:keepNext w:val="true"/>
      <w:numPr>
        <w:ilvl w:val="3"/>
        <w:numId w:val="1"/>
      </w:numPr>
      <w:tabs>
        <w:tab w:val="clear" w:pos="567"/>
        <w:tab w:val="left" w:pos="-142" w:leader="none"/>
        <w:tab w:val="left" w:pos="4111" w:leader="none"/>
      </w:tabs>
      <w:jc w:val="both"/>
      <w:outlineLvl w:val="3"/>
    </w:pPr>
    <w:rPr>
      <w:rFonts w:ascii="Arial" w:hAnsi="Arial" w:cs="Arial"/>
      <w:b/>
    </w:rPr>
  </w:style>
  <w:style w:type="paragraph" w:styleId="Titre5">
    <w:name w:val="Heading 5"/>
    <w:basedOn w:val="Normal"/>
    <w:next w:val="Normal"/>
    <w:qFormat/>
    <w:pPr>
      <w:keepNext w:val="true"/>
      <w:numPr>
        <w:ilvl w:val="4"/>
        <w:numId w:val="1"/>
      </w:numPr>
      <w:ind w:left="567" w:hanging="0"/>
      <w:outlineLvl w:val="4"/>
    </w:pPr>
    <w:rPr>
      <w:rFonts w:ascii="Arial" w:hAnsi="Arial" w:cs="Arial"/>
      <w:i/>
      <w:sz w:val="16"/>
    </w:rPr>
  </w:style>
  <w:style w:type="paragraph" w:styleId="Titre6">
    <w:name w:val="Heading 6"/>
    <w:basedOn w:val="Normal"/>
    <w:next w:val="Normal"/>
    <w:qFormat/>
    <w:pPr>
      <w:keepNext w:val="true"/>
      <w:numPr>
        <w:ilvl w:val="5"/>
        <w:numId w:val="1"/>
      </w:numPr>
      <w:jc w:val="both"/>
      <w:outlineLvl w:val="5"/>
    </w:pPr>
    <w:rPr>
      <w:rFonts w:ascii="Arial" w:hAnsi="Arial" w:cs="Arial"/>
      <w:sz w:val="28"/>
    </w:rPr>
  </w:style>
  <w:style w:type="paragraph" w:styleId="Titre7">
    <w:name w:val="Heading 7"/>
    <w:basedOn w:val="Normal"/>
    <w:next w:val="Normal"/>
    <w:qFormat/>
    <w:pPr>
      <w:keepNext w:val="true"/>
      <w:numPr>
        <w:ilvl w:val="6"/>
        <w:numId w:val="1"/>
      </w:numPr>
      <w:outlineLvl w:val="6"/>
    </w:pPr>
    <w:rPr>
      <w:rFonts w:ascii="Arial" w:hAnsi="Arial" w:cs="Arial"/>
      <w:bCs/>
      <w:i/>
      <w:sz w:val="16"/>
    </w:rPr>
  </w:style>
  <w:style w:type="paragraph" w:styleId="Titre8">
    <w:name w:val="Heading 8"/>
    <w:basedOn w:val="Normal"/>
    <w:next w:val="Normal"/>
    <w:qFormat/>
    <w:pPr>
      <w:keepNext w:val="true"/>
      <w:numPr>
        <w:ilvl w:val="7"/>
        <w:numId w:val="1"/>
      </w:numPr>
      <w:jc w:val="center"/>
      <w:outlineLvl w:val="7"/>
    </w:pPr>
    <w:rPr>
      <w:rFonts w:ascii="Arial" w:hAnsi="Arial" w:cs="Arial"/>
      <w:b/>
      <w:bCs/>
      <w:sz w:val="24"/>
    </w:rPr>
  </w:style>
  <w:style w:type="paragraph" w:styleId="Titre9">
    <w:name w:val="Heading 9"/>
    <w:basedOn w:val="Normal"/>
    <w:next w:val="Normal"/>
    <w:qFormat/>
    <w:pPr>
      <w:keepNext w:val="true"/>
      <w:numPr>
        <w:ilvl w:val="8"/>
        <w:numId w:val="1"/>
      </w:numPr>
      <w:tabs>
        <w:tab w:val="clear" w:pos="567"/>
        <w:tab w:val="left" w:pos="426" w:leader="none"/>
        <w:tab w:val="left" w:pos="5103" w:leader="none"/>
      </w:tabs>
      <w:spacing w:before="0" w:after="240"/>
      <w:jc w:val="both"/>
      <w:outlineLvl w:val="8"/>
    </w:pPr>
    <w:rPr>
      <w:rFonts w:ascii="Arial" w:hAnsi="Arial" w:cs="Arial"/>
      <w:i/>
      <w:iCs/>
      <w:sz w:val="16"/>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style>
  <w:style w:type="character" w:styleId="Policepardfaut4">
    <w:name w:val="Police par défaut4"/>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Policepardfaut3">
    <w:name w:val="Police par défaut3"/>
    <w:qFormat/>
    <w:rPr/>
  </w:style>
  <w:style w:type="character" w:styleId="Policepardfaut2">
    <w:name w:val="Police par défaut2"/>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3">
    <w:name w:val="WW8Num4z3"/>
    <w:qFormat/>
    <w:rPr>
      <w:rFonts w:ascii="Symbol" w:hAnsi="Symbol" w:cs="Symbol"/>
    </w:rPr>
  </w:style>
  <w:style w:type="character" w:styleId="WW8Num5z0">
    <w:name w:val="WW8Num5z0"/>
    <w:qFormat/>
    <w:rPr>
      <w:rFonts w:ascii="Symbol" w:hAnsi="Symbol" w:cs="Symbol"/>
    </w:rPr>
  </w:style>
  <w:style w:type="character" w:styleId="WW8Num6z0">
    <w:name w:val="WW8Num6z0"/>
    <w:qFormat/>
    <w:rPr>
      <w:rFonts w:cs="Times New Roman"/>
    </w:rPr>
  </w:style>
  <w:style w:type="character" w:styleId="WW8Num7z0">
    <w:name w:val="WW8Num7z0"/>
    <w:qFormat/>
    <w:rPr>
      <w:rFonts w:ascii="Wingdings" w:hAnsi="Wingdings" w:cs="Wingdings"/>
      <w:i w:val="false"/>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Arial" w:hAnsi="Arial" w:cs="Arial"/>
    </w:rPr>
  </w:style>
  <w:style w:type="character" w:styleId="WW8Num9z0">
    <w:name w:val="WW8Num9z0"/>
    <w:qFormat/>
    <w:rPr>
      <w:rFonts w:ascii="Times New Roman" w:hAnsi="Times New Roman" w:eastAsia="Times New Roman" w:cs="Times New Roman"/>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Arial" w:hAnsi="Arial" w:eastAsia="Times New Roman" w:cs="Aria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Policepardfaut1">
    <w:name w:val="Police par défaut1"/>
    <w:qFormat/>
    <w:rPr/>
  </w:style>
  <w:style w:type="character" w:styleId="Caractresdenotedebasdepage">
    <w:name w:val="Caractères de note de bas de page"/>
    <w:qFormat/>
    <w:rPr>
      <w:rFonts w:cs="Times New Roman"/>
      <w:vertAlign w:val="superscript"/>
    </w:rPr>
  </w:style>
  <w:style w:type="character" w:styleId="Numrodepage">
    <w:name w:val="Page Number"/>
    <w:rPr>
      <w:rFonts w:cs="Times New Roman"/>
    </w:rPr>
  </w:style>
  <w:style w:type="character" w:styleId="Marquedecommentaire1">
    <w:name w:val="Marque de commentaire1"/>
    <w:qFormat/>
    <w:rPr>
      <w:rFonts w:cs="Times New Roman"/>
      <w:sz w:val="16"/>
    </w:rPr>
  </w:style>
  <w:style w:type="character" w:styleId="InternetLink">
    <w:name w:val="Internet Link"/>
    <w:qFormat/>
    <w:rPr>
      <w:rFonts w:cs="Times New Roman"/>
      <w:color w:val="0000FF"/>
      <w:u w:val="single"/>
    </w:rPr>
  </w:style>
  <w:style w:type="character" w:styleId="Strong">
    <w:name w:val="Strong"/>
    <w:qFormat/>
    <w:rPr>
      <w:rFonts w:cs="Times New Roman"/>
      <w:b/>
      <w:bCs/>
    </w:rPr>
  </w:style>
  <w:style w:type="character" w:styleId="Appelnotedebasdep1">
    <w:name w:val="Appel note de bas de p.1"/>
    <w:qFormat/>
    <w:rPr>
      <w:vertAlign w:val="superscript"/>
    </w:rPr>
  </w:style>
  <w:style w:type="character" w:styleId="Caractresdenotedefin">
    <w:name w:val="Caractères de note de fin"/>
    <w:qFormat/>
    <w:rPr>
      <w:vertAlign w:val="superscript"/>
    </w:rPr>
  </w:style>
  <w:style w:type="character" w:styleId="WW-Caractresdenotedefin">
    <w:name w:val="WW-Caractères de note de fin"/>
    <w:qFormat/>
    <w:rPr/>
  </w:style>
  <w:style w:type="character" w:styleId="Appeldenotedefin1">
    <w:name w:val="Appel de note de fin1"/>
    <w:qFormat/>
    <w:rPr>
      <w:vertAlign w:val="superscript"/>
    </w:rPr>
  </w:style>
  <w:style w:type="character" w:styleId="Appelnotedebasdep2">
    <w:name w:val="Appel note de bas de p.2"/>
    <w:qFormat/>
    <w:rPr>
      <w:vertAlign w:val="superscript"/>
    </w:rPr>
  </w:style>
  <w:style w:type="character" w:styleId="Marquedecommentaire2">
    <w:name w:val="Marque de commentaire2"/>
    <w:qFormat/>
    <w:rPr>
      <w:sz w:val="16"/>
      <w:szCs w:val="16"/>
    </w:rPr>
  </w:style>
  <w:style w:type="character" w:styleId="CommentaireCar">
    <w:name w:val="Commentaire Car"/>
    <w:qFormat/>
    <w:rPr>
      <w:rFonts w:ascii="Univers" w:hAnsi="Univers" w:cs="Univers"/>
      <w:lang w:eastAsia="zh-CN"/>
    </w:rPr>
  </w:style>
  <w:style w:type="character" w:styleId="Appelnotedebasdep3">
    <w:name w:val="Appel note de bas de p.3"/>
    <w:qFormat/>
    <w:rPr>
      <w:vertAlign w:val="superscript"/>
    </w:rPr>
  </w:style>
  <w:style w:type="character" w:styleId="Appeldenotedefin2">
    <w:name w:val="Appel de note de fin2"/>
    <w:qFormat/>
    <w:rPr>
      <w:vertAlign w:val="superscript"/>
    </w:rPr>
  </w:style>
  <w:style w:type="character" w:styleId="Marquedecommentaire3">
    <w:name w:val="Marque de commentaire3"/>
    <w:basedOn w:val="Policepardfaut4"/>
    <w:qFormat/>
    <w:rPr>
      <w:sz w:val="16"/>
      <w:szCs w:val="16"/>
    </w:rPr>
  </w:style>
  <w:style w:type="character" w:styleId="CommentaireCar1">
    <w:name w:val="Commentaire Car1"/>
    <w:basedOn w:val="Policepardfaut4"/>
    <w:qFormat/>
    <w:rPr>
      <w:rFonts w:ascii="Univers" w:hAnsi="Univers" w:cs="Univers"/>
      <w:lang w:eastAsia="zh-CN"/>
    </w:rPr>
  </w:style>
  <w:style w:type="character" w:styleId="Annotationreference">
    <w:name w:val="annotation reference"/>
    <w:basedOn w:val="DefaultParagraphFont"/>
    <w:qFormat/>
    <w:rPr>
      <w:sz w:val="16"/>
      <w:szCs w:val="16"/>
    </w:rPr>
  </w:style>
  <w:style w:type="character" w:styleId="CommentaireCar2">
    <w:name w:val="Commentaire Car2"/>
    <w:basedOn w:val="DefaultParagraphFont"/>
    <w:qFormat/>
    <w:rPr>
      <w:rFonts w:ascii="Univers" w:hAnsi="Univers" w:cs="Univers"/>
      <w:lang w:eastAsia="zh-CN"/>
    </w:rPr>
  </w:style>
  <w:style w:type="character" w:styleId="Fontstyle01">
    <w:name w:val="fontstyle01"/>
    <w:basedOn w:val="DefaultParagraphFont"/>
    <w:qFormat/>
    <w:rPr>
      <w:rFonts w:ascii="11dni" w:hAnsi="11dni"/>
      <w:b w:val="false"/>
      <w:bCs w:val="false"/>
      <w:i w:val="false"/>
      <w:iCs w:val="false"/>
      <w:color w:val="000000"/>
      <w:sz w:val="24"/>
      <w:szCs w:val="24"/>
    </w:rPr>
  </w:style>
  <w:style w:type="character" w:styleId="Mentionnonrsolue1">
    <w:name w:val="Mention non résolue1"/>
    <w:basedOn w:val="DefaultParagraphFont"/>
    <w:qFormat/>
    <w:rPr>
      <w:color w:val="605E5C"/>
      <w:shd w:fill="E1DFDD" w:val="clear"/>
    </w:rPr>
  </w:style>
  <w:style w:type="character" w:styleId="Puces">
    <w:name w:val="Puces"/>
    <w:qFormat/>
    <w:rPr>
      <w:rFonts w:ascii="OpenSymbol" w:hAnsi="OpenSymbol" w:eastAsia="OpenSymbol" w:cs="OpenSymbol"/>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LienInternet">
    <w:name w:val="Hyperlink"/>
    <w:rPr>
      <w:color w:val="000080"/>
      <w:u w:val="single"/>
    </w:rPr>
  </w:style>
  <w:style w:type="paragraph" w:styleId="Titre">
    <w:name w:val="Titre"/>
    <w:basedOn w:val="Normal"/>
    <w:next w:val="Corpsdetexte"/>
    <w:qFormat/>
    <w:pPr>
      <w:keepNext w:val="true"/>
      <w:spacing w:before="240" w:after="120"/>
    </w:pPr>
    <w:rPr>
      <w:rFonts w:ascii="Marianne" w:hAnsi="Marianne" w:eastAsia="Microsoft YaHei" w:cs="Arial"/>
      <w:sz w:val="28"/>
      <w:szCs w:val="28"/>
    </w:rPr>
  </w:style>
  <w:style w:type="paragraph" w:styleId="Corpsdetexte">
    <w:name w:val="Body Text"/>
    <w:basedOn w:val="Normal"/>
    <w:pPr>
      <w:tabs>
        <w:tab w:val="clear" w:pos="567"/>
        <w:tab w:val="left" w:pos="426" w:leader="none"/>
      </w:tabs>
      <w:spacing w:before="60" w:after="0"/>
      <w:jc w:val="both"/>
    </w:pPr>
    <w:rPr>
      <w:rFonts w:ascii="Arial" w:hAnsi="Arial" w:cs="Arial"/>
      <w:b/>
      <w:sz w:val="24"/>
    </w:rPr>
  </w:style>
  <w:style w:type="paragraph" w:styleId="Liste">
    <w:name w:val="List"/>
    <w:basedOn w:val="Corpsdetexte"/>
    <w:pPr/>
    <w:rPr>
      <w:rFonts w:cs="Mangal"/>
    </w:rPr>
  </w:style>
  <w:style w:type="paragraph" w:styleId="Lgende">
    <w:name w:val="Caption"/>
    <w:basedOn w:val="Normal"/>
    <w:next w:val="Normal"/>
    <w:qFormat/>
    <w:pPr>
      <w:tabs>
        <w:tab w:val="clear" w:pos="567"/>
        <w:tab w:val="left" w:pos="426" w:leader="none"/>
        <w:tab w:val="left" w:pos="851" w:leader="none"/>
      </w:tabs>
      <w:jc w:val="both"/>
    </w:pPr>
    <w:rPr>
      <w:rFonts w:ascii="Arial" w:hAnsi="Arial" w:cs="Arial"/>
      <w:b/>
    </w:rPr>
  </w:style>
  <w:style w:type="paragraph" w:styleId="Index">
    <w:name w:val="Index"/>
    <w:basedOn w:val="Normal"/>
    <w:qFormat/>
    <w:pPr>
      <w:suppressLineNumbers/>
    </w:pPr>
    <w:rPr>
      <w:rFonts w:cs="Mangal"/>
    </w:rPr>
  </w:style>
  <w:style w:type="paragraph" w:styleId="Titreprincipal">
    <w:name w:val="Title"/>
    <w:basedOn w:val="Normal"/>
    <w:next w:val="Corpsdetexte"/>
    <w:qFormat/>
    <w:pPr>
      <w:keepNext w:val="true"/>
      <w:spacing w:before="240" w:after="120"/>
    </w:pPr>
    <w:rPr>
      <w:rFonts w:ascii="Liberation Sans" w:hAnsi="Liberation Sans" w:eastAsia="Microsoft YaHei" w:cs="Arial"/>
      <w:sz w:val="28"/>
      <w:szCs w:val="28"/>
    </w:rPr>
  </w:style>
  <w:style w:type="paragraph" w:styleId="Titre41">
    <w:name w:val="Titre4"/>
    <w:basedOn w:val="Normal"/>
    <w:next w:val="Corpsdetexte"/>
    <w:qFormat/>
    <w:pPr>
      <w:keepNext w:val="true"/>
      <w:spacing w:before="240" w:after="120"/>
    </w:pPr>
    <w:rPr>
      <w:rFonts w:ascii="Liberation Sans" w:hAnsi="Liberation Sans" w:eastAsia="Microsoft YaHei" w:cs="Mangal"/>
      <w:sz w:val="28"/>
      <w:szCs w:val="28"/>
    </w:rPr>
  </w:style>
  <w:style w:type="paragraph" w:styleId="Titre31">
    <w:name w:val="Titre3"/>
    <w:basedOn w:val="Normal"/>
    <w:next w:val="Corpsdetexte"/>
    <w:qFormat/>
    <w:pPr>
      <w:keepNext w:val="true"/>
      <w:spacing w:before="240" w:after="120"/>
    </w:pPr>
    <w:rPr>
      <w:rFonts w:ascii="Liberation Sans" w:hAnsi="Liberation Sans" w:eastAsia="Microsoft YaHei" w:cs="Mangal"/>
      <w:sz w:val="28"/>
      <w:szCs w:val="28"/>
    </w:rPr>
  </w:style>
  <w:style w:type="paragraph" w:styleId="Titre21">
    <w:name w:val="Titre2"/>
    <w:basedOn w:val="Normal"/>
    <w:next w:val="Corpsdetexte"/>
    <w:qFormat/>
    <w:pPr>
      <w:keepNext w:val="true"/>
      <w:spacing w:before="240" w:after="120"/>
    </w:pPr>
    <w:rPr>
      <w:rFonts w:ascii="Arial" w:hAnsi="Arial" w:eastAsia="Microsoft YaHei" w:cs="Mangal"/>
      <w:sz w:val="28"/>
      <w:szCs w:val="28"/>
    </w:rPr>
  </w:style>
  <w:style w:type="paragraph" w:styleId="Titre11">
    <w:name w:val="Titre1"/>
    <w:basedOn w:val="Normal"/>
    <w:next w:val="Corpsdetexte"/>
    <w:qFormat/>
    <w:pPr>
      <w:keepNext w:val="true"/>
      <w:spacing w:before="240" w:after="120"/>
    </w:pPr>
    <w:rPr>
      <w:rFonts w:ascii="Arial" w:hAnsi="Arial" w:eastAsia="Microsoft YaHei" w:cs="Mangal"/>
      <w:sz w:val="28"/>
      <w:szCs w:val="28"/>
    </w:rPr>
  </w:style>
  <w:style w:type="paragraph" w:styleId="En-tteetpieddepage">
    <w:name w:val="En-tête et pied de page"/>
    <w:basedOn w:val="Normal"/>
    <w:qFormat/>
    <w:pPr/>
    <w:rPr/>
  </w:style>
  <w:style w:type="paragraph" w:styleId="En-tte">
    <w:name w:val="Header"/>
    <w:basedOn w:val="Normal"/>
    <w:pPr>
      <w:tabs>
        <w:tab w:val="clear" w:pos="567"/>
        <w:tab w:val="center" w:pos="4536" w:leader="none"/>
        <w:tab w:val="right" w:pos="9072" w:leader="none"/>
      </w:tabs>
    </w:pPr>
    <w:rPr/>
  </w:style>
  <w:style w:type="paragraph" w:styleId="Pieddepage">
    <w:name w:val="Footer"/>
    <w:basedOn w:val="Normal"/>
    <w:pPr>
      <w:tabs>
        <w:tab w:val="clear" w:pos="567"/>
        <w:tab w:val="center" w:pos="4536" w:leader="none"/>
        <w:tab w:val="right" w:pos="9072" w:leader="none"/>
      </w:tabs>
    </w:pPr>
    <w:rPr/>
  </w:style>
  <w:style w:type="paragraph" w:styleId="Notedebasdepage">
    <w:name w:val="Footnote Text"/>
    <w:basedOn w:val="Normal"/>
    <w:pPr/>
    <w:rPr/>
  </w:style>
  <w:style w:type="paragraph" w:styleId="Ftiret">
    <w:name w:val="f_tiret"/>
    <w:basedOn w:val="Normal"/>
    <w:qFormat/>
    <w:pPr>
      <w:tabs>
        <w:tab w:val="clear" w:pos="567"/>
        <w:tab w:val="left" w:pos="426" w:leader="none"/>
      </w:tabs>
      <w:spacing w:before="60" w:after="0"/>
      <w:ind w:left="142" w:hanging="142"/>
      <w:jc w:val="both"/>
    </w:pPr>
    <w:rPr/>
  </w:style>
  <w:style w:type="paragraph" w:styleId="Fcasegauche">
    <w:name w:val="f_case_gauche"/>
    <w:basedOn w:val="Normal"/>
    <w:qFormat/>
    <w:pPr>
      <w:spacing w:before="0" w:after="60"/>
      <w:ind w:left="284" w:hanging="284"/>
      <w:jc w:val="both"/>
    </w:pPr>
    <w:rPr/>
  </w:style>
  <w:style w:type="paragraph" w:styleId="Fcase1ertab">
    <w:name w:val="f_case_1ertab"/>
    <w:basedOn w:val="Normal"/>
    <w:qFormat/>
    <w:pPr>
      <w:tabs>
        <w:tab w:val="clear" w:pos="567"/>
        <w:tab w:val="left" w:pos="426" w:leader="none"/>
      </w:tabs>
      <w:ind w:left="709" w:hanging="709"/>
      <w:jc w:val="both"/>
    </w:pPr>
    <w:rPr/>
  </w:style>
  <w:style w:type="paragraph" w:styleId="Fcase2metab">
    <w:name w:val="f_case_2èmetab"/>
    <w:basedOn w:val="Normal"/>
    <w:qFormat/>
    <w:pPr>
      <w:tabs>
        <w:tab w:val="clear" w:pos="567"/>
        <w:tab w:val="left" w:pos="426" w:leader="none"/>
        <w:tab w:val="left" w:pos="851" w:leader="none"/>
      </w:tabs>
      <w:ind w:left="1134" w:hanging="1134"/>
      <w:jc w:val="both"/>
    </w:pPr>
    <w:rPr/>
  </w:style>
  <w:style w:type="paragraph" w:styleId="Commentaire1">
    <w:name w:val="Commentaire1"/>
    <w:basedOn w:val="Normal"/>
    <w:qFormat/>
    <w:pPr/>
    <w:rPr/>
  </w:style>
  <w:style w:type="paragraph" w:styleId="Corpsdetexte21">
    <w:name w:val="Corps de texte 21"/>
    <w:basedOn w:val="Normal"/>
    <w:qFormat/>
    <w:pPr>
      <w:tabs>
        <w:tab w:val="clear" w:pos="567"/>
        <w:tab w:val="left" w:pos="6237" w:leader="none"/>
      </w:tabs>
      <w:spacing w:before="120" w:after="0"/>
    </w:pPr>
    <w:rPr>
      <w:rFonts w:ascii="Arial" w:hAnsi="Arial" w:cs="Arial"/>
      <w:i/>
      <w:sz w:val="24"/>
    </w:rPr>
  </w:style>
  <w:style w:type="paragraph" w:styleId="Corpsdetexte31">
    <w:name w:val="Corps de texte 31"/>
    <w:basedOn w:val="Normal"/>
    <w:qFormat/>
    <w:pPr/>
    <w:rPr>
      <w:rFonts w:ascii="Arial" w:hAnsi="Arial" w:cs="Arial"/>
      <w:bCs/>
      <w:i/>
      <w:iCs/>
      <w:sz w:val="16"/>
    </w:rPr>
  </w:style>
  <w:style w:type="paragraph" w:styleId="BodyTextIndented">
    <w:name w:val="Body Text, Indented"/>
    <w:basedOn w:val="Normal"/>
    <w:qFormat/>
    <w:pPr>
      <w:ind w:left="567" w:hanging="0"/>
    </w:pPr>
    <w:rPr>
      <w:rFonts w:ascii="Arial" w:hAnsi="Arial" w:cs="Arial"/>
      <w:bCs/>
      <w:i/>
      <w:iCs/>
      <w:sz w:val="16"/>
    </w:rPr>
  </w:style>
  <w:style w:type="paragraph" w:styleId="NormalWeb">
    <w:name w:val="Normal (Web)"/>
    <w:basedOn w:val="Normal"/>
    <w:qFormat/>
    <w:pPr>
      <w:spacing w:before="100" w:after="100"/>
    </w:pPr>
    <w:rPr>
      <w:rFonts w:ascii="Arial Unicode MS" w:hAnsi="Arial Unicode MS" w:eastAsia="Arial Unicode MS" w:cs="Arial Unicode MS"/>
      <w:color w:val="000000"/>
      <w:sz w:val="24"/>
      <w:szCs w:val="24"/>
    </w:rPr>
  </w:style>
  <w:style w:type="paragraph" w:styleId="Retraitcorpsdetexte21">
    <w:name w:val="Retrait corps de texte 21"/>
    <w:basedOn w:val="Normal"/>
    <w:qFormat/>
    <w:pPr>
      <w:ind w:left="2268" w:hanging="0"/>
    </w:pPr>
    <w:rPr>
      <w:rFonts w:ascii="Arial" w:hAnsi="Arial" w:cs="Arial"/>
      <w:i/>
      <w:iCs/>
      <w:sz w:val="16"/>
      <w:szCs w:val="16"/>
    </w:rPr>
  </w:style>
  <w:style w:type="paragraph" w:styleId="BalloonText">
    <w:name w:val="Balloon Text"/>
    <w:basedOn w:val="Normal"/>
    <w:qFormat/>
    <w:pPr/>
    <w:rPr>
      <w:rFonts w:ascii="Tahoma" w:hAnsi="Tahoma" w:cs="Tahoma"/>
      <w:sz w:val="16"/>
      <w:szCs w:val="16"/>
    </w:rPr>
  </w:style>
  <w:style w:type="paragraph" w:styleId="Annotationsubject">
    <w:name w:val="annotation subject"/>
    <w:basedOn w:val="Commentaire1"/>
    <w:next w:val="Commentaire1"/>
    <w:qFormat/>
    <w:pPr/>
    <w:rPr>
      <w:b/>
      <w:bCs/>
    </w:rPr>
  </w:style>
  <w:style w:type="paragraph" w:styleId="Contenudetableau">
    <w:name w:val="Contenu de tableau"/>
    <w:basedOn w:val="Normal"/>
    <w:qFormat/>
    <w:pPr>
      <w:suppressLineNumbers/>
    </w:pPr>
    <w:rPr/>
  </w:style>
  <w:style w:type="paragraph" w:styleId="Titredetableau">
    <w:name w:val="Titre de tableau"/>
    <w:basedOn w:val="Contenudetableau"/>
    <w:qFormat/>
    <w:pPr>
      <w:jc w:val="center"/>
    </w:pPr>
    <w:rPr>
      <w:b/>
      <w:bCs/>
    </w:rPr>
  </w:style>
  <w:style w:type="paragraph" w:styleId="Commentaire2">
    <w:name w:val="Commentaire2"/>
    <w:basedOn w:val="Normal"/>
    <w:qFormat/>
    <w:pPr/>
    <w:rPr/>
  </w:style>
  <w:style w:type="paragraph" w:styleId="Commentaire3">
    <w:name w:val="Commentaire3"/>
    <w:basedOn w:val="Normal"/>
    <w:qFormat/>
    <w:pPr/>
    <w:rPr/>
  </w:style>
  <w:style w:type="paragraph" w:styleId="ListParagraph">
    <w:name w:val="List Paragraph"/>
    <w:basedOn w:val="Normal"/>
    <w:qFormat/>
    <w:pPr>
      <w:suppressAutoHyphens w:val="false"/>
      <w:spacing w:lineRule="auto" w:line="276" w:before="0" w:after="200"/>
      <w:ind w:left="720" w:hanging="0"/>
      <w:contextualSpacing/>
      <w:jc w:val="both"/>
    </w:pPr>
    <w:rPr>
      <w:rFonts w:ascii="Arial" w:hAnsi="Arial" w:eastAsia="Calibri" w:cs="Times New Roman"/>
      <w:sz w:val="22"/>
      <w:szCs w:val="22"/>
      <w:lang w:eastAsia="en-US"/>
    </w:rPr>
  </w:style>
  <w:style w:type="paragraph" w:styleId="NoSpacing">
    <w:name w:val="No Spacing"/>
    <w:qFormat/>
    <w:pPr>
      <w:widowControl/>
      <w:suppressAutoHyphens w:val="true"/>
      <w:overflowPunct w:val="true"/>
      <w:bidi w:val="0"/>
      <w:spacing w:before="0" w:after="0"/>
      <w:jc w:val="both"/>
    </w:pPr>
    <w:rPr>
      <w:rFonts w:ascii="Arial" w:hAnsi="Arial" w:eastAsia="Calibri" w:cs="Times New Roman"/>
      <w:color w:val="auto"/>
      <w:kern w:val="0"/>
      <w:sz w:val="22"/>
      <w:szCs w:val="22"/>
      <w:lang w:val="fr-FR" w:eastAsia="en-US" w:bidi="ar-SA"/>
    </w:rPr>
  </w:style>
  <w:style w:type="paragraph" w:styleId="Textbody">
    <w:name w:val="Text body"/>
    <w:basedOn w:val="Normal"/>
    <w:qFormat/>
    <w:pPr>
      <w:tabs>
        <w:tab w:val="clear" w:pos="567"/>
        <w:tab w:val="left" w:pos="9071" w:leader="dot"/>
      </w:tabs>
      <w:spacing w:before="28" w:after="28"/>
      <w:jc w:val="both"/>
    </w:pPr>
    <w:rPr>
      <w:rFonts w:ascii="Arial" w:hAnsi="Arial" w:cs="Palatino, 'Book Antiqua'"/>
      <w:color w:val="00000A"/>
      <w:szCs w:val="24"/>
    </w:rPr>
  </w:style>
  <w:style w:type="paragraph" w:styleId="Standard">
    <w:name w:val="Standard"/>
    <w:qFormat/>
    <w:pPr>
      <w:widowControl/>
      <w:suppressAutoHyphens w:val="true"/>
      <w:overflowPunct w:val="true"/>
      <w:bidi w:val="0"/>
      <w:spacing w:before="0" w:after="0"/>
      <w:jc w:val="left"/>
    </w:pPr>
    <w:rPr>
      <w:rFonts w:ascii="Arial" w:hAnsi="Arial" w:eastAsia="Times New Roman" w:cs="Times New Roman"/>
      <w:color w:val="00000A"/>
      <w:kern w:val="0"/>
      <w:sz w:val="16"/>
      <w:szCs w:val="24"/>
      <w:lang w:val="fr-FR" w:eastAsia="zh-CN" w:bidi="ar-SA"/>
    </w:rPr>
  </w:style>
  <w:style w:type="paragraph" w:styleId="Western">
    <w:name w:val="western"/>
    <w:basedOn w:val="Normal"/>
    <w:qFormat/>
    <w:pPr>
      <w:suppressAutoHyphens w:val="false"/>
      <w:spacing w:before="28" w:after="28"/>
      <w:jc w:val="both"/>
    </w:pPr>
    <w:rPr>
      <w:rFonts w:ascii="Arial" w:hAnsi="Arial" w:eastAsia="Arial Unicode MS" w:cs="Arial"/>
      <w:color w:val="000000"/>
      <w:lang w:eastAsia="fr-FR"/>
    </w:rPr>
  </w:style>
  <w:style w:type="paragraph" w:styleId="AnnotationText">
    <w:name w:val="Annotation Text"/>
    <w:basedOn w:val="Normal"/>
    <w:link w:val="CommentaireCar2"/>
    <w:qFormat/>
    <w:pPr/>
    <w:rPr/>
  </w:style>
  <w:style w:type="paragraph" w:styleId="Titre51">
    <w:name w:val="titre5"/>
    <w:basedOn w:val="Standard"/>
    <w:qFormat/>
    <w:pPr>
      <w:spacing w:lineRule="exact" w:line="240" w:before="360" w:after="120"/>
      <w:ind w:left="1418" w:right="1134" w:firstLine="993"/>
    </w:pPr>
    <w:rPr>
      <w:rFonts w:ascii="CG Times;Times New Roman" w:hAnsi="CG Times;Times New Roman" w:cs="CG Times;Times New Roman"/>
      <w:sz w:val="24"/>
      <w:u w:val="single"/>
    </w:rPr>
  </w:style>
  <w:style w:type="paragraph" w:styleId="WW-Corpsdetexte2">
    <w:name w:val="WW-Corps de texte 2"/>
    <w:basedOn w:val="Standard"/>
    <w:qFormat/>
    <w:pPr/>
    <w:rPr>
      <w:rFonts w:ascii="Times New Roman" w:hAnsi="Times New Roman"/>
      <w:sz w:val="22"/>
      <w:szCs w:val="22"/>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fr-FR" w:eastAsia="zh-CN" w:bidi="ar-SA"/>
    </w:rPr>
  </w:style>
  <w:style w:type="numbering" w:styleId="Pasdeliste">
    <w:name w:val="Pas de list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chorus-pro.gouv.fr/" TargetMode="External"/><Relationship Id="rId4" Type="http://schemas.openxmlformats.org/officeDocument/2006/relationships/hyperlink" Target="https://communaute-chorus-pro.finances.gouv.fr/?action=publicPage&amp;uri=intranetOnePage/4003" TargetMode="External"/><Relationship Id="rId5" Type="http://schemas.openxmlformats.org/officeDocument/2006/relationships/hyperlink" Target="https://communaute-chorus-pro.finances.gouv.fr/?action=publicPage&amp;uri=intranetOnePage/4210" TargetMode="External"/><Relationship Id="rId6" Type="http://schemas.openxmlformats.org/officeDocument/2006/relationships/hyperlink" Target="https://chorus-pro.gouv.fr/cpp/utilisateur?execution=e3s1/"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LibreOffice/7.5.3.2$Windows_X86_64 LibreOffice_project/9f56dff12ba03b9acd7730a5a481eea045e468f3</Application>
  <AppVersion>15.0000</AppVersion>
  <Pages>8</Pages>
  <Words>2278</Words>
  <Characters>12685</Characters>
  <CharactersWithSpaces>14738</CharactersWithSpaces>
  <Paragraphs>277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2026-01-22T15:34:33Z</dcterms:created>
  <dc:creator/>
  <dc:description/>
  <dc:language>fr-FR</dc:language>
  <cp:lastModifiedBy/>
  <cp:revision>1</cp:revision>
  <dc:subject/>
  <dc:title>_Modèle recommandé : le service peut l’adapter le cas échéant_DC1_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