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Sansinterligne"/>
        <w:jc w:val="center"/>
        <w:rPr>
          <w:rFonts w:ascii="Arial Gras" w:hAnsi="Arial Gras" w:cs="Arial"/>
          <w:b/>
          <w:bCs/>
          <w:caps/>
          <w:spacing w:val="20"/>
          <w:sz w:val="24"/>
          <w:szCs w:val="24"/>
          <w:u w:val="single"/>
          <w:lang w:eastAsia="fr-FR"/>
        </w:rPr>
      </w:pPr>
    </w:p>
    <w:p>
      <w:pPr>
        <w:pStyle w:val="Sansinterligne"/>
        <w:jc w:val="center"/>
        <w:rPr>
          <w:rFonts w:ascii="Arial Gras" w:hAnsi="Arial Gras" w:cs="Arial"/>
          <w:b/>
          <w:bCs/>
          <w:caps/>
          <w:spacing w:val="20"/>
          <w:sz w:val="24"/>
          <w:szCs w:val="24"/>
          <w:u w:val="single"/>
          <w:lang w:eastAsia="fr-FR"/>
        </w:rPr>
      </w:pPr>
      <w:r>
        <w:rPr>
          <w:rFonts w:ascii="Arial Gras" w:hAnsi="Arial Gras" w:cs="Arial"/>
          <w:b/>
          <w:bCs/>
          <w:caps/>
          <w:spacing w:val="20"/>
          <w:sz w:val="24"/>
          <w:szCs w:val="24"/>
          <w:u w:val="single"/>
          <w:lang w:eastAsia="fr-FR"/>
        </w:rPr>
        <w:t>Acte d’engagement</w:t>
      </w:r>
    </w:p>
    <w:p>
      <w:pPr>
        <w:pStyle w:val="Sansinterligne"/>
        <w:jc w:val="center"/>
        <w:rPr>
          <w:rFonts w:ascii="Arial Gras" w:hAnsi="Arial Gras" w:cs="Arial"/>
          <w:b/>
          <w:bCs/>
          <w:caps/>
          <w:spacing w:val="20"/>
          <w:sz w:val="24"/>
          <w:szCs w:val="24"/>
          <w:u w:val="single"/>
          <w:lang w:eastAsia="fr-FR"/>
        </w:rPr>
      </w:pPr>
    </w:p>
    <w:p>
      <w:pPr>
        <w:spacing w:before="240" w:after="120" w:line="240" w:lineRule="exact"/>
        <w:ind w:left="567" w:right="51"/>
        <w:jc w:val="center"/>
        <w:outlineLvl w:val="0"/>
        <w:rPr>
          <w:rFonts w:ascii="Arial" w:hAnsi="Arial" w:cs="Arial"/>
          <w:color w:val="000000"/>
          <w:sz w:val="16"/>
        </w:rPr>
      </w:pPr>
      <w:r>
        <w:rPr>
          <w:rFonts w:ascii="Arial" w:hAnsi="Arial" w:cs="Arial"/>
          <w:b/>
          <w:color w:val="000000"/>
          <w:spacing w:val="30"/>
        </w:rPr>
        <w:t>NUMERO D'IDENTIFICATION DU MARCHE</w:t>
      </w:r>
      <w:r>
        <w:rPr>
          <w:rStyle w:val="Appelnotedebasdep"/>
          <w:rFonts w:ascii="Arial" w:hAnsi="Arial" w:cs="Arial"/>
          <w:b/>
          <w:color w:val="000000"/>
          <w:spacing w:val="30"/>
        </w:rPr>
        <w:footnoteReference w:id="1"/>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95"/>
        <w:gridCol w:w="595"/>
        <w:gridCol w:w="595"/>
        <w:gridCol w:w="595"/>
        <w:gridCol w:w="595"/>
        <w:gridCol w:w="595"/>
        <w:gridCol w:w="595"/>
        <w:gridCol w:w="595"/>
        <w:gridCol w:w="595"/>
        <w:gridCol w:w="595"/>
        <w:gridCol w:w="595"/>
        <w:gridCol w:w="595"/>
        <w:gridCol w:w="595"/>
        <w:gridCol w:w="596"/>
      </w:tblGrid>
      <w:tr>
        <w:trPr>
          <w:cantSplit/>
          <w:trHeight w:val="467"/>
          <w:jc w:val="center"/>
        </w:trPr>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5" w:type="dxa"/>
          </w:tcPr>
          <w:p>
            <w:pPr>
              <w:spacing w:line="240" w:lineRule="exact"/>
              <w:ind w:right="50"/>
              <w:rPr>
                <w:rFonts w:ascii="Arial" w:hAnsi="Arial" w:cs="Arial"/>
                <w:b/>
                <w:sz w:val="16"/>
              </w:rPr>
            </w:pPr>
          </w:p>
        </w:tc>
        <w:tc>
          <w:tcPr>
            <w:tcW w:w="596" w:type="dxa"/>
          </w:tcPr>
          <w:p>
            <w:pPr>
              <w:spacing w:line="240" w:lineRule="exact"/>
              <w:ind w:right="50"/>
              <w:rPr>
                <w:rFonts w:ascii="Arial" w:hAnsi="Arial" w:cs="Arial"/>
                <w:b/>
                <w:sz w:val="16"/>
              </w:rPr>
            </w:pPr>
          </w:p>
        </w:tc>
      </w:tr>
    </w:tbl>
    <w:p>
      <w:pPr>
        <w:spacing w:before="60" w:after="60" w:line="240" w:lineRule="exact"/>
        <w:jc w:val="center"/>
        <w:rPr>
          <w:rFonts w:ascii="Arial" w:hAnsi="Arial" w:cs="Arial"/>
          <w:b/>
          <w:color w:val="000000"/>
          <w:spacing w:val="30"/>
        </w:rPr>
      </w:pPr>
    </w:p>
    <w:p>
      <w:pPr>
        <w:spacing w:before="60" w:after="60" w:line="240" w:lineRule="exact"/>
        <w:jc w:val="center"/>
        <w:rPr>
          <w:rFonts w:ascii="Arial" w:hAnsi="Arial" w:cs="Arial"/>
          <w:b/>
          <w:color w:val="000000"/>
          <w:spacing w:val="30"/>
        </w:rPr>
      </w:pPr>
      <w:r>
        <w:rPr>
          <w:rFonts w:ascii="Arial" w:hAnsi="Arial" w:cs="Arial"/>
          <w:b/>
          <w:color w:val="000000"/>
          <w:spacing w:val="30"/>
        </w:rPr>
        <w:t>NUMERO D’ENGAGEMENT JURIDIQUE CHORUS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
        <w:gridCol w:w="609"/>
        <w:gridCol w:w="609"/>
        <w:gridCol w:w="609"/>
        <w:gridCol w:w="609"/>
        <w:gridCol w:w="609"/>
        <w:gridCol w:w="609"/>
        <w:gridCol w:w="609"/>
        <w:gridCol w:w="609"/>
        <w:gridCol w:w="610"/>
      </w:tblGrid>
      <w:tr>
        <w:trPr>
          <w:cantSplit/>
          <w:trHeight w:val="490"/>
          <w:jc w:val="center"/>
        </w:trPr>
        <w:tc>
          <w:tcPr>
            <w:tcW w:w="609" w:type="dxa"/>
          </w:tcPr>
          <w:p>
            <w:pPr>
              <w:spacing w:line="240" w:lineRule="exact"/>
              <w:ind w:right="50"/>
              <w:rPr>
                <w:rFonts w:ascii="Arial" w:hAnsi="Arial" w:cs="Arial"/>
                <w:sz w:val="16"/>
              </w:rPr>
            </w:pPr>
            <w:r>
              <w:rPr>
                <w:rFonts w:ascii="Arial" w:hAnsi="Arial" w:cs="Arial"/>
                <w:sz w:val="16"/>
              </w:rPr>
              <w:t xml:space="preserve"> </w:t>
            </w:r>
          </w:p>
        </w:tc>
        <w:tc>
          <w:tcPr>
            <w:tcW w:w="609" w:type="dxa"/>
          </w:tcPr>
          <w:p>
            <w:pPr>
              <w:spacing w:line="240" w:lineRule="exact"/>
              <w:ind w:right="50"/>
              <w:rPr>
                <w:rFonts w:ascii="Arial" w:hAnsi="Arial" w:cs="Arial"/>
                <w:sz w:val="16"/>
              </w:rPr>
            </w:pPr>
          </w:p>
        </w:tc>
        <w:tc>
          <w:tcPr>
            <w:tcW w:w="609" w:type="dxa"/>
          </w:tcPr>
          <w:p>
            <w:pPr>
              <w:spacing w:line="240" w:lineRule="exact"/>
              <w:ind w:right="50"/>
              <w:rPr>
                <w:rFonts w:ascii="Arial" w:hAnsi="Arial" w:cs="Arial"/>
                <w:sz w:val="16"/>
              </w:rPr>
            </w:pPr>
          </w:p>
        </w:tc>
        <w:tc>
          <w:tcPr>
            <w:tcW w:w="609" w:type="dxa"/>
          </w:tcPr>
          <w:p>
            <w:pPr>
              <w:spacing w:line="240" w:lineRule="exact"/>
              <w:ind w:right="50"/>
              <w:rPr>
                <w:rFonts w:ascii="Arial" w:hAnsi="Arial" w:cs="Arial"/>
                <w:sz w:val="16"/>
              </w:rPr>
            </w:pPr>
          </w:p>
        </w:tc>
        <w:tc>
          <w:tcPr>
            <w:tcW w:w="609" w:type="dxa"/>
          </w:tcPr>
          <w:p>
            <w:pPr>
              <w:spacing w:line="240" w:lineRule="exact"/>
              <w:ind w:right="50"/>
              <w:rPr>
                <w:rFonts w:ascii="Arial" w:hAnsi="Arial" w:cs="Arial"/>
                <w:sz w:val="16"/>
              </w:rPr>
            </w:pPr>
          </w:p>
        </w:tc>
        <w:tc>
          <w:tcPr>
            <w:tcW w:w="609" w:type="dxa"/>
          </w:tcPr>
          <w:p>
            <w:pPr>
              <w:spacing w:line="240" w:lineRule="exact"/>
              <w:ind w:right="50"/>
              <w:rPr>
                <w:rFonts w:ascii="Arial" w:hAnsi="Arial" w:cs="Arial"/>
                <w:sz w:val="16"/>
              </w:rPr>
            </w:pPr>
          </w:p>
        </w:tc>
        <w:tc>
          <w:tcPr>
            <w:tcW w:w="609" w:type="dxa"/>
          </w:tcPr>
          <w:p>
            <w:pPr>
              <w:spacing w:line="240" w:lineRule="exact"/>
              <w:ind w:right="50"/>
              <w:rPr>
                <w:rFonts w:ascii="Arial" w:hAnsi="Arial" w:cs="Arial"/>
                <w:sz w:val="16"/>
              </w:rPr>
            </w:pPr>
          </w:p>
        </w:tc>
        <w:tc>
          <w:tcPr>
            <w:tcW w:w="609" w:type="dxa"/>
          </w:tcPr>
          <w:p>
            <w:pPr>
              <w:spacing w:line="240" w:lineRule="exact"/>
              <w:ind w:right="50"/>
              <w:rPr>
                <w:rFonts w:ascii="Arial" w:hAnsi="Arial" w:cs="Arial"/>
                <w:sz w:val="16"/>
              </w:rPr>
            </w:pPr>
          </w:p>
        </w:tc>
        <w:tc>
          <w:tcPr>
            <w:tcW w:w="609" w:type="dxa"/>
          </w:tcPr>
          <w:p>
            <w:pPr>
              <w:spacing w:line="240" w:lineRule="exact"/>
              <w:ind w:right="50"/>
              <w:rPr>
                <w:rFonts w:ascii="Arial" w:hAnsi="Arial" w:cs="Arial"/>
                <w:sz w:val="16"/>
              </w:rPr>
            </w:pPr>
          </w:p>
        </w:tc>
        <w:tc>
          <w:tcPr>
            <w:tcW w:w="610" w:type="dxa"/>
          </w:tcPr>
          <w:p>
            <w:pPr>
              <w:spacing w:line="240" w:lineRule="exact"/>
              <w:ind w:right="50"/>
              <w:rPr>
                <w:rFonts w:ascii="Arial" w:hAnsi="Arial" w:cs="Arial"/>
                <w:sz w:val="16"/>
              </w:rPr>
            </w:pPr>
          </w:p>
        </w:tc>
      </w:tr>
    </w:tbl>
    <w:p>
      <w:pPr>
        <w:tabs>
          <w:tab w:val="left" w:pos="2160"/>
        </w:tabs>
        <w:spacing w:before="240" w:after="60"/>
        <w:ind w:left="1134" w:right="51" w:hanging="567"/>
        <w:outlineLvl w:val="0"/>
        <w:rPr>
          <w:rFonts w:ascii="Arial" w:hAnsi="Arial" w:cs="Arial"/>
          <w:color w:val="000000"/>
        </w:rPr>
      </w:pPr>
      <w:bookmarkStart w:id="0" w:name="_Hlk153265795"/>
      <w:r>
        <w:rPr>
          <w:rFonts w:ascii="Arial" w:hAnsi="Arial" w:cs="Arial"/>
          <w:b/>
          <w:color w:val="000000"/>
          <w:spacing w:val="30"/>
        </w:rPr>
        <w:t>DESTINATAIRE DE L'OUVRAGE</w:t>
      </w:r>
      <w:r>
        <w:rPr>
          <w:rFonts w:ascii="Arial" w:hAnsi="Arial" w:cs="Arial"/>
          <w:color w:val="000000"/>
        </w:rPr>
        <w:t xml:space="preserve"> :</w:t>
      </w:r>
    </w:p>
    <w:p>
      <w:pPr>
        <w:ind w:left="284" w:right="50" w:firstLine="283"/>
        <w:rPr>
          <w:rFonts w:ascii="Arial" w:hAnsi="Arial" w:cs="Arial"/>
        </w:rPr>
      </w:pPr>
      <w:r>
        <w:rPr>
          <w:rFonts w:ascii="Arial" w:hAnsi="Arial" w:cs="Arial"/>
          <w:color w:val="000000"/>
          <w:sz w:val="22"/>
          <w:szCs w:val="22"/>
        </w:rPr>
        <w:t>PREFECTURE DE MEURTHE ET MOSELLE</w:t>
      </w:r>
    </w:p>
    <w:p>
      <w:pPr>
        <w:spacing w:before="120" w:after="60" w:line="240" w:lineRule="exact"/>
        <w:ind w:left="567" w:right="51"/>
        <w:rPr>
          <w:rFonts w:ascii="Arial" w:hAnsi="Arial" w:cs="Arial"/>
          <w:b/>
          <w:color w:val="000000"/>
          <w:spacing w:val="30"/>
        </w:rPr>
      </w:pPr>
      <w:r>
        <w:rPr>
          <w:rFonts w:ascii="Arial" w:hAnsi="Arial" w:cs="Arial"/>
          <w:b/>
          <w:color w:val="000000"/>
          <w:spacing w:val="30"/>
        </w:rPr>
        <w:t>MAITRE DE L'OUVRAGE :</w:t>
      </w:r>
    </w:p>
    <w:p>
      <w:pPr>
        <w:ind w:left="993" w:right="50" w:hanging="426"/>
        <w:rPr>
          <w:rFonts w:ascii="Arial" w:hAnsi="Arial" w:cs="Arial"/>
          <w:color w:val="000000"/>
          <w:sz w:val="24"/>
          <w:szCs w:val="24"/>
        </w:rPr>
      </w:pPr>
      <w:r>
        <w:rPr>
          <w:rFonts w:ascii="Arial" w:hAnsi="Arial" w:cs="Arial"/>
          <w:color w:val="000000"/>
          <w:spacing w:val="20"/>
        </w:rPr>
        <w:t>État</w:t>
      </w:r>
    </w:p>
    <w:tbl>
      <w:tblPr>
        <w:tblW w:w="0" w:type="auto"/>
        <w:tblInd w:w="567" w:type="dxa"/>
        <w:tblBorders>
          <w:top w:val="nil"/>
          <w:left w:val="nil"/>
          <w:bottom w:val="nil"/>
          <w:right w:val="nil"/>
        </w:tblBorders>
        <w:tblLayout w:type="fixed"/>
        <w:tblLook w:val="0000" w:firstRow="0" w:lastRow="0" w:firstColumn="0" w:lastColumn="0" w:noHBand="0" w:noVBand="0"/>
      </w:tblPr>
      <w:tblGrid>
        <w:gridCol w:w="4361"/>
      </w:tblGrid>
      <w:tr>
        <w:trPr>
          <w:trHeight w:val="99"/>
        </w:trPr>
        <w:tc>
          <w:tcPr>
            <w:tcW w:w="4361" w:type="dxa"/>
          </w:tcPr>
          <w:p>
            <w:pPr>
              <w:autoSpaceDE w:val="0"/>
              <w:autoSpaceDN w:val="0"/>
              <w:adjustRightInd w:val="0"/>
              <w:ind w:hanging="426"/>
              <w:rPr>
                <w:rFonts w:ascii="Arial" w:hAnsi="Arial" w:cs="Arial"/>
                <w:color w:val="000000"/>
              </w:rPr>
            </w:pPr>
            <w:r>
              <w:rPr>
                <w:rFonts w:ascii="Arial" w:hAnsi="Arial" w:cs="Arial"/>
                <w:color w:val="000000"/>
                <w:sz w:val="24"/>
                <w:szCs w:val="24"/>
              </w:rPr>
              <w:t xml:space="preserve">     </w:t>
            </w:r>
            <w:r>
              <w:rPr>
                <w:rFonts w:ascii="Arial" w:hAnsi="Arial" w:cs="Arial"/>
                <w:color w:val="000000"/>
              </w:rPr>
              <w:t xml:space="preserve">Ministères Economiques et Financiers </w:t>
            </w:r>
          </w:p>
        </w:tc>
      </w:tr>
    </w:tbl>
    <w:p>
      <w:pPr>
        <w:spacing w:before="120" w:after="60" w:line="240" w:lineRule="exact"/>
        <w:ind w:left="567" w:right="51"/>
        <w:rPr>
          <w:rFonts w:ascii="Arial" w:hAnsi="Arial" w:cs="Arial"/>
          <w:b/>
          <w:caps/>
          <w:color w:val="000000"/>
          <w:spacing w:val="30"/>
        </w:rPr>
      </w:pPr>
      <w:r>
        <w:rPr>
          <w:rFonts w:ascii="Arial" w:hAnsi="Arial" w:cs="Arial"/>
          <w:b/>
          <w:caps/>
          <w:color w:val="000000"/>
          <w:spacing w:val="30"/>
        </w:rPr>
        <w:t>Service chargé de l’opération :</w:t>
      </w:r>
    </w:p>
    <w:p>
      <w:pPr>
        <w:tabs>
          <w:tab w:val="left" w:pos="2160"/>
        </w:tabs>
        <w:spacing w:line="240" w:lineRule="exact"/>
        <w:ind w:left="1418" w:right="51"/>
        <w:outlineLvl w:val="0"/>
        <w:rPr>
          <w:rFonts w:ascii="Arial" w:hAnsi="Arial" w:cs="Arial"/>
          <w:color w:val="000000"/>
        </w:rPr>
      </w:pPr>
      <w:r>
        <w:rPr>
          <w:rFonts w:ascii="Arial" w:hAnsi="Arial" w:cs="Arial"/>
          <w:color w:val="000000"/>
        </w:rPr>
        <w:t>ETAT</w:t>
      </w:r>
    </w:p>
    <w:p>
      <w:pPr>
        <w:tabs>
          <w:tab w:val="left" w:pos="2160"/>
        </w:tabs>
        <w:spacing w:line="240" w:lineRule="exact"/>
        <w:ind w:left="1418" w:right="51"/>
        <w:outlineLvl w:val="0"/>
        <w:rPr>
          <w:rFonts w:ascii="Arial" w:hAnsi="Arial" w:cs="Arial"/>
          <w:color w:val="000000"/>
        </w:rPr>
      </w:pPr>
      <w:r>
        <w:rPr>
          <w:rFonts w:ascii="Arial" w:hAnsi="Arial" w:cs="Arial"/>
          <w:color w:val="000000"/>
        </w:rPr>
        <w:t>Ministère de l’Economie, des Finances et de la Souveraineté Numérique et Industrielle</w:t>
      </w:r>
    </w:p>
    <w:p>
      <w:pPr>
        <w:tabs>
          <w:tab w:val="left" w:pos="2160"/>
        </w:tabs>
        <w:spacing w:line="240" w:lineRule="exact"/>
        <w:ind w:left="1418" w:right="51"/>
        <w:outlineLvl w:val="0"/>
        <w:rPr>
          <w:rFonts w:ascii="Arial" w:hAnsi="Arial" w:cs="Arial"/>
          <w:color w:val="000000"/>
        </w:rPr>
      </w:pPr>
      <w:r>
        <w:rPr>
          <w:rFonts w:ascii="Arial" w:hAnsi="Arial" w:cs="Arial"/>
          <w:color w:val="000000"/>
        </w:rPr>
        <w:t>Secrétariat Général</w:t>
      </w:r>
    </w:p>
    <w:p>
      <w:pPr>
        <w:tabs>
          <w:tab w:val="left" w:pos="2160"/>
        </w:tabs>
        <w:spacing w:line="240" w:lineRule="exact"/>
        <w:ind w:left="1418" w:right="51"/>
        <w:outlineLvl w:val="0"/>
        <w:rPr>
          <w:rFonts w:ascii="Arial" w:hAnsi="Arial" w:cs="Arial"/>
          <w:color w:val="000000"/>
        </w:rPr>
      </w:pPr>
      <w:r>
        <w:rPr>
          <w:rFonts w:ascii="Arial" w:hAnsi="Arial" w:cs="Arial"/>
          <w:color w:val="000000"/>
        </w:rPr>
        <w:t>Service de l’immobilier et de l’environnement professionnel</w:t>
      </w:r>
    </w:p>
    <w:p>
      <w:pPr>
        <w:tabs>
          <w:tab w:val="left" w:pos="2160"/>
        </w:tabs>
        <w:spacing w:line="240" w:lineRule="exact"/>
        <w:ind w:left="1418" w:right="51"/>
        <w:outlineLvl w:val="0"/>
        <w:rPr>
          <w:rFonts w:ascii="Arial" w:hAnsi="Arial" w:cs="Arial"/>
          <w:color w:val="000000"/>
        </w:rPr>
      </w:pPr>
      <w:r>
        <w:rPr>
          <w:rFonts w:ascii="Arial" w:hAnsi="Arial" w:cs="Arial"/>
          <w:color w:val="000000"/>
        </w:rPr>
        <w:t xml:space="preserve">Sous-direction de l'immobilier </w:t>
      </w:r>
    </w:p>
    <w:p>
      <w:pPr>
        <w:tabs>
          <w:tab w:val="left" w:pos="2160"/>
        </w:tabs>
        <w:spacing w:line="240" w:lineRule="exact"/>
        <w:ind w:left="1418" w:right="51"/>
        <w:outlineLvl w:val="0"/>
        <w:rPr>
          <w:rFonts w:ascii="Arial" w:hAnsi="Arial" w:cs="Arial"/>
          <w:color w:val="000000"/>
        </w:rPr>
      </w:pPr>
      <w:r>
        <w:rPr>
          <w:rFonts w:ascii="Arial" w:hAnsi="Arial" w:cs="Arial"/>
          <w:color w:val="000000"/>
        </w:rPr>
        <w:t>Bureau Immobilier et maîtrise d’ouvrage</w:t>
      </w:r>
    </w:p>
    <w:p>
      <w:pPr>
        <w:tabs>
          <w:tab w:val="left" w:pos="2160"/>
        </w:tabs>
        <w:spacing w:line="240" w:lineRule="exact"/>
        <w:ind w:left="1418" w:right="51"/>
        <w:outlineLvl w:val="0"/>
        <w:rPr>
          <w:rFonts w:ascii="Arial" w:hAnsi="Arial" w:cs="Arial"/>
          <w:color w:val="000000"/>
        </w:rPr>
      </w:pPr>
      <w:r>
        <w:rPr>
          <w:rFonts w:ascii="Arial" w:hAnsi="Arial" w:cs="Arial"/>
          <w:color w:val="000000"/>
        </w:rPr>
        <w:t>Antenne Nord-Est</w:t>
      </w:r>
    </w:p>
    <w:p>
      <w:pPr>
        <w:tabs>
          <w:tab w:val="left" w:pos="2160"/>
        </w:tabs>
        <w:spacing w:after="60" w:line="240" w:lineRule="exact"/>
        <w:ind w:left="1416" w:right="50"/>
        <w:outlineLvl w:val="0"/>
        <w:rPr>
          <w:rFonts w:ascii="Arial" w:hAnsi="Arial" w:cs="Arial"/>
          <w:color w:val="000000"/>
        </w:rPr>
      </w:pPr>
    </w:p>
    <w:p>
      <w:pPr>
        <w:tabs>
          <w:tab w:val="left" w:pos="2160"/>
        </w:tabs>
        <w:spacing w:after="100" w:afterAutospacing="1" w:line="240" w:lineRule="exact"/>
        <w:ind w:left="567" w:right="51"/>
        <w:outlineLvl w:val="0"/>
        <w:rPr>
          <w:rFonts w:ascii="Arial" w:hAnsi="Arial" w:cs="Arial"/>
          <w:color w:val="000000"/>
        </w:rPr>
      </w:pPr>
      <w:r>
        <w:rPr>
          <w:rFonts w:ascii="Arial" w:hAnsi="Arial" w:cs="Arial"/>
          <w:b/>
          <w:caps/>
          <w:color w:val="000000"/>
          <w:spacing w:val="30"/>
        </w:rPr>
        <w:t>Intitulé DU MARCHE</w:t>
      </w:r>
      <w:r>
        <w:rPr>
          <w:rFonts w:ascii="Arial" w:hAnsi="Arial" w:cs="Arial"/>
          <w:b/>
          <w:color w:val="000000"/>
        </w:rPr>
        <w:t xml:space="preserve"> :</w:t>
      </w:r>
      <w:r>
        <w:rPr>
          <w:rFonts w:ascii="Arial" w:hAnsi="Arial" w:cs="Arial"/>
          <w:color w:val="000000"/>
        </w:rPr>
        <w:t xml:space="preserve"> </w:t>
      </w:r>
      <w:bookmarkStart w:id="1" w:name="_Hlk218003790"/>
      <w:r>
        <w:rPr>
          <w:rFonts w:ascii="Arial" w:hAnsi="Arial" w:cs="Arial"/>
          <w:color w:val="000000"/>
        </w:rPr>
        <w:t xml:space="preserve">Mission d’ordonnancement, de pilotage et de coordination (OPC) pour les études et les travaux relatifs </w:t>
      </w:r>
      <w:bookmarkStart w:id="2" w:name="_Hlk159860267"/>
      <w:r>
        <w:rPr>
          <w:rFonts w:ascii="Arial" w:hAnsi="Arial" w:cs="Arial"/>
          <w:color w:val="000000"/>
        </w:rPr>
        <w:t xml:space="preserve">aux travaux </w:t>
      </w:r>
      <w:bookmarkEnd w:id="2"/>
      <w:r>
        <w:rPr>
          <w:rFonts w:ascii="Arial" w:hAnsi="Arial" w:cs="Arial"/>
          <w:color w:val="000000"/>
        </w:rPr>
        <w:t>en vue de la création d’une Maison de l’Etat à Toul (54200).</w:t>
      </w:r>
    </w:p>
    <w:bookmarkEnd w:id="1"/>
    <w:bookmarkEnd w:id="0"/>
    <w:p>
      <w:pPr>
        <w:pStyle w:val="Lgende"/>
        <w:spacing w:before="0" w:after="0" w:line="240" w:lineRule="auto"/>
        <w:ind w:left="0" w:right="51"/>
        <w:rPr>
          <w:rFonts w:cs="Arial"/>
          <w:caps/>
        </w:rPr>
      </w:pPr>
      <w:r>
        <w:rPr>
          <w:rFonts w:cs="Arial"/>
          <w:caps/>
        </w:rPr>
        <w:t xml:space="preserve">PASSATION DU MARCHE </w:t>
      </w:r>
    </w:p>
    <w:p>
      <w:pPr>
        <w:pStyle w:val="Lgende"/>
        <w:spacing w:before="0" w:after="0" w:line="240" w:lineRule="auto"/>
        <w:ind w:left="0" w:right="51"/>
        <w:rPr>
          <w:rFonts w:cs="Arial"/>
          <w:b w:val="0"/>
        </w:rPr>
      </w:pPr>
      <w:r>
        <w:rPr>
          <w:rFonts w:cs="Arial"/>
          <w:b w:val="0"/>
        </w:rPr>
        <w:t xml:space="preserve">Procédure adaptée selon les dispositions de l’article L. 2123-1 du code de la commande publique. </w:t>
      </w:r>
    </w:p>
    <w:p>
      <w:pPr>
        <w:rPr>
          <w:rFonts w:ascii="Arial" w:hAnsi="Arial" w:cs="Arial"/>
        </w:rPr>
      </w:pPr>
    </w:p>
    <w:p>
      <w:pPr>
        <w:spacing w:before="240" w:after="240" w:line="240" w:lineRule="exact"/>
        <w:ind w:right="51"/>
        <w:jc w:val="both"/>
        <w:rPr>
          <w:rFonts w:ascii="Arial" w:hAnsi="Arial" w:cs="Arial"/>
          <w:color w:val="000000"/>
        </w:rPr>
      </w:pPr>
      <w:r>
        <w:rPr>
          <w:rFonts w:ascii="Arial" w:hAnsi="Arial" w:cs="Arial"/>
          <w:color w:val="000000"/>
        </w:rPr>
        <w:t xml:space="preserve">Les prix du présent marché sont réputés établis sur la base des conditions économiques du mois </w:t>
      </w:r>
      <w:r>
        <w:rPr>
          <w:rFonts w:ascii="Arial" w:hAnsi="Arial" w:cs="Arial"/>
          <w:color w:val="000000"/>
        </w:rPr>
        <w:br/>
        <w:t>d’avril 2026</w:t>
      </w:r>
      <w:r>
        <w:rPr>
          <w:rStyle w:val="Appelnotedebasdep"/>
          <w:rFonts w:ascii="Arial" w:hAnsi="Arial" w:cs="Arial"/>
          <w:color w:val="000000"/>
        </w:rPr>
        <w:footnoteReference w:id="2"/>
      </w:r>
      <w:r>
        <w:rPr>
          <w:rFonts w:ascii="Arial" w:hAnsi="Arial" w:cs="Arial"/>
          <w:color w:val="000000"/>
        </w:rPr>
        <w:t>. Ce mois est appelé « mois Mo ».</w:t>
      </w:r>
    </w:p>
    <w:p>
      <w:r>
        <w:br w:type="page"/>
      </w:r>
    </w:p>
    <w:tbl>
      <w:tblPr>
        <w:tblW w:w="10277" w:type="dxa"/>
        <w:tblInd w:w="5" w:type="dxa"/>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40"/>
              </w:tabs>
              <w:jc w:val="both"/>
              <w:rPr>
                <w:rFonts w:ascii="Arial" w:hAnsi="Arial" w:cs="Arial"/>
                <w:sz w:val="22"/>
              </w:rPr>
            </w:pPr>
            <w:r>
              <w:rPr>
                <w:rFonts w:ascii="Arial" w:hAnsi="Arial" w:cs="Arial"/>
                <w:b/>
                <w:color w:val="C00000"/>
                <w:sz w:val="24"/>
                <w:szCs w:val="22"/>
              </w:rPr>
              <w:lastRenderedPageBreak/>
              <w:t xml:space="preserve">I - Objet </w:t>
            </w:r>
            <w:r>
              <w:rPr>
                <w:rFonts w:ascii="Arial" w:hAnsi="Arial" w:cs="Arial"/>
                <w:b/>
                <w:bCs/>
                <w:color w:val="C00000"/>
                <w:sz w:val="24"/>
                <w:szCs w:val="22"/>
              </w:rPr>
              <w:t>de l’acte d’engagement</w:t>
            </w:r>
            <w:r>
              <w:rPr>
                <w:rFonts w:ascii="Arial" w:hAnsi="Arial" w:cs="Arial"/>
                <w:b/>
                <w:bCs/>
                <w:color w:val="C00000"/>
                <w:sz w:val="24"/>
                <w:szCs w:val="22"/>
              </w:rPr>
              <w:tab/>
            </w:r>
          </w:p>
        </w:tc>
      </w:tr>
    </w:tbl>
    <w:p>
      <w:pPr>
        <w:tabs>
          <w:tab w:val="left" w:pos="426"/>
          <w:tab w:val="left" w:pos="851"/>
        </w:tabs>
        <w:spacing w:before="240"/>
        <w:jc w:val="both"/>
        <w:rPr>
          <w:rFonts w:ascii="Arial" w:hAnsi="Arial" w:cs="Arial"/>
          <w:b/>
          <w:bCs/>
          <w:sz w:val="22"/>
        </w:rPr>
      </w:pPr>
      <w:r>
        <w:rPr>
          <w:rFonts w:ascii="Arial" w:eastAsia="Wingdings" w:hAnsi="Arial" w:cs="Arial"/>
          <w:b/>
          <w:color w:val="66CCFF"/>
          <w:spacing w:val="-10"/>
          <w:sz w:val="22"/>
        </w:rPr>
        <w:t></w:t>
      </w:r>
      <w:r>
        <w:rPr>
          <w:rFonts w:ascii="Arial" w:eastAsia="Arial" w:hAnsi="Arial" w:cs="Arial"/>
          <w:spacing w:val="-10"/>
          <w:sz w:val="22"/>
        </w:rPr>
        <w:t xml:space="preserve"> </w:t>
      </w:r>
      <w:r>
        <w:rPr>
          <w:rFonts w:ascii="Arial" w:hAnsi="Arial" w:cs="Arial"/>
          <w:b/>
          <w:sz w:val="22"/>
        </w:rPr>
        <w:t xml:space="preserve">Objet </w:t>
      </w:r>
      <w:r>
        <w:rPr>
          <w:rFonts w:ascii="Arial" w:hAnsi="Arial" w:cs="Arial"/>
          <w:b/>
          <w:bCs/>
          <w:sz w:val="22"/>
        </w:rPr>
        <w:t>du marché public</w:t>
      </w:r>
    </w:p>
    <w:p>
      <w:pPr>
        <w:tabs>
          <w:tab w:val="left" w:pos="426"/>
          <w:tab w:val="left" w:pos="851"/>
        </w:tabs>
        <w:spacing w:before="240"/>
        <w:jc w:val="both"/>
        <w:rPr>
          <w:rFonts w:ascii="Arial" w:hAnsi="Arial" w:cs="Arial"/>
          <w:i/>
          <w:szCs w:val="18"/>
        </w:rPr>
      </w:pPr>
    </w:p>
    <w:p>
      <w:pPr>
        <w:tabs>
          <w:tab w:val="left" w:pos="426"/>
          <w:tab w:val="left" w:pos="851"/>
        </w:tabs>
        <w:jc w:val="both"/>
        <w:rPr>
          <w:rFonts w:ascii="Arial" w:hAnsi="Arial" w:cs="Arial"/>
          <w:color w:val="000000"/>
        </w:rPr>
      </w:pPr>
      <w:r>
        <w:rPr>
          <w:rFonts w:ascii="Arial" w:hAnsi="Arial" w:cs="Arial"/>
          <w:color w:val="000000"/>
        </w:rPr>
        <w:t>Mission d’ordonnancement, de pilotage et de coordination (OPC) pour les études et les travaux relatifs aux travaux en vue de la création d’une Maison de l’Etat à Toul (54200).</w:t>
      </w:r>
    </w:p>
    <w:p>
      <w:pPr>
        <w:tabs>
          <w:tab w:val="left" w:pos="426"/>
          <w:tab w:val="left" w:pos="851"/>
        </w:tabs>
        <w:jc w:val="both"/>
        <w:rPr>
          <w:rFonts w:ascii="Arial" w:hAnsi="Arial" w:cs="Arial"/>
          <w:color w:val="000000"/>
        </w:rPr>
      </w:pPr>
    </w:p>
    <w:p>
      <w:pPr>
        <w:tabs>
          <w:tab w:val="left" w:pos="426"/>
          <w:tab w:val="left" w:pos="851"/>
        </w:tabs>
        <w:jc w:val="both"/>
        <w:rPr>
          <w:rFonts w:ascii="Arial" w:hAnsi="Arial" w:cs="Arial"/>
          <w:b/>
          <w:color w:val="000000"/>
        </w:rPr>
      </w:pPr>
    </w:p>
    <w:p>
      <w:pPr>
        <w:tabs>
          <w:tab w:val="left" w:pos="426"/>
          <w:tab w:val="left" w:pos="851"/>
        </w:tabs>
        <w:jc w:val="both"/>
        <w:rPr>
          <w:rFonts w:ascii="Arial" w:hAnsi="Arial" w:cs="Arial"/>
          <w:sz w:val="22"/>
        </w:rPr>
      </w:pPr>
      <w:r>
        <w:rPr>
          <w:rFonts w:ascii="Arial" w:eastAsia="Wingdings" w:hAnsi="Arial" w:cs="Arial"/>
          <w:b/>
          <w:color w:val="66CCFF"/>
          <w:spacing w:val="-10"/>
          <w:sz w:val="22"/>
        </w:rPr>
        <w:t></w:t>
      </w:r>
      <w:r>
        <w:rPr>
          <w:rFonts w:ascii="Arial" w:eastAsia="Arial" w:hAnsi="Arial" w:cs="Arial"/>
          <w:spacing w:val="-10"/>
          <w:sz w:val="22"/>
        </w:rPr>
        <w:t xml:space="preserve"> </w:t>
      </w:r>
      <w:r>
        <w:rPr>
          <w:rFonts w:ascii="Arial" w:hAnsi="Arial" w:cs="Arial"/>
          <w:b/>
          <w:sz w:val="22"/>
        </w:rPr>
        <w:t xml:space="preserve">Cet acte d'engagement correspond </w:t>
      </w:r>
      <w:r>
        <w:rPr>
          <w:rFonts w:ascii="Arial" w:hAnsi="Arial" w:cs="Arial"/>
          <w:sz w:val="22"/>
        </w:rPr>
        <w:t>à l’ensemble du marché public</w:t>
      </w:r>
      <w:r>
        <w:rPr>
          <w:rFonts w:ascii="Arial" w:hAnsi="Arial" w:cs="Arial"/>
          <w:iCs/>
          <w:sz w:val="22"/>
        </w:rPr>
        <w:t>.</w:t>
      </w:r>
    </w:p>
    <w:p>
      <w:pPr>
        <w:spacing w:after="200" w:line="276" w:lineRule="auto"/>
        <w:contextualSpacing/>
        <w:rPr>
          <w:rFonts w:ascii="Arial" w:eastAsia="Calibri" w:hAnsi="Arial" w:cs="Arial"/>
          <w:bCs/>
          <w:sz w:val="22"/>
          <w:szCs w:val="22"/>
          <w:lang w:eastAsia="en-US"/>
        </w:rPr>
      </w:pPr>
    </w:p>
    <w:tbl>
      <w:tblPr>
        <w:tblW w:w="0" w:type="auto"/>
        <w:tblLayout w:type="fixed"/>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11"/>
              </w:tabs>
              <w:spacing w:before="240" w:after="240"/>
              <w:jc w:val="both"/>
              <w:rPr>
                <w:rFonts w:ascii="Arial" w:hAnsi="Arial" w:cs="Arial"/>
                <w:color w:val="C00000"/>
                <w:sz w:val="24"/>
              </w:rPr>
            </w:pPr>
            <w:r>
              <w:rPr>
                <w:rFonts w:ascii="Arial" w:hAnsi="Arial" w:cs="Arial"/>
                <w:b/>
                <w:color w:val="C00000"/>
                <w:sz w:val="24"/>
                <w:szCs w:val="22"/>
              </w:rPr>
              <w:t>II - Engagement du titulaire ou du groupement titulaire</w:t>
            </w:r>
          </w:p>
        </w:tc>
      </w:tr>
    </w:tbl>
    <w:p>
      <w:pPr>
        <w:pStyle w:val="Titre2"/>
        <w:tabs>
          <w:tab w:val="left" w:pos="851"/>
          <w:tab w:val="left" w:pos="2268"/>
        </w:tabs>
        <w:spacing w:line="276" w:lineRule="auto"/>
        <w:rPr>
          <w:rFonts w:ascii="Arial" w:hAnsi="Arial" w:cs="Arial"/>
          <w:b/>
          <w:i/>
          <w:iCs/>
          <w:color w:val="0070C0"/>
          <w:sz w:val="18"/>
          <w:szCs w:val="18"/>
        </w:rPr>
      </w:pPr>
      <w:r>
        <w:rPr>
          <w:rFonts w:ascii="Arial" w:hAnsi="Arial" w:cs="Arial"/>
          <w:b/>
          <w:color w:val="0070C0"/>
          <w:sz w:val="22"/>
          <w:szCs w:val="22"/>
        </w:rPr>
        <w:t>II.1 - Identification et engagement du titulaire ou du groupement titulaire</w:t>
      </w:r>
    </w:p>
    <w:p>
      <w:pPr>
        <w:pStyle w:val="fcase1ertab"/>
        <w:tabs>
          <w:tab w:val="left" w:pos="851"/>
        </w:tabs>
        <w:spacing w:line="276" w:lineRule="auto"/>
        <w:rPr>
          <w:rFonts w:ascii="Arial" w:hAnsi="Arial" w:cs="Arial"/>
        </w:rPr>
      </w:pPr>
      <w:r>
        <w:rPr>
          <w:rFonts w:ascii="Arial" w:hAnsi="Arial" w:cs="Arial"/>
          <w:i/>
          <w:iCs/>
          <w:sz w:val="18"/>
          <w:szCs w:val="18"/>
        </w:rPr>
        <w:t>(Cocher les cases correspondantes.)</w:t>
      </w:r>
    </w:p>
    <w:p>
      <w:pPr>
        <w:tabs>
          <w:tab w:val="left" w:pos="851"/>
        </w:tabs>
        <w:spacing w:after="240"/>
        <w:jc w:val="both"/>
        <w:rPr>
          <w:rFonts w:ascii="Arial" w:hAnsi="Arial" w:cs="Arial"/>
        </w:rPr>
      </w:pPr>
      <w:r>
        <w:rPr>
          <w:rFonts w:ascii="Arial" w:hAnsi="Arial" w:cs="Arial"/>
          <w:b/>
          <w:sz w:val="22"/>
          <w:szCs w:val="22"/>
          <w:u w:val="single"/>
        </w:rPr>
        <w:t xml:space="preserve">Après avoir pris connaissance des pièces constitutives du marché public telles que listés </w:t>
      </w:r>
      <w:r>
        <w:rPr>
          <w:rFonts w:ascii="Arial" w:hAnsi="Arial" w:cs="Arial"/>
        </w:rPr>
        <w:t xml:space="preserve">à </w:t>
      </w:r>
      <w:proofErr w:type="gramStart"/>
      <w:r>
        <w:rPr>
          <w:rFonts w:ascii="Arial" w:hAnsi="Arial" w:cs="Arial"/>
        </w:rPr>
        <w:t>l’article  2</w:t>
      </w:r>
      <w:proofErr w:type="gramEnd"/>
      <w:r>
        <w:rPr>
          <w:rFonts w:ascii="Arial" w:hAnsi="Arial" w:cs="Arial"/>
        </w:rPr>
        <w:t xml:space="preserve"> du CCAP joint au présent document et ayant le même objet </w:t>
      </w:r>
    </w:p>
    <w:p>
      <w:pPr>
        <w:tabs>
          <w:tab w:val="left" w:pos="851"/>
        </w:tabs>
        <w:spacing w:before="120"/>
        <w:ind w:left="1135" w:hanging="284"/>
        <w:jc w:val="both"/>
        <w:rPr>
          <w:rFonts w:ascii="Arial" w:hAnsi="Arial" w:cs="Arial"/>
        </w:rPr>
      </w:pPr>
    </w:p>
    <w:p>
      <w:pPr>
        <w:tabs>
          <w:tab w:val="left" w:pos="851"/>
        </w:tabs>
        <w:spacing w:after="240"/>
        <w:ind w:left="218"/>
        <w:jc w:val="both"/>
        <w:rPr>
          <w:rFonts w:ascii="Arial" w:hAnsi="Arial" w:cs="Arial"/>
        </w:rPr>
      </w:pPr>
      <w:proofErr w:type="gramStart"/>
      <w:r>
        <w:rPr>
          <w:rFonts w:ascii="Arial" w:hAnsi="Arial" w:cs="Arial"/>
          <w:b/>
          <w:sz w:val="22"/>
          <w:szCs w:val="22"/>
          <w:u w:val="single"/>
        </w:rPr>
        <w:t>et</w:t>
      </w:r>
      <w:proofErr w:type="gramEnd"/>
      <w:r>
        <w:rPr>
          <w:rFonts w:ascii="Arial" w:hAnsi="Arial" w:cs="Arial"/>
          <w:b/>
          <w:sz w:val="22"/>
          <w:szCs w:val="22"/>
          <w:u w:val="single"/>
        </w:rPr>
        <w:t xml:space="preserve"> conformément à ses clauses, </w:t>
      </w:r>
    </w:p>
    <w:p>
      <w:pPr>
        <w:tabs>
          <w:tab w:val="left" w:pos="851"/>
        </w:tabs>
        <w:jc w:val="both"/>
        <w:rPr>
          <w:rFonts w:ascii="Arial" w:hAnsi="Arial" w:cs="Arial"/>
          <w:sz w:val="22"/>
          <w:szCs w:val="22"/>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w:t>
      </w:r>
      <w:r>
        <w:rPr>
          <w:rFonts w:ascii="Arial" w:hAnsi="Arial" w:cs="Arial"/>
          <w:b/>
          <w:sz w:val="22"/>
          <w:szCs w:val="22"/>
          <w:u w:val="single"/>
        </w:rPr>
        <w:t xml:space="preserve">Le signataire </w:t>
      </w:r>
    </w:p>
    <w:p>
      <w:pPr>
        <w:tabs>
          <w:tab w:val="left" w:pos="851"/>
        </w:tabs>
        <w:spacing w:before="240" w:after="240"/>
        <w:ind w:left="708"/>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w:t>
      </w:r>
      <w:proofErr w:type="gramStart"/>
      <w:r>
        <w:rPr>
          <w:rFonts w:ascii="Arial" w:hAnsi="Arial" w:cs="Arial"/>
          <w:b/>
          <w:u w:val="single"/>
        </w:rPr>
        <w:t>s’engage</w:t>
      </w:r>
      <w:proofErr w:type="gramEnd"/>
      <w:r>
        <w:rPr>
          <w:rFonts w:ascii="Arial" w:hAnsi="Arial" w:cs="Arial"/>
          <w:b/>
        </w:rPr>
        <w:t>,</w:t>
      </w:r>
      <w:r>
        <w:rPr>
          <w:rFonts w:ascii="Arial" w:hAnsi="Arial" w:cs="Arial"/>
        </w:rPr>
        <w:t xml:space="preserve"> sur la base de son offre et pour son propre compte [cas d’une personne physique]</w:t>
      </w:r>
    </w:p>
    <w:p>
      <w:pPr>
        <w:keepNext/>
        <w:ind w:firstLine="425"/>
        <w:rPr>
          <w:rFonts w:ascii="Arial" w:hAnsi="Arial" w:cs="Arial"/>
          <w:i/>
        </w:rPr>
      </w:pPr>
      <w:r>
        <w:rPr>
          <w:rFonts w:ascii="Arial" w:hAnsi="Arial" w:cs="Arial"/>
          <w:i/>
          <w:highlight w:val="yellow"/>
        </w:rPr>
        <w:t>Indiquer le nom et le prénom du candidat</w:t>
      </w:r>
      <w:r>
        <w:rPr>
          <w:rFonts w:ascii="Arial" w:hAnsi="Arial" w:cs="Arial"/>
          <w:i/>
          <w:color w:val="000000"/>
          <w:highlight w:val="yellow"/>
        </w:rPr>
        <w:t xml:space="preserve"> en nom personnel …………………………</w:t>
      </w:r>
      <w:proofErr w:type="gramStart"/>
      <w:r>
        <w:rPr>
          <w:rFonts w:ascii="Arial" w:hAnsi="Arial" w:cs="Arial"/>
          <w:i/>
          <w:color w:val="000000"/>
          <w:highlight w:val="yellow"/>
        </w:rPr>
        <w:t>…….</w:t>
      </w:r>
      <w:proofErr w:type="gramEnd"/>
      <w:r>
        <w:rPr>
          <w:rFonts w:ascii="Arial" w:hAnsi="Arial" w:cs="Arial"/>
          <w:i/>
          <w:color w:val="000000"/>
          <w:highlight w:val="yellow"/>
        </w:rPr>
        <w:t>…</w:t>
      </w:r>
    </w:p>
    <w:p>
      <w:pPr>
        <w:keepNext/>
        <w:ind w:firstLine="708"/>
        <w:jc w:val="both"/>
        <w:rPr>
          <w:rFonts w:ascii="Arial" w:hAnsi="Arial" w:cs="Arial"/>
          <w:i/>
        </w:rPr>
      </w:pPr>
      <w:proofErr w:type="gramStart"/>
      <w:r>
        <w:rPr>
          <w:rFonts w:ascii="Arial" w:hAnsi="Arial" w:cs="Arial"/>
          <w:highlight w:val="lightGray"/>
        </w:rPr>
        <w:t>domicilié</w:t>
      </w:r>
      <w:proofErr w:type="gramEnd"/>
      <w:r>
        <w:rPr>
          <w:rFonts w:ascii="Arial" w:hAnsi="Arial" w:cs="Arial"/>
          <w:highlight w:val="lightGray"/>
        </w:rPr>
        <w:t xml:space="preserve"> à</w:t>
      </w:r>
      <w:r>
        <w:rPr>
          <w:rFonts w:ascii="Arial" w:hAnsi="Arial" w:cs="Arial"/>
        </w:rPr>
        <w:tab/>
      </w:r>
      <w:r>
        <w:rPr>
          <w:rFonts w:ascii="Arial" w:hAnsi="Arial" w:cs="Arial"/>
          <w:i/>
          <w:highlight w:val="yellow"/>
        </w:rPr>
        <w:t>adresse…………………………………………………………..….</w:t>
      </w:r>
      <w:r>
        <w:rPr>
          <w:rFonts w:ascii="Arial" w:hAnsi="Arial" w:cs="Arial"/>
          <w:color w:val="000000"/>
          <w:highlight w:val="yellow"/>
        </w:rPr>
        <w:t>…….…</w:t>
      </w:r>
    </w:p>
    <w:p>
      <w:pPr>
        <w:keepNext/>
        <w:ind w:left="2124"/>
        <w:jc w:val="both"/>
        <w:rPr>
          <w:rFonts w:ascii="Arial" w:hAnsi="Arial" w:cs="Arial"/>
          <w:i/>
        </w:rPr>
      </w:pPr>
      <w:proofErr w:type="gramStart"/>
      <w:r>
        <w:rPr>
          <w:rFonts w:ascii="Arial" w:hAnsi="Arial" w:cs="Arial"/>
          <w:i/>
          <w:highlight w:val="yellow"/>
        </w:rPr>
        <w:t>son</w:t>
      </w:r>
      <w:proofErr w:type="gramEnd"/>
      <w:r>
        <w:rPr>
          <w:rFonts w:ascii="Arial" w:hAnsi="Arial" w:cs="Arial"/>
          <w:i/>
          <w:highlight w:val="yellow"/>
        </w:rPr>
        <w:t xml:space="preserve"> adresse électronique, ses n° de téléphone et télécopie………….…</w:t>
      </w:r>
    </w:p>
    <w:p>
      <w:pPr>
        <w:keepNext/>
        <w:ind w:left="1416" w:firstLine="708"/>
        <w:jc w:val="both"/>
        <w:rPr>
          <w:rFonts w:ascii="Arial" w:hAnsi="Arial" w:cs="Arial"/>
          <w:i/>
          <w:highlight w:val="yellow"/>
        </w:rPr>
      </w:pPr>
      <w:proofErr w:type="gramStart"/>
      <w:r>
        <w:rPr>
          <w:rFonts w:ascii="Arial" w:hAnsi="Arial" w:cs="Arial"/>
          <w:i/>
          <w:highlight w:val="yellow"/>
        </w:rPr>
        <w:t>son</w:t>
      </w:r>
      <w:proofErr w:type="gramEnd"/>
      <w:r>
        <w:rPr>
          <w:rFonts w:ascii="Arial" w:hAnsi="Arial" w:cs="Arial"/>
          <w:i/>
          <w:highlight w:val="yellow"/>
        </w:rPr>
        <w:t xml:space="preserve"> numéro d’identité d’établissement SIRET……..….……..……..........</w:t>
      </w:r>
    </w:p>
    <w:p>
      <w:pPr>
        <w:keepNext/>
        <w:ind w:left="2124"/>
        <w:jc w:val="both"/>
        <w:rPr>
          <w:rFonts w:ascii="Arial" w:hAnsi="Arial" w:cs="Arial"/>
          <w:i/>
          <w:highlight w:val="yellow"/>
        </w:rPr>
      </w:pPr>
      <w:proofErr w:type="gramStart"/>
      <w:r>
        <w:rPr>
          <w:rFonts w:ascii="Arial" w:hAnsi="Arial" w:cs="Arial"/>
          <w:i/>
          <w:highlight w:val="yellow"/>
        </w:rPr>
        <w:t>son</w:t>
      </w:r>
      <w:proofErr w:type="gramEnd"/>
      <w:r>
        <w:rPr>
          <w:rFonts w:ascii="Arial" w:hAnsi="Arial" w:cs="Arial"/>
          <w:i/>
          <w:highlight w:val="yellow"/>
        </w:rPr>
        <w:t xml:space="preserve"> numéro d’identité d’établissement SIRET du siège social </w:t>
      </w:r>
      <w:r>
        <w:rPr>
          <w:rFonts w:ascii="Arial" w:hAnsi="Arial" w:cs="Arial"/>
          <w:b/>
          <w:i/>
          <w:highlight w:val="yellow"/>
        </w:rPr>
        <w:t>(le cas échéant)...</w:t>
      </w:r>
    </w:p>
    <w:p>
      <w:pPr>
        <w:keepNext/>
        <w:ind w:left="1416" w:firstLine="708"/>
        <w:jc w:val="both"/>
        <w:rPr>
          <w:rFonts w:ascii="Arial" w:hAnsi="Arial" w:cs="Arial"/>
        </w:rPr>
      </w:pPr>
      <w:proofErr w:type="gramStart"/>
      <w:r>
        <w:rPr>
          <w:rFonts w:ascii="Arial" w:hAnsi="Arial" w:cs="Arial"/>
          <w:i/>
          <w:highlight w:val="yellow"/>
        </w:rPr>
        <w:t>son</w:t>
      </w:r>
      <w:proofErr w:type="gramEnd"/>
      <w:r>
        <w:rPr>
          <w:rFonts w:ascii="Arial" w:hAnsi="Arial" w:cs="Arial"/>
          <w:i/>
          <w:highlight w:val="yellow"/>
        </w:rPr>
        <w:t xml:space="preserve"> n° d’enregistrement au registre du commerce et des sociétés…….</w:t>
      </w:r>
    </w:p>
    <w:p>
      <w:pPr>
        <w:tabs>
          <w:tab w:val="left" w:pos="851"/>
        </w:tabs>
        <w:spacing w:before="240" w:after="240"/>
        <w:ind w:left="708"/>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w:t>
      </w:r>
      <w:proofErr w:type="gramStart"/>
      <w:r>
        <w:rPr>
          <w:rFonts w:ascii="Arial" w:hAnsi="Arial" w:cs="Arial"/>
          <w:b/>
          <w:u w:val="single"/>
        </w:rPr>
        <w:t>engage</w:t>
      </w:r>
      <w:proofErr w:type="gramEnd"/>
      <w:r>
        <w:rPr>
          <w:rFonts w:ascii="Arial" w:hAnsi="Arial" w:cs="Arial"/>
          <w:b/>
          <w:u w:val="single"/>
        </w:rPr>
        <w:t xml:space="preserve"> la société</w:t>
      </w:r>
      <w:r>
        <w:rPr>
          <w:rFonts w:ascii="Arial" w:hAnsi="Arial" w:cs="Arial"/>
        </w:rPr>
        <w:t xml:space="preserve"> </w:t>
      </w:r>
      <w:r>
        <w:rPr>
          <w:rFonts w:ascii="Arial" w:hAnsi="Arial" w:cs="Arial"/>
          <w:highlight w:val="yellow"/>
        </w:rPr>
        <w:t>………………………</w:t>
      </w:r>
      <w:r>
        <w:rPr>
          <w:rFonts w:ascii="Arial" w:hAnsi="Arial" w:cs="Arial"/>
        </w:rPr>
        <w:t xml:space="preserve"> sur la base de son offre [</w:t>
      </w:r>
      <w:r>
        <w:rPr>
          <w:rFonts w:ascii="Arial" w:hAnsi="Arial" w:cs="Arial"/>
          <w:highlight w:val="yellow"/>
        </w:rPr>
        <w:t>cas d’une personne morale]</w:t>
      </w:r>
    </w:p>
    <w:p>
      <w:pPr>
        <w:pStyle w:val="En-tte"/>
        <w:tabs>
          <w:tab w:val="clear" w:pos="4536"/>
          <w:tab w:val="clear" w:pos="9072"/>
          <w:tab w:val="left" w:pos="851"/>
        </w:tabs>
        <w:spacing w:after="240"/>
        <w:jc w:val="both"/>
        <w:rPr>
          <w:rFonts w:ascii="Arial" w:hAnsi="Arial" w:cs="Arial"/>
          <w:i/>
          <w:sz w:val="18"/>
          <w:szCs w:val="18"/>
        </w:rPr>
      </w:pPr>
      <w:r>
        <w:rPr>
          <w:rFonts w:ascii="Arial" w:hAnsi="Arial" w:cs="Arial"/>
          <w:i/>
          <w:sz w:val="18"/>
          <w:szCs w:val="18"/>
        </w:rPr>
        <w:t>[</w:t>
      </w:r>
      <w:r>
        <w:rPr>
          <w:rFonts w:ascii="Arial" w:hAnsi="Arial" w:cs="Arial"/>
          <w:i/>
          <w:sz w:val="18"/>
          <w:szCs w:val="18"/>
          <w:highlight w:val="yellow"/>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fcase1ertab"/>
        <w:keepNext/>
        <w:tabs>
          <w:tab w:val="left" w:pos="851"/>
        </w:tabs>
        <w:spacing w:before="240"/>
        <w:rPr>
          <w:rFonts w:ascii="Arial" w:hAnsi="Arial" w:cs="Arial"/>
          <w:b/>
          <w:sz w:val="22"/>
          <w:szCs w:val="22"/>
          <w:u w:val="single"/>
        </w:rPr>
      </w:pPr>
    </w:p>
    <w:p>
      <w:pPr>
        <w:pStyle w:val="fcase1ertab"/>
        <w:keepNext/>
        <w:tabs>
          <w:tab w:val="left" w:pos="851"/>
        </w:tabs>
        <w:spacing w:before="240"/>
        <w:rPr>
          <w:rFonts w:ascii="Arial" w:hAnsi="Arial" w:cs="Arial"/>
          <w:b/>
          <w:sz w:val="22"/>
          <w:szCs w:val="22"/>
        </w:rPr>
      </w:pPr>
      <w:proofErr w:type="gramStart"/>
      <w:r>
        <w:rPr>
          <w:rFonts w:ascii="Arial" w:hAnsi="Arial" w:cs="Arial"/>
          <w:b/>
          <w:sz w:val="22"/>
          <w:szCs w:val="22"/>
          <w:u w:val="single"/>
        </w:rPr>
        <w:t>à</w:t>
      </w:r>
      <w:proofErr w:type="gramEnd"/>
      <w:r>
        <w:rPr>
          <w:rFonts w:ascii="Arial" w:hAnsi="Arial" w:cs="Arial"/>
          <w:b/>
          <w:sz w:val="22"/>
          <w:szCs w:val="22"/>
          <w:u w:val="single"/>
        </w:rPr>
        <w:t xml:space="preserve"> exécuter les prestations demandées au sein des documents du marché aux prix indiquées ci-dessous</w:t>
      </w:r>
      <w:r>
        <w:rPr>
          <w:rFonts w:ascii="Arial" w:hAnsi="Arial" w:cs="Arial"/>
          <w:b/>
          <w:sz w:val="22"/>
          <w:szCs w:val="22"/>
        </w:rPr>
        <w:t>:</w:t>
      </w:r>
    </w:p>
    <w:p>
      <w:pPr>
        <w:pStyle w:val="fcase1ertab"/>
        <w:keepNext/>
        <w:tabs>
          <w:tab w:val="left" w:pos="851"/>
        </w:tabs>
        <w:spacing w:before="240"/>
        <w:rPr>
          <w:rFonts w:ascii="Arial" w:hAnsi="Arial" w:cs="Arial"/>
          <w:b/>
        </w:rPr>
      </w:pPr>
    </w:p>
    <w:p>
      <w:pPr>
        <w:keepNext/>
        <w:tabs>
          <w:tab w:val="left" w:pos="426"/>
          <w:tab w:val="left" w:pos="851"/>
        </w:tabs>
        <w:ind w:left="1701"/>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Taux de la TVA : </w:t>
      </w:r>
      <w:r>
        <w:rPr>
          <w:rFonts w:ascii="Arial" w:hAnsi="Arial" w:cs="Arial"/>
          <w:highlight w:val="yellow"/>
        </w:rPr>
        <w:t>…….</w:t>
      </w:r>
    </w:p>
    <w:p>
      <w:pPr>
        <w:keepNext/>
        <w:tabs>
          <w:tab w:val="left" w:pos="426"/>
          <w:tab w:val="left" w:pos="851"/>
        </w:tabs>
        <w:ind w:left="1701"/>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Montant hors taxes</w:t>
      </w:r>
      <w:r>
        <w:rPr>
          <w:rStyle w:val="Caractresdenotedebasdepage"/>
          <w:rFonts w:ascii="Arial" w:hAnsi="Arial" w:cs="Arial"/>
        </w:rPr>
        <w:t> </w:t>
      </w:r>
      <w:r>
        <w:rPr>
          <w:rFonts w:ascii="Arial" w:hAnsi="Arial" w:cs="Arial"/>
        </w:rPr>
        <w:t>:</w:t>
      </w:r>
    </w:p>
    <w:p>
      <w:pPr>
        <w:keepNext/>
        <w:tabs>
          <w:tab w:val="left" w:pos="426"/>
          <w:tab w:val="left" w:pos="851"/>
        </w:tabs>
        <w:ind w:left="1701"/>
        <w:jc w:val="both"/>
        <w:rPr>
          <w:rFonts w:ascii="Arial" w:hAnsi="Arial" w:cs="Arial"/>
        </w:rPr>
      </w:pPr>
    </w:p>
    <w:p>
      <w:pPr>
        <w:keepNext/>
        <w:tabs>
          <w:tab w:val="left" w:pos="426"/>
          <w:tab w:val="left" w:pos="851"/>
        </w:tabs>
        <w:ind w:left="2268"/>
        <w:rPr>
          <w:rFonts w:ascii="Arial" w:hAnsi="Arial" w:cs="Arial"/>
        </w:rPr>
      </w:pPr>
      <w:r>
        <w:rPr>
          <w:rFonts w:ascii="Arial" w:hAnsi="Arial" w:cs="Arial"/>
        </w:rPr>
        <w:t xml:space="preserve">Montant hors taxes arrêté en chiffres à : </w:t>
      </w:r>
      <w:r>
        <w:rPr>
          <w:rFonts w:ascii="Arial" w:hAnsi="Arial" w:cs="Arial"/>
          <w:highlight w:val="yellow"/>
        </w:rPr>
        <w:t>……………………………………………………</w:t>
      </w:r>
    </w:p>
    <w:p>
      <w:pPr>
        <w:pStyle w:val="fcase1ertab"/>
        <w:keepNext/>
        <w:tabs>
          <w:tab w:val="left" w:pos="851"/>
        </w:tabs>
        <w:ind w:left="2268" w:firstLine="0"/>
        <w:jc w:val="left"/>
        <w:rPr>
          <w:rFonts w:ascii="Arial" w:hAnsi="Arial" w:cs="Arial"/>
        </w:rPr>
      </w:pPr>
      <w:r>
        <w:rPr>
          <w:rFonts w:ascii="Arial" w:hAnsi="Arial" w:cs="Arial"/>
        </w:rPr>
        <w:t xml:space="preserve">Montant hors taxes arrêté en lettres à : </w:t>
      </w:r>
      <w:r>
        <w:rPr>
          <w:rFonts w:ascii="Arial" w:hAnsi="Arial" w:cs="Arial"/>
          <w:highlight w:val="yellow"/>
        </w:rPr>
        <w:t>………………………………………………………............................</w:t>
      </w:r>
      <w:r>
        <w:rPr>
          <w:rFonts w:ascii="Arial" w:hAnsi="Arial" w:cs="Arial"/>
        </w:rPr>
        <w:t xml:space="preserve"> </w:t>
      </w:r>
    </w:p>
    <w:p>
      <w:pPr>
        <w:pStyle w:val="fcase1ertab"/>
        <w:keepNext/>
        <w:tabs>
          <w:tab w:val="left" w:pos="851"/>
        </w:tabs>
        <w:ind w:left="2268" w:firstLine="0"/>
        <w:jc w:val="left"/>
        <w:rPr>
          <w:rFonts w:ascii="Arial" w:hAnsi="Arial" w:cs="Arial"/>
        </w:rPr>
      </w:pPr>
    </w:p>
    <w:p>
      <w:pPr>
        <w:keepNext/>
        <w:tabs>
          <w:tab w:val="left" w:pos="426"/>
          <w:tab w:val="left" w:pos="709"/>
          <w:tab w:val="left" w:pos="851"/>
        </w:tabs>
        <w:ind w:left="1701"/>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Montant </w:t>
      </w:r>
      <w:proofErr w:type="gramStart"/>
      <w:r>
        <w:rPr>
          <w:rFonts w:ascii="Arial" w:hAnsi="Arial" w:cs="Arial"/>
        </w:rPr>
        <w:t>TTC:</w:t>
      </w:r>
      <w:proofErr w:type="gramEnd"/>
    </w:p>
    <w:p>
      <w:pPr>
        <w:pStyle w:val="fcase1ertab"/>
        <w:keepNext/>
        <w:tabs>
          <w:tab w:val="left" w:pos="851"/>
        </w:tabs>
        <w:spacing w:before="120"/>
        <w:ind w:left="2410" w:firstLine="0"/>
        <w:jc w:val="left"/>
        <w:rPr>
          <w:rFonts w:ascii="Arial" w:hAnsi="Arial" w:cs="Arial"/>
        </w:rPr>
      </w:pPr>
      <w:r>
        <w:rPr>
          <w:rFonts w:ascii="Arial" w:hAnsi="Arial" w:cs="Arial"/>
        </w:rPr>
        <w:t xml:space="preserve">Montant TTC arrêté en chiffres à : </w:t>
      </w:r>
      <w:r>
        <w:rPr>
          <w:rFonts w:ascii="Arial" w:hAnsi="Arial" w:cs="Arial"/>
          <w:highlight w:val="yellow"/>
        </w:rPr>
        <w:t>…………………………………………………</w:t>
      </w:r>
      <w:proofErr w:type="gramStart"/>
      <w:r>
        <w:rPr>
          <w:rFonts w:ascii="Arial" w:hAnsi="Arial" w:cs="Arial"/>
          <w:highlight w:val="yellow"/>
        </w:rPr>
        <w:t>…….</w:t>
      </w:r>
      <w:proofErr w:type="gramEnd"/>
      <w:r>
        <w:rPr>
          <w:rFonts w:ascii="Arial" w:hAnsi="Arial" w:cs="Arial"/>
          <w:highlight w:val="yellow"/>
        </w:rPr>
        <w:t>.</w:t>
      </w:r>
    </w:p>
    <w:p>
      <w:pPr>
        <w:pStyle w:val="fcase1ertab"/>
        <w:keepNext/>
        <w:tabs>
          <w:tab w:val="left" w:pos="851"/>
        </w:tabs>
        <w:spacing w:before="120"/>
        <w:ind w:left="2410" w:firstLine="0"/>
        <w:jc w:val="left"/>
        <w:rPr>
          <w:rFonts w:ascii="Arial" w:hAnsi="Arial" w:cs="Arial"/>
        </w:rPr>
      </w:pPr>
      <w:r>
        <w:rPr>
          <w:rFonts w:ascii="Arial" w:hAnsi="Arial" w:cs="Arial"/>
        </w:rPr>
        <w:t xml:space="preserve">Montant TTC arrêté en lettres à : </w:t>
      </w:r>
      <w:r>
        <w:rPr>
          <w:rFonts w:ascii="Arial" w:hAnsi="Arial" w:cs="Arial"/>
          <w:highlight w:val="yellow"/>
        </w:rPr>
        <w:t>………………………………………………………………………</w:t>
      </w:r>
      <w:proofErr w:type="gramStart"/>
      <w:r>
        <w:rPr>
          <w:rFonts w:ascii="Arial" w:hAnsi="Arial" w:cs="Arial"/>
          <w:highlight w:val="yellow"/>
        </w:rPr>
        <w:t>…….</w:t>
      </w:r>
      <w:proofErr w:type="gramEnd"/>
      <w:r>
        <w:rPr>
          <w:rFonts w:ascii="Arial" w:hAnsi="Arial" w:cs="Arial"/>
          <w:highlight w:val="yellow"/>
        </w:rPr>
        <w:t>……..</w:t>
      </w:r>
    </w:p>
    <w:p>
      <w:pPr>
        <w:pStyle w:val="fcase1ertab"/>
        <w:keepNext/>
        <w:tabs>
          <w:tab w:val="left" w:pos="851"/>
        </w:tabs>
        <w:spacing w:before="120"/>
        <w:ind w:left="2410" w:firstLine="0"/>
        <w:jc w:val="left"/>
        <w:rPr>
          <w:rFonts w:ascii="Arial" w:hAnsi="Arial" w:cs="Arial"/>
          <w:u w:val="single"/>
        </w:rPr>
      </w:pPr>
    </w:p>
    <w:p>
      <w:pPr>
        <w:pStyle w:val="fcase1ertab"/>
        <w:tabs>
          <w:tab w:val="clear" w:pos="426"/>
          <w:tab w:val="left" w:pos="851"/>
        </w:tabs>
        <w:spacing w:before="240"/>
        <w:ind w:left="0" w:firstLine="0"/>
        <w:rPr>
          <w:rFonts w:ascii="Arial" w:hAnsi="Arial" w:cs="Arial"/>
          <w:b/>
          <w:u w:val="single"/>
        </w:rPr>
      </w:pPr>
    </w:p>
    <w:p>
      <w:pPr>
        <w:spacing w:after="160" w:line="259" w:lineRule="auto"/>
        <w:rPr>
          <w:rFonts w:ascii="Arial" w:hAnsi="Arial" w:cs="Arial"/>
          <w:b/>
          <w:color w:val="0070C0"/>
          <w:sz w:val="22"/>
          <w:szCs w:val="22"/>
        </w:rPr>
      </w:pPr>
      <w:r>
        <w:rPr>
          <w:rFonts w:ascii="Arial" w:hAnsi="Arial" w:cs="Arial"/>
          <w:b/>
          <w:color w:val="0070C0"/>
          <w:sz w:val="22"/>
          <w:szCs w:val="22"/>
        </w:rPr>
        <w:t>II.2 – Nature du groupement et, en cas de groupement conjoint, répartition des prestations</w:t>
      </w:r>
    </w:p>
    <w:p>
      <w:pPr>
        <w:spacing w:after="160" w:line="259" w:lineRule="auto"/>
        <w:rPr>
          <w:rFonts w:ascii="Arial" w:hAnsi="Arial" w:cs="Arial"/>
          <w:b/>
          <w:color w:val="0070C0"/>
          <w:sz w:val="22"/>
          <w:szCs w:val="22"/>
        </w:rPr>
      </w:pPr>
    </w:p>
    <w:p>
      <w:pPr>
        <w:spacing w:after="160" w:line="259" w:lineRule="auto"/>
        <w:rPr>
          <w:rFonts w:ascii="Arial" w:hAnsi="Arial" w:cs="Arial"/>
          <w:b/>
          <w:sz w:val="22"/>
          <w:szCs w:val="22"/>
        </w:rPr>
      </w:pPr>
      <w:r>
        <w:rPr>
          <w:rFonts w:ascii="Arial" w:hAnsi="Arial" w:cs="Arial"/>
          <w:b/>
          <w:sz w:val="22"/>
          <w:szCs w:val="22"/>
        </w:rPr>
        <w:t>Sans objet</w:t>
      </w:r>
    </w:p>
    <w:p>
      <w:pPr>
        <w:spacing w:after="160" w:line="259" w:lineRule="auto"/>
        <w:rPr>
          <w:rFonts w:ascii="Arial" w:hAnsi="Arial" w:cs="Arial"/>
          <w:b/>
          <w:sz w:val="22"/>
          <w:szCs w:val="22"/>
        </w:rPr>
      </w:pPr>
    </w:p>
    <w:p>
      <w:pPr>
        <w:pStyle w:val="fcase1ertab"/>
        <w:tabs>
          <w:tab w:val="left" w:pos="851"/>
        </w:tabs>
        <w:spacing w:before="240"/>
        <w:ind w:left="0" w:firstLine="0"/>
        <w:rPr>
          <w:rFonts w:ascii="Arial" w:hAnsi="Arial" w:cs="Arial"/>
          <w:b/>
          <w:color w:val="0070C0"/>
          <w:sz w:val="22"/>
          <w:szCs w:val="22"/>
        </w:rPr>
      </w:pPr>
      <w:r>
        <w:rPr>
          <w:rFonts w:ascii="Arial" w:hAnsi="Arial" w:cs="Arial"/>
          <w:b/>
          <w:color w:val="0070C0"/>
          <w:sz w:val="22"/>
          <w:szCs w:val="22"/>
        </w:rPr>
        <w:t>II.3 - Identification du/des sous-traitant(s) et prix des prestations sous-traitées :</w:t>
      </w:r>
    </w:p>
    <w:p>
      <w:pPr>
        <w:pStyle w:val="Paragraphedeliste"/>
        <w:numPr>
          <w:ilvl w:val="0"/>
          <w:numId w:val="7"/>
        </w:numPr>
        <w:spacing w:before="240" w:line="240" w:lineRule="exact"/>
        <w:ind w:right="50"/>
        <w:jc w:val="both"/>
        <w:rPr>
          <w:rFonts w:ascii="Arial" w:hAnsi="Arial" w:cs="Arial"/>
          <w:b/>
          <w:bCs/>
        </w:rPr>
      </w:pPr>
      <w:r>
        <w:rPr>
          <w:rFonts w:ascii="Arial" w:hAnsi="Arial" w:cs="Arial"/>
          <w:b/>
          <w:bCs/>
        </w:rPr>
        <w:t>Sous-traitance envisagée avant la passation du marché</w:t>
      </w:r>
      <w:r>
        <w:rPr>
          <w:rFonts w:ascii="Arial" w:hAnsi="Arial" w:cs="Arial"/>
          <w:b/>
          <w:bCs/>
        </w:rPr>
        <w:tab/>
      </w:r>
      <w:r>
        <w:rPr>
          <w:rFonts w:ascii="Arial" w:hAnsi="Arial" w:cs="Arial"/>
          <w:b/>
          <w:bCs/>
        </w:rPr>
        <w:tab/>
      </w:r>
      <w:r>
        <w:rPr>
          <w:rFonts w:ascii="Arial" w:hAnsi="Arial" w:cs="Arial"/>
          <w:b/>
          <w:bCs/>
        </w:rPr>
        <w:tab/>
      </w:r>
    </w:p>
    <w:p>
      <w:pPr>
        <w:spacing w:line="240" w:lineRule="exact"/>
        <w:ind w:right="50"/>
        <w:jc w:val="both"/>
        <w:rPr>
          <w:rFonts w:ascii="Arial" w:hAnsi="Arial" w:cs="Arial"/>
          <w:color w:val="000000"/>
        </w:rPr>
      </w:pPr>
      <w:r>
        <w:rPr>
          <w:rFonts w:ascii="Arial" w:hAnsi="Arial" w:cs="Arial"/>
          <w:color w:val="000000"/>
        </w:rPr>
        <w:t>Le candidat ou le groupement remet avec l’acte d’engagement le formulaire DC 4,</w:t>
      </w:r>
      <w:r>
        <w:rPr>
          <w:rFonts w:ascii="Arial" w:hAnsi="Arial" w:cs="Arial"/>
        </w:rPr>
        <w:t xml:space="preserve"> dûment signé et complété, </w:t>
      </w:r>
      <w:r>
        <w:rPr>
          <w:rFonts w:ascii="Arial" w:hAnsi="Arial" w:cs="Arial"/>
          <w:color w:val="000000"/>
        </w:rPr>
        <w:t xml:space="preserve">disponible sur </w:t>
      </w:r>
      <w:hyperlink r:id="rId8" w:history="1">
        <w:r>
          <w:rPr>
            <w:rStyle w:val="Lienhypertexte"/>
            <w:rFonts w:ascii="Arial" w:hAnsi="Arial" w:cs="Arial"/>
          </w:rPr>
          <w:t>http://www.economie.gouv.fr/daj/formulaires-declaration-candidat</w:t>
        </w:r>
      </w:hyperlink>
      <w:r>
        <w:rPr>
          <w:rFonts w:ascii="Arial" w:hAnsi="Arial" w:cs="Arial"/>
        </w:rPr>
        <w:t xml:space="preserve">, faisant apparaître le </w:t>
      </w:r>
      <w:r>
        <w:rPr>
          <w:rFonts w:ascii="Arial" w:hAnsi="Arial" w:cs="Arial"/>
          <w:color w:val="000000"/>
        </w:rPr>
        <w:t>montant des prestations qu’il envisage de faire exécuter par des sous-traitants payés directement, les noms de ces sous-traitants et les conditions de paiement des contrats de sous-traitance</w:t>
      </w:r>
      <w:r>
        <w:rPr>
          <w:rStyle w:val="Appelnotedebasdep"/>
          <w:rFonts w:ascii="Arial" w:hAnsi="Arial" w:cs="Arial"/>
          <w:bCs/>
          <w:color w:val="000000"/>
        </w:rPr>
        <w:footnoteReference w:id="3"/>
      </w:r>
      <w:r>
        <w:rPr>
          <w:rFonts w:ascii="Arial" w:hAnsi="Arial" w:cs="Arial"/>
          <w:color w:val="000000"/>
        </w:rPr>
        <w:t>.</w:t>
      </w:r>
    </w:p>
    <w:p>
      <w:pPr>
        <w:pStyle w:val="Paragraphedeliste"/>
        <w:numPr>
          <w:ilvl w:val="0"/>
          <w:numId w:val="7"/>
        </w:numPr>
        <w:spacing w:before="240" w:line="240" w:lineRule="exact"/>
        <w:ind w:right="51"/>
        <w:jc w:val="both"/>
        <w:rPr>
          <w:rFonts w:ascii="Arial" w:hAnsi="Arial" w:cs="Arial"/>
          <w:b/>
          <w:bCs/>
        </w:rPr>
      </w:pPr>
      <w:r>
        <w:rPr>
          <w:rFonts w:ascii="Arial" w:hAnsi="Arial" w:cs="Arial"/>
          <w:b/>
          <w:bCs/>
        </w:rPr>
        <w:t>Sous-traitance envisagée au cours de l’exécution du marché</w:t>
      </w:r>
    </w:p>
    <w:p>
      <w:pPr>
        <w:spacing w:line="240" w:lineRule="exact"/>
        <w:ind w:right="50"/>
        <w:jc w:val="both"/>
        <w:outlineLvl w:val="0"/>
        <w:rPr>
          <w:rFonts w:ascii="Arial" w:hAnsi="Arial" w:cs="Arial"/>
          <w:bCs/>
          <w:color w:val="000000"/>
        </w:rPr>
      </w:pPr>
      <w:r>
        <w:rPr>
          <w:rFonts w:ascii="Arial" w:hAnsi="Arial" w:cs="Arial"/>
          <w:bCs/>
          <w:color w:val="000000"/>
        </w:rPr>
        <w:t>En cas de sous-traitance envisagée au cours de l’exécution du marché, l’agrément d’un sous-traitant est subordonné à la production d’un acte spécial de sous-traitance.</w:t>
      </w:r>
    </w:p>
    <w:p>
      <w:pPr>
        <w:spacing w:after="160" w:line="259" w:lineRule="auto"/>
        <w:rPr>
          <w:rFonts w:ascii="Arial" w:hAnsi="Arial" w:cs="Arial"/>
          <w:b/>
          <w:color w:val="0070C0"/>
          <w:sz w:val="22"/>
          <w:szCs w:val="22"/>
          <w:lang w:eastAsia="zh-CN"/>
        </w:rPr>
      </w:pPr>
    </w:p>
    <w:p>
      <w:pPr>
        <w:pStyle w:val="fcase1ertab"/>
        <w:keepNext/>
        <w:tabs>
          <w:tab w:val="left" w:pos="851"/>
        </w:tabs>
        <w:spacing w:before="240"/>
        <w:ind w:left="0" w:firstLine="0"/>
        <w:rPr>
          <w:rFonts w:ascii="Arial" w:hAnsi="Arial" w:cs="Arial"/>
          <w:i/>
          <w:color w:val="0070C0"/>
          <w:sz w:val="18"/>
          <w:szCs w:val="18"/>
        </w:rPr>
      </w:pPr>
      <w:r>
        <w:rPr>
          <w:rFonts w:ascii="Arial" w:hAnsi="Arial" w:cs="Arial"/>
          <w:b/>
          <w:color w:val="0070C0"/>
          <w:sz w:val="22"/>
          <w:szCs w:val="22"/>
        </w:rPr>
        <w:t>II.4 - Compte (s) à créditer</w:t>
      </w:r>
    </w:p>
    <w:p>
      <w:pPr>
        <w:pStyle w:val="fcase1ertab"/>
        <w:keepNext/>
        <w:tabs>
          <w:tab w:val="left" w:pos="851"/>
        </w:tabs>
        <w:spacing w:before="120" w:after="240"/>
        <w:ind w:left="0" w:firstLine="0"/>
        <w:rPr>
          <w:rFonts w:ascii="Arial" w:hAnsi="Arial" w:cs="Arial"/>
          <w:i/>
          <w:sz w:val="18"/>
          <w:szCs w:val="18"/>
        </w:rPr>
      </w:pPr>
      <w:r>
        <w:rPr>
          <w:rFonts w:ascii="Arial" w:hAnsi="Arial" w:cs="Arial"/>
          <w:i/>
          <w:sz w:val="18"/>
          <w:szCs w:val="18"/>
        </w:rPr>
        <w:t>(Joindre un relevé d’identité bancaire ou postal.)</w:t>
      </w:r>
    </w:p>
    <w:p>
      <w:pPr>
        <w:pStyle w:val="Commentaire"/>
        <w:spacing w:before="24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A compléter par l’entreprise individuelle </w:t>
      </w:r>
    </w:p>
    <w:p>
      <w:pPr>
        <w:pStyle w:val="fcasegauche"/>
        <w:keepNext/>
        <w:tabs>
          <w:tab w:val="left" w:pos="426"/>
          <w:tab w:val="left" w:pos="851"/>
        </w:tabs>
        <w:spacing w:after="0"/>
        <w:ind w:left="426" w:firstLine="0"/>
        <w:jc w:val="left"/>
        <w:rPr>
          <w:rFonts w:ascii="Arial" w:hAnsi="Arial" w:cs="Arial"/>
        </w:rPr>
      </w:pPr>
      <w:proofErr w:type="gramStart"/>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pPr>
        <w:pStyle w:val="fcasegauche"/>
        <w:keepNext/>
        <w:tabs>
          <w:tab w:val="left" w:pos="426"/>
          <w:tab w:val="left" w:pos="851"/>
        </w:tabs>
        <w:spacing w:after="0"/>
        <w:ind w:left="426" w:firstLine="0"/>
        <w:jc w:val="left"/>
        <w:rPr>
          <w:rFonts w:ascii="Arial" w:hAnsi="Arial" w:cs="Arial"/>
          <w:highlight w:val="yellow"/>
        </w:rPr>
      </w:pPr>
      <w:r>
        <w:rPr>
          <w:rFonts w:ascii="Arial" w:hAnsi="Arial" w:cs="Arial"/>
          <w:highlight w:val="yellow"/>
        </w:rPr>
        <w:t>………………………………………………………………..</w:t>
      </w:r>
    </w:p>
    <w:p>
      <w:pPr>
        <w:pStyle w:val="fcasegauche"/>
        <w:keepNext/>
        <w:tabs>
          <w:tab w:val="left" w:pos="426"/>
          <w:tab w:val="left" w:pos="851"/>
        </w:tabs>
        <w:spacing w:after="0"/>
        <w:ind w:left="426" w:firstLine="0"/>
        <w:jc w:val="left"/>
        <w:rPr>
          <w:rFonts w:ascii="Arial" w:hAnsi="Arial" w:cs="Arial"/>
          <w:highlight w:val="yellow"/>
        </w:rPr>
      </w:pPr>
      <w:r>
        <w:rPr>
          <w:rFonts w:ascii="Arial" w:hAnsi="Arial"/>
        </w:rPr>
        <w:t>Compte ouvert au nom de :</w:t>
      </w:r>
    </w:p>
    <w:p>
      <w:pPr>
        <w:pStyle w:val="fcasegauche"/>
        <w:keepNext/>
        <w:tabs>
          <w:tab w:val="left" w:pos="426"/>
          <w:tab w:val="left" w:pos="851"/>
        </w:tabs>
        <w:spacing w:after="0"/>
        <w:ind w:left="426" w:firstLine="0"/>
        <w:jc w:val="left"/>
        <w:rPr>
          <w:rFonts w:ascii="Arial" w:hAnsi="Arial" w:cs="Arial"/>
        </w:rPr>
      </w:pPr>
      <w:r>
        <w:rPr>
          <w:rFonts w:ascii="Arial" w:hAnsi="Arial" w:cs="Arial"/>
          <w:highlight w:val="yellow"/>
        </w:rPr>
        <w:t>………………………………………………………………..</w:t>
      </w:r>
    </w:p>
    <w:p>
      <w:pPr>
        <w:pStyle w:val="fcasegauche"/>
        <w:keepNext/>
        <w:tabs>
          <w:tab w:val="left" w:pos="426"/>
          <w:tab w:val="left" w:pos="851"/>
        </w:tabs>
        <w:spacing w:after="0"/>
        <w:ind w:left="426" w:firstLine="0"/>
        <w:jc w:val="left"/>
        <w:rPr>
          <w:rFonts w:ascii="Arial" w:hAnsi="Arial"/>
        </w:rPr>
      </w:pPr>
      <w:r>
        <w:rPr>
          <w:rFonts w:ascii="Arial" w:hAnsi="Arial"/>
        </w:rPr>
        <w:t>Domiciliation :</w:t>
      </w:r>
    </w:p>
    <w:p>
      <w:pPr>
        <w:pStyle w:val="fcasegauche"/>
        <w:keepNext/>
        <w:tabs>
          <w:tab w:val="left" w:pos="426"/>
          <w:tab w:val="left" w:pos="851"/>
        </w:tabs>
        <w:spacing w:after="0"/>
        <w:ind w:left="426" w:firstLine="0"/>
        <w:jc w:val="left"/>
        <w:rPr>
          <w:rFonts w:ascii="Arial" w:hAnsi="Arial" w:cs="Arial"/>
        </w:rPr>
      </w:pPr>
      <w:r>
        <w:rPr>
          <w:rFonts w:ascii="Arial" w:hAnsi="Arial" w:cs="Arial"/>
          <w:highlight w:val="yellow"/>
        </w:rPr>
        <w:t>………………………………………………………………..</w:t>
      </w:r>
    </w:p>
    <w:p>
      <w:pPr>
        <w:pStyle w:val="fcasegauche"/>
        <w:keepNext/>
        <w:tabs>
          <w:tab w:val="left" w:pos="426"/>
          <w:tab w:val="left" w:pos="851"/>
        </w:tabs>
        <w:spacing w:after="0"/>
        <w:ind w:left="426"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pPr>
        <w:pStyle w:val="fcasegauche"/>
        <w:keepNext/>
        <w:tabs>
          <w:tab w:val="left" w:pos="426"/>
          <w:tab w:val="left" w:pos="851"/>
          <w:tab w:val="right" w:pos="9072"/>
        </w:tabs>
        <w:spacing w:after="0"/>
        <w:ind w:left="426" w:firstLine="0"/>
        <w:jc w:val="left"/>
        <w:rPr>
          <w:rFonts w:ascii="Arial" w:hAnsi="Arial" w:cs="Arial"/>
          <w:highlight w:val="yellow"/>
        </w:rPr>
      </w:pPr>
      <w:r>
        <w:rPr>
          <w:rFonts w:ascii="Arial" w:hAnsi="Arial" w:cs="Arial"/>
          <w:highlight w:val="yellow"/>
        </w:rPr>
        <w:t>………………………………………………………………..</w:t>
      </w:r>
    </w:p>
    <w:p>
      <w:pPr>
        <w:pStyle w:val="fcasegauche"/>
        <w:keepNext/>
        <w:tabs>
          <w:tab w:val="left" w:pos="426"/>
          <w:tab w:val="left" w:pos="851"/>
          <w:tab w:val="right" w:pos="9072"/>
        </w:tabs>
        <w:spacing w:after="0"/>
        <w:ind w:left="426" w:firstLine="0"/>
        <w:jc w:val="left"/>
        <w:rPr>
          <w:rFonts w:ascii="Arial" w:hAnsi="Arial" w:cs="Arial"/>
          <w:highlight w:val="yellow"/>
        </w:rPr>
      </w:pPr>
      <w:r>
        <w:rPr>
          <w:rFonts w:ascii="Arial" w:hAnsi="Arial"/>
        </w:rPr>
        <w:t>Clé RIB :</w:t>
      </w:r>
    </w:p>
    <w:p>
      <w:pPr>
        <w:pStyle w:val="fcasegauche"/>
        <w:keepNext/>
        <w:tabs>
          <w:tab w:val="left" w:pos="426"/>
          <w:tab w:val="left" w:pos="851"/>
        </w:tabs>
        <w:spacing w:after="0"/>
        <w:ind w:left="426" w:firstLine="0"/>
        <w:jc w:val="left"/>
        <w:rPr>
          <w:rFonts w:ascii="Arial" w:hAnsi="Arial" w:cs="Arial"/>
        </w:rPr>
      </w:pPr>
      <w:r>
        <w:rPr>
          <w:rFonts w:ascii="Arial" w:hAnsi="Arial" w:cs="Arial"/>
          <w:highlight w:val="yellow"/>
        </w:rPr>
        <w:t>………………………………………………………………..</w:t>
      </w:r>
    </w:p>
    <w:p>
      <w:pPr>
        <w:pStyle w:val="fcasegauche"/>
        <w:keepNext/>
        <w:tabs>
          <w:tab w:val="left" w:pos="426"/>
          <w:tab w:val="left" w:pos="851"/>
        </w:tabs>
        <w:spacing w:after="0"/>
        <w:ind w:left="426" w:firstLine="0"/>
        <w:jc w:val="left"/>
        <w:rPr>
          <w:rFonts w:ascii="Arial" w:hAnsi="Arial"/>
        </w:rPr>
      </w:pPr>
      <w:r>
        <w:rPr>
          <w:rFonts w:ascii="Arial" w:hAnsi="Arial"/>
        </w:rPr>
        <w:t>Code banque :</w:t>
      </w:r>
    </w:p>
    <w:p>
      <w:pPr>
        <w:pStyle w:val="fcasegauche"/>
        <w:keepNext/>
        <w:tabs>
          <w:tab w:val="left" w:pos="426"/>
          <w:tab w:val="left" w:pos="851"/>
        </w:tabs>
        <w:spacing w:after="0"/>
        <w:ind w:left="426" w:firstLine="0"/>
        <w:jc w:val="left"/>
        <w:rPr>
          <w:rFonts w:ascii="Arial" w:hAnsi="Arial" w:cs="Arial"/>
        </w:rPr>
      </w:pPr>
      <w:r>
        <w:rPr>
          <w:rFonts w:ascii="Arial" w:hAnsi="Arial" w:cs="Arial"/>
          <w:highlight w:val="yellow"/>
        </w:rPr>
        <w:t>………………………………………………………………..</w:t>
      </w:r>
    </w:p>
    <w:p>
      <w:pPr>
        <w:pStyle w:val="fcasegauche"/>
        <w:keepNext/>
        <w:tabs>
          <w:tab w:val="left" w:pos="426"/>
          <w:tab w:val="left" w:pos="851"/>
        </w:tabs>
        <w:spacing w:after="0"/>
        <w:ind w:left="426" w:firstLine="0"/>
        <w:jc w:val="left"/>
        <w:rPr>
          <w:rFonts w:ascii="Arial" w:hAnsi="Arial"/>
        </w:rPr>
      </w:pPr>
      <w:r>
        <w:rPr>
          <w:rFonts w:ascii="Arial" w:hAnsi="Arial"/>
        </w:rPr>
        <w:t>Code guichet :</w:t>
      </w:r>
    </w:p>
    <w:p>
      <w:pPr>
        <w:pStyle w:val="fcasegauche"/>
        <w:keepNext/>
        <w:tabs>
          <w:tab w:val="left" w:pos="426"/>
          <w:tab w:val="left" w:pos="851"/>
        </w:tabs>
        <w:spacing w:after="0"/>
        <w:ind w:left="426" w:firstLine="0"/>
        <w:jc w:val="left"/>
        <w:rPr>
          <w:rFonts w:ascii="Arial" w:hAnsi="Arial" w:cs="Arial"/>
        </w:rPr>
      </w:pPr>
      <w:r>
        <w:rPr>
          <w:rFonts w:ascii="Arial" w:hAnsi="Arial" w:cs="Arial"/>
          <w:highlight w:val="yellow"/>
        </w:rPr>
        <w:t>………………………………………………………………..</w:t>
      </w:r>
    </w:p>
    <w:p>
      <w:pPr>
        <w:spacing w:after="160" w:line="259" w:lineRule="auto"/>
        <w:rPr>
          <w:rFonts w:ascii="Arial" w:hAnsi="Arial" w:cs="Arial"/>
        </w:rPr>
      </w:pPr>
    </w:p>
    <w:p>
      <w:pPr>
        <w:spacing w:after="160" w:line="259" w:lineRule="auto"/>
        <w:rPr>
          <w:rFonts w:ascii="Arial" w:hAnsi="Arial" w:cs="Arial"/>
        </w:rPr>
      </w:pPr>
    </w:p>
    <w:p>
      <w:pPr>
        <w:pStyle w:val="fcasegauche"/>
        <w:tabs>
          <w:tab w:val="left" w:pos="426"/>
          <w:tab w:val="left" w:pos="851"/>
        </w:tabs>
        <w:spacing w:before="240" w:after="0"/>
        <w:ind w:left="0" w:firstLine="0"/>
        <w:jc w:val="left"/>
        <w:rPr>
          <w:rFonts w:ascii="Arial" w:hAnsi="Arial" w:cs="Arial"/>
          <w:b/>
        </w:rPr>
      </w:pPr>
      <w:r>
        <w:rPr>
          <w:rFonts w:ascii="Arial" w:hAnsi="Arial" w:cs="Arial"/>
          <w:b/>
          <w:color w:val="0070C0"/>
          <w:sz w:val="22"/>
          <w:szCs w:val="22"/>
        </w:rPr>
        <w:t>II.5 - Avance</w:t>
      </w:r>
      <w:r>
        <w:rPr>
          <w:rFonts w:ascii="Arial" w:hAnsi="Arial" w:cs="Arial"/>
          <w:b/>
          <w:color w:val="0070C0"/>
        </w:rPr>
        <w:t> </w:t>
      </w:r>
      <w:r>
        <w:rPr>
          <w:rFonts w:ascii="Arial" w:hAnsi="Arial" w:cs="Arial"/>
          <w:i/>
          <w:sz w:val="18"/>
          <w:szCs w:val="18"/>
        </w:rPr>
        <w:t>(</w:t>
      </w:r>
      <w:hyperlink r:id="rId9" w:history="1">
        <w:r>
          <w:rPr>
            <w:rStyle w:val="Lienhypertexte"/>
            <w:rFonts w:ascii="Arial" w:hAnsi="Arial" w:cs="Arial"/>
            <w:i/>
            <w:sz w:val="18"/>
            <w:szCs w:val="18"/>
          </w:rPr>
          <w:t>article R. 2191-3</w:t>
        </w:r>
      </w:hyperlink>
      <w:r>
        <w:rPr>
          <w:rFonts w:ascii="Arial" w:hAnsi="Arial" w:cs="Arial"/>
          <w:i/>
          <w:sz w:val="18"/>
          <w:szCs w:val="18"/>
        </w:rPr>
        <w:t xml:space="preserve"> ou </w:t>
      </w:r>
      <w:hyperlink r:id="rId10" w:history="1">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pPr>
        <w:pStyle w:val="fcasegauche"/>
        <w:tabs>
          <w:tab w:val="left" w:pos="426"/>
          <w:tab w:val="left" w:pos="851"/>
        </w:tabs>
        <w:spacing w:before="240" w:after="0"/>
        <w:ind w:left="0" w:firstLine="0"/>
        <w:jc w:val="left"/>
        <w:rPr>
          <w:rFonts w:ascii="Arial" w:hAnsi="Arial" w:cs="Arial"/>
          <w:i/>
          <w:sz w:val="18"/>
          <w:szCs w:val="18"/>
        </w:rPr>
      </w:pPr>
      <w:r>
        <w:rPr>
          <w:b/>
        </w:rPr>
        <w:t>Le signataire souhaite bénéficier de l'avance</w:t>
      </w:r>
      <w:r>
        <w:t>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b/>
        </w:rPr>
        <w:t>Non</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b/>
        </w:rPr>
        <w:t>Oui</w:t>
      </w:r>
    </w:p>
    <w:p>
      <w:pPr>
        <w:tabs>
          <w:tab w:val="left" w:pos="851"/>
        </w:tabs>
        <w:rPr>
          <w:rFonts w:ascii="Arial" w:hAnsi="Arial" w:cs="Arial"/>
          <w:i/>
          <w:sz w:val="18"/>
          <w:szCs w:val="18"/>
        </w:rPr>
      </w:pPr>
      <w:r>
        <w:rPr>
          <w:rFonts w:ascii="Arial" w:hAnsi="Arial" w:cs="Arial"/>
          <w:i/>
          <w:sz w:val="18"/>
          <w:szCs w:val="18"/>
        </w:rPr>
        <w:t>(Cocher la case correspondante.)</w:t>
      </w:r>
    </w:p>
    <w:p>
      <w:pPr>
        <w:tabs>
          <w:tab w:val="left" w:pos="851"/>
        </w:tabs>
        <w:spacing w:before="240"/>
        <w:rPr>
          <w:rFonts w:ascii="Arial" w:hAnsi="Arial" w:cs="Arial"/>
        </w:rPr>
      </w:pPr>
      <w:r>
        <w:rPr>
          <w:rFonts w:ascii="Arial" w:hAnsi="Arial" w:cs="Arial"/>
        </w:rPr>
        <w:t xml:space="preserve">L’avance est traitée dans les conditions prévues au CCAP. </w:t>
      </w:r>
    </w:p>
    <w:p>
      <w:pPr>
        <w:tabs>
          <w:tab w:val="left" w:pos="851"/>
        </w:tabs>
        <w:spacing w:before="240"/>
        <w:rPr>
          <w:rFonts w:ascii="Arial" w:hAnsi="Arial" w:cs="Arial"/>
        </w:rPr>
      </w:pPr>
    </w:p>
    <w:p>
      <w:pPr>
        <w:spacing w:before="240"/>
        <w:rPr>
          <w:rFonts w:ascii="Arial" w:hAnsi="Arial" w:cs="Arial"/>
          <w:b/>
          <w:color w:val="0070C0"/>
          <w:sz w:val="22"/>
          <w:szCs w:val="22"/>
        </w:rPr>
      </w:pPr>
      <w:r>
        <w:rPr>
          <w:rFonts w:ascii="Arial" w:hAnsi="Arial" w:cs="Arial"/>
          <w:b/>
          <w:color w:val="0070C0"/>
          <w:sz w:val="22"/>
          <w:szCs w:val="22"/>
        </w:rPr>
        <w:t>II.6 - Durée d’exécution du marché public</w:t>
      </w:r>
    </w:p>
    <w:p>
      <w:pPr>
        <w:spacing w:before="240" w:after="120"/>
        <w:rPr>
          <w:rFonts w:ascii="Univers" w:hAnsi="Univers" w:cs="Arial"/>
        </w:rPr>
      </w:pPr>
      <w:r>
        <w:rPr>
          <w:rFonts w:ascii="Univers" w:hAnsi="Univers" w:cs="Arial"/>
        </w:rPr>
        <w:t>La durée d’exécution du présent marché est indiquée dans le CCAP.</w:t>
      </w:r>
    </w:p>
    <w:p>
      <w:pPr>
        <w:spacing w:before="240" w:after="120"/>
        <w:rPr>
          <w:rFonts w:ascii="Arial" w:hAnsi="Arial" w:cs="Arial"/>
          <w:b/>
          <w:color w:val="0070C0"/>
          <w:sz w:val="22"/>
          <w:szCs w:val="22"/>
        </w:rPr>
      </w:pPr>
    </w:p>
    <w:p>
      <w:pPr>
        <w:tabs>
          <w:tab w:val="left" w:pos="-142"/>
          <w:tab w:val="left" w:pos="851"/>
          <w:tab w:val="left" w:pos="4111"/>
        </w:tabs>
        <w:spacing w:before="240" w:after="240"/>
        <w:jc w:val="both"/>
        <w:rPr>
          <w:rFonts w:ascii="Arial" w:hAnsi="Arial" w:cs="Arial"/>
          <w:b/>
          <w:color w:val="C00000"/>
          <w:sz w:val="24"/>
          <w:szCs w:val="22"/>
        </w:rPr>
      </w:pPr>
      <w:r>
        <w:rPr>
          <w:rFonts w:ascii="Arial" w:hAnsi="Arial" w:cs="Arial"/>
          <w:b/>
          <w:color w:val="C00000"/>
          <w:sz w:val="24"/>
          <w:szCs w:val="22"/>
        </w:rPr>
        <w:t>III Signature</w:t>
      </w:r>
    </w:p>
    <w:p>
      <w:pPr>
        <w:spacing w:before="240"/>
        <w:jc w:val="both"/>
        <w:rPr>
          <w:rFonts w:ascii="Univers" w:hAnsi="Univers" w:cs="Arial"/>
        </w:rPr>
      </w:pPr>
      <w:r>
        <w:rPr>
          <w:rFonts w:ascii="Arial" w:hAnsi="Arial" w:cs="Arial"/>
          <w:b/>
          <w:color w:val="0070C0"/>
          <w:sz w:val="22"/>
          <w:szCs w:val="22"/>
        </w:rPr>
        <w:t xml:space="preserve">III.1 Signature du marché public par le titulaire individuel </w:t>
      </w:r>
    </w:p>
    <w:p>
      <w:pPr>
        <w:tabs>
          <w:tab w:val="left" w:pos="851"/>
        </w:tabs>
        <w:spacing w:before="240" w:after="240"/>
        <w:jc w:val="both"/>
        <w:rPr>
          <w:rFonts w:ascii="Arial" w:hAnsi="Arial" w:cs="Arial"/>
          <w:b/>
          <w:sz w:val="22"/>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b/>
          <w:sz w:val="22"/>
          <w:szCs w:val="22"/>
        </w:rPr>
        <w:t>Signature du marché public par le titulaire individuel</w:t>
      </w:r>
    </w:p>
    <w:tbl>
      <w:tblPr>
        <w:tblW w:w="9107" w:type="dxa"/>
        <w:tblInd w:w="-40" w:type="dxa"/>
        <w:tblLayout w:type="fixed"/>
        <w:tblLook w:val="0000" w:firstRow="0" w:lastRow="0" w:firstColumn="0" w:lastColumn="0" w:noHBand="0" w:noVBand="0"/>
      </w:tblPr>
      <w:tblGrid>
        <w:gridCol w:w="4004"/>
        <w:gridCol w:w="2977"/>
        <w:gridCol w:w="2126"/>
      </w:tblGrid>
      <w:tr>
        <w:tc>
          <w:tcPr>
            <w:tcW w:w="4004"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Arial" w:hAnsi="Arial" w:cs="Arial"/>
                <w:b/>
                <w:bCs/>
              </w:rPr>
            </w:pPr>
            <w:r>
              <w:rPr>
                <w:rFonts w:ascii="Arial" w:hAnsi="Arial" w:cs="Arial"/>
                <w:b/>
                <w:bCs/>
              </w:rPr>
              <w:t>Nom, prénom et qualité</w:t>
            </w:r>
          </w:p>
          <w:p>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Arial" w:hAnsi="Arial" w:cs="Arial"/>
                <w:b/>
                <w:bCs/>
              </w:rPr>
            </w:pPr>
            <w:r>
              <w:rPr>
                <w:rFonts w:ascii="Arial" w:hAnsi="Arial" w:cs="Arial"/>
                <w:b/>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Arial" w:hAnsi="Arial" w:cs="Arial"/>
                <w:b/>
                <w:bCs/>
              </w:rPr>
            </w:pPr>
            <w:r>
              <w:rPr>
                <w:rFonts w:ascii="Arial" w:hAnsi="Arial" w:cs="Arial"/>
                <w:b/>
                <w:bCs/>
              </w:rPr>
              <w:t>Signature</w:t>
            </w:r>
          </w:p>
        </w:tc>
      </w:tr>
      <w:tr>
        <w:trPr>
          <w:trHeight w:val="1021"/>
        </w:trPr>
        <w:tc>
          <w:tcPr>
            <w:tcW w:w="4004"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Arial" w:hAnsi="Arial" w:cs="Arial"/>
                <w:b/>
                <w:bCs/>
              </w:rPr>
            </w:pPr>
          </w:p>
        </w:tc>
        <w:tc>
          <w:tcPr>
            <w:tcW w:w="2977"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Arial" w:hAnsi="Arial" w:cs="Arial"/>
                <w:b/>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Arial" w:hAnsi="Arial" w:cs="Arial"/>
                <w:b/>
                <w:bCs/>
              </w:rPr>
            </w:pPr>
          </w:p>
        </w:tc>
      </w:tr>
    </w:tbl>
    <w:p>
      <w:pPr>
        <w:tabs>
          <w:tab w:val="left" w:pos="851"/>
        </w:tabs>
        <w:jc w:val="both"/>
        <w:rPr>
          <w:rFonts w:ascii="Arial" w:hAnsi="Arial" w:cs="Arial"/>
        </w:rPr>
      </w:pPr>
      <w:r>
        <w:rPr>
          <w:rFonts w:ascii="Arial" w:hAnsi="Arial" w:cs="Arial"/>
          <w:sz w:val="18"/>
          <w:szCs w:val="18"/>
        </w:rPr>
        <w:t>(*) Le signataire doit avoir le pouvoir d’engager la personne qu’il représente.</w:t>
      </w:r>
    </w:p>
    <w:p>
      <w:pPr>
        <w:tabs>
          <w:tab w:val="left" w:pos="851"/>
        </w:tabs>
        <w:spacing w:after="240"/>
        <w:ind w:left="709"/>
        <w:jc w:val="both"/>
        <w:rPr>
          <w:rFonts w:ascii="Arial" w:hAnsi="Arial" w:cs="Arial"/>
          <w:i/>
        </w:rPr>
      </w:pPr>
    </w:p>
    <w:p>
      <w:pPr>
        <w:tabs>
          <w:tab w:val="left" w:pos="851"/>
        </w:tabs>
        <w:spacing w:after="240"/>
        <w:ind w:left="709"/>
        <w:jc w:val="both"/>
        <w:rPr>
          <w:rFonts w:ascii="Arial" w:hAnsi="Arial" w:cs="Arial"/>
          <w:i/>
        </w:rPr>
      </w:pPr>
    </w:p>
    <w:p>
      <w:pPr>
        <w:pStyle w:val="Titre1"/>
        <w:tabs>
          <w:tab w:val="left" w:pos="567"/>
          <w:tab w:val="left" w:pos="851"/>
        </w:tabs>
        <w:spacing w:after="240"/>
        <w:jc w:val="both"/>
        <w:rPr>
          <w:rFonts w:ascii="Arial" w:hAnsi="Arial" w:cs="Arial"/>
          <w:b/>
          <w:bCs/>
          <w:iCs/>
          <w:color w:val="auto"/>
          <w:sz w:val="22"/>
          <w:szCs w:val="22"/>
          <w:u w:val="single"/>
        </w:rPr>
      </w:pPr>
      <w:r>
        <w:rPr>
          <w:rFonts w:ascii="Arial" w:hAnsi="Arial" w:cs="Arial"/>
          <w:b/>
          <w:color w:val="C00000"/>
          <w:sz w:val="24"/>
          <w:szCs w:val="22"/>
        </w:rPr>
        <w:t>IV. 1. Identification et signature de l’acheteur.</w:t>
      </w:r>
    </w:p>
    <w:p>
      <w:pPr>
        <w:pStyle w:val="Titre1"/>
        <w:numPr>
          <w:ilvl w:val="0"/>
          <w:numId w:val="5"/>
        </w:numPr>
        <w:tabs>
          <w:tab w:val="left" w:pos="567"/>
          <w:tab w:val="left" w:pos="851"/>
        </w:tabs>
        <w:spacing w:after="240"/>
        <w:jc w:val="both"/>
        <w:rPr>
          <w:rFonts w:ascii="Arial" w:hAnsi="Arial" w:cs="Arial"/>
          <w:b/>
          <w:bCs/>
          <w:iCs/>
          <w:color w:val="auto"/>
          <w:sz w:val="22"/>
          <w:szCs w:val="22"/>
          <w:u w:val="single"/>
        </w:rPr>
      </w:pPr>
      <w:r>
        <w:rPr>
          <w:rFonts w:ascii="Arial" w:hAnsi="Arial" w:cs="Arial"/>
          <w:b/>
          <w:bCs/>
          <w:iCs/>
          <w:color w:val="auto"/>
          <w:sz w:val="22"/>
          <w:szCs w:val="22"/>
          <w:u w:val="single"/>
        </w:rPr>
        <w:t>Désignation de l’acheteur</w:t>
      </w:r>
    </w:p>
    <w:p>
      <w:pPr>
        <w:rPr>
          <w:rFonts w:ascii="Univers" w:hAnsi="Univers"/>
        </w:rPr>
      </w:pPr>
      <w:r>
        <w:rPr>
          <w:rFonts w:ascii="Univers" w:hAnsi="Univers"/>
        </w:rPr>
        <w:t>Ministère de l’économie, des finances et de la souverainet</w:t>
      </w:r>
      <w:r>
        <w:rPr>
          <w:rFonts w:ascii="Univers" w:hAnsi="Univers" w:hint="eastAsia"/>
        </w:rPr>
        <w:t>é</w:t>
      </w:r>
      <w:r>
        <w:rPr>
          <w:rFonts w:ascii="Univers" w:hAnsi="Univers"/>
        </w:rPr>
        <w:t xml:space="preserve"> industrielle et numérique</w:t>
      </w:r>
    </w:p>
    <w:p>
      <w:pPr>
        <w:rPr>
          <w:rFonts w:ascii="Univers" w:hAnsi="Univers"/>
        </w:rPr>
      </w:pPr>
      <w:r>
        <w:rPr>
          <w:rFonts w:ascii="Univers" w:hAnsi="Univers"/>
        </w:rPr>
        <w:t xml:space="preserve">Secrétariat général </w:t>
      </w:r>
    </w:p>
    <w:p>
      <w:pPr>
        <w:rPr>
          <w:rFonts w:ascii="Univers" w:hAnsi="Univers"/>
        </w:rPr>
      </w:pPr>
      <w:r>
        <w:rPr>
          <w:rFonts w:ascii="Univers" w:hAnsi="Univers"/>
        </w:rPr>
        <w:t>Service de l’immobilier et de l’environnement professionnel</w:t>
      </w:r>
    </w:p>
    <w:p>
      <w:pPr>
        <w:rPr>
          <w:rFonts w:ascii="Univers" w:hAnsi="Univers"/>
        </w:rPr>
      </w:pPr>
      <w:r>
        <w:rPr>
          <w:rFonts w:ascii="Univers" w:hAnsi="Univers"/>
        </w:rPr>
        <w:t xml:space="preserve">Sous-direction de l'immobilier </w:t>
      </w:r>
    </w:p>
    <w:p>
      <w:pPr>
        <w:rPr>
          <w:rFonts w:ascii="Univers" w:hAnsi="Univers"/>
        </w:rPr>
      </w:pPr>
      <w:r>
        <w:rPr>
          <w:rFonts w:ascii="Univers" w:hAnsi="Univers"/>
        </w:rPr>
        <w:lastRenderedPageBreak/>
        <w:t>Bureau Immobilier et maîtrise d’ouvrage</w:t>
      </w:r>
    </w:p>
    <w:p>
      <w:pPr>
        <w:pStyle w:val="Paragraphedeliste"/>
        <w:numPr>
          <w:ilvl w:val="0"/>
          <w:numId w:val="3"/>
        </w:numPr>
        <w:tabs>
          <w:tab w:val="left" w:pos="851"/>
        </w:tabs>
        <w:spacing w:before="240"/>
        <w:jc w:val="both"/>
        <w:rPr>
          <w:rFonts w:ascii="Arial" w:hAnsi="Arial" w:cs="Arial"/>
          <w:i/>
          <w:sz w:val="18"/>
          <w:szCs w:val="18"/>
        </w:rPr>
      </w:pPr>
      <w:r>
        <w:rPr>
          <w:rFonts w:ascii="Arial" w:hAnsi="Arial" w:cs="Arial"/>
          <w:b/>
          <w:sz w:val="22"/>
          <w:u w:val="single"/>
        </w:rPr>
        <w:t>Personne habilitée à donner les renseignements prévus</w:t>
      </w:r>
      <w:r>
        <w:rPr>
          <w:rFonts w:ascii="Arial" w:hAnsi="Arial" w:cs="Arial"/>
          <w:b/>
          <w:sz w:val="22"/>
        </w:rPr>
        <w:t xml:space="preserve"> </w:t>
      </w:r>
      <w:r>
        <w:rPr>
          <w:rFonts w:ascii="Arial" w:hAnsi="Arial" w:cs="Arial"/>
        </w:rPr>
        <w:t>à l’</w:t>
      </w:r>
      <w:hyperlink r:id="rId11" w:history="1">
        <w:r>
          <w:rPr>
            <w:rStyle w:val="Lienhypertexte"/>
            <w:rFonts w:ascii="Arial" w:hAnsi="Arial" w:cs="Arial"/>
            <w:color w:val="auto"/>
            <w:u w:val="none"/>
          </w:rPr>
          <w:t>article R. 2191-59</w:t>
        </w:r>
      </w:hyperlink>
      <w:r>
        <w:rPr>
          <w:rFonts w:ascii="Arial" w:hAnsi="Arial" w:cs="Arial"/>
        </w:rPr>
        <w:t xml:space="preserve"> du code de la commande publique</w:t>
      </w:r>
      <w:r>
        <w:rPr>
          <w:rFonts w:ascii="Arial" w:hAnsi="Arial" w:cs="Arial"/>
          <w:sz w:val="18"/>
        </w:rPr>
        <w:t>, auque</w:t>
      </w:r>
      <w:r>
        <w:rPr>
          <w:rFonts w:ascii="Arial" w:hAnsi="Arial" w:cs="Arial"/>
        </w:rPr>
        <w:t>l renvoie l’</w:t>
      </w:r>
      <w:hyperlink r:id="rId12" w:history="1">
        <w:r>
          <w:rPr>
            <w:rStyle w:val="Lienhypertexte"/>
            <w:rFonts w:ascii="Arial" w:hAnsi="Arial" w:cs="Arial"/>
            <w:color w:val="auto"/>
            <w:u w:val="none"/>
          </w:rPr>
          <w:t>article R. 2391-28</w:t>
        </w:r>
      </w:hyperlink>
      <w:r>
        <w:rPr>
          <w:rFonts w:ascii="Arial" w:hAnsi="Arial" w:cs="Arial"/>
        </w:rPr>
        <w:t xml:space="preserve"> du même code (nantissements ou cessions de créances)</w:t>
      </w:r>
    </w:p>
    <w:p>
      <w:pPr>
        <w:tabs>
          <w:tab w:val="left" w:pos="851"/>
        </w:tabs>
        <w:jc w:val="both"/>
        <w:rPr>
          <w:rFonts w:ascii="Arial" w:hAnsi="Arial" w:cs="Arial"/>
          <w:iCs/>
        </w:rPr>
      </w:pPr>
      <w:bookmarkStart w:id="3" w:name="_Hlk146792478"/>
      <w:r>
        <w:rPr>
          <w:rFonts w:ascii="Arial" w:hAnsi="Arial" w:cs="Arial"/>
          <w:iCs/>
        </w:rPr>
        <w:t>Monsieur le chef d’antenne (SIEP – BIMO)</w:t>
      </w:r>
    </w:p>
    <w:p>
      <w:pPr>
        <w:tabs>
          <w:tab w:val="left" w:pos="851"/>
        </w:tabs>
        <w:jc w:val="both"/>
        <w:rPr>
          <w:rFonts w:ascii="Arial" w:hAnsi="Arial" w:cs="Arial"/>
          <w:iCs/>
        </w:rPr>
      </w:pPr>
      <w:r>
        <w:rPr>
          <w:rFonts w:ascii="Arial" w:hAnsi="Arial" w:cs="Arial"/>
          <w:iCs/>
        </w:rPr>
        <w:t>14 rue du Maréchal Juin</w:t>
      </w:r>
    </w:p>
    <w:p>
      <w:pPr>
        <w:tabs>
          <w:tab w:val="left" w:pos="851"/>
        </w:tabs>
        <w:jc w:val="both"/>
        <w:rPr>
          <w:rFonts w:ascii="Arial" w:hAnsi="Arial" w:cs="Arial"/>
          <w:iCs/>
        </w:rPr>
      </w:pPr>
      <w:r>
        <w:rPr>
          <w:rFonts w:ascii="Arial" w:hAnsi="Arial" w:cs="Arial"/>
          <w:iCs/>
        </w:rPr>
        <w:t>Cité administrative</w:t>
      </w:r>
    </w:p>
    <w:p>
      <w:pPr>
        <w:tabs>
          <w:tab w:val="left" w:pos="851"/>
        </w:tabs>
        <w:jc w:val="both"/>
        <w:rPr>
          <w:rFonts w:ascii="Arial" w:hAnsi="Arial" w:cs="Arial"/>
          <w:iCs/>
        </w:rPr>
      </w:pPr>
      <w:r>
        <w:rPr>
          <w:rFonts w:ascii="Arial" w:hAnsi="Arial" w:cs="Arial"/>
          <w:iCs/>
        </w:rPr>
        <w:t>67000 Strasbourg</w:t>
      </w:r>
      <w:bookmarkEnd w:id="3"/>
    </w:p>
    <w:p>
      <w:pPr>
        <w:tabs>
          <w:tab w:val="left" w:pos="851"/>
        </w:tabs>
        <w:jc w:val="both"/>
        <w:rPr>
          <w:rFonts w:ascii="Arial" w:hAnsi="Arial" w:cs="Arial"/>
        </w:rPr>
      </w:pPr>
      <w:hyperlink r:id="rId13" w:history="1">
        <w:r>
          <w:rPr>
            <w:rStyle w:val="Lienhypertexte"/>
            <w:rFonts w:ascii="Segoe UI" w:hAnsi="Segoe UI" w:cs="Segoe UI"/>
            <w:sz w:val="17"/>
            <w:szCs w:val="17"/>
          </w:rPr>
          <w:t>BIMO.NE@finances.gouv.fr</w:t>
        </w:r>
      </w:hyperlink>
      <w:r>
        <w:rPr>
          <w:rFonts w:ascii="Segoe UI" w:hAnsi="Segoe UI" w:cs="Segoe UI"/>
          <w:sz w:val="17"/>
          <w:szCs w:val="17"/>
        </w:rPr>
        <w:t xml:space="preserve"> </w:t>
      </w:r>
    </w:p>
    <w:p>
      <w:pPr>
        <w:pStyle w:val="Paragraphedeliste"/>
        <w:numPr>
          <w:ilvl w:val="0"/>
          <w:numId w:val="3"/>
        </w:numPr>
        <w:tabs>
          <w:tab w:val="left" w:pos="720"/>
          <w:tab w:val="left" w:pos="851"/>
        </w:tabs>
        <w:spacing w:before="240"/>
        <w:jc w:val="both"/>
        <w:rPr>
          <w:rFonts w:ascii="Arial" w:hAnsi="Arial" w:cs="Arial"/>
          <w:b/>
          <w:i/>
          <w:iCs/>
          <w:szCs w:val="18"/>
        </w:rPr>
      </w:pPr>
      <w:r>
        <w:rPr>
          <w:rFonts w:ascii="Arial" w:hAnsi="Arial" w:cs="Arial"/>
          <w:b/>
          <w:sz w:val="22"/>
        </w:rPr>
        <w:t>Désignation, adresse, numéro de téléphone du comptable assignataire</w:t>
      </w:r>
    </w:p>
    <w:p>
      <w:pPr>
        <w:rPr>
          <w:rFonts w:ascii="Arial" w:eastAsiaTheme="minorHAnsi" w:hAnsi="Arial" w:cs="Arial"/>
          <w:color w:val="000000"/>
          <w:lang w:eastAsia="en-US"/>
        </w:rPr>
      </w:pPr>
      <w:bookmarkStart w:id="4" w:name="_Hlk146792565"/>
      <w:r>
        <w:rPr>
          <w:rFonts w:ascii="Arial" w:eastAsiaTheme="minorHAnsi" w:hAnsi="Arial" w:cs="Arial"/>
          <w:color w:val="000000"/>
          <w:lang w:eastAsia="en-US"/>
        </w:rPr>
        <w:t xml:space="preserve">Le Contrôleur Budgétaire et Comptable Ministériel </w:t>
      </w:r>
    </w:p>
    <w:p>
      <w:pPr>
        <w:rPr>
          <w:rFonts w:ascii="Arial" w:eastAsiaTheme="minorHAnsi" w:hAnsi="Arial" w:cs="Arial"/>
          <w:color w:val="000000"/>
          <w:lang w:eastAsia="en-US"/>
        </w:rPr>
      </w:pPr>
      <w:r>
        <w:rPr>
          <w:rFonts w:ascii="Arial" w:eastAsiaTheme="minorHAnsi" w:hAnsi="Arial" w:cs="Arial"/>
          <w:color w:val="000000"/>
          <w:lang w:eastAsia="en-US"/>
        </w:rPr>
        <w:t xml:space="preserve">Département comptable ministériel Bâtiment Necker – TELEDOC 716 </w:t>
      </w:r>
    </w:p>
    <w:p>
      <w:pPr>
        <w:tabs>
          <w:tab w:val="left" w:pos="851"/>
          <w:tab w:val="left" w:pos="3402"/>
          <w:tab w:val="left" w:pos="6237"/>
          <w:tab w:val="left" w:pos="9072"/>
        </w:tabs>
        <w:jc w:val="both"/>
        <w:rPr>
          <w:rFonts w:ascii="Arial" w:eastAsiaTheme="minorHAnsi" w:hAnsi="Arial" w:cs="Arial"/>
          <w:color w:val="000000"/>
          <w:lang w:eastAsia="en-US"/>
        </w:rPr>
      </w:pPr>
      <w:r>
        <w:rPr>
          <w:rFonts w:ascii="Arial" w:eastAsiaTheme="minorHAnsi" w:hAnsi="Arial" w:cs="Arial"/>
          <w:color w:val="000000"/>
          <w:lang w:eastAsia="en-US"/>
        </w:rPr>
        <w:t>120 rue de Bercy 6- 75572 PARIS CEDEX 12</w:t>
      </w:r>
    </w:p>
    <w:p>
      <w:pPr>
        <w:tabs>
          <w:tab w:val="left" w:pos="851"/>
          <w:tab w:val="left" w:pos="3402"/>
          <w:tab w:val="left" w:pos="6237"/>
          <w:tab w:val="left" w:pos="9072"/>
        </w:tabs>
        <w:jc w:val="both"/>
        <w:rPr>
          <w:rFonts w:ascii="Arial" w:eastAsiaTheme="minorHAnsi" w:hAnsi="Arial" w:cs="Arial"/>
          <w:color w:val="000000"/>
          <w:lang w:eastAsia="en-US"/>
        </w:rPr>
      </w:pPr>
    </w:p>
    <w:p>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pPr>
        <w:rPr>
          <w:rFonts w:ascii="Arial" w:eastAsiaTheme="minorHAnsi" w:hAnsi="Arial" w:cs="Arial"/>
          <w:color w:val="000000"/>
          <w:lang w:eastAsia="en-US"/>
        </w:rPr>
      </w:pPr>
      <w:r>
        <w:rPr>
          <w:rFonts w:ascii="Arial" w:eastAsiaTheme="minorHAnsi" w:hAnsi="Arial" w:cs="Arial"/>
          <w:color w:val="000000"/>
          <w:lang w:eastAsia="en-US"/>
        </w:rPr>
        <w:t xml:space="preserve">Le Contrôleur Budgétaire et Comptable Ministériel </w:t>
      </w:r>
    </w:p>
    <w:p>
      <w:pPr>
        <w:rPr>
          <w:rFonts w:ascii="Arial" w:eastAsiaTheme="minorHAnsi" w:hAnsi="Arial" w:cs="Arial"/>
          <w:color w:val="000000"/>
          <w:lang w:eastAsia="en-US"/>
        </w:rPr>
      </w:pPr>
      <w:r>
        <w:rPr>
          <w:rFonts w:ascii="Arial" w:eastAsiaTheme="minorHAnsi" w:hAnsi="Arial" w:cs="Arial"/>
          <w:color w:val="000000"/>
          <w:lang w:eastAsia="en-US"/>
        </w:rPr>
        <w:t xml:space="preserve">Département comptable ministériel Bâtiment Necker – TELEDOC 716 </w:t>
      </w:r>
    </w:p>
    <w:p>
      <w:pPr>
        <w:tabs>
          <w:tab w:val="left" w:pos="851"/>
          <w:tab w:val="left" w:pos="3402"/>
          <w:tab w:val="left" w:pos="6237"/>
          <w:tab w:val="left" w:pos="9072"/>
        </w:tabs>
        <w:jc w:val="both"/>
        <w:rPr>
          <w:rFonts w:ascii="Arial" w:eastAsiaTheme="minorHAnsi" w:hAnsi="Arial" w:cs="Arial"/>
          <w:color w:val="000000"/>
          <w:lang w:eastAsia="en-US"/>
        </w:rPr>
      </w:pPr>
      <w:r>
        <w:rPr>
          <w:rFonts w:ascii="Arial" w:eastAsiaTheme="minorHAnsi" w:hAnsi="Arial" w:cs="Arial"/>
          <w:color w:val="000000"/>
          <w:lang w:eastAsia="en-US"/>
        </w:rPr>
        <w:t>120 rue de Bercy 6- 75572 PARIS CEDEX 12</w:t>
      </w:r>
    </w:p>
    <w:bookmarkEnd w:id="4"/>
    <w:p>
      <w:pPr>
        <w:tabs>
          <w:tab w:val="left" w:pos="851"/>
          <w:tab w:val="left" w:pos="5245"/>
          <w:tab w:val="left" w:pos="7371"/>
          <w:tab w:val="left" w:pos="7655"/>
        </w:tabs>
        <w:spacing w:before="240" w:after="240"/>
        <w:jc w:val="both"/>
        <w:rPr>
          <w:rFonts w:ascii="Arial" w:hAnsi="Arial" w:cs="Arial"/>
        </w:rPr>
      </w:pPr>
      <w:r>
        <w:rPr>
          <w:rFonts w:ascii="Arial" w:hAnsi="Arial" w:cs="Arial"/>
        </w:rPr>
        <w:tab/>
      </w:r>
    </w:p>
    <w:p>
      <w:pPr>
        <w:tabs>
          <w:tab w:val="left" w:pos="851"/>
          <w:tab w:val="left" w:pos="5245"/>
          <w:tab w:val="left" w:pos="7371"/>
          <w:tab w:val="left" w:pos="7655"/>
        </w:tabs>
        <w:spacing w:before="240" w:after="240"/>
        <w:jc w:val="both"/>
        <w:rPr>
          <w:rFonts w:ascii="Arial" w:hAnsi="Arial" w:cs="Arial"/>
        </w:rPr>
      </w:pPr>
    </w:p>
    <w:p>
      <w:pPr>
        <w:spacing w:before="240" w:after="240" w:line="240" w:lineRule="exact"/>
        <w:ind w:right="51"/>
        <w:jc w:val="center"/>
        <w:outlineLvl w:val="0"/>
        <w:rPr>
          <w:rFonts w:ascii="Arial" w:hAnsi="Arial" w:cs="Arial"/>
          <w:b/>
          <w:color w:val="000000"/>
          <w:spacing w:val="30"/>
          <w:sz w:val="24"/>
          <w:szCs w:val="24"/>
        </w:rPr>
      </w:pPr>
      <w:r>
        <w:rPr>
          <w:rFonts w:ascii="Arial" w:hAnsi="Arial" w:cs="Arial"/>
          <w:b/>
          <w:color w:val="000000"/>
          <w:spacing w:val="30"/>
          <w:sz w:val="24"/>
          <w:szCs w:val="24"/>
        </w:rPr>
        <w:t xml:space="preserve">ACCEPTATION DE L'OFFRE </w:t>
      </w:r>
    </w:p>
    <w:p>
      <w:pPr>
        <w:tabs>
          <w:tab w:val="left" w:pos="851"/>
          <w:tab w:val="left" w:pos="5245"/>
          <w:tab w:val="left" w:pos="7371"/>
          <w:tab w:val="left" w:pos="7655"/>
        </w:tabs>
        <w:spacing w:before="240" w:after="240"/>
        <w:jc w:val="both"/>
        <w:rPr>
          <w:rFonts w:ascii="Arial" w:hAnsi="Arial" w:cs="Arial"/>
        </w:rPr>
      </w:pPr>
    </w:p>
    <w:p>
      <w:pPr>
        <w:tabs>
          <w:tab w:val="left" w:pos="851"/>
          <w:tab w:val="left" w:pos="5245"/>
          <w:tab w:val="left" w:pos="7371"/>
          <w:tab w:val="left" w:pos="7655"/>
        </w:tabs>
        <w:spacing w:before="240" w:after="240"/>
        <w:jc w:val="both"/>
        <w:rPr>
          <w:rFonts w:ascii="Arial" w:hAnsi="Arial" w:cs="Arial"/>
        </w:rPr>
      </w:pPr>
    </w:p>
    <w:p>
      <w:pPr>
        <w:tabs>
          <w:tab w:val="left" w:pos="851"/>
          <w:tab w:val="left" w:pos="5245"/>
          <w:tab w:val="left" w:pos="7371"/>
          <w:tab w:val="left" w:pos="7655"/>
        </w:tabs>
        <w:spacing w:before="240" w:after="240"/>
        <w:jc w:val="both"/>
        <w:rPr>
          <w:rFonts w:ascii="Arial" w:hAnsi="Arial" w:cs="Arial"/>
        </w:rPr>
      </w:pPr>
      <w:r>
        <w:rPr>
          <w:rFonts w:ascii="Arial" w:hAnsi="Arial" w:cs="Arial"/>
        </w:rPr>
        <w:t xml:space="preserve">Est acceptée la présente offre pour valoir acte d’engagement, par le représentant du pouvoir adjudicateur, ayant délégation de signature par arrêté du 21/11/2025, portant délégation de signature (Secrétariat général), </w:t>
      </w:r>
    </w:p>
    <w:p>
      <w:pPr>
        <w:tabs>
          <w:tab w:val="left" w:pos="851"/>
          <w:tab w:val="left" w:pos="5245"/>
          <w:tab w:val="left" w:pos="7371"/>
          <w:tab w:val="left" w:pos="7655"/>
        </w:tabs>
        <w:spacing w:before="240" w:after="240"/>
        <w:jc w:val="both"/>
        <w:rPr>
          <w:rFonts w:ascii="Arial" w:hAnsi="Arial" w:cs="Arial"/>
        </w:rPr>
      </w:pPr>
    </w:p>
    <w:p>
      <w:pPr>
        <w:tabs>
          <w:tab w:val="left" w:pos="851"/>
          <w:tab w:val="left" w:pos="5245"/>
          <w:tab w:val="left" w:pos="7371"/>
          <w:tab w:val="left" w:pos="7655"/>
        </w:tabs>
        <w:spacing w:before="240" w:after="240"/>
        <w:jc w:val="both"/>
        <w:rPr>
          <w:rFonts w:ascii="Arial" w:hAnsi="Arial" w:cs="Arial"/>
        </w:rPr>
      </w:pPr>
      <w:r>
        <w:rPr>
          <w:rFonts w:ascii="Arial" w:hAnsi="Arial" w:cs="Arial"/>
        </w:rPr>
        <w:tab/>
        <w:t>Fait, le</w:t>
      </w:r>
    </w:p>
    <w:p>
      <w:pPr>
        <w:tabs>
          <w:tab w:val="left" w:pos="851"/>
          <w:tab w:val="left" w:pos="5245"/>
          <w:tab w:val="left" w:pos="7371"/>
          <w:tab w:val="left" w:pos="7655"/>
        </w:tabs>
        <w:spacing w:before="240" w:after="240"/>
        <w:jc w:val="both"/>
        <w:rPr>
          <w:rFonts w:ascii="Arial" w:hAnsi="Arial" w:cs="Arial"/>
        </w:rPr>
      </w:pPr>
      <w:r>
        <w:rPr>
          <w:rFonts w:ascii="Arial" w:hAnsi="Arial" w:cs="Arial"/>
        </w:rPr>
        <w:t>Le représentant du pouvoir adjudicateur</w:t>
      </w:r>
    </w:p>
    <w:p>
      <w:pPr>
        <w:tabs>
          <w:tab w:val="left" w:pos="851"/>
          <w:tab w:val="left" w:pos="5245"/>
          <w:tab w:val="left" w:pos="7371"/>
          <w:tab w:val="left" w:pos="7655"/>
        </w:tabs>
        <w:spacing w:before="240" w:after="240"/>
        <w:jc w:val="both"/>
        <w:rPr>
          <w:rFonts w:ascii="Arial" w:hAnsi="Arial" w:cs="Arial"/>
        </w:rPr>
      </w:pPr>
    </w:p>
    <w:p>
      <w:pPr>
        <w:tabs>
          <w:tab w:val="left" w:pos="851"/>
          <w:tab w:val="left" w:pos="5245"/>
          <w:tab w:val="left" w:pos="7371"/>
          <w:tab w:val="left" w:pos="7655"/>
        </w:tabs>
        <w:spacing w:before="240" w:after="240"/>
        <w:jc w:val="both"/>
        <w:rPr>
          <w:rFonts w:ascii="Arial" w:hAnsi="Arial" w:cs="Arial"/>
        </w:rPr>
      </w:pPr>
    </w:p>
    <w:p>
      <w:pPr>
        <w:tabs>
          <w:tab w:val="left" w:pos="851"/>
          <w:tab w:val="left" w:pos="5245"/>
          <w:tab w:val="left" w:pos="7371"/>
          <w:tab w:val="left" w:pos="7655"/>
        </w:tabs>
        <w:spacing w:before="240" w:after="240"/>
        <w:jc w:val="both"/>
        <w:rPr>
          <w:rFonts w:ascii="Arial" w:hAnsi="Arial" w:cs="Arial"/>
        </w:rPr>
      </w:pPr>
      <w:r>
        <w:rPr>
          <w:rFonts w:ascii="Arial" w:hAnsi="Arial" w:cs="Arial"/>
        </w:rPr>
        <w:tab/>
        <w:t xml:space="preserve"> </w:t>
      </w:r>
    </w:p>
    <w:p>
      <w:pPr>
        <w:tabs>
          <w:tab w:val="left" w:pos="851"/>
        </w:tabs>
        <w:ind w:left="4820"/>
        <w:jc w:val="center"/>
        <w:rPr>
          <w:rFonts w:ascii="Arial" w:hAnsi="Arial" w:cs="Arial"/>
        </w:rPr>
      </w:pPr>
    </w:p>
    <w:p>
      <w:pPr>
        <w:tabs>
          <w:tab w:val="left" w:pos="851"/>
        </w:tabs>
        <w:ind w:left="4820"/>
        <w:jc w:val="center"/>
        <w:rPr>
          <w:rFonts w:ascii="Arial" w:hAnsi="Arial" w:cs="Arial"/>
        </w:rPr>
        <w:sectPr>
          <w:footerReference w:type="default" r:id="rId14"/>
          <w:headerReference w:type="first" r:id="rId15"/>
          <w:footerReference w:type="first" r:id="rId16"/>
          <w:pgSz w:w="11906" w:h="16838"/>
          <w:pgMar w:top="1417" w:right="1417" w:bottom="1417" w:left="1417" w:header="709" w:footer="454" w:gutter="0"/>
          <w:cols w:space="708"/>
          <w:titlePg/>
          <w:docGrid w:linePitch="360"/>
        </w:sectPr>
      </w:pPr>
    </w:p>
    <w:p>
      <w:pPr>
        <w:widowControl w:val="0"/>
        <w:spacing w:after="120"/>
        <w:jc w:val="center"/>
        <w:rPr>
          <w:rFonts w:ascii="Arial" w:hAnsi="Arial"/>
          <w:b/>
          <w:sz w:val="28"/>
          <w:u w:val="single"/>
        </w:rPr>
      </w:pPr>
      <w:r>
        <w:rPr>
          <w:rFonts w:ascii="Arial" w:hAnsi="Arial"/>
          <w:b/>
          <w:sz w:val="28"/>
          <w:u w:val="single"/>
        </w:rPr>
        <w:lastRenderedPageBreak/>
        <w:t>Annexe 1 : CONVENTION D’INTERCHANGE relative au service d’échange électronique de Gestion Financière des Marchés - EDIFLEX</w:t>
      </w:r>
    </w:p>
    <w:p>
      <w:pPr>
        <w:widowControl w:val="0"/>
        <w:spacing w:after="120"/>
        <w:jc w:val="center"/>
        <w:rPr>
          <w:rFonts w:ascii="Arial" w:hAnsi="Arial"/>
          <w:sz w:val="36"/>
        </w:rPr>
      </w:pPr>
    </w:p>
    <w:p>
      <w:pPr>
        <w:pBdr>
          <w:bottom w:val="single" w:sz="4" w:space="1" w:color="31849B"/>
        </w:pBdr>
        <w:rPr>
          <w:rFonts w:ascii="Arial" w:hAnsi="Arial" w:cs="Arial"/>
          <w:color w:val="31849B"/>
        </w:rPr>
      </w:pPr>
      <w:r>
        <w:rPr>
          <w:rFonts w:ascii="Arial" w:hAnsi="Arial" w:cs="Arial"/>
          <w:b/>
          <w:color w:val="31849B"/>
        </w:rPr>
        <w:t>1 - OBJET DE LA PRESENTE CONVENTION D'INTERCHANGE</w:t>
      </w:r>
    </w:p>
    <w:p>
      <w:pPr>
        <w:jc w:val="both"/>
        <w:rPr>
          <w:rFonts w:ascii="Arial" w:hAnsi="Arial" w:cs="Arial"/>
        </w:rPr>
      </w:pPr>
    </w:p>
    <w:p>
      <w:pPr>
        <w:tabs>
          <w:tab w:val="left" w:pos="2160"/>
        </w:tabs>
        <w:spacing w:after="100" w:afterAutospacing="1" w:line="240" w:lineRule="exact"/>
        <w:ind w:left="567" w:right="51"/>
        <w:outlineLvl w:val="0"/>
        <w:rPr>
          <w:rFonts w:ascii="Arial" w:hAnsi="Arial" w:cs="Arial"/>
        </w:rPr>
      </w:pPr>
      <w:r>
        <w:rPr>
          <w:rFonts w:ascii="Arial" w:hAnsi="Arial" w:cs="Arial"/>
        </w:rPr>
        <w:t xml:space="preserve">La présente convention fixe un cadre juridique à l'utilisation du service électronique de traitement, d'archivage et d'échange d'information EDIFLEX mis en œuvre pour </w:t>
      </w:r>
      <w:r>
        <w:rPr>
          <w:rFonts w:ascii="Arial" w:hAnsi="Arial" w:cs="Arial"/>
          <w:b/>
        </w:rPr>
        <w:t xml:space="preserve">la gestion dématérialisée de la facturation des marchés de Prestations Intellectuelles </w:t>
      </w:r>
      <w:r>
        <w:rPr>
          <w:rFonts w:ascii="Arial" w:hAnsi="Arial" w:cs="Arial"/>
        </w:rPr>
        <w:t xml:space="preserve">par la société EPICTURE en accord avec le Maître d’Ouvrage « ETAT – Ministère de l’Economie et des Finances – Ministère de l’Action et des Comptes publics/Secrétariat Général/SIEP/BIMO/Antenne immobilière de Strasbourg »  sur l’opération « travaux </w:t>
      </w:r>
      <w:r>
        <w:rPr>
          <w:rFonts w:ascii="Arial" w:hAnsi="Arial" w:cs="Arial"/>
          <w:color w:val="000000"/>
        </w:rPr>
        <w:t>vue de la création d’une Maison de l’Etat à Toul (54200)</w:t>
      </w:r>
      <w:r>
        <w:rPr>
          <w:rFonts w:ascii="Arial" w:hAnsi="Arial" w:cs="Arial"/>
        </w:rPr>
        <w:t>.».</w:t>
      </w:r>
    </w:p>
    <w:p>
      <w:pPr>
        <w:spacing w:line="360" w:lineRule="auto"/>
        <w:rPr>
          <w:rFonts w:ascii="Arial" w:hAnsi="Arial" w:cs="Arial"/>
          <w:b/>
          <w:u w:val="single"/>
        </w:rPr>
      </w:pPr>
      <w:r>
        <w:rPr>
          <w:rFonts w:ascii="Arial" w:hAnsi="Arial" w:cs="Arial"/>
          <w:b/>
          <w:u w:val="single"/>
        </w:rPr>
        <w:t xml:space="preserve">CONTACT EPICTURE : </w:t>
      </w:r>
    </w:p>
    <w:p>
      <w:pPr>
        <w:spacing w:line="360" w:lineRule="auto"/>
        <w:rPr>
          <w:rFonts w:ascii="Arial" w:hAnsi="Arial" w:cs="Arial"/>
        </w:rPr>
      </w:pPr>
      <w:r>
        <w:rPr>
          <w:rFonts w:ascii="Arial" w:hAnsi="Arial" w:cs="Arial"/>
        </w:rPr>
        <w:t xml:space="preserve">Jean-Sébastien LELEU </w:t>
      </w:r>
    </w:p>
    <w:p>
      <w:pPr>
        <w:spacing w:line="360" w:lineRule="auto"/>
        <w:rPr>
          <w:rFonts w:ascii="Arial" w:hAnsi="Arial" w:cs="Arial"/>
        </w:rPr>
      </w:pPr>
      <w:r>
        <w:rPr>
          <w:rFonts w:ascii="Arial" w:hAnsi="Arial" w:cs="Arial"/>
        </w:rPr>
        <w:t xml:space="preserve">01 44 41 02 24 </w:t>
      </w:r>
      <w:r>
        <w:rPr>
          <w:rFonts w:ascii="Arial" w:hAnsi="Arial" w:cs="Arial"/>
        </w:rPr>
        <w:tab/>
      </w:r>
      <w:r>
        <w:rPr>
          <w:rFonts w:ascii="Arial" w:hAnsi="Arial" w:cs="Arial"/>
        </w:rPr>
        <w:tab/>
      </w:r>
    </w:p>
    <w:p>
      <w:pPr>
        <w:spacing w:line="360" w:lineRule="auto"/>
        <w:rPr>
          <w:rFonts w:ascii="Arial" w:hAnsi="Arial" w:cs="Arial"/>
        </w:rPr>
      </w:pPr>
      <w:hyperlink r:id="rId17" w:history="1">
        <w:r>
          <w:rPr>
            <w:rFonts w:ascii="Arial" w:hAnsi="Arial" w:cs="Arial"/>
            <w:color w:val="0563C1"/>
            <w:u w:val="single"/>
          </w:rPr>
          <w:t>support@epicture.fr</w:t>
        </w:r>
      </w:hyperlink>
    </w:p>
    <w:p>
      <w:pPr>
        <w:rPr>
          <w:rFonts w:ascii="Arial" w:hAnsi="Arial" w:cs="Arial"/>
        </w:rPr>
      </w:pPr>
      <w:r>
        <w:rPr>
          <w:rFonts w:ascii="Arial" w:hAnsi="Arial" w:cs="Arial"/>
          <w:b/>
        </w:rPr>
        <w:t>Objectifs du service EDIFLEX :</w:t>
      </w:r>
      <w:r>
        <w:rPr>
          <w:rFonts w:ascii="Arial" w:hAnsi="Arial" w:cs="Arial"/>
        </w:rPr>
        <w:t xml:space="preserve"> </w:t>
      </w:r>
    </w:p>
    <w:p>
      <w:pPr>
        <w:numPr>
          <w:ilvl w:val="0"/>
          <w:numId w:val="18"/>
        </w:numPr>
        <w:ind w:left="1418" w:hanging="425"/>
        <w:jc w:val="both"/>
        <w:rPr>
          <w:rFonts w:ascii="Arial" w:hAnsi="Arial" w:cs="Arial"/>
        </w:rPr>
      </w:pPr>
      <w:r>
        <w:rPr>
          <w:rFonts w:ascii="Arial" w:hAnsi="Arial" w:cs="Arial"/>
          <w:u w:val="single"/>
        </w:rPr>
        <w:t>Gagner 2 à 3 semaines sur le circuit des documents</w:t>
      </w:r>
      <w:r>
        <w:rPr>
          <w:rFonts w:ascii="Arial" w:hAnsi="Arial" w:cs="Arial"/>
        </w:rPr>
        <w:t xml:space="preserve"> afin que le service financier du Maître d'ouvrage en dispose dans les meilleurs délais et que les entreprises connaissent aussitôt les montants acceptés en paiement, </w:t>
      </w:r>
    </w:p>
    <w:p>
      <w:pPr>
        <w:numPr>
          <w:ilvl w:val="0"/>
          <w:numId w:val="18"/>
        </w:numPr>
        <w:ind w:left="1418" w:hanging="425"/>
        <w:jc w:val="both"/>
        <w:rPr>
          <w:rFonts w:ascii="Arial" w:hAnsi="Arial" w:cs="Arial"/>
        </w:rPr>
      </w:pPr>
      <w:r>
        <w:rPr>
          <w:rFonts w:ascii="Arial" w:hAnsi="Arial" w:cs="Arial"/>
          <w:u w:val="single"/>
        </w:rPr>
        <w:t>Eviter les litiges ou retards</w:t>
      </w:r>
      <w:r>
        <w:rPr>
          <w:rFonts w:ascii="Arial" w:hAnsi="Arial" w:cs="Arial"/>
        </w:rPr>
        <w:t xml:space="preserve"> : </w:t>
      </w:r>
    </w:p>
    <w:p>
      <w:pPr>
        <w:numPr>
          <w:ilvl w:val="0"/>
          <w:numId w:val="20"/>
        </w:numPr>
        <w:jc w:val="both"/>
        <w:rPr>
          <w:rFonts w:ascii="Arial" w:hAnsi="Arial" w:cs="Arial"/>
        </w:rPr>
      </w:pPr>
      <w:proofErr w:type="gramStart"/>
      <w:r>
        <w:rPr>
          <w:rFonts w:ascii="Arial" w:hAnsi="Arial" w:cs="Arial"/>
        </w:rPr>
        <w:t>en</w:t>
      </w:r>
      <w:proofErr w:type="gramEnd"/>
      <w:r>
        <w:rPr>
          <w:rFonts w:ascii="Arial" w:hAnsi="Arial" w:cs="Arial"/>
        </w:rPr>
        <w:t xml:space="preserve"> sécurisant le calcul des montants financiers par le respect des conditions financières des marchés et des règles en vigueur dans les marchés publics, </w:t>
      </w:r>
    </w:p>
    <w:p>
      <w:pPr>
        <w:numPr>
          <w:ilvl w:val="0"/>
          <w:numId w:val="20"/>
        </w:numPr>
        <w:jc w:val="both"/>
        <w:rPr>
          <w:rFonts w:ascii="Arial" w:hAnsi="Arial" w:cs="Arial"/>
        </w:rPr>
      </w:pPr>
      <w:proofErr w:type="gramStart"/>
      <w:r>
        <w:rPr>
          <w:rFonts w:ascii="Arial" w:hAnsi="Arial" w:cs="Arial"/>
        </w:rPr>
        <w:t>en</w:t>
      </w:r>
      <w:proofErr w:type="gramEnd"/>
      <w:r>
        <w:rPr>
          <w:rFonts w:ascii="Arial" w:hAnsi="Arial" w:cs="Arial"/>
        </w:rPr>
        <w:t xml:space="preserve"> uniformisant la présentation des documents, </w:t>
      </w:r>
    </w:p>
    <w:p>
      <w:pPr>
        <w:numPr>
          <w:ilvl w:val="0"/>
          <w:numId w:val="20"/>
        </w:numPr>
        <w:jc w:val="both"/>
        <w:rPr>
          <w:rFonts w:ascii="Arial" w:hAnsi="Arial" w:cs="Arial"/>
        </w:rPr>
      </w:pPr>
      <w:proofErr w:type="gramStart"/>
      <w:r>
        <w:rPr>
          <w:rFonts w:ascii="Arial" w:hAnsi="Arial" w:cs="Arial"/>
        </w:rPr>
        <w:t>en</w:t>
      </w:r>
      <w:proofErr w:type="gramEnd"/>
      <w:r>
        <w:rPr>
          <w:rFonts w:ascii="Arial" w:hAnsi="Arial" w:cs="Arial"/>
        </w:rPr>
        <w:t xml:space="preserve"> permettant à chacun de suivre sur écran les documents qui le concernent dans la chaîne des intervenants, </w:t>
      </w:r>
    </w:p>
    <w:p>
      <w:pPr>
        <w:numPr>
          <w:ilvl w:val="0"/>
          <w:numId w:val="18"/>
        </w:numPr>
        <w:ind w:left="1418" w:hanging="425"/>
        <w:jc w:val="both"/>
        <w:rPr>
          <w:rFonts w:ascii="Arial" w:hAnsi="Arial" w:cs="Arial"/>
        </w:rPr>
      </w:pPr>
      <w:r>
        <w:rPr>
          <w:rFonts w:ascii="Arial" w:hAnsi="Arial" w:cs="Arial"/>
          <w:u w:val="single"/>
        </w:rPr>
        <w:t>Réduire les coûts de gestion administrative</w:t>
      </w:r>
      <w:r>
        <w:rPr>
          <w:rFonts w:ascii="Arial" w:hAnsi="Arial" w:cs="Arial"/>
        </w:rPr>
        <w:t xml:space="preserve"> des situations de travaux pour tous les acteurs. </w:t>
      </w:r>
    </w:p>
    <w:p>
      <w:pPr>
        <w:ind w:left="1418"/>
        <w:jc w:val="both"/>
        <w:rPr>
          <w:rFonts w:ascii="Arial" w:hAnsi="Arial" w:cs="Arial"/>
        </w:rPr>
      </w:pPr>
    </w:p>
    <w:p>
      <w:pPr>
        <w:pBdr>
          <w:bottom w:val="single" w:sz="4" w:space="1" w:color="31849B"/>
        </w:pBdr>
        <w:rPr>
          <w:rFonts w:ascii="Arial" w:hAnsi="Arial" w:cs="Arial"/>
          <w:b/>
          <w:color w:val="31849B"/>
        </w:rPr>
      </w:pPr>
      <w:r>
        <w:rPr>
          <w:rFonts w:ascii="Arial" w:hAnsi="Arial" w:cs="Arial"/>
          <w:b/>
          <w:color w:val="31849B"/>
        </w:rPr>
        <w:t>2 - PARTIES CONCERNEES</w:t>
      </w:r>
    </w:p>
    <w:p>
      <w:pPr>
        <w:jc w:val="both"/>
        <w:rPr>
          <w:rFonts w:ascii="Arial" w:hAnsi="Arial" w:cs="Arial"/>
        </w:rPr>
      </w:pPr>
      <w:r>
        <w:rPr>
          <w:rFonts w:ascii="Arial" w:hAnsi="Arial" w:cs="Arial"/>
        </w:rPr>
        <w:t>Les parties ci-dessous désignées conviennent des dispositions arrêtées dans la présente convention :</w:t>
      </w:r>
    </w:p>
    <w:p>
      <w:pPr>
        <w:ind w:firstLine="708"/>
        <w:jc w:val="both"/>
        <w:rPr>
          <w:rFonts w:ascii="Arial" w:hAnsi="Arial" w:cs="Arial"/>
        </w:rPr>
      </w:pPr>
      <w:r>
        <w:rPr>
          <w:rFonts w:ascii="Arial" w:hAnsi="Arial" w:cs="Arial"/>
        </w:rPr>
        <w:t>▪ Le Maître d'ouvrage,</w:t>
      </w:r>
    </w:p>
    <w:p>
      <w:pPr>
        <w:ind w:firstLine="708"/>
        <w:jc w:val="both"/>
        <w:rPr>
          <w:rFonts w:ascii="Arial" w:hAnsi="Arial" w:cs="Arial"/>
        </w:rPr>
      </w:pPr>
      <w:r>
        <w:rPr>
          <w:rFonts w:ascii="Arial" w:hAnsi="Arial" w:cs="Arial"/>
        </w:rPr>
        <w:t>▪ Les prestataires intellectuels (mandataire et cotraitants)</w:t>
      </w:r>
    </w:p>
    <w:p>
      <w:pPr>
        <w:ind w:firstLine="708"/>
        <w:jc w:val="both"/>
        <w:rPr>
          <w:rFonts w:ascii="Arial" w:hAnsi="Arial" w:cs="Arial"/>
        </w:rPr>
      </w:pPr>
    </w:p>
    <w:p>
      <w:pPr>
        <w:pBdr>
          <w:bottom w:val="single" w:sz="4" w:space="1" w:color="31849B"/>
        </w:pBdr>
        <w:rPr>
          <w:rFonts w:ascii="Arial" w:hAnsi="Arial" w:cs="Arial"/>
          <w:b/>
          <w:color w:val="31849B"/>
        </w:rPr>
      </w:pPr>
      <w:r>
        <w:rPr>
          <w:rFonts w:ascii="Arial" w:hAnsi="Arial" w:cs="Arial"/>
          <w:b/>
          <w:color w:val="31849B"/>
        </w:rPr>
        <w:t>3 - MODALITES</w:t>
      </w:r>
    </w:p>
    <w:p>
      <w:pPr>
        <w:jc w:val="both"/>
        <w:rPr>
          <w:rFonts w:ascii="Arial" w:hAnsi="Arial" w:cs="Arial"/>
        </w:rPr>
      </w:pPr>
      <w:r>
        <w:rPr>
          <w:rFonts w:ascii="Arial" w:hAnsi="Arial" w:cs="Arial"/>
        </w:rPr>
        <w:t>La présente convention prend effet à la date de notification des marchés de prestations intellectuelles.</w:t>
      </w:r>
    </w:p>
    <w:p>
      <w:pPr>
        <w:jc w:val="both"/>
        <w:rPr>
          <w:rFonts w:ascii="Arial" w:hAnsi="Arial" w:cs="Arial"/>
        </w:rPr>
      </w:pPr>
      <w:r>
        <w:rPr>
          <w:rFonts w:ascii="Arial" w:hAnsi="Arial" w:cs="Arial"/>
        </w:rPr>
        <w:t>Cette annexe prévaut aux articles du CCAG énoncés à la fin des présentes, liste non limitative.</w:t>
      </w:r>
    </w:p>
    <w:p>
      <w:pPr>
        <w:jc w:val="both"/>
        <w:rPr>
          <w:rFonts w:ascii="Arial" w:hAnsi="Arial" w:cs="Arial"/>
        </w:rPr>
      </w:pPr>
    </w:p>
    <w:p>
      <w:pPr>
        <w:pBdr>
          <w:bottom w:val="single" w:sz="4" w:space="1" w:color="31849B"/>
        </w:pBdr>
        <w:rPr>
          <w:rFonts w:ascii="Arial" w:hAnsi="Arial" w:cs="Arial"/>
          <w:b/>
          <w:color w:val="31849B"/>
        </w:rPr>
      </w:pPr>
      <w:r>
        <w:rPr>
          <w:rFonts w:ascii="Arial" w:hAnsi="Arial" w:cs="Arial"/>
          <w:b/>
          <w:color w:val="31849B"/>
        </w:rPr>
        <w:t>4 - OBJET DU SERVICE</w:t>
      </w:r>
    </w:p>
    <w:p>
      <w:pPr>
        <w:jc w:val="both"/>
        <w:rPr>
          <w:rFonts w:ascii="Arial" w:hAnsi="Arial" w:cs="Arial"/>
        </w:rPr>
      </w:pPr>
      <w:r>
        <w:rPr>
          <w:rFonts w:ascii="Arial" w:hAnsi="Arial" w:cs="Arial"/>
        </w:rPr>
        <w:t xml:space="preserve">Sur leur terminal raccordé au service, les représentants des parties concernées, ci-après dénommés les abonnés, gèrent les informations suivantes : </w:t>
      </w:r>
    </w:p>
    <w:p>
      <w:pPr>
        <w:spacing w:line="360" w:lineRule="auto"/>
        <w:jc w:val="both"/>
        <w:rPr>
          <w:rFonts w:ascii="Arial" w:hAnsi="Arial" w:cs="Arial"/>
        </w:rPr>
      </w:pPr>
    </w:p>
    <w:p>
      <w:pPr>
        <w:jc w:val="both"/>
        <w:rPr>
          <w:rFonts w:ascii="Arial" w:hAnsi="Arial" w:cs="Arial"/>
        </w:rPr>
      </w:pPr>
    </w:p>
    <w:p>
      <w:pPr>
        <w:jc w:val="both"/>
        <w:rPr>
          <w:rFonts w:ascii="Arial" w:hAnsi="Arial" w:cs="Arial"/>
        </w:rPr>
      </w:pPr>
    </w:p>
    <w:p>
      <w:pPr>
        <w:ind w:left="360" w:hanging="360"/>
        <w:jc w:val="both"/>
        <w:rPr>
          <w:rFonts w:ascii="Arial" w:hAnsi="Arial" w:cs="Arial"/>
          <w:b/>
        </w:rPr>
      </w:pPr>
      <w:r>
        <w:rPr>
          <w:rFonts w:ascii="Arial" w:hAnsi="Arial" w:cs="Arial"/>
          <w:b/>
        </w:rPr>
        <w:t>4.1    Le Maître d'Ouvrage</w:t>
      </w:r>
    </w:p>
    <w:p>
      <w:pPr>
        <w:numPr>
          <w:ilvl w:val="0"/>
          <w:numId w:val="19"/>
        </w:numPr>
        <w:ind w:left="709" w:hanging="142"/>
        <w:jc w:val="both"/>
        <w:rPr>
          <w:rFonts w:ascii="Arial" w:hAnsi="Arial" w:cs="Arial"/>
        </w:rPr>
      </w:pPr>
      <w:r>
        <w:rPr>
          <w:rFonts w:ascii="Arial" w:hAnsi="Arial" w:cs="Arial"/>
        </w:rPr>
        <w:t xml:space="preserve">Administrateur du service Ediflex, il enregistre la fiche d’identité des intervenants et vérifie les index de révision utilisés dans les marchés. </w:t>
      </w:r>
    </w:p>
    <w:p>
      <w:pPr>
        <w:numPr>
          <w:ilvl w:val="0"/>
          <w:numId w:val="19"/>
        </w:numPr>
        <w:ind w:left="709" w:hanging="142"/>
        <w:jc w:val="both"/>
        <w:rPr>
          <w:rFonts w:ascii="Arial" w:hAnsi="Arial" w:cs="Arial"/>
        </w:rPr>
      </w:pPr>
      <w:r>
        <w:rPr>
          <w:rFonts w:ascii="Arial" w:hAnsi="Arial" w:cs="Arial"/>
        </w:rPr>
        <w:t>Responsable des marchés, il abonne les intervenants concernés puis enregistre les conditions financières des marchés des entreprises (marché initial, avenants éventuels, prestations modificatives et sous-traitants en paiement direct).</w:t>
      </w:r>
    </w:p>
    <w:p>
      <w:pPr>
        <w:numPr>
          <w:ilvl w:val="0"/>
          <w:numId w:val="19"/>
        </w:numPr>
        <w:ind w:left="709" w:hanging="142"/>
        <w:jc w:val="both"/>
        <w:rPr>
          <w:rFonts w:ascii="Arial" w:hAnsi="Arial" w:cs="Arial"/>
        </w:rPr>
      </w:pPr>
      <w:r>
        <w:rPr>
          <w:rFonts w:ascii="Arial" w:hAnsi="Arial" w:cs="Arial"/>
        </w:rPr>
        <w:lastRenderedPageBreak/>
        <w:t>Il valide les DPGF des prestataires intellectuels (Décompositions du Prix Global et Forfaitaire des marchés) ou les bordereaux de prix (marchés à prix unitaires).</w:t>
      </w:r>
    </w:p>
    <w:p>
      <w:pPr>
        <w:numPr>
          <w:ilvl w:val="0"/>
          <w:numId w:val="19"/>
        </w:numPr>
        <w:ind w:left="709" w:hanging="142"/>
        <w:jc w:val="both"/>
        <w:rPr>
          <w:rFonts w:ascii="Arial" w:hAnsi="Arial" w:cs="Arial"/>
        </w:rPr>
      </w:pPr>
      <w:r>
        <w:rPr>
          <w:rFonts w:ascii="Arial" w:hAnsi="Arial" w:cs="Arial"/>
        </w:rPr>
        <w:t>Il vérifie et valide les demandes d’acompte avant de les éditer pour mise en paiement.</w:t>
      </w:r>
    </w:p>
    <w:p>
      <w:pPr>
        <w:jc w:val="both"/>
        <w:rPr>
          <w:rFonts w:ascii="Arial" w:hAnsi="Arial" w:cs="Arial"/>
          <w:b/>
        </w:rPr>
      </w:pPr>
      <w:r>
        <w:rPr>
          <w:rFonts w:ascii="Arial" w:hAnsi="Arial" w:cs="Arial"/>
          <w:b/>
        </w:rPr>
        <w:t>4.2   Les prestataires intellectuels</w:t>
      </w:r>
    </w:p>
    <w:p>
      <w:pPr>
        <w:numPr>
          <w:ilvl w:val="0"/>
          <w:numId w:val="19"/>
        </w:numPr>
        <w:ind w:left="709" w:hanging="142"/>
        <w:jc w:val="both"/>
        <w:rPr>
          <w:rFonts w:ascii="Arial" w:hAnsi="Arial" w:cs="Arial"/>
        </w:rPr>
      </w:pPr>
      <w:r>
        <w:rPr>
          <w:rFonts w:ascii="Arial" w:hAnsi="Arial" w:cs="Arial"/>
        </w:rPr>
        <w:t>Ils consultent les conditions financières de leur marché puis enregistrent sur écran les DPGF (Décomposition du Prix Global et Forfaitaire) ou les bordereaux de prix correspondant à leur corps d’état en accord avec le Maître d’ouvrage ceci pour leur marché initial et les éventuels avenants ou prestations supplémentaires.</w:t>
      </w:r>
    </w:p>
    <w:p>
      <w:pPr>
        <w:numPr>
          <w:ilvl w:val="0"/>
          <w:numId w:val="19"/>
        </w:numPr>
        <w:ind w:left="709" w:hanging="142"/>
        <w:jc w:val="both"/>
        <w:rPr>
          <w:rFonts w:ascii="Arial" w:hAnsi="Arial" w:cs="Arial"/>
        </w:rPr>
      </w:pPr>
      <w:r>
        <w:rPr>
          <w:rFonts w:ascii="Arial" w:hAnsi="Arial" w:cs="Arial"/>
        </w:rPr>
        <w:t>Ils présentent leurs situations par saisie de leurs avancements et des montants à payer à leurs sous-traitants.</w:t>
      </w:r>
    </w:p>
    <w:p>
      <w:pPr>
        <w:numPr>
          <w:ilvl w:val="0"/>
          <w:numId w:val="19"/>
        </w:numPr>
        <w:ind w:left="709" w:hanging="142"/>
        <w:jc w:val="both"/>
        <w:rPr>
          <w:rFonts w:ascii="Arial" w:hAnsi="Arial" w:cs="Arial"/>
        </w:rPr>
      </w:pPr>
      <w:r>
        <w:rPr>
          <w:rFonts w:ascii="Arial" w:hAnsi="Arial" w:cs="Arial"/>
        </w:rPr>
        <w:t>Si nécessaire, ils signent les documents papier « Attestation de Paiement Direct » concernant les sous-traitants.</w:t>
      </w:r>
    </w:p>
    <w:p>
      <w:pPr>
        <w:numPr>
          <w:ilvl w:val="0"/>
          <w:numId w:val="19"/>
        </w:numPr>
        <w:ind w:left="709" w:hanging="142"/>
        <w:jc w:val="both"/>
        <w:rPr>
          <w:rFonts w:ascii="Arial" w:hAnsi="Arial" w:cs="Arial"/>
        </w:rPr>
      </w:pPr>
      <w:r>
        <w:rPr>
          <w:rFonts w:ascii="Arial" w:hAnsi="Arial" w:cs="Arial"/>
        </w:rPr>
        <w:t xml:space="preserve">S’il s’agit d’une entreprise mandataire d’un groupement, celle-ci vérifie les situations présentées par ses cotraitants. </w:t>
      </w:r>
    </w:p>
    <w:p>
      <w:pPr>
        <w:jc w:val="both"/>
        <w:rPr>
          <w:rFonts w:ascii="Arial" w:hAnsi="Arial" w:cs="Arial"/>
        </w:rPr>
      </w:pPr>
      <w:r>
        <w:rPr>
          <w:rFonts w:ascii="Arial" w:hAnsi="Arial" w:cs="Arial"/>
        </w:rPr>
        <w:t>NB : les cotraitants d’un groupement d’entreprise doivent disposer d’un accès au service lorsque les paiements ne sont pas effectués vers un compte bancaire unique pour le groupement.</w:t>
      </w:r>
    </w:p>
    <w:p>
      <w:pPr>
        <w:jc w:val="both"/>
        <w:rPr>
          <w:rFonts w:ascii="Arial" w:hAnsi="Arial" w:cs="Arial"/>
          <w:b/>
        </w:rPr>
      </w:pPr>
      <w:r>
        <w:rPr>
          <w:rFonts w:ascii="Arial" w:hAnsi="Arial" w:cs="Arial"/>
          <w:b/>
        </w:rPr>
        <w:t xml:space="preserve">4.3   Dates de saisie des données </w:t>
      </w:r>
    </w:p>
    <w:p>
      <w:pPr>
        <w:numPr>
          <w:ilvl w:val="0"/>
          <w:numId w:val="19"/>
        </w:numPr>
        <w:ind w:left="709" w:hanging="142"/>
        <w:jc w:val="both"/>
        <w:rPr>
          <w:rFonts w:ascii="Arial" w:hAnsi="Arial" w:cs="Arial"/>
        </w:rPr>
      </w:pPr>
      <w:r>
        <w:rPr>
          <w:rFonts w:ascii="Arial" w:hAnsi="Arial" w:cs="Arial"/>
        </w:rPr>
        <w:t xml:space="preserve">Saisie des marchés des prestataires intellectuels par le Maître d'ouvrage dans les 10 jours suivant la notification des marchés ;  </w:t>
      </w:r>
    </w:p>
    <w:p>
      <w:pPr>
        <w:numPr>
          <w:ilvl w:val="0"/>
          <w:numId w:val="19"/>
        </w:numPr>
        <w:ind w:left="709" w:hanging="142"/>
        <w:jc w:val="both"/>
        <w:rPr>
          <w:rFonts w:ascii="Arial" w:hAnsi="Arial" w:cs="Arial"/>
        </w:rPr>
      </w:pPr>
      <w:r>
        <w:rPr>
          <w:rFonts w:ascii="Arial" w:hAnsi="Arial" w:cs="Arial"/>
        </w:rPr>
        <w:t>Mise au point des DPGF de l’entreprise en liaison avec le Maître d’ouvrage, puis saisie des DPGF ou des bordereaux de prix dans les 25 jours suivant la notification du marché ;</w:t>
      </w:r>
    </w:p>
    <w:p>
      <w:pPr>
        <w:numPr>
          <w:ilvl w:val="0"/>
          <w:numId w:val="19"/>
        </w:numPr>
        <w:ind w:left="709" w:hanging="142"/>
        <w:jc w:val="both"/>
        <w:rPr>
          <w:rFonts w:ascii="Arial" w:hAnsi="Arial" w:cs="Arial"/>
        </w:rPr>
      </w:pPr>
      <w:r>
        <w:rPr>
          <w:rFonts w:ascii="Arial" w:hAnsi="Arial" w:cs="Arial"/>
        </w:rPr>
        <w:t xml:space="preserve">Demandes </w:t>
      </w:r>
      <w:proofErr w:type="gramStart"/>
      <w:r>
        <w:rPr>
          <w:rFonts w:ascii="Arial" w:hAnsi="Arial" w:cs="Arial"/>
        </w:rPr>
        <w:t>d’acompte:</w:t>
      </w:r>
      <w:proofErr w:type="gramEnd"/>
      <w:r>
        <w:rPr>
          <w:rFonts w:ascii="Arial" w:hAnsi="Arial" w:cs="Arial"/>
        </w:rPr>
        <w:t xml:space="preserve"> </w:t>
      </w:r>
    </w:p>
    <w:p>
      <w:pPr>
        <w:numPr>
          <w:ilvl w:val="0"/>
          <w:numId w:val="17"/>
        </w:numPr>
        <w:tabs>
          <w:tab w:val="num" w:pos="1080"/>
        </w:tabs>
        <w:ind w:left="1077" w:hanging="357"/>
        <w:jc w:val="both"/>
        <w:rPr>
          <w:rFonts w:ascii="Arial" w:hAnsi="Arial" w:cs="Arial"/>
        </w:rPr>
      </w:pPr>
      <w:r>
        <w:rPr>
          <w:rFonts w:ascii="Arial" w:hAnsi="Arial" w:cs="Arial"/>
        </w:rPr>
        <w:t xml:space="preserve">Les prestataires intellectuels les </w:t>
      </w:r>
      <w:proofErr w:type="gramStart"/>
      <w:r>
        <w:rPr>
          <w:rFonts w:ascii="Arial" w:hAnsi="Arial" w:cs="Arial"/>
        </w:rPr>
        <w:t>présente</w:t>
      </w:r>
      <w:proofErr w:type="gramEnd"/>
      <w:r>
        <w:rPr>
          <w:rFonts w:ascii="Arial" w:hAnsi="Arial" w:cs="Arial"/>
        </w:rPr>
        <w:t xml:space="preserve"> sur les écrans EDIFLEX suivant le calendrier établi par le Maître d’ouvrage,</w:t>
      </w:r>
    </w:p>
    <w:p>
      <w:pPr>
        <w:numPr>
          <w:ilvl w:val="0"/>
          <w:numId w:val="17"/>
        </w:numPr>
        <w:tabs>
          <w:tab w:val="num" w:pos="1080"/>
        </w:tabs>
        <w:ind w:left="1077" w:hanging="357"/>
        <w:jc w:val="both"/>
        <w:rPr>
          <w:rFonts w:ascii="Arial" w:hAnsi="Arial" w:cs="Arial"/>
        </w:rPr>
      </w:pPr>
      <w:r>
        <w:rPr>
          <w:rFonts w:ascii="Arial" w:hAnsi="Arial" w:cs="Arial"/>
        </w:rPr>
        <w:t>Le Maître d'Ouvrage les vérifie et émet son “ avis d'intention de payer ” puis transmet les pièces justificatives à son service financier pour mandatement dans un délai permettant un paiement à J+30.</w:t>
      </w:r>
    </w:p>
    <w:p>
      <w:pPr>
        <w:jc w:val="both"/>
        <w:rPr>
          <w:rFonts w:ascii="Arial" w:hAnsi="Arial" w:cs="Arial"/>
          <w:b/>
        </w:rPr>
      </w:pPr>
      <w:r>
        <w:rPr>
          <w:rFonts w:ascii="Arial" w:hAnsi="Arial" w:cs="Arial"/>
          <w:b/>
        </w:rPr>
        <w:t xml:space="preserve">4.4   Gestion électronique et archivage des informations sur le serveur </w:t>
      </w:r>
    </w:p>
    <w:p>
      <w:pPr>
        <w:jc w:val="both"/>
        <w:rPr>
          <w:rFonts w:ascii="Arial" w:hAnsi="Arial" w:cs="Arial"/>
        </w:rPr>
      </w:pPr>
      <w:r>
        <w:rPr>
          <w:rFonts w:ascii="Arial" w:hAnsi="Arial" w:cs="Arial"/>
        </w:rPr>
        <w:t>Les demandes d’acompte sont archivées sur le serveur EDIFLEX pendant toute la durée du chantier jusqu'à la date de fermeture du service définie à l'article suivant. Les abonnés peuvent télécharger sur leur ordinateur les situations archivées sur le serveur EDIFLEX pour les éditer en local.</w:t>
      </w:r>
    </w:p>
    <w:p>
      <w:pPr>
        <w:jc w:val="both"/>
        <w:rPr>
          <w:rFonts w:ascii="Arial" w:hAnsi="Arial" w:cs="Arial"/>
        </w:rPr>
      </w:pPr>
      <w:r>
        <w:rPr>
          <w:rFonts w:ascii="Arial" w:hAnsi="Arial" w:cs="Arial"/>
        </w:rPr>
        <w:t>C'est la procédure utilisée pour éditer sur papier les pièces justificatives (états d’acompte et décompte général, pièces qui doivent être archivées sur support papier par les intervenants concernés (Equipe de maîtrise d’œuvre, Maître d'ouvrage notamment) dans leur comptabilité selon les exigences légales.</w:t>
      </w:r>
    </w:p>
    <w:p>
      <w:pPr>
        <w:jc w:val="both"/>
        <w:rPr>
          <w:rFonts w:ascii="Arial" w:hAnsi="Arial" w:cs="Arial"/>
          <w:b/>
        </w:rPr>
      </w:pPr>
      <w:r>
        <w:rPr>
          <w:rFonts w:ascii="Arial" w:hAnsi="Arial" w:cs="Arial"/>
          <w:b/>
        </w:rPr>
        <w:t xml:space="preserve">4.5   Ouverture et fermeture du service </w:t>
      </w:r>
    </w:p>
    <w:p>
      <w:pPr>
        <w:jc w:val="both"/>
        <w:rPr>
          <w:rFonts w:ascii="Arial" w:hAnsi="Arial" w:cs="Arial"/>
        </w:rPr>
      </w:pPr>
      <w:r>
        <w:rPr>
          <w:rFonts w:ascii="Arial" w:hAnsi="Arial" w:cs="Arial"/>
        </w:rPr>
        <w:t>Le service est ouvert à partir de la date de notification des marchés ; les abonnés seront alors convoqués à une séance de formation au service EDIFLEX (délai de convocation : 10 jours minimum). Les codes d'accès et mot de passe seront remis aux participants lors de la séance de formation.</w:t>
      </w:r>
    </w:p>
    <w:p>
      <w:pPr>
        <w:jc w:val="both"/>
        <w:rPr>
          <w:rFonts w:ascii="Arial" w:hAnsi="Arial" w:cs="Arial"/>
        </w:rPr>
      </w:pPr>
      <w:r>
        <w:rPr>
          <w:rFonts w:ascii="Arial" w:hAnsi="Arial" w:cs="Arial"/>
        </w:rPr>
        <w:t>La confidentialité est garantie par le mot de passe que l'abonné peut changer à tout moment.</w:t>
      </w:r>
    </w:p>
    <w:p>
      <w:pPr>
        <w:jc w:val="both"/>
        <w:rPr>
          <w:rFonts w:ascii="Arial" w:hAnsi="Arial" w:cs="Arial"/>
          <w:b/>
        </w:rPr>
      </w:pPr>
      <w:r>
        <w:rPr>
          <w:rFonts w:ascii="Arial" w:hAnsi="Arial" w:cs="Arial"/>
        </w:rPr>
        <w:t xml:space="preserve">L'accès au service EDIFLEX sera fermé lorsque le Maître d’ouvrage aura validé et édité les Décomptes Généraux de chaque membre de la maîtrise d’œuvre et qu'il aura transféré les archives stockées sur le serveur EDIFLEX vers son ordinateur. Cette date de fermeture du service EDIFLEX sera confirmée par courrier adressé par le Maître d'ouvrage à la société </w:t>
      </w:r>
      <w:r>
        <w:rPr>
          <w:rFonts w:ascii="Arial" w:hAnsi="Arial" w:cs="Arial"/>
          <w:b/>
        </w:rPr>
        <w:t>EPICTURE.</w:t>
      </w:r>
    </w:p>
    <w:p>
      <w:pPr>
        <w:jc w:val="both"/>
        <w:rPr>
          <w:rFonts w:ascii="Arial" w:hAnsi="Arial" w:cs="Arial"/>
        </w:rPr>
      </w:pPr>
      <w:r>
        <w:rPr>
          <w:rFonts w:ascii="Arial" w:hAnsi="Arial" w:cs="Arial"/>
        </w:rPr>
        <w:t xml:space="preserve">Au-delà de cette fermeture du service, les informations ne seront plus disponibles sur le serveur EDIFLEX. </w:t>
      </w:r>
    </w:p>
    <w:p>
      <w:pPr>
        <w:jc w:val="both"/>
        <w:rPr>
          <w:rFonts w:ascii="Arial" w:hAnsi="Arial" w:cs="Arial"/>
        </w:rPr>
      </w:pPr>
    </w:p>
    <w:p>
      <w:pPr>
        <w:jc w:val="both"/>
        <w:rPr>
          <w:rFonts w:ascii="Arial" w:hAnsi="Arial" w:cs="Arial"/>
          <w:b/>
        </w:rPr>
      </w:pPr>
      <w:r>
        <w:rPr>
          <w:rFonts w:ascii="Arial" w:hAnsi="Arial" w:cs="Arial"/>
          <w:b/>
        </w:rPr>
        <w:t>4.6   Rôle de la société</w:t>
      </w:r>
      <w:r>
        <w:rPr>
          <w:rFonts w:ascii="Arial" w:hAnsi="Arial" w:cs="Arial"/>
        </w:rPr>
        <w:t xml:space="preserve"> </w:t>
      </w:r>
      <w:r>
        <w:rPr>
          <w:rFonts w:ascii="Arial" w:hAnsi="Arial" w:cs="Arial"/>
          <w:b/>
        </w:rPr>
        <w:t>EPICTURE</w:t>
      </w:r>
    </w:p>
    <w:p>
      <w:pPr>
        <w:jc w:val="both"/>
        <w:rPr>
          <w:rFonts w:ascii="Arial" w:hAnsi="Arial" w:cs="Arial"/>
          <w:b/>
        </w:rPr>
      </w:pPr>
    </w:p>
    <w:p>
      <w:pPr>
        <w:jc w:val="both"/>
        <w:rPr>
          <w:rFonts w:ascii="Arial" w:hAnsi="Arial" w:cs="Arial"/>
        </w:rPr>
      </w:pPr>
      <w:proofErr w:type="gramStart"/>
      <w:r>
        <w:rPr>
          <w:rFonts w:ascii="Arial" w:hAnsi="Arial" w:cs="Arial"/>
          <w:b/>
        </w:rPr>
        <w:t xml:space="preserve">4.6.1  </w:t>
      </w:r>
      <w:r>
        <w:rPr>
          <w:rFonts w:ascii="Arial" w:hAnsi="Arial" w:cs="Arial"/>
        </w:rPr>
        <w:t>La</w:t>
      </w:r>
      <w:proofErr w:type="gramEnd"/>
      <w:r>
        <w:rPr>
          <w:rFonts w:ascii="Arial" w:hAnsi="Arial" w:cs="Arial"/>
        </w:rPr>
        <w:t xml:space="preserve"> société </w:t>
      </w:r>
      <w:r>
        <w:rPr>
          <w:rFonts w:ascii="Arial" w:hAnsi="Arial" w:cs="Arial"/>
          <w:b/>
        </w:rPr>
        <w:t>EPICTURE</w:t>
      </w:r>
      <w:r>
        <w:rPr>
          <w:rFonts w:ascii="Arial" w:hAnsi="Arial" w:cs="Arial"/>
        </w:rPr>
        <w:t xml:space="preserve"> exploite le service EDIFLEX et, à ce titre, assure les prestations suivantes : </w:t>
      </w:r>
    </w:p>
    <w:p>
      <w:pPr>
        <w:numPr>
          <w:ilvl w:val="0"/>
          <w:numId w:val="19"/>
        </w:numPr>
        <w:ind w:left="709" w:hanging="142"/>
        <w:jc w:val="both"/>
        <w:rPr>
          <w:rFonts w:ascii="Arial" w:hAnsi="Arial" w:cs="Arial"/>
        </w:rPr>
      </w:pPr>
      <w:r>
        <w:rPr>
          <w:rFonts w:ascii="Arial" w:hAnsi="Arial" w:cs="Arial"/>
        </w:rPr>
        <w:t xml:space="preserve">Maintenance technique du service, suivant les fonctionnalités décrites dans les manuels utilisateurs accessibles en ligne sur le serveur, </w:t>
      </w:r>
    </w:p>
    <w:p>
      <w:pPr>
        <w:numPr>
          <w:ilvl w:val="0"/>
          <w:numId w:val="19"/>
        </w:numPr>
        <w:ind w:left="709" w:hanging="142"/>
        <w:jc w:val="both"/>
        <w:rPr>
          <w:rFonts w:ascii="Arial" w:hAnsi="Arial" w:cs="Arial"/>
        </w:rPr>
      </w:pPr>
      <w:r>
        <w:rPr>
          <w:rFonts w:ascii="Arial" w:hAnsi="Arial" w:cs="Arial"/>
        </w:rPr>
        <w:t xml:space="preserve">Formation des abonnés à l'utilisation du service ; des séances de formation d’une ½ journée seront planifiées en fonction de l’intervention des entreprises. </w:t>
      </w:r>
    </w:p>
    <w:p>
      <w:pPr>
        <w:numPr>
          <w:ilvl w:val="0"/>
          <w:numId w:val="19"/>
        </w:numPr>
        <w:ind w:left="709" w:hanging="142"/>
        <w:jc w:val="both"/>
        <w:rPr>
          <w:rFonts w:ascii="Arial" w:hAnsi="Arial" w:cs="Arial"/>
        </w:rPr>
      </w:pPr>
      <w:r>
        <w:rPr>
          <w:rFonts w:ascii="Arial" w:hAnsi="Arial" w:cs="Arial"/>
        </w:rPr>
        <w:t>Assistance téléphonique pour les abonnés : du lundi au jeudi de 9h00 à 13h00 et 14h00 à 18h00, le vendredi de 9h00 à 13h00 et 14h00 à 17h00). En dehors des heures de bureaux les abonnées peuvent émettre des messages électroniques qui seront traités dès réception pendant les heures de bureau.</w:t>
      </w:r>
    </w:p>
    <w:p>
      <w:pPr>
        <w:ind w:left="709"/>
        <w:jc w:val="both"/>
        <w:rPr>
          <w:rFonts w:ascii="Arial" w:hAnsi="Arial" w:cs="Arial"/>
        </w:rPr>
      </w:pPr>
    </w:p>
    <w:p>
      <w:pPr>
        <w:ind w:left="709"/>
        <w:jc w:val="both"/>
        <w:rPr>
          <w:rFonts w:ascii="Arial" w:hAnsi="Arial" w:cs="Arial"/>
        </w:rPr>
      </w:pPr>
    </w:p>
    <w:p>
      <w:pPr>
        <w:rPr>
          <w:rFonts w:ascii="Arial" w:hAnsi="Arial" w:cs="Arial"/>
          <w:b/>
        </w:rPr>
      </w:pPr>
      <w:proofErr w:type="gramStart"/>
      <w:r>
        <w:rPr>
          <w:rFonts w:ascii="Arial" w:hAnsi="Arial" w:cs="Arial"/>
          <w:b/>
        </w:rPr>
        <w:lastRenderedPageBreak/>
        <w:t>4.6.2  Qualité</w:t>
      </w:r>
      <w:proofErr w:type="gramEnd"/>
      <w:r>
        <w:rPr>
          <w:rFonts w:ascii="Arial" w:hAnsi="Arial" w:cs="Arial"/>
          <w:b/>
        </w:rPr>
        <w:t xml:space="preserve"> de service</w:t>
      </w:r>
    </w:p>
    <w:p>
      <w:pPr>
        <w:jc w:val="both"/>
        <w:rPr>
          <w:rFonts w:ascii="Arial" w:hAnsi="Arial" w:cs="Arial"/>
        </w:rPr>
      </w:pPr>
      <w:r>
        <w:rPr>
          <w:rFonts w:ascii="Arial" w:hAnsi="Arial" w:cs="Arial"/>
        </w:rPr>
        <w:t xml:space="preserve">La société </w:t>
      </w:r>
      <w:r>
        <w:rPr>
          <w:rFonts w:ascii="Arial" w:hAnsi="Arial" w:cs="Arial"/>
          <w:b/>
        </w:rPr>
        <w:t>EPICTURE</w:t>
      </w:r>
      <w:r>
        <w:rPr>
          <w:rFonts w:ascii="Arial" w:hAnsi="Arial" w:cs="Arial"/>
        </w:rPr>
        <w:t xml:space="preserve"> garantit un service accessible en temps partagé sur le serveur tous les jours ouvrables de 7h à 20h (du lundi au vendredi, hors jours fériés), avec un taux minimal de disponibilité supérieur à 95 %.</w:t>
      </w:r>
    </w:p>
    <w:p>
      <w:pPr>
        <w:jc w:val="both"/>
        <w:rPr>
          <w:rFonts w:ascii="Arial" w:hAnsi="Arial" w:cs="Arial"/>
        </w:rPr>
      </w:pPr>
    </w:p>
    <w:p>
      <w:pPr>
        <w:rPr>
          <w:rFonts w:ascii="Arial" w:hAnsi="Arial" w:cs="Arial"/>
        </w:rPr>
      </w:pPr>
      <w:proofErr w:type="gramStart"/>
      <w:r>
        <w:rPr>
          <w:rFonts w:ascii="Arial" w:hAnsi="Arial" w:cs="Arial"/>
          <w:b/>
        </w:rPr>
        <w:t>4.6.3  Obligation</w:t>
      </w:r>
      <w:proofErr w:type="gramEnd"/>
      <w:r>
        <w:rPr>
          <w:rFonts w:ascii="Arial" w:hAnsi="Arial" w:cs="Arial"/>
          <w:b/>
        </w:rPr>
        <w:t xml:space="preserve"> de discrétion</w:t>
      </w:r>
      <w:r>
        <w:rPr>
          <w:rFonts w:ascii="Arial" w:hAnsi="Arial" w:cs="Arial"/>
        </w:rPr>
        <w:t xml:space="preserve"> </w:t>
      </w:r>
    </w:p>
    <w:p>
      <w:pPr>
        <w:jc w:val="both"/>
        <w:rPr>
          <w:rFonts w:ascii="Arial" w:hAnsi="Arial" w:cs="Arial"/>
        </w:rPr>
      </w:pPr>
      <w:r>
        <w:rPr>
          <w:rFonts w:ascii="Arial" w:hAnsi="Arial" w:cs="Arial"/>
        </w:rPr>
        <w:t>Les documents ou renseignements fournis par les abonnés au service, ainsi que les états, études et documents provenant de leur traitement par la société EPICTURE sont couverts par le secret professionnel.</w:t>
      </w:r>
    </w:p>
    <w:p>
      <w:pPr>
        <w:jc w:val="both"/>
        <w:rPr>
          <w:rFonts w:ascii="Arial" w:hAnsi="Arial" w:cs="Arial"/>
        </w:rPr>
      </w:pPr>
      <w:r>
        <w:rPr>
          <w:rFonts w:ascii="Arial" w:hAnsi="Arial" w:cs="Arial"/>
        </w:rPr>
        <w:t>En particulier, aucune communication ne pourra être effectuée à des tiers, sauf autorisation expresse du client. La société EPICTURE s'oblige à respecter de façon absolue cette obligation au secret et à la faire respecter par son personnel.</w:t>
      </w:r>
    </w:p>
    <w:p>
      <w:pPr>
        <w:jc w:val="both"/>
        <w:rPr>
          <w:rFonts w:ascii="Arial" w:hAnsi="Arial" w:cs="Arial"/>
        </w:rPr>
      </w:pPr>
    </w:p>
    <w:p>
      <w:pPr>
        <w:pBdr>
          <w:bottom w:val="single" w:sz="4" w:space="1" w:color="31849B"/>
        </w:pBdr>
        <w:rPr>
          <w:rFonts w:ascii="Arial" w:hAnsi="Arial" w:cs="Arial"/>
          <w:b/>
          <w:color w:val="31849B"/>
        </w:rPr>
      </w:pPr>
      <w:r>
        <w:rPr>
          <w:rFonts w:ascii="Arial" w:hAnsi="Arial" w:cs="Arial"/>
          <w:b/>
          <w:color w:val="31849B"/>
        </w:rPr>
        <w:t xml:space="preserve">5 - TERMINAL D'ACCES AU SERVICE </w:t>
      </w:r>
    </w:p>
    <w:p>
      <w:pPr>
        <w:jc w:val="both"/>
        <w:rPr>
          <w:rFonts w:ascii="Arial" w:hAnsi="Arial" w:cs="Arial"/>
        </w:rPr>
      </w:pPr>
    </w:p>
    <w:p>
      <w:pPr>
        <w:jc w:val="both"/>
        <w:rPr>
          <w:rFonts w:ascii="Arial" w:hAnsi="Arial" w:cs="Arial"/>
        </w:rPr>
      </w:pPr>
      <w:r>
        <w:rPr>
          <w:rFonts w:ascii="Arial" w:hAnsi="Arial" w:cs="Arial"/>
        </w:rPr>
        <w:t xml:space="preserve"> Pour accéder au service, l'abonné devra disposer d’un ordinateur avec accès à INTERNET et d’une adresse électronique.</w:t>
      </w:r>
    </w:p>
    <w:p>
      <w:pPr>
        <w:jc w:val="both"/>
        <w:rPr>
          <w:rFonts w:ascii="Arial" w:hAnsi="Arial" w:cs="Arial"/>
        </w:rPr>
      </w:pPr>
    </w:p>
    <w:p>
      <w:pPr>
        <w:jc w:val="both"/>
        <w:rPr>
          <w:rFonts w:ascii="Arial" w:hAnsi="Arial" w:cs="Arial"/>
        </w:rPr>
      </w:pPr>
    </w:p>
    <w:p>
      <w:pPr>
        <w:pBdr>
          <w:bottom w:val="single" w:sz="4" w:space="1" w:color="31849B"/>
        </w:pBdr>
        <w:rPr>
          <w:rFonts w:ascii="Arial" w:hAnsi="Arial" w:cs="Arial"/>
          <w:b/>
          <w:color w:val="31849B"/>
        </w:rPr>
      </w:pPr>
      <w:r>
        <w:rPr>
          <w:rFonts w:ascii="Arial" w:hAnsi="Arial" w:cs="Arial"/>
          <w:b/>
          <w:color w:val="31849B"/>
        </w:rPr>
        <w:t xml:space="preserve">6 - CONDITIONS GENERALES D'UTILISATION DU SERVICE </w:t>
      </w:r>
    </w:p>
    <w:p>
      <w:pPr>
        <w:jc w:val="both"/>
        <w:rPr>
          <w:rFonts w:ascii="Arial" w:hAnsi="Arial" w:cs="Arial"/>
        </w:rPr>
      </w:pPr>
    </w:p>
    <w:p>
      <w:pPr>
        <w:jc w:val="both"/>
        <w:rPr>
          <w:rFonts w:ascii="Arial" w:hAnsi="Arial" w:cs="Arial"/>
        </w:rPr>
      </w:pPr>
      <w:r>
        <w:rPr>
          <w:rFonts w:ascii="Arial" w:hAnsi="Arial" w:cs="Arial"/>
        </w:rPr>
        <w:t>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w:t>
      </w:r>
    </w:p>
    <w:p>
      <w:pPr>
        <w:jc w:val="both"/>
        <w:rPr>
          <w:rFonts w:ascii="Arial" w:hAnsi="Arial" w:cs="Arial"/>
        </w:rPr>
      </w:pPr>
      <w:r>
        <w:rPr>
          <w:rFonts w:ascii="Arial" w:hAnsi="Arial" w:cs="Arial"/>
        </w:rPr>
        <w:t xml:space="preserve">A cet effet, l'abonné au service reconnaît explicitement par le présent document que : </w:t>
      </w:r>
    </w:p>
    <w:p>
      <w:pPr>
        <w:jc w:val="both"/>
        <w:rPr>
          <w:rFonts w:ascii="Arial" w:hAnsi="Arial" w:cs="Arial"/>
        </w:rPr>
      </w:pPr>
    </w:p>
    <w:p>
      <w:pPr>
        <w:jc w:val="both"/>
        <w:rPr>
          <w:rFonts w:ascii="Arial" w:hAnsi="Arial" w:cs="Arial"/>
          <w:b/>
        </w:rPr>
      </w:pPr>
      <w:r>
        <w:rPr>
          <w:rFonts w:ascii="Arial" w:hAnsi="Arial" w:cs="Arial"/>
          <w:b/>
        </w:rPr>
        <w:t>6.1   Authentification de l'abonné</w:t>
      </w:r>
    </w:p>
    <w:p>
      <w:pPr>
        <w:jc w:val="both"/>
        <w:rPr>
          <w:rFonts w:ascii="Arial" w:hAnsi="Arial" w:cs="Arial"/>
        </w:rPr>
      </w:pPr>
      <w:r>
        <w:rPr>
          <w:rFonts w:ascii="Arial" w:hAnsi="Arial" w:cs="Arial"/>
        </w:rPr>
        <w:t>L'accès au service par son code d'accès et son mot de passe confidentiel implique son authentification vis à vis des informations qu'il émet.</w:t>
      </w:r>
    </w:p>
    <w:p>
      <w:pPr>
        <w:jc w:val="both"/>
        <w:rPr>
          <w:rFonts w:ascii="Arial" w:hAnsi="Arial" w:cs="Arial"/>
        </w:rPr>
      </w:pPr>
    </w:p>
    <w:p>
      <w:pPr>
        <w:jc w:val="both"/>
        <w:rPr>
          <w:rFonts w:ascii="Arial" w:hAnsi="Arial" w:cs="Arial"/>
          <w:b/>
        </w:rPr>
      </w:pPr>
      <w:r>
        <w:rPr>
          <w:rFonts w:ascii="Arial" w:hAnsi="Arial" w:cs="Arial"/>
          <w:b/>
        </w:rPr>
        <w:t xml:space="preserve">6.2   Emission d'information </w:t>
      </w:r>
    </w:p>
    <w:p>
      <w:pPr>
        <w:jc w:val="both"/>
        <w:rPr>
          <w:rFonts w:ascii="Arial" w:hAnsi="Arial" w:cs="Arial"/>
        </w:rPr>
      </w:pPr>
      <w:r>
        <w:rPr>
          <w:rFonts w:ascii="Arial" w:hAnsi="Arial" w:cs="Arial"/>
        </w:rPr>
        <w:t>Les informations qu'il transmet à travers le service lui sont opposables jusqu'à preuve d'un dysfonctionnement du service.</w:t>
      </w:r>
    </w:p>
    <w:p>
      <w:pPr>
        <w:jc w:val="both"/>
        <w:rPr>
          <w:rFonts w:ascii="Arial" w:hAnsi="Arial" w:cs="Arial"/>
        </w:rPr>
      </w:pPr>
      <w:r>
        <w:rPr>
          <w:rFonts w:ascii="Arial" w:hAnsi="Arial" w:cs="Arial"/>
        </w:rPr>
        <w:t>Les validations des marchés et des demandes d’acompte, telles que prévues dans le service EDIFLEX et conformément au circuit de vérification imposé par ce service, valent expression de la volonté de celui qui les a effectuées.</w:t>
      </w:r>
    </w:p>
    <w:p>
      <w:pPr>
        <w:jc w:val="both"/>
        <w:rPr>
          <w:rFonts w:ascii="Arial" w:hAnsi="Arial" w:cs="Arial"/>
        </w:rPr>
      </w:pPr>
    </w:p>
    <w:p>
      <w:pPr>
        <w:jc w:val="both"/>
        <w:rPr>
          <w:rFonts w:ascii="Arial" w:hAnsi="Arial" w:cs="Arial"/>
          <w:b/>
        </w:rPr>
      </w:pPr>
      <w:r>
        <w:rPr>
          <w:rFonts w:ascii="Arial" w:hAnsi="Arial" w:cs="Arial"/>
          <w:b/>
        </w:rPr>
        <w:t>6.3   Réception d'information</w:t>
      </w:r>
    </w:p>
    <w:p>
      <w:pPr>
        <w:jc w:val="both"/>
        <w:rPr>
          <w:rFonts w:ascii="Arial" w:hAnsi="Arial" w:cs="Arial"/>
        </w:rPr>
      </w:pPr>
      <w:r>
        <w:rPr>
          <w:rFonts w:ascii="Arial" w:hAnsi="Arial" w:cs="Arial"/>
        </w:rPr>
        <w:t>Les informations qui sont communiquées à l'abonné à travers le service lui ont été réellement transmises, charge à lui de les consulter en accédant au service sauf constat que cet accès ne lui était matériellement pas possible.</w:t>
      </w:r>
    </w:p>
    <w:p>
      <w:pPr>
        <w:jc w:val="both"/>
        <w:rPr>
          <w:rFonts w:ascii="Arial" w:hAnsi="Arial" w:cs="Arial"/>
        </w:rPr>
      </w:pPr>
      <w:r>
        <w:rPr>
          <w:rFonts w:ascii="Arial" w:hAnsi="Arial" w:cs="Arial"/>
        </w:rPr>
        <w:t xml:space="preserve">Les validations par un intervenant des marchés et des demandes d’acompte, telles que prévues dans le service EDIFLEX et conformément au circuit de vérification imposé par ce service, valent </w:t>
      </w:r>
      <w:proofErr w:type="gramStart"/>
      <w:r>
        <w:rPr>
          <w:rFonts w:ascii="Arial" w:hAnsi="Arial" w:cs="Arial"/>
        </w:rPr>
        <w:t>accusé</w:t>
      </w:r>
      <w:proofErr w:type="gramEnd"/>
      <w:r>
        <w:rPr>
          <w:rFonts w:ascii="Arial" w:hAnsi="Arial" w:cs="Arial"/>
        </w:rPr>
        <w:t xml:space="preserve"> de réception pour l'intervenant suivant.</w:t>
      </w:r>
    </w:p>
    <w:p>
      <w:pPr>
        <w:jc w:val="both"/>
        <w:rPr>
          <w:rFonts w:ascii="Arial" w:hAnsi="Arial" w:cs="Arial"/>
        </w:rPr>
      </w:pPr>
    </w:p>
    <w:p>
      <w:pPr>
        <w:jc w:val="both"/>
        <w:rPr>
          <w:rFonts w:ascii="Arial" w:hAnsi="Arial" w:cs="Arial"/>
          <w:b/>
        </w:rPr>
      </w:pPr>
      <w:bookmarkStart w:id="6" w:name="_Toc531766539"/>
      <w:bookmarkStart w:id="7" w:name="_Toc531766841"/>
      <w:bookmarkStart w:id="8" w:name="_Toc531766986"/>
      <w:r>
        <w:rPr>
          <w:rFonts w:ascii="Arial" w:hAnsi="Arial" w:cs="Arial"/>
          <w:b/>
        </w:rPr>
        <w:t xml:space="preserve">6.4   Edition d'information sur support papier </w:t>
      </w:r>
      <w:bookmarkEnd w:id="6"/>
      <w:bookmarkEnd w:id="7"/>
      <w:bookmarkEnd w:id="8"/>
    </w:p>
    <w:p>
      <w:pPr>
        <w:jc w:val="both"/>
        <w:rPr>
          <w:rFonts w:ascii="Arial" w:hAnsi="Arial" w:cs="Arial"/>
        </w:rPr>
      </w:pPr>
      <w:r>
        <w:rPr>
          <w:rFonts w:ascii="Arial" w:hAnsi="Arial" w:cs="Arial"/>
        </w:rPr>
        <w:t xml:space="preserve">Pour des raisons juridiques, certaines informations archivées dans le serveur pourront nécessiter une édition sur </w:t>
      </w:r>
      <w:proofErr w:type="spellStart"/>
      <w:r>
        <w:rPr>
          <w:rFonts w:ascii="Arial" w:hAnsi="Arial" w:cs="Arial"/>
        </w:rPr>
        <w:t>suport</w:t>
      </w:r>
      <w:proofErr w:type="spellEnd"/>
      <w:r>
        <w:rPr>
          <w:rFonts w:ascii="Arial" w:hAnsi="Arial" w:cs="Arial"/>
        </w:rPr>
        <w:t xml:space="preserve"> papier pour signature, par exemple le décompte général.</w:t>
      </w:r>
    </w:p>
    <w:p>
      <w:pPr>
        <w:jc w:val="both"/>
        <w:rPr>
          <w:rFonts w:ascii="Arial" w:hAnsi="Arial" w:cs="Arial"/>
        </w:rPr>
      </w:pPr>
    </w:p>
    <w:p>
      <w:pPr>
        <w:jc w:val="both"/>
        <w:rPr>
          <w:rFonts w:ascii="Arial" w:hAnsi="Arial" w:cs="Arial"/>
          <w:b/>
        </w:rPr>
      </w:pPr>
      <w:r>
        <w:rPr>
          <w:rFonts w:ascii="Arial" w:hAnsi="Arial" w:cs="Arial"/>
          <w:b/>
        </w:rPr>
        <w:t xml:space="preserve">6.5   Convention sur la preuve </w:t>
      </w:r>
    </w:p>
    <w:p>
      <w:pPr>
        <w:jc w:val="both"/>
        <w:rPr>
          <w:rFonts w:ascii="Arial" w:hAnsi="Arial" w:cs="Arial"/>
        </w:rPr>
      </w:pPr>
      <w:r>
        <w:rPr>
          <w:rFonts w:ascii="Arial" w:hAnsi="Arial" w:cs="Arial"/>
        </w:rPr>
        <w:t xml:space="preserve">Par dérogation aux règles de preuve figurant au Code Civil et par l'application de l'article 109 du Code du Commerce, les parties déclarent que les informations délivrées par le service EDIFLEX de la société </w:t>
      </w:r>
      <w:r>
        <w:rPr>
          <w:rFonts w:ascii="Arial" w:hAnsi="Arial" w:cs="Arial"/>
          <w:b/>
        </w:rPr>
        <w:t>EPICTURE</w:t>
      </w:r>
      <w:r>
        <w:rPr>
          <w:rFonts w:ascii="Arial" w:hAnsi="Arial" w:cs="Arial"/>
        </w:rPr>
        <w:t xml:space="preserve"> font foi entre elles tant qu'aucun écrit contradictoirement </w:t>
      </w:r>
      <w:proofErr w:type="gramStart"/>
      <w:r>
        <w:rPr>
          <w:rFonts w:ascii="Arial" w:hAnsi="Arial" w:cs="Arial"/>
        </w:rPr>
        <w:t>authentifié</w:t>
      </w:r>
      <w:proofErr w:type="gramEnd"/>
      <w:r>
        <w:rPr>
          <w:rFonts w:ascii="Arial" w:hAnsi="Arial" w:cs="Arial"/>
        </w:rPr>
        <w:t>, venant remettre en cause ces informations informatisées, ne sera produit.</w:t>
      </w:r>
    </w:p>
    <w:p>
      <w:pPr>
        <w:jc w:val="both"/>
        <w:rPr>
          <w:rFonts w:ascii="Arial" w:hAnsi="Arial" w:cs="Arial"/>
        </w:rPr>
      </w:pPr>
      <w:r>
        <w:rPr>
          <w:rFonts w:ascii="Arial" w:hAnsi="Arial" w:cs="Arial"/>
        </w:rPr>
        <w:t>En particulier, l’entreprise titulaire d’un marché reconnaît explicitement par le présent document que :</w:t>
      </w:r>
    </w:p>
    <w:p>
      <w:pPr>
        <w:numPr>
          <w:ilvl w:val="0"/>
          <w:numId w:val="19"/>
        </w:numPr>
        <w:ind w:left="709" w:hanging="142"/>
        <w:jc w:val="both"/>
        <w:rPr>
          <w:rFonts w:ascii="Arial" w:hAnsi="Arial" w:cs="Arial"/>
        </w:rPr>
      </w:pPr>
      <w:r>
        <w:rPr>
          <w:rFonts w:ascii="Arial" w:hAnsi="Arial" w:cs="Arial"/>
          <w:u w:val="single"/>
        </w:rPr>
        <w:t>Les attestations de paiement direct de ses sous-traitants, tel qu’éditées par le Maître d’ouvrage à l’aide du service EDIFLEX, sont des documents qui l’engagent, sans nécessité d’une signature manuscrite par l’entreprise titulaire</w:t>
      </w:r>
      <w:r>
        <w:rPr>
          <w:rFonts w:ascii="Arial" w:hAnsi="Arial" w:cs="Arial"/>
        </w:rPr>
        <w:t xml:space="preserve"> dans la mesure où le montant des travaux base marché à payer au sous-traitant n’a pas été modifié par un tiers lors du contrôle de la situation présentée.</w:t>
      </w:r>
    </w:p>
    <w:p>
      <w:pPr>
        <w:numPr>
          <w:ilvl w:val="0"/>
          <w:numId w:val="19"/>
        </w:numPr>
        <w:ind w:left="709" w:hanging="142"/>
        <w:jc w:val="both"/>
        <w:rPr>
          <w:rFonts w:ascii="Arial" w:hAnsi="Arial" w:cs="Arial"/>
        </w:rPr>
      </w:pPr>
      <w:r>
        <w:rPr>
          <w:rFonts w:ascii="Arial" w:hAnsi="Arial" w:cs="Arial"/>
        </w:rPr>
        <w:lastRenderedPageBreak/>
        <w:t>Dans le cas contraire, la mention « après correction du montant des travaux base marché proposé par nous-mêmes » apparaîtra sur l’édition issue du service EDIFLEX avant la somme à payer. Dans ce cas seulement, l’entreprise devra signer le document pour accord.</w:t>
      </w:r>
    </w:p>
    <w:p>
      <w:pPr>
        <w:numPr>
          <w:ilvl w:val="0"/>
          <w:numId w:val="19"/>
        </w:numPr>
        <w:ind w:left="709" w:hanging="142"/>
        <w:jc w:val="both"/>
        <w:rPr>
          <w:rFonts w:ascii="Arial" w:hAnsi="Arial" w:cs="Arial"/>
        </w:rPr>
      </w:pPr>
      <w:r>
        <w:rPr>
          <w:rFonts w:ascii="Arial" w:hAnsi="Arial" w:cs="Arial"/>
        </w:rPr>
        <w:t xml:space="preserve">Sauf indication contraire par lettre recommandée avec accusé de réception, les paiements effectués aux sous-traitants par le comptable sur la base de ces documents ne sauraient donner lieu à contestation ultérieure dans la relation susceptible d’intervenir entre l’entreprise et ses sous-traitants, ceci pour tout marché </w:t>
      </w:r>
      <w:proofErr w:type="gramStart"/>
      <w:r>
        <w:rPr>
          <w:rFonts w:ascii="Arial" w:hAnsi="Arial" w:cs="Arial"/>
        </w:rPr>
        <w:t>passé</w:t>
      </w:r>
      <w:proofErr w:type="gramEnd"/>
      <w:r>
        <w:rPr>
          <w:rFonts w:ascii="Arial" w:hAnsi="Arial" w:cs="Arial"/>
        </w:rPr>
        <w:t xml:space="preserve"> avec le Maître d’ouvrage et géré dans le service EDIFLEX.</w:t>
      </w:r>
    </w:p>
    <w:p>
      <w:pPr>
        <w:jc w:val="both"/>
        <w:rPr>
          <w:rFonts w:ascii="Arial" w:hAnsi="Arial" w:cs="Arial"/>
        </w:rPr>
      </w:pPr>
      <w:r>
        <w:rPr>
          <w:rFonts w:ascii="Arial" w:hAnsi="Arial" w:cs="Arial"/>
        </w:rPr>
        <w:t xml:space="preserve">Dans le cas des transmissions à distance de données, les éléments tels que la date d'émission ou de réception ainsi que les données transmises feront foi par priorité telles que figurant dans les systèmes de la société </w:t>
      </w:r>
      <w:r>
        <w:rPr>
          <w:rFonts w:ascii="Arial" w:hAnsi="Arial" w:cs="Arial"/>
          <w:b/>
        </w:rPr>
        <w:t>EPICTURE</w:t>
      </w:r>
      <w:r>
        <w:rPr>
          <w:rFonts w:ascii="Arial" w:hAnsi="Arial" w:cs="Arial"/>
        </w:rPr>
        <w:t xml:space="preserve"> ou telles qu'authentifiées dans ses systèmes par les procédures informatisées de la société </w:t>
      </w:r>
      <w:r>
        <w:rPr>
          <w:rFonts w:ascii="Arial" w:hAnsi="Arial" w:cs="Arial"/>
          <w:b/>
        </w:rPr>
        <w:t>EPICTURE</w:t>
      </w:r>
      <w:r>
        <w:rPr>
          <w:rFonts w:ascii="Arial" w:hAnsi="Arial" w:cs="Arial"/>
        </w:rPr>
        <w:t>.</w:t>
      </w:r>
    </w:p>
    <w:p>
      <w:pPr>
        <w:jc w:val="both"/>
        <w:rPr>
          <w:rFonts w:ascii="Arial" w:hAnsi="Arial" w:cs="Arial"/>
        </w:rPr>
      </w:pPr>
    </w:p>
    <w:p>
      <w:pPr>
        <w:rPr>
          <w:rFonts w:ascii="Arial" w:hAnsi="Arial" w:cs="Arial"/>
          <w:b/>
        </w:rPr>
      </w:pPr>
      <w:r>
        <w:rPr>
          <w:rFonts w:ascii="Arial" w:hAnsi="Arial" w:cs="Arial"/>
          <w:b/>
        </w:rPr>
        <w:t>6.6   Effet de la convention</w:t>
      </w:r>
    </w:p>
    <w:p>
      <w:pPr>
        <w:jc w:val="both"/>
        <w:rPr>
          <w:rFonts w:ascii="Arial" w:hAnsi="Arial" w:cs="Arial"/>
        </w:rPr>
      </w:pPr>
      <w:r>
        <w:rPr>
          <w:rFonts w:ascii="Arial" w:hAnsi="Arial" w:cs="Arial"/>
        </w:rPr>
        <w:t xml:space="preserve">La présente convention prend effet à la notification des marchés.  </w:t>
      </w:r>
    </w:p>
    <w:p>
      <w:pPr>
        <w:jc w:val="both"/>
        <w:rPr>
          <w:rFonts w:ascii="Arial" w:hAnsi="Arial" w:cs="Arial"/>
        </w:rPr>
      </w:pPr>
    </w:p>
    <w:p>
      <w:pPr>
        <w:rPr>
          <w:rFonts w:ascii="Arial" w:hAnsi="Arial" w:cs="Arial"/>
          <w:b/>
        </w:rPr>
      </w:pPr>
      <w:r>
        <w:rPr>
          <w:rFonts w:ascii="Arial" w:hAnsi="Arial" w:cs="Arial"/>
          <w:b/>
        </w:rPr>
        <w:t xml:space="preserve">6.7   Cessation de la convention </w:t>
      </w:r>
    </w:p>
    <w:p>
      <w:pPr>
        <w:jc w:val="both"/>
        <w:rPr>
          <w:rFonts w:ascii="Arial" w:hAnsi="Arial" w:cs="Arial"/>
        </w:rPr>
      </w:pPr>
      <w:r>
        <w:rPr>
          <w:rFonts w:ascii="Arial" w:hAnsi="Arial" w:cs="Arial"/>
        </w:rPr>
        <w:t xml:space="preserve">Il sera mis fin à la présente convention par application de l'article </w:t>
      </w:r>
      <w:proofErr w:type="gramStart"/>
      <w:r>
        <w:rPr>
          <w:rFonts w:ascii="Arial" w:hAnsi="Arial" w:cs="Arial"/>
        </w:rPr>
        <w:t>4.5  "</w:t>
      </w:r>
      <w:proofErr w:type="gramEnd"/>
      <w:r>
        <w:rPr>
          <w:rFonts w:ascii="Arial" w:hAnsi="Arial" w:cs="Arial"/>
        </w:rPr>
        <w:t xml:space="preserve">Ouverture et fermeture du service". </w:t>
      </w:r>
    </w:p>
    <w:p>
      <w:pPr>
        <w:jc w:val="both"/>
        <w:rPr>
          <w:rFonts w:ascii="Arial" w:hAnsi="Arial" w:cs="Arial"/>
        </w:rPr>
      </w:pPr>
    </w:p>
    <w:p>
      <w:pPr>
        <w:rPr>
          <w:rFonts w:ascii="Arial" w:hAnsi="Arial" w:cs="Arial"/>
          <w:b/>
        </w:rPr>
      </w:pPr>
      <w:r>
        <w:rPr>
          <w:rFonts w:ascii="Arial" w:hAnsi="Arial" w:cs="Arial"/>
          <w:b/>
        </w:rPr>
        <w:t xml:space="preserve">6.8   Diffusion de la convention  </w:t>
      </w:r>
    </w:p>
    <w:p>
      <w:pPr>
        <w:jc w:val="both"/>
        <w:rPr>
          <w:rFonts w:ascii="Arial" w:hAnsi="Arial" w:cs="Arial"/>
        </w:rPr>
      </w:pPr>
      <w:r>
        <w:rPr>
          <w:rFonts w:ascii="Arial" w:hAnsi="Arial" w:cs="Arial"/>
        </w:rPr>
        <w:t>Une copie de la présente est annexée dans le marché passé entre le Maître d'ouvrage et les entreprises.</w:t>
      </w:r>
    </w:p>
    <w:p>
      <w:pPr>
        <w:jc w:val="both"/>
        <w:rPr>
          <w:rFonts w:ascii="Arial" w:hAnsi="Arial" w:cs="Arial"/>
        </w:rPr>
      </w:pPr>
    </w:p>
    <w:p>
      <w:pPr>
        <w:pBdr>
          <w:bottom w:val="single" w:sz="4" w:space="1" w:color="31849B"/>
        </w:pBdr>
        <w:rPr>
          <w:rFonts w:ascii="Arial" w:hAnsi="Arial" w:cs="Arial"/>
          <w:b/>
          <w:color w:val="31849B"/>
        </w:rPr>
      </w:pPr>
      <w:r>
        <w:rPr>
          <w:rFonts w:ascii="Arial" w:hAnsi="Arial" w:cs="Arial"/>
          <w:b/>
          <w:color w:val="31849B"/>
        </w:rPr>
        <w:t>7 - FACTURATION DU SERVICE EDIFLEX</w:t>
      </w:r>
    </w:p>
    <w:p>
      <w:pPr>
        <w:jc w:val="both"/>
        <w:rPr>
          <w:rFonts w:ascii="Arial" w:hAnsi="Arial" w:cs="Arial"/>
        </w:rPr>
      </w:pPr>
    </w:p>
    <w:p>
      <w:pPr>
        <w:jc w:val="both"/>
        <w:rPr>
          <w:rFonts w:ascii="Arial" w:hAnsi="Arial" w:cs="Arial"/>
        </w:rPr>
      </w:pPr>
      <w:r>
        <w:rPr>
          <w:rFonts w:ascii="Arial" w:hAnsi="Arial" w:cs="Arial"/>
        </w:rPr>
        <w:t>Le coût du service est pris en charge par le Maître d’ouvrage.</w:t>
      </w:r>
    </w:p>
    <w:p>
      <w:pPr>
        <w:jc w:val="both"/>
        <w:rPr>
          <w:rFonts w:ascii="Arial" w:hAnsi="Arial" w:cs="Arial"/>
        </w:rPr>
      </w:pPr>
      <w:r>
        <w:rPr>
          <w:rFonts w:ascii="Arial" w:hAnsi="Arial" w:cs="Arial"/>
        </w:rPr>
        <w:t>L’abonnement au service comprend :</w:t>
      </w:r>
    </w:p>
    <w:p>
      <w:pPr>
        <w:numPr>
          <w:ilvl w:val="0"/>
          <w:numId w:val="19"/>
        </w:numPr>
        <w:ind w:left="709" w:hanging="142"/>
        <w:jc w:val="both"/>
        <w:rPr>
          <w:rFonts w:ascii="Arial" w:hAnsi="Arial" w:cs="Arial"/>
        </w:rPr>
      </w:pPr>
      <w:proofErr w:type="gramStart"/>
      <w:r>
        <w:rPr>
          <w:rFonts w:ascii="Arial" w:hAnsi="Arial" w:cs="Arial"/>
        </w:rPr>
        <w:t>l’ouverture</w:t>
      </w:r>
      <w:proofErr w:type="gramEnd"/>
      <w:r>
        <w:rPr>
          <w:rFonts w:ascii="Arial" w:hAnsi="Arial" w:cs="Arial"/>
        </w:rPr>
        <w:t xml:space="preserve"> des codes d’accès sur le serveur,</w:t>
      </w:r>
    </w:p>
    <w:p>
      <w:pPr>
        <w:numPr>
          <w:ilvl w:val="0"/>
          <w:numId w:val="19"/>
        </w:numPr>
        <w:ind w:left="709" w:hanging="142"/>
        <w:jc w:val="both"/>
        <w:rPr>
          <w:rFonts w:ascii="Arial" w:hAnsi="Arial" w:cs="Arial"/>
        </w:rPr>
      </w:pPr>
      <w:proofErr w:type="gramStart"/>
      <w:r>
        <w:rPr>
          <w:rFonts w:ascii="Arial" w:hAnsi="Arial" w:cs="Arial"/>
        </w:rPr>
        <w:t>la</w:t>
      </w:r>
      <w:proofErr w:type="gramEnd"/>
      <w:r>
        <w:rPr>
          <w:rFonts w:ascii="Arial" w:hAnsi="Arial" w:cs="Arial"/>
        </w:rPr>
        <w:t xml:space="preserve"> mise à disposition des manuels « utilisateurs », code d'accès et mot de passe ;</w:t>
      </w:r>
    </w:p>
    <w:p>
      <w:pPr>
        <w:numPr>
          <w:ilvl w:val="0"/>
          <w:numId w:val="19"/>
        </w:numPr>
        <w:ind w:left="709" w:hanging="142"/>
        <w:jc w:val="both"/>
        <w:rPr>
          <w:rFonts w:ascii="Arial" w:hAnsi="Arial" w:cs="Arial"/>
        </w:rPr>
      </w:pPr>
      <w:proofErr w:type="gramStart"/>
      <w:r>
        <w:rPr>
          <w:rFonts w:ascii="Arial" w:hAnsi="Arial" w:cs="Arial"/>
        </w:rPr>
        <w:t>l'assistance</w:t>
      </w:r>
      <w:proofErr w:type="gramEnd"/>
      <w:r>
        <w:rPr>
          <w:rFonts w:ascii="Arial" w:hAnsi="Arial" w:cs="Arial"/>
        </w:rPr>
        <w:t xml:space="preserve"> téléphonique pour l'utilisation du service,</w:t>
      </w:r>
    </w:p>
    <w:p>
      <w:pPr>
        <w:numPr>
          <w:ilvl w:val="0"/>
          <w:numId w:val="19"/>
        </w:numPr>
        <w:ind w:left="709" w:hanging="142"/>
        <w:jc w:val="both"/>
        <w:rPr>
          <w:rFonts w:ascii="Arial" w:hAnsi="Arial" w:cs="Arial"/>
        </w:rPr>
      </w:pPr>
      <w:proofErr w:type="gramStart"/>
      <w:r>
        <w:rPr>
          <w:rFonts w:ascii="Arial" w:hAnsi="Arial" w:cs="Arial"/>
        </w:rPr>
        <w:t>le</w:t>
      </w:r>
      <w:proofErr w:type="gramEnd"/>
      <w:r>
        <w:rPr>
          <w:rFonts w:ascii="Arial" w:hAnsi="Arial" w:cs="Arial"/>
        </w:rPr>
        <w:t xml:space="preserve"> droit d'utilisation du service EDIFLEX (connexion sur le serveur), </w:t>
      </w:r>
    </w:p>
    <w:p>
      <w:pPr>
        <w:numPr>
          <w:ilvl w:val="0"/>
          <w:numId w:val="19"/>
        </w:numPr>
        <w:ind w:left="709" w:hanging="142"/>
        <w:jc w:val="both"/>
        <w:rPr>
          <w:rFonts w:ascii="Arial" w:hAnsi="Arial" w:cs="Arial"/>
        </w:rPr>
      </w:pPr>
      <w:proofErr w:type="gramStart"/>
      <w:r>
        <w:rPr>
          <w:rFonts w:ascii="Arial" w:hAnsi="Arial" w:cs="Arial"/>
        </w:rPr>
        <w:t>l’archivage</w:t>
      </w:r>
      <w:proofErr w:type="gramEnd"/>
      <w:r>
        <w:rPr>
          <w:rFonts w:ascii="Arial" w:hAnsi="Arial" w:cs="Arial"/>
        </w:rPr>
        <w:t xml:space="preserve"> des informations sur le serveur durant le chantier.</w:t>
      </w:r>
    </w:p>
    <w:p>
      <w:pPr>
        <w:jc w:val="both"/>
        <w:rPr>
          <w:rFonts w:ascii="Arial" w:hAnsi="Arial" w:cs="Arial"/>
        </w:rPr>
      </w:pPr>
      <w:r>
        <w:rPr>
          <w:rFonts w:ascii="Arial" w:hAnsi="Arial" w:cs="Arial"/>
        </w:rPr>
        <w:t>Le coût des fournitures suivantes est à la charge de chaque abonné au service :</w:t>
      </w:r>
    </w:p>
    <w:p>
      <w:pPr>
        <w:numPr>
          <w:ilvl w:val="0"/>
          <w:numId w:val="19"/>
        </w:numPr>
        <w:ind w:left="709" w:hanging="142"/>
        <w:jc w:val="both"/>
        <w:rPr>
          <w:rFonts w:ascii="Arial" w:hAnsi="Arial" w:cs="Arial"/>
        </w:rPr>
      </w:pPr>
      <w:proofErr w:type="gramStart"/>
      <w:r>
        <w:rPr>
          <w:rFonts w:ascii="Arial" w:hAnsi="Arial" w:cs="Arial"/>
        </w:rPr>
        <w:t>terminal</w:t>
      </w:r>
      <w:proofErr w:type="gramEnd"/>
      <w:r>
        <w:rPr>
          <w:rFonts w:ascii="Arial" w:hAnsi="Arial" w:cs="Arial"/>
        </w:rPr>
        <w:t xml:space="preserve"> d’accès au service (ordinateur + accès à Internet),</w:t>
      </w:r>
    </w:p>
    <w:p>
      <w:pPr>
        <w:numPr>
          <w:ilvl w:val="0"/>
          <w:numId w:val="19"/>
        </w:numPr>
        <w:ind w:left="709" w:hanging="142"/>
        <w:jc w:val="both"/>
        <w:rPr>
          <w:rFonts w:ascii="Arial" w:hAnsi="Arial" w:cs="Arial"/>
        </w:rPr>
      </w:pPr>
      <w:proofErr w:type="gramStart"/>
      <w:r>
        <w:rPr>
          <w:rFonts w:ascii="Arial" w:hAnsi="Arial" w:cs="Arial"/>
        </w:rPr>
        <w:t>frais</w:t>
      </w:r>
      <w:proofErr w:type="gramEnd"/>
      <w:r>
        <w:rPr>
          <w:rFonts w:ascii="Arial" w:hAnsi="Arial" w:cs="Arial"/>
        </w:rPr>
        <w:t xml:space="preserve"> de télécommunications lors de la connexion au serveur.</w:t>
      </w:r>
    </w:p>
    <w:p>
      <w:pPr>
        <w:ind w:left="709"/>
        <w:jc w:val="both"/>
        <w:rPr>
          <w:rFonts w:ascii="Arial" w:hAnsi="Arial" w:cs="Arial"/>
        </w:rPr>
      </w:pPr>
    </w:p>
    <w:p>
      <w:pPr>
        <w:pBdr>
          <w:bottom w:val="single" w:sz="4" w:space="1" w:color="31849B"/>
        </w:pBdr>
        <w:rPr>
          <w:rFonts w:ascii="Arial" w:hAnsi="Arial" w:cs="Arial"/>
          <w:b/>
          <w:color w:val="31849B"/>
        </w:rPr>
      </w:pPr>
      <w:r>
        <w:rPr>
          <w:rFonts w:ascii="Arial" w:hAnsi="Arial" w:cs="Arial"/>
          <w:b/>
          <w:color w:val="31849B"/>
        </w:rPr>
        <w:t>8 - DEROGATION RELATIVE A L’ARTICLE 11 DU CCAG PI</w:t>
      </w:r>
    </w:p>
    <w:p>
      <w:pPr>
        <w:jc w:val="both"/>
        <w:rPr>
          <w:rFonts w:ascii="Arial" w:hAnsi="Arial" w:cs="Arial"/>
        </w:rPr>
      </w:pPr>
    </w:p>
    <w:p>
      <w:pPr>
        <w:jc w:val="both"/>
        <w:rPr>
          <w:rFonts w:ascii="Arial" w:hAnsi="Arial" w:cs="Arial"/>
        </w:rPr>
      </w:pPr>
      <w:r>
        <w:rPr>
          <w:rFonts w:ascii="Arial" w:hAnsi="Arial" w:cs="Arial"/>
        </w:rPr>
        <w:t xml:space="preserve">Les dates de présentation des situations par l’entreprise, de vérification et de validation par les représentants cités au chapitre 2 ci-dessus, telles qu’elles figurent sur les écrans et les éditions du service Ediflex, font foi. Ces dates valent </w:t>
      </w:r>
      <w:proofErr w:type="gramStart"/>
      <w:r>
        <w:rPr>
          <w:rFonts w:ascii="Arial" w:hAnsi="Arial" w:cs="Arial"/>
        </w:rPr>
        <w:t>accusé</w:t>
      </w:r>
      <w:proofErr w:type="gramEnd"/>
      <w:r>
        <w:rPr>
          <w:rFonts w:ascii="Arial" w:hAnsi="Arial" w:cs="Arial"/>
        </w:rPr>
        <w:t xml:space="preserve"> de réception pour l’abonné suivant, conformément au circuit de vérification imposé par le service.</w:t>
      </w:r>
      <w:r>
        <w:rPr>
          <w:rFonts w:ascii="Arial" w:hAnsi="Arial" w:cs="Arial"/>
        </w:rPr>
        <w:tab/>
      </w:r>
    </w:p>
    <w:p>
      <w:pPr>
        <w:jc w:val="both"/>
        <w:rPr>
          <w:rFonts w:ascii="Arial" w:hAnsi="Arial" w:cs="Arial"/>
        </w:rPr>
      </w:pPr>
      <w:r>
        <w:rPr>
          <w:rFonts w:ascii="Arial" w:hAnsi="Arial" w:cs="Arial"/>
        </w:rPr>
        <w:t>Les décomptes mensuels et le décompte final sont pris en charge et gérés par le service Ediflex qui détermine les informations qui les constituent, leur circuit de vérification et le modèle de présentation des pièces justificatives transmises au comptable public. Le service Ediflex évite ainsi les transmissions systématiques de décomptes sur support papier, l’envoi de lettres recommandées.</w:t>
      </w:r>
    </w:p>
    <w:p>
      <w:pPr>
        <w:spacing w:after="240"/>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0" allowOverlap="1">
                <wp:simplePos x="0" y="0"/>
                <wp:positionH relativeFrom="column">
                  <wp:posOffset>-9525</wp:posOffset>
                </wp:positionH>
                <wp:positionV relativeFrom="paragraph">
                  <wp:posOffset>247015</wp:posOffset>
                </wp:positionV>
                <wp:extent cx="2194560" cy="0"/>
                <wp:effectExtent l="6985" t="11430" r="8255" b="7620"/>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9.45pt" to="172.0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" o:allowincell="f"/>
            </w:pict>
          </mc:Fallback>
        </mc:AlternateContent>
      </w:r>
    </w:p>
    <w:p>
      <w:pPr>
        <w:rPr>
          <w:rFonts w:ascii="Arial" w:hAnsi="Arial" w:cs="Arial"/>
          <w:sz w:val="16"/>
          <w:szCs w:val="16"/>
        </w:rPr>
      </w:pPr>
      <w:r>
        <w:rPr>
          <w:rFonts w:ascii="Arial" w:hAnsi="Arial" w:cs="Arial"/>
          <w:sz w:val="16"/>
          <w:szCs w:val="16"/>
        </w:rPr>
        <w:t>(</w:t>
      </w:r>
      <w:r>
        <w:rPr>
          <w:rFonts w:ascii="Arial" w:hAnsi="Arial" w:cs="Arial"/>
          <w:position w:val="6"/>
          <w:sz w:val="16"/>
          <w:szCs w:val="16"/>
        </w:rPr>
        <w:t>1</w:t>
      </w:r>
      <w:r>
        <w:rPr>
          <w:rFonts w:ascii="Arial" w:hAnsi="Arial" w:cs="Arial"/>
          <w:sz w:val="16"/>
          <w:szCs w:val="16"/>
        </w:rPr>
        <w:t>) Rayez la mention inutile.</w:t>
      </w:r>
    </w:p>
    <w:p>
      <w:pPr>
        <w:rPr>
          <w:rFonts w:ascii="Arial" w:hAnsi="Arial" w:cs="Arial"/>
          <w:sz w:val="16"/>
          <w:szCs w:val="16"/>
        </w:rPr>
      </w:pPr>
      <w:r>
        <w:rPr>
          <w:rFonts w:ascii="Arial" w:hAnsi="Arial" w:cs="Arial"/>
          <w:sz w:val="16"/>
          <w:szCs w:val="16"/>
        </w:rPr>
        <w:t>(</w:t>
      </w:r>
      <w:r>
        <w:rPr>
          <w:rFonts w:ascii="Arial" w:hAnsi="Arial" w:cs="Arial"/>
          <w:position w:val="6"/>
          <w:sz w:val="16"/>
          <w:szCs w:val="16"/>
        </w:rPr>
        <w:t>2</w:t>
      </w:r>
      <w:r>
        <w:rPr>
          <w:rFonts w:ascii="Arial" w:hAnsi="Arial" w:cs="Arial"/>
          <w:sz w:val="16"/>
          <w:szCs w:val="16"/>
        </w:rPr>
        <w:t>) Préciser PDG, directeur général, gérant, etc.</w:t>
      </w:r>
    </w:p>
    <w:p>
      <w:pPr>
        <w:ind w:left="284" w:hanging="284"/>
        <w:rPr>
          <w:rFonts w:ascii="Arial" w:hAnsi="Arial" w:cs="Arial"/>
          <w:sz w:val="16"/>
          <w:szCs w:val="16"/>
          <w:u w:val="single"/>
        </w:rPr>
      </w:pPr>
      <w:r>
        <w:rPr>
          <w:rFonts w:ascii="Arial" w:hAnsi="Arial" w:cs="Arial"/>
          <w:sz w:val="16"/>
          <w:szCs w:val="16"/>
        </w:rPr>
        <w:t>(</w:t>
      </w:r>
      <w:r>
        <w:rPr>
          <w:rFonts w:ascii="Arial" w:hAnsi="Arial" w:cs="Arial"/>
          <w:position w:val="6"/>
          <w:sz w:val="16"/>
          <w:szCs w:val="16"/>
        </w:rPr>
        <w:t>3</w:t>
      </w:r>
      <w:r>
        <w:rPr>
          <w:rFonts w:ascii="Arial" w:hAnsi="Arial" w:cs="Arial"/>
          <w:sz w:val="16"/>
          <w:szCs w:val="16"/>
        </w:rPr>
        <w:t xml:space="preserve">) Il est conseillé de délivrer des délégations de signature afin de faciliter le règlement des états d’acompte et du décompte général </w:t>
      </w:r>
      <w:r>
        <w:rPr>
          <w:rFonts w:ascii="Arial" w:hAnsi="Arial" w:cs="Arial"/>
          <w:sz w:val="16"/>
          <w:szCs w:val="16"/>
          <w:u w:val="single"/>
        </w:rPr>
        <w:t xml:space="preserve">le comptable ne pouvant payer qu’au </w:t>
      </w:r>
      <w:proofErr w:type="gramStart"/>
      <w:r>
        <w:rPr>
          <w:rFonts w:ascii="Arial" w:hAnsi="Arial" w:cs="Arial"/>
          <w:sz w:val="16"/>
          <w:szCs w:val="16"/>
          <w:u w:val="single"/>
        </w:rPr>
        <w:t>vu  d’une</w:t>
      </w:r>
      <w:proofErr w:type="gramEnd"/>
      <w:r>
        <w:rPr>
          <w:rFonts w:ascii="Arial" w:hAnsi="Arial" w:cs="Arial"/>
          <w:sz w:val="16"/>
          <w:szCs w:val="16"/>
          <w:u w:val="single"/>
        </w:rPr>
        <w:t xml:space="preserve"> signature agréée.</w:t>
      </w:r>
    </w:p>
    <w:p>
      <w:pPr>
        <w:spacing w:after="240"/>
        <w:rPr>
          <w:rFonts w:ascii="Arial" w:hAnsi="Arial" w:cs="Arial"/>
        </w:rPr>
      </w:pPr>
      <w:r>
        <w:rPr>
          <w:rFonts w:ascii="Arial" w:hAnsi="Arial" w:cs="Arial"/>
          <w:sz w:val="16"/>
          <w:szCs w:val="16"/>
        </w:rPr>
        <w:t>(</w:t>
      </w:r>
      <w:r>
        <w:rPr>
          <w:rFonts w:ascii="Arial" w:hAnsi="Arial" w:cs="Arial"/>
          <w:position w:val="6"/>
          <w:sz w:val="16"/>
          <w:szCs w:val="16"/>
        </w:rPr>
        <w:t>4</w:t>
      </w:r>
      <w:r>
        <w:rPr>
          <w:rFonts w:ascii="Arial" w:hAnsi="Arial" w:cs="Arial"/>
          <w:sz w:val="16"/>
          <w:szCs w:val="16"/>
        </w:rPr>
        <w:t>) Signature et cachet précédés de la mention « lu et approuvé ».</w:t>
      </w:r>
    </w:p>
    <w:sectPr>
      <w:headerReference w:type="first" r:id="rId18"/>
      <w:pgSz w:w="11906" w:h="16838"/>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199183"/>
      <w:docPartObj>
        <w:docPartGallery w:val="Page Numbers (Bottom of Page)"/>
        <w:docPartUnique/>
      </w:docPartObj>
    </w:sdtPr>
    <w:sdtEndPr>
      <w:rPr>
        <w:rFonts w:ascii="Arial" w:hAnsi="Arial" w:cs="Arial"/>
      </w:rPr>
    </w:sdtEndPr>
    <w:sdtContent>
      <w:p>
        <w:pPr>
          <w:pStyle w:val="Pieddepage"/>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rPr>
          <w:t>13</w:t>
        </w:r>
        <w:r>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TOUL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id="1">
    <w:p>
      <w:pPr>
        <w:pStyle w:val="Notedebasdepage"/>
        <w:jc w:val="both"/>
        <w:rPr>
          <w:rFonts w:ascii="Arial" w:hAnsi="Arial" w:cs="Arial"/>
          <w:sz w:val="16"/>
          <w:szCs w:val="16"/>
        </w:rPr>
      </w:pPr>
      <w:r>
        <w:rPr>
          <w:rStyle w:val="Appelnotedebasdep"/>
          <w:rFonts w:ascii="Arial" w:hAnsi="Arial" w:cs="Arial"/>
          <w:szCs w:val="16"/>
        </w:rPr>
        <w:footnoteRef/>
      </w:r>
      <w:r>
        <w:rPr>
          <w:rFonts w:ascii="Arial" w:hAnsi="Arial" w:cs="Arial"/>
          <w:sz w:val="16"/>
          <w:szCs w:val="16"/>
        </w:rPr>
        <w:t xml:space="preserve"> Numéro à 14 chiffres pour les marchés de l'Etat.</w:t>
      </w:r>
    </w:p>
  </w:footnote>
  <w:footnote w:id="2">
    <w:p>
      <w:pPr>
        <w:pStyle w:val="Notedebasdepage"/>
        <w:tabs>
          <w:tab w:val="left" w:pos="3630"/>
        </w:tabs>
        <w:jc w:val="both"/>
      </w:pPr>
      <w:r>
        <w:rPr>
          <w:rStyle w:val="Appelnotedebasdep"/>
          <w:rFonts w:ascii="Arial" w:hAnsi="Arial" w:cs="Arial"/>
          <w:szCs w:val="16"/>
        </w:rPr>
        <w:footnoteRef/>
      </w:r>
      <w:r>
        <w:rPr>
          <w:rFonts w:ascii="Arial" w:hAnsi="Arial" w:cs="Arial"/>
          <w:sz w:val="16"/>
          <w:szCs w:val="16"/>
        </w:rPr>
        <w:t xml:space="preserve"> Le mois à indiquer est celui correspondant au mois de la date limite de remise des offres finales, tel que précisé dans les documents de la consultation.</w:t>
      </w:r>
    </w:p>
  </w:footnote>
  <w:footnote w:id="3">
    <w:p>
      <w:pPr>
        <w:pStyle w:val="Default"/>
        <w:spacing w:before="240" w:line="276" w:lineRule="auto"/>
        <w:jc w:val="both"/>
        <w:rPr>
          <w:sz w:val="20"/>
          <w:szCs w:val="20"/>
        </w:rPr>
      </w:pPr>
      <w:r>
        <w:rPr>
          <w:rStyle w:val="Appelnotedebasdep"/>
        </w:rPr>
        <w:footnoteRef/>
      </w:r>
      <w:r>
        <w:t xml:space="preserve"> </w:t>
      </w:r>
      <w:r>
        <w:rPr>
          <w:b/>
          <w:sz w:val="16"/>
          <w:szCs w:val="16"/>
        </w:rPr>
        <w:t>Attention</w:t>
      </w:r>
      <w:r>
        <w:rPr>
          <w:sz w:val="16"/>
          <w:szCs w:val="16"/>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16"/>
          <w:szCs w:val="16"/>
          <w:u w:val="single"/>
        </w:rPr>
        <w:t>et</w:t>
      </w:r>
      <w:r>
        <w:rPr>
          <w:sz w:val="16"/>
          <w:szCs w:val="16"/>
        </w:rPr>
        <w:t xml:space="preserve"> le sous-traitant concerné, il convient de faire signer ce DC4 par le biais du formulaire ATTRI2, parallèlement à la signature du présent AE par l’attributaire.</w:t>
      </w:r>
    </w:p>
    <w:p>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tabs>
        <w:tab w:val="center" w:pos="4536"/>
        <w:tab w:val="right" w:pos="9072"/>
      </w:tabs>
      <w:ind w:left="-284" w:hanging="850"/>
      <w:rPr>
        <w:rFonts w:ascii="Arial" w:hAnsi="Arial" w:cs="Arial"/>
        <w:sz w:val="22"/>
        <w:szCs w:val="22"/>
        <w:vertAlign w:val="subscript"/>
      </w:rPr>
    </w:pPr>
    <w:r>
      <w:rPr>
        <w:noProof/>
      </w:rPr>
      <w:drawing>
        <wp:inline distT="0" distB="0" distL="0" distR="0">
          <wp:extent cx="1367987" cy="1133475"/>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9789" cy="1134968"/>
                  </a:xfrm>
                  <a:prstGeom prst="rect">
                    <a:avLst/>
                  </a:prstGeom>
                  <a:noFill/>
                  <a:ln>
                    <a:noFill/>
                  </a:ln>
                </pic:spPr>
              </pic:pic>
            </a:graphicData>
          </a:graphic>
        </wp:inline>
      </w:drawing>
    </w:r>
    <w:r>
      <w:rPr>
        <w:rFonts w:ascii="Arial" w:hAnsi="Arial" w:cs="Arial"/>
        <w:b/>
        <w:noProof/>
        <w:color w:val="00000A"/>
        <w:vertAlign w:val="subscript"/>
      </w:rPr>
      <w:drawing>
        <wp:anchor distT="0" distB="0" distL="114300" distR="114300" simplePos="0" relativeHeight="251659264" behindDoc="0" locked="0" layoutInCell="1" allowOverlap="1">
          <wp:simplePos x="0" y="0"/>
          <wp:positionH relativeFrom="margin">
            <wp:posOffset>5411470</wp:posOffset>
          </wp:positionH>
          <wp:positionV relativeFrom="page">
            <wp:posOffset>152400</wp:posOffset>
          </wp:positionV>
          <wp:extent cx="1219835" cy="533400"/>
          <wp:effectExtent l="0" t="0" r="0" b="0"/>
          <wp:wrapSquare wrapText="bothSides"/>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2020-03-30 fiche-télétravail-mef-sg pdf(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19835" cy="533400"/>
                  </a:xfrm>
                  <a:prstGeom prst="rect">
                    <a:avLst/>
                  </a:prstGeom>
                </pic:spPr>
              </pic:pic>
            </a:graphicData>
          </a:graphic>
          <wp14:sizeRelH relativeFrom="margin">
            <wp14:pctWidth>0</wp14:pctWidth>
          </wp14:sizeRelH>
          <wp14:sizeRelV relativeFrom="margin">
            <wp14:pctHeight>0</wp14:pctHeight>
          </wp14:sizeRelV>
        </wp:anchor>
      </w:drawing>
    </w:r>
    <w:bookmarkStart w:id="5" w:name="_Hlk153265751"/>
    <w:r>
      <w:rPr>
        <w:rFonts w:ascii="Arial" w:hAnsi="Arial" w:cs="Arial"/>
        <w:sz w:val="22"/>
        <w:szCs w:val="22"/>
        <w:vertAlign w:val="subscript"/>
      </w:rPr>
      <w:t xml:space="preserve">                                                     Service de l’immobilier et de l’environnement professionnel</w:t>
    </w:r>
  </w:p>
  <w:p>
    <w:pPr>
      <w:tabs>
        <w:tab w:val="center" w:pos="4536"/>
        <w:tab w:val="right" w:pos="9072"/>
      </w:tabs>
      <w:jc w:val="center"/>
      <w:rPr>
        <w:rFonts w:ascii="Arial" w:hAnsi="Arial" w:cs="Arial"/>
        <w:sz w:val="22"/>
        <w:szCs w:val="22"/>
        <w:vertAlign w:val="subscript"/>
      </w:rPr>
    </w:pPr>
    <w:r>
      <w:rPr>
        <w:rFonts w:ascii="Arial" w:hAnsi="Arial" w:cs="Arial"/>
        <w:sz w:val="22"/>
        <w:szCs w:val="22"/>
        <w:vertAlign w:val="subscript"/>
      </w:rPr>
      <w:t>Sous-direction de l'immobilier</w:t>
    </w:r>
  </w:p>
  <w:p>
    <w:pPr>
      <w:tabs>
        <w:tab w:val="center" w:pos="4536"/>
        <w:tab w:val="right" w:pos="9072"/>
      </w:tabs>
      <w:jc w:val="center"/>
      <w:rPr>
        <w:rFonts w:ascii="Arial" w:hAnsi="Arial" w:cs="Arial"/>
        <w:sz w:val="22"/>
        <w:szCs w:val="22"/>
        <w:vertAlign w:val="subscript"/>
      </w:rPr>
    </w:pPr>
    <w:r>
      <w:rPr>
        <w:rFonts w:ascii="Arial" w:hAnsi="Arial" w:cs="Arial"/>
        <w:sz w:val="22"/>
        <w:szCs w:val="22"/>
        <w:vertAlign w:val="subscript"/>
      </w:rPr>
      <w:t>Bureau Immobilier et maîtrise d’ouvrage</w:t>
    </w:r>
  </w:p>
  <w:bookmarkEnd w:id="5"/>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5602FE"/>
    <w:multiLevelType w:val="hybridMultilevel"/>
    <w:tmpl w:val="E29639F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 w15:restartNumberingAfterBreak="0">
    <w:nsid w:val="02C026C7"/>
    <w:multiLevelType w:val="hybridMultilevel"/>
    <w:tmpl w:val="5F9C416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B7284"/>
    <w:multiLevelType w:val="hybridMultilevel"/>
    <w:tmpl w:val="F6B2BC12"/>
    <w:lvl w:ilvl="0" w:tplc="94CE354E">
      <w:start w:val="1"/>
      <w:numFmt w:val="bullet"/>
      <w:lvlText w:val=""/>
      <w:lvlJc w:val="left"/>
      <w:pPr>
        <w:ind w:left="2422" w:hanging="360"/>
      </w:pPr>
      <w:rPr>
        <w:rFonts w:ascii="Symbol" w:hAnsi="Symbol" w:hint="default"/>
      </w:rPr>
    </w:lvl>
    <w:lvl w:ilvl="1" w:tplc="040C0003" w:tentative="1">
      <w:start w:val="1"/>
      <w:numFmt w:val="bullet"/>
      <w:lvlText w:val="o"/>
      <w:lvlJc w:val="left"/>
      <w:pPr>
        <w:ind w:left="3142" w:hanging="360"/>
      </w:pPr>
      <w:rPr>
        <w:rFonts w:ascii="Courier New" w:hAnsi="Courier New" w:cs="Courier New" w:hint="default"/>
      </w:rPr>
    </w:lvl>
    <w:lvl w:ilvl="2" w:tplc="040C0005" w:tentative="1">
      <w:start w:val="1"/>
      <w:numFmt w:val="bullet"/>
      <w:lvlText w:val=""/>
      <w:lvlJc w:val="left"/>
      <w:pPr>
        <w:ind w:left="3862" w:hanging="360"/>
      </w:pPr>
      <w:rPr>
        <w:rFonts w:ascii="Wingdings" w:hAnsi="Wingdings" w:hint="default"/>
      </w:rPr>
    </w:lvl>
    <w:lvl w:ilvl="3" w:tplc="040C0001" w:tentative="1">
      <w:start w:val="1"/>
      <w:numFmt w:val="bullet"/>
      <w:lvlText w:val=""/>
      <w:lvlJc w:val="left"/>
      <w:pPr>
        <w:ind w:left="4582" w:hanging="360"/>
      </w:pPr>
      <w:rPr>
        <w:rFonts w:ascii="Symbol" w:hAnsi="Symbol" w:hint="default"/>
      </w:rPr>
    </w:lvl>
    <w:lvl w:ilvl="4" w:tplc="040C0003" w:tentative="1">
      <w:start w:val="1"/>
      <w:numFmt w:val="bullet"/>
      <w:lvlText w:val="o"/>
      <w:lvlJc w:val="left"/>
      <w:pPr>
        <w:ind w:left="5302" w:hanging="360"/>
      </w:pPr>
      <w:rPr>
        <w:rFonts w:ascii="Courier New" w:hAnsi="Courier New" w:cs="Courier New" w:hint="default"/>
      </w:rPr>
    </w:lvl>
    <w:lvl w:ilvl="5" w:tplc="040C0005" w:tentative="1">
      <w:start w:val="1"/>
      <w:numFmt w:val="bullet"/>
      <w:lvlText w:val=""/>
      <w:lvlJc w:val="left"/>
      <w:pPr>
        <w:ind w:left="6022" w:hanging="360"/>
      </w:pPr>
      <w:rPr>
        <w:rFonts w:ascii="Wingdings" w:hAnsi="Wingdings" w:hint="default"/>
      </w:rPr>
    </w:lvl>
    <w:lvl w:ilvl="6" w:tplc="040C0001" w:tentative="1">
      <w:start w:val="1"/>
      <w:numFmt w:val="bullet"/>
      <w:lvlText w:val=""/>
      <w:lvlJc w:val="left"/>
      <w:pPr>
        <w:ind w:left="6742" w:hanging="360"/>
      </w:pPr>
      <w:rPr>
        <w:rFonts w:ascii="Symbol" w:hAnsi="Symbol" w:hint="default"/>
      </w:rPr>
    </w:lvl>
    <w:lvl w:ilvl="7" w:tplc="040C0003" w:tentative="1">
      <w:start w:val="1"/>
      <w:numFmt w:val="bullet"/>
      <w:lvlText w:val="o"/>
      <w:lvlJc w:val="left"/>
      <w:pPr>
        <w:ind w:left="7462" w:hanging="360"/>
      </w:pPr>
      <w:rPr>
        <w:rFonts w:ascii="Courier New" w:hAnsi="Courier New" w:cs="Courier New" w:hint="default"/>
      </w:rPr>
    </w:lvl>
    <w:lvl w:ilvl="8" w:tplc="040C0005" w:tentative="1">
      <w:start w:val="1"/>
      <w:numFmt w:val="bullet"/>
      <w:lvlText w:val=""/>
      <w:lvlJc w:val="left"/>
      <w:pPr>
        <w:ind w:left="8182" w:hanging="360"/>
      </w:pPr>
      <w:rPr>
        <w:rFonts w:ascii="Wingdings" w:hAnsi="Wingdings" w:hint="default"/>
      </w:rPr>
    </w:lvl>
  </w:abstractNum>
  <w:abstractNum w:abstractNumId="6" w15:restartNumberingAfterBreak="0">
    <w:nsid w:val="125D3B35"/>
    <w:multiLevelType w:val="hybridMultilevel"/>
    <w:tmpl w:val="828825B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15D40C96"/>
    <w:multiLevelType w:val="hybridMultilevel"/>
    <w:tmpl w:val="71B49D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6137062"/>
    <w:multiLevelType w:val="hybridMultilevel"/>
    <w:tmpl w:val="6310F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C543F"/>
    <w:multiLevelType w:val="hybridMultilevel"/>
    <w:tmpl w:val="A3382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1" w15:restartNumberingAfterBreak="0">
    <w:nsid w:val="3BAC69C6"/>
    <w:multiLevelType w:val="hybridMultilevel"/>
    <w:tmpl w:val="504CE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B14015"/>
    <w:multiLevelType w:val="hybridMultilevel"/>
    <w:tmpl w:val="47501FA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434854C8"/>
    <w:multiLevelType w:val="multilevel"/>
    <w:tmpl w:val="6BD08E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6403BD"/>
    <w:multiLevelType w:val="hybridMultilevel"/>
    <w:tmpl w:val="3C9ED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B46E93"/>
    <w:multiLevelType w:val="hybridMultilevel"/>
    <w:tmpl w:val="7DC2E0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0512F2"/>
    <w:multiLevelType w:val="multilevel"/>
    <w:tmpl w:val="13D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1D413D"/>
    <w:multiLevelType w:val="hybridMultilevel"/>
    <w:tmpl w:val="8752D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C618CF"/>
    <w:multiLevelType w:val="singleLevel"/>
    <w:tmpl w:val="06D451DE"/>
    <w:lvl w:ilvl="0">
      <w:start w:val="4"/>
      <w:numFmt w:val="bullet"/>
      <w:lvlText w:val="-"/>
      <w:lvlJc w:val="left"/>
      <w:pPr>
        <w:tabs>
          <w:tab w:val="num" w:pos="2160"/>
        </w:tabs>
        <w:ind w:left="2160" w:hanging="360"/>
      </w:pPr>
      <w:rPr>
        <w:rFonts w:hint="default"/>
      </w:rPr>
    </w:lvl>
  </w:abstractNum>
  <w:abstractNum w:abstractNumId="19" w15:restartNumberingAfterBreak="0">
    <w:nsid w:val="78EE1194"/>
    <w:multiLevelType w:val="hybridMultilevel"/>
    <w:tmpl w:val="B5484100"/>
    <w:lvl w:ilvl="0" w:tplc="AB1AAC48">
      <w:start w:val="2"/>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0"/>
  </w:num>
  <w:num w:numId="2">
    <w:abstractNumId w:val="2"/>
  </w:num>
  <w:num w:numId="3">
    <w:abstractNumId w:val="9"/>
  </w:num>
  <w:num w:numId="4">
    <w:abstractNumId w:val="14"/>
  </w:num>
  <w:num w:numId="5">
    <w:abstractNumId w:val="17"/>
  </w:num>
  <w:num w:numId="6">
    <w:abstractNumId w:val="19"/>
  </w:num>
  <w:num w:numId="7">
    <w:abstractNumId w:val="6"/>
  </w:num>
  <w:num w:numId="8">
    <w:abstractNumId w:val="12"/>
  </w:num>
  <w:num w:numId="9">
    <w:abstractNumId w:val="1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5"/>
  </w:num>
  <w:num w:numId="13">
    <w:abstractNumId w:val="8"/>
  </w:num>
  <w:num w:numId="14">
    <w:abstractNumId w:val="11"/>
  </w:num>
  <w:num w:numId="15">
    <w:abstractNumId w:val="3"/>
  </w:num>
  <w:num w:numId="16">
    <w:abstractNumId w:val="16"/>
  </w:num>
  <w:num w:numId="17">
    <w:abstractNumId w:val="18"/>
  </w:num>
  <w:num w:numId="18">
    <w:abstractNumId w:val="0"/>
    <w:lvlOverride w:ilvl="0">
      <w:lvl w:ilvl="0">
        <w:numFmt w:val="bullet"/>
        <w:lvlText w:val=""/>
        <w:legacy w:legacy="1" w:legacySpace="0" w:legacyIndent="360"/>
        <w:lvlJc w:val="left"/>
        <w:pPr>
          <w:ind w:left="1440" w:hanging="360"/>
        </w:pPr>
        <w:rPr>
          <w:rFonts w:ascii="Symbol" w:hAnsi="Symbol" w:hint="default"/>
        </w:rPr>
      </w:lvl>
    </w:lvlOverride>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0E8EC799-0246-45E2-A9E6-9C473478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Courier" w:eastAsia="Times New Roman" w:hAnsi="Courier" w:cs="Times New Roman"/>
      <w:sz w:val="20"/>
      <w:szCs w:val="20"/>
      <w:lang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9">
    <w:name w:val="heading 9"/>
    <w:basedOn w:val="Normal"/>
    <w:next w:val="Normal"/>
    <w:link w:val="Titre9Car"/>
    <w:qFormat/>
    <w:pPr>
      <w:keepNext/>
      <w:spacing w:before="240" w:after="720" w:line="240" w:lineRule="exact"/>
      <w:ind w:left="567" w:right="51"/>
      <w:outlineLvl w:val="8"/>
    </w:pPr>
    <w:rPr>
      <w:rFonts w:ascii="Arial" w:hAnsi="Arial"/>
      <w:b/>
      <w:b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character" w:customStyle="1" w:styleId="Titre9Car">
    <w:name w:val="Titre 9 Car"/>
    <w:basedOn w:val="Policepardfaut"/>
    <w:link w:val="Titre9"/>
    <w:rPr>
      <w:rFonts w:ascii="Arial" w:eastAsia="Times New Roman" w:hAnsi="Arial" w:cs="Times New Roman"/>
      <w:b/>
      <w:bCs/>
      <w:color w:val="000000"/>
      <w:sz w:val="20"/>
      <w:szCs w:val="20"/>
      <w:lang w:eastAsia="fr-FR"/>
    </w:rPr>
  </w:style>
  <w:style w:type="character" w:styleId="Appelnotedebasdep">
    <w:name w:val="footnote reference"/>
    <w:semiHidden/>
    <w:rPr>
      <w:position w:val="6"/>
      <w:sz w:val="16"/>
    </w:r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semiHidden/>
    <w:rPr>
      <w:rFonts w:ascii="Courier" w:eastAsia="Times New Roman" w:hAnsi="Courier" w:cs="Times New Roman"/>
      <w:sz w:val="20"/>
      <w:szCs w:val="20"/>
      <w:lang w:eastAsia="fr-FR"/>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customStyle="1" w:styleId="CommentaireCar">
    <w:name w:val="Commentaire Car"/>
    <w:basedOn w:val="Policepardfaut"/>
    <w:link w:val="Commentaire"/>
    <w:semiHidden/>
    <w:rPr>
      <w:rFonts w:ascii="Courier" w:eastAsia="Times New Roman" w:hAnsi="Courier" w:cs="Times New Roman"/>
      <w:sz w:val="20"/>
      <w:szCs w:val="20"/>
      <w:lang w:eastAsia="fr-FR"/>
    </w:rPr>
  </w:style>
  <w:style w:type="paragraph" w:styleId="Lgende">
    <w:name w:val="caption"/>
    <w:basedOn w:val="Normal"/>
    <w:next w:val="Normal"/>
    <w:qFormat/>
    <w:pPr>
      <w:spacing w:before="240" w:after="120" w:line="240" w:lineRule="exact"/>
      <w:ind w:left="567" w:right="50"/>
    </w:pPr>
    <w:rPr>
      <w:rFonts w:ascii="Arial" w:hAnsi="Arial"/>
      <w:b/>
      <w:color w:val="000000"/>
      <w:spacing w:val="30"/>
    </w:rPr>
  </w:style>
  <w:style w:type="paragraph" w:customStyle="1" w:styleId="fcasegauche">
    <w:name w:val="f_case_gauche"/>
    <w:basedOn w:val="Normal"/>
    <w:pPr>
      <w:suppressAutoHyphens/>
      <w:spacing w:after="60"/>
      <w:ind w:left="284" w:hanging="284"/>
      <w:jc w:val="both"/>
    </w:pPr>
    <w:rPr>
      <w:rFonts w:ascii="Univers" w:hAnsi="Univers" w:cs="Univers"/>
      <w:lang w:eastAsia="zh-CN"/>
    </w:rPr>
  </w:style>
  <w:style w:type="paragraph" w:customStyle="1" w:styleId="fcase1ertab">
    <w:name w:val="f_case_1ertab"/>
    <w:basedOn w:val="Normal"/>
    <w:pPr>
      <w:tabs>
        <w:tab w:val="left" w:pos="426"/>
      </w:tabs>
      <w:suppressAutoHyphens/>
      <w:ind w:left="709" w:hanging="709"/>
      <w:jc w:val="both"/>
    </w:pPr>
    <w:rPr>
      <w:rFonts w:ascii="Univers" w:hAnsi="Univers" w:cs="Univers"/>
      <w:lang w:eastAsia="zh-CN"/>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lang w:eastAsia="fr-FR"/>
    </w:rPr>
  </w:style>
  <w:style w:type="character" w:customStyle="1" w:styleId="Caractresdenotedebasdepage">
    <w:name w:val="Caractères de note de bas de page"/>
    <w:rPr>
      <w:rFonts w:cs="Times New Roman"/>
      <w:vertAlign w:val="superscript"/>
    </w:rPr>
  </w:style>
  <w:style w:type="character" w:customStyle="1" w:styleId="Titre4Car">
    <w:name w:val="Titre 4 Car"/>
    <w:basedOn w:val="Policepardfaut"/>
    <w:link w:val="Titre4"/>
    <w:uiPriority w:val="9"/>
    <w:rPr>
      <w:rFonts w:asciiTheme="majorHAnsi" w:eastAsiaTheme="majorEastAsia" w:hAnsiTheme="majorHAnsi" w:cstheme="majorBidi"/>
      <w:i/>
      <w:iCs/>
      <w:color w:val="2E74B5" w:themeColor="accent1" w:themeShade="BF"/>
      <w:sz w:val="20"/>
      <w:szCs w:val="20"/>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0"/>
      <w:szCs w:val="20"/>
      <w:lang w:eastAsia="fr-FR"/>
    </w:rPr>
  </w:style>
  <w:style w:type="character" w:styleId="Lienhypertexte">
    <w:name w:val="Hyperlink"/>
    <w:rPr>
      <w:rFonts w:cs="Times New Roman"/>
      <w:color w:val="0000FF"/>
      <w:u w:val="single"/>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eastAsia="fr-FR"/>
    </w:rPr>
  </w:style>
  <w:style w:type="paragraph" w:customStyle="1" w:styleId="fcase2metab">
    <w:name w:val="f_case_2èmetab"/>
    <w:basedOn w:val="Normal"/>
    <w:pPr>
      <w:tabs>
        <w:tab w:val="left" w:pos="426"/>
        <w:tab w:val="left" w:pos="851"/>
      </w:tabs>
      <w:suppressAutoHyphens/>
      <w:ind w:left="1134" w:hanging="1134"/>
      <w:jc w:val="both"/>
    </w:pPr>
    <w:rPr>
      <w:rFonts w:ascii="Univers" w:hAnsi="Univers" w:cs="Univers"/>
      <w:lang w:eastAsia="zh-CN"/>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ourier" w:eastAsia="Times New Roman" w:hAnsi="Courier" w:cs="Times New Roman"/>
      <w:b/>
      <w:bCs/>
      <w:sz w:val="20"/>
      <w:szCs w:val="20"/>
      <w:lang w:eastAsia="fr-FR"/>
    </w:rPr>
  </w:style>
  <w:style w:type="table" w:customStyle="1" w:styleId="TableauNormal1">
    <w:name w:val="Tableau Normal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pPr>
      <w:spacing w:after="0" w:line="240" w:lineRule="auto"/>
    </w:pPr>
  </w:style>
  <w:style w:type="paragraph" w:styleId="Rvision">
    <w:name w:val="Revision"/>
    <w:hidden/>
    <w:uiPriority w:val="99"/>
    <w:semiHidden/>
    <w:pPr>
      <w:spacing w:after="0" w:line="240" w:lineRule="auto"/>
    </w:pPr>
    <w:rPr>
      <w:rFonts w:ascii="Courier" w:eastAsia="Times New Roman" w:hAnsi="Courier" w:cs="Times New Roman"/>
      <w:sz w:val="20"/>
      <w:szCs w:val="20"/>
      <w:lang w:eastAsia="fr-FR"/>
    </w:rPr>
  </w:style>
  <w:style w:type="table" w:customStyle="1" w:styleId="TableauNormal11">
    <w:name w:val="Tableau Normal1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rFonts w:ascii="Courier" w:eastAsia="Times New Roman" w:hAnsi="Courier" w:cs="Times New Roman"/>
      <w:sz w:val="20"/>
      <w:szCs w:val="20"/>
      <w:lang w:eastAsia="fr-FR"/>
    </w:rPr>
  </w:style>
  <w:style w:type="character" w:styleId="Appeldenotedefin">
    <w:name w:val="endnote reference"/>
    <w:basedOn w:val="Policepardfaut"/>
    <w:uiPriority w:val="99"/>
    <w:semiHidden/>
    <w:unhideWhenUsed/>
    <w:rPr>
      <w:vertAlign w:val="superscript"/>
    </w:rPr>
  </w:style>
  <w:style w:type="paragraph" w:styleId="NormalWeb">
    <w:name w:val="Normal (Web)"/>
    <w:basedOn w:val="Normal"/>
    <w:uiPriority w:val="99"/>
    <w:semiHidden/>
    <w:unhideWhenUsed/>
    <w:rPr>
      <w:rFonts w:ascii="Times New Roman" w:hAnsi="Times New Roman"/>
      <w:sz w:val="24"/>
      <w:szCs w:val="24"/>
    </w:r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4103">
      <w:bodyDiv w:val="1"/>
      <w:marLeft w:val="0"/>
      <w:marRight w:val="0"/>
      <w:marTop w:val="0"/>
      <w:marBottom w:val="0"/>
      <w:divBdr>
        <w:top w:val="none" w:sz="0" w:space="0" w:color="auto"/>
        <w:left w:val="none" w:sz="0" w:space="0" w:color="auto"/>
        <w:bottom w:val="none" w:sz="0" w:space="0" w:color="auto"/>
        <w:right w:val="none" w:sz="0" w:space="0" w:color="auto"/>
      </w:divBdr>
    </w:div>
    <w:div w:id="228076739">
      <w:bodyDiv w:val="1"/>
      <w:marLeft w:val="0"/>
      <w:marRight w:val="0"/>
      <w:marTop w:val="0"/>
      <w:marBottom w:val="0"/>
      <w:divBdr>
        <w:top w:val="none" w:sz="0" w:space="0" w:color="auto"/>
        <w:left w:val="none" w:sz="0" w:space="0" w:color="auto"/>
        <w:bottom w:val="none" w:sz="0" w:space="0" w:color="auto"/>
        <w:right w:val="none" w:sz="0" w:space="0" w:color="auto"/>
      </w:divBdr>
    </w:div>
    <w:div w:id="492841121">
      <w:bodyDiv w:val="1"/>
      <w:marLeft w:val="0"/>
      <w:marRight w:val="0"/>
      <w:marTop w:val="0"/>
      <w:marBottom w:val="0"/>
      <w:divBdr>
        <w:top w:val="none" w:sz="0" w:space="0" w:color="auto"/>
        <w:left w:val="none" w:sz="0" w:space="0" w:color="auto"/>
        <w:bottom w:val="none" w:sz="0" w:space="0" w:color="auto"/>
        <w:right w:val="none" w:sz="0" w:space="0" w:color="auto"/>
      </w:divBdr>
    </w:div>
    <w:div w:id="573786429">
      <w:bodyDiv w:val="1"/>
      <w:marLeft w:val="0"/>
      <w:marRight w:val="0"/>
      <w:marTop w:val="0"/>
      <w:marBottom w:val="0"/>
      <w:divBdr>
        <w:top w:val="none" w:sz="0" w:space="0" w:color="auto"/>
        <w:left w:val="none" w:sz="0" w:space="0" w:color="auto"/>
        <w:bottom w:val="none" w:sz="0" w:space="0" w:color="auto"/>
        <w:right w:val="none" w:sz="0" w:space="0" w:color="auto"/>
      </w:divBdr>
      <w:divsChild>
        <w:div w:id="1647517008">
          <w:marLeft w:val="0"/>
          <w:marRight w:val="0"/>
          <w:marTop w:val="0"/>
          <w:marBottom w:val="0"/>
          <w:divBdr>
            <w:top w:val="none" w:sz="0" w:space="0" w:color="auto"/>
            <w:left w:val="none" w:sz="0" w:space="0" w:color="auto"/>
            <w:bottom w:val="none" w:sz="0" w:space="0" w:color="auto"/>
            <w:right w:val="none" w:sz="0" w:space="0" w:color="auto"/>
          </w:divBdr>
          <w:divsChild>
            <w:div w:id="1590889241">
              <w:marLeft w:val="0"/>
              <w:marRight w:val="0"/>
              <w:marTop w:val="0"/>
              <w:marBottom w:val="0"/>
              <w:divBdr>
                <w:top w:val="none" w:sz="0" w:space="0" w:color="auto"/>
                <w:left w:val="none" w:sz="0" w:space="0" w:color="auto"/>
                <w:bottom w:val="none" w:sz="0" w:space="0" w:color="auto"/>
                <w:right w:val="none" w:sz="0" w:space="0" w:color="auto"/>
              </w:divBdr>
              <w:divsChild>
                <w:div w:id="1510827558">
                  <w:marLeft w:val="0"/>
                  <w:marRight w:val="0"/>
                  <w:marTop w:val="0"/>
                  <w:marBottom w:val="0"/>
                  <w:divBdr>
                    <w:top w:val="none" w:sz="0" w:space="0" w:color="auto"/>
                    <w:left w:val="none" w:sz="0" w:space="0" w:color="auto"/>
                    <w:bottom w:val="none" w:sz="0" w:space="0" w:color="auto"/>
                    <w:right w:val="none" w:sz="0" w:space="0" w:color="auto"/>
                  </w:divBdr>
                  <w:divsChild>
                    <w:div w:id="738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48328">
              <w:marLeft w:val="0"/>
              <w:marRight w:val="0"/>
              <w:marTop w:val="0"/>
              <w:marBottom w:val="0"/>
              <w:divBdr>
                <w:top w:val="none" w:sz="0" w:space="0" w:color="auto"/>
                <w:left w:val="none" w:sz="0" w:space="0" w:color="auto"/>
                <w:bottom w:val="none" w:sz="0" w:space="0" w:color="auto"/>
                <w:right w:val="none" w:sz="0" w:space="0" w:color="auto"/>
              </w:divBdr>
              <w:divsChild>
                <w:div w:id="2071462055">
                  <w:marLeft w:val="0"/>
                  <w:marRight w:val="0"/>
                  <w:marTop w:val="0"/>
                  <w:marBottom w:val="0"/>
                  <w:divBdr>
                    <w:top w:val="none" w:sz="0" w:space="0" w:color="auto"/>
                    <w:left w:val="none" w:sz="0" w:space="0" w:color="auto"/>
                    <w:bottom w:val="none" w:sz="0" w:space="0" w:color="auto"/>
                    <w:right w:val="none" w:sz="0" w:space="0" w:color="auto"/>
                  </w:divBdr>
                  <w:divsChild>
                    <w:div w:id="110719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182430">
      <w:bodyDiv w:val="1"/>
      <w:marLeft w:val="0"/>
      <w:marRight w:val="0"/>
      <w:marTop w:val="0"/>
      <w:marBottom w:val="0"/>
      <w:divBdr>
        <w:top w:val="none" w:sz="0" w:space="0" w:color="auto"/>
        <w:left w:val="none" w:sz="0" w:space="0" w:color="auto"/>
        <w:bottom w:val="none" w:sz="0" w:space="0" w:color="auto"/>
        <w:right w:val="none" w:sz="0" w:space="0" w:color="auto"/>
      </w:divBdr>
    </w:div>
    <w:div w:id="954945370">
      <w:bodyDiv w:val="1"/>
      <w:marLeft w:val="0"/>
      <w:marRight w:val="0"/>
      <w:marTop w:val="0"/>
      <w:marBottom w:val="0"/>
      <w:divBdr>
        <w:top w:val="none" w:sz="0" w:space="0" w:color="auto"/>
        <w:left w:val="none" w:sz="0" w:space="0" w:color="auto"/>
        <w:bottom w:val="none" w:sz="0" w:space="0" w:color="auto"/>
        <w:right w:val="none" w:sz="0" w:space="0" w:color="auto"/>
      </w:divBdr>
    </w:div>
    <w:div w:id="1011908006">
      <w:bodyDiv w:val="1"/>
      <w:marLeft w:val="0"/>
      <w:marRight w:val="0"/>
      <w:marTop w:val="0"/>
      <w:marBottom w:val="0"/>
      <w:divBdr>
        <w:top w:val="none" w:sz="0" w:space="0" w:color="auto"/>
        <w:left w:val="none" w:sz="0" w:space="0" w:color="auto"/>
        <w:bottom w:val="none" w:sz="0" w:space="0" w:color="auto"/>
        <w:right w:val="none" w:sz="0" w:space="0" w:color="auto"/>
      </w:divBdr>
    </w:div>
    <w:div w:id="1276255740">
      <w:bodyDiv w:val="1"/>
      <w:marLeft w:val="0"/>
      <w:marRight w:val="0"/>
      <w:marTop w:val="0"/>
      <w:marBottom w:val="0"/>
      <w:divBdr>
        <w:top w:val="none" w:sz="0" w:space="0" w:color="auto"/>
        <w:left w:val="none" w:sz="0" w:space="0" w:color="auto"/>
        <w:bottom w:val="none" w:sz="0" w:space="0" w:color="auto"/>
        <w:right w:val="none" w:sz="0" w:space="0" w:color="auto"/>
      </w:divBdr>
    </w:div>
    <w:div w:id="1536230157">
      <w:bodyDiv w:val="1"/>
      <w:marLeft w:val="0"/>
      <w:marRight w:val="0"/>
      <w:marTop w:val="0"/>
      <w:marBottom w:val="0"/>
      <w:divBdr>
        <w:top w:val="none" w:sz="0" w:space="0" w:color="auto"/>
        <w:left w:val="none" w:sz="0" w:space="0" w:color="auto"/>
        <w:bottom w:val="none" w:sz="0" w:space="0" w:color="auto"/>
        <w:right w:val="none" w:sz="0" w:space="0" w:color="auto"/>
      </w:divBdr>
    </w:div>
    <w:div w:id="1902054458">
      <w:bodyDiv w:val="1"/>
      <w:marLeft w:val="0"/>
      <w:marRight w:val="0"/>
      <w:marTop w:val="0"/>
      <w:marBottom w:val="0"/>
      <w:divBdr>
        <w:top w:val="none" w:sz="0" w:space="0" w:color="auto"/>
        <w:left w:val="none" w:sz="0" w:space="0" w:color="auto"/>
        <w:bottom w:val="none" w:sz="0" w:space="0" w:color="auto"/>
        <w:right w:val="none" w:sz="0" w:space="0" w:color="auto"/>
      </w:divBdr>
    </w:div>
    <w:div w:id="19748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declaration-candidat" TargetMode="External"/><Relationship Id="rId13" Type="http://schemas.openxmlformats.org/officeDocument/2006/relationships/hyperlink" Target="mailto:BIMO.NE@finances.gouv.fr"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7" Type="http://schemas.openxmlformats.org/officeDocument/2006/relationships/hyperlink" Target="mailto:support@epicture.fr"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623EE-3C7B-4698-B105-CBF4D9B92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9</Pages>
  <Words>3206</Words>
  <Characters>17635</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20800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NAFTALSKI Diane</dc:creator>
  <cp:keywords/>
  <dc:description/>
  <cp:lastModifiedBy>SCHLUMBERGER Claire</cp:lastModifiedBy>
  <cp:revision>7</cp:revision>
  <dcterms:created xsi:type="dcterms:W3CDTF">2026-01-15T08:41:00Z</dcterms:created>
  <dcterms:modified xsi:type="dcterms:W3CDTF">2026-03-06T07:49:00Z</dcterms:modified>
</cp:coreProperties>
</file>