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F072DB" w14:textId="61D75182" w:rsidR="00710CE0" w:rsidRDefault="00710CE0" w:rsidP="00710CE0">
      <w:pPr>
        <w:pBdr>
          <w:top w:val="single" w:sz="4" w:space="1" w:color="auto"/>
          <w:left w:val="single" w:sz="4" w:space="4" w:color="auto"/>
          <w:bottom w:val="single" w:sz="4" w:space="1" w:color="auto"/>
          <w:right w:val="single" w:sz="4" w:space="4" w:color="auto"/>
        </w:pBdr>
        <w:ind w:right="-1"/>
        <w:jc w:val="center"/>
        <w:rPr>
          <w:rFonts w:ascii="NeueHaasGroteskText Pro" w:hAnsi="NeueHaasGroteskText Pro" w:cs="Arial"/>
          <w:sz w:val="120"/>
          <w:szCs w:val="120"/>
        </w:rPr>
      </w:pPr>
      <w:proofErr w:type="spellStart"/>
      <w:r w:rsidRPr="00191A64">
        <w:rPr>
          <w:rFonts w:ascii="NeueHaasGroteskText Pro" w:hAnsi="NeueHaasGroteskText Pro" w:cs="Arial"/>
          <w:sz w:val="120"/>
          <w:szCs w:val="120"/>
        </w:rPr>
        <w:t>Mucem</w:t>
      </w:r>
      <w:proofErr w:type="spellEnd"/>
    </w:p>
    <w:p w14:paraId="7A73202F" w14:textId="1199CA95" w:rsidR="00710CE0" w:rsidRDefault="00710CE0" w:rsidP="00710CE0">
      <w:pPr>
        <w:pBdr>
          <w:top w:val="single" w:sz="4" w:space="1" w:color="auto"/>
          <w:left w:val="single" w:sz="4" w:space="4" w:color="auto"/>
          <w:bottom w:val="single" w:sz="4" w:space="1" w:color="auto"/>
          <w:right w:val="single" w:sz="4" w:space="4" w:color="auto"/>
        </w:pBdr>
        <w:ind w:right="-1"/>
        <w:jc w:val="center"/>
      </w:pPr>
      <w:r w:rsidRPr="00710CE0">
        <w:rPr>
          <w:b/>
          <w:sz w:val="28"/>
        </w:rPr>
        <w:t>Département de la production culturelle</w:t>
      </w:r>
    </w:p>
    <w:p w14:paraId="2DA6A91B" w14:textId="2D008C9E" w:rsidR="00710CE0" w:rsidRPr="00AD5244" w:rsidRDefault="00710CE0" w:rsidP="00710CE0">
      <w:pPr>
        <w:jc w:val="center"/>
        <w:rPr>
          <w:b/>
          <w:color w:val="0070C0"/>
          <w:sz w:val="56"/>
        </w:rPr>
      </w:pPr>
      <w:r w:rsidRPr="00AD5244">
        <w:rPr>
          <w:b/>
          <w:color w:val="0070C0"/>
          <w:sz w:val="56"/>
        </w:rPr>
        <w:t>CAHIER DES CLAUSES PARTICULIERES</w:t>
      </w:r>
      <w:r>
        <w:rPr>
          <w:b/>
          <w:color w:val="0070C0"/>
          <w:sz w:val="56"/>
        </w:rPr>
        <w:t xml:space="preserve"> (CCP)</w:t>
      </w:r>
    </w:p>
    <w:p w14:paraId="5311BF18" w14:textId="77777777" w:rsidR="009C475A" w:rsidRDefault="009C475A" w:rsidP="00E93C81">
      <w:pPr>
        <w:pBdr>
          <w:top w:val="single" w:sz="4" w:space="1" w:color="auto"/>
          <w:left w:val="single" w:sz="4" w:space="4" w:color="auto"/>
          <w:bottom w:val="single" w:sz="4" w:space="0" w:color="auto"/>
          <w:right w:val="single" w:sz="4" w:space="4" w:color="auto"/>
        </w:pBdr>
      </w:pPr>
    </w:p>
    <w:p w14:paraId="4A124514" w14:textId="77777777" w:rsidR="00113A7B" w:rsidRDefault="00710CE0" w:rsidP="00E93C81">
      <w:pPr>
        <w:pBdr>
          <w:top w:val="single" w:sz="4" w:space="1" w:color="auto"/>
          <w:left w:val="single" w:sz="4" w:space="4" w:color="auto"/>
          <w:bottom w:val="single" w:sz="4" w:space="0" w:color="auto"/>
          <w:right w:val="single" w:sz="4" w:space="4" w:color="auto"/>
        </w:pBdr>
        <w:jc w:val="center"/>
        <w:rPr>
          <w:rFonts w:ascii="NeueHaasGroteskText Pro" w:hAnsi="NeueHaasGroteskText Pro" w:cs="Arial"/>
          <w:b/>
          <w:sz w:val="36"/>
        </w:rPr>
      </w:pPr>
      <w:r w:rsidRPr="00710CE0">
        <w:rPr>
          <w:rFonts w:ascii="NeueHaasGroteskText Pro" w:hAnsi="NeueHaasGroteskText Pro" w:cs="Arial"/>
          <w:b/>
          <w:sz w:val="36"/>
        </w:rPr>
        <w:t xml:space="preserve">Prestations de logistique d’objets et œuvres d’art de l’exposition temporaire </w:t>
      </w:r>
    </w:p>
    <w:p w14:paraId="2DEB981E" w14:textId="67FF5950" w:rsidR="00710CE0" w:rsidRPr="00B61E77" w:rsidRDefault="00710CE0" w:rsidP="00E93C81">
      <w:pPr>
        <w:pBdr>
          <w:top w:val="single" w:sz="4" w:space="1" w:color="auto"/>
          <w:left w:val="single" w:sz="4" w:space="4" w:color="auto"/>
          <w:bottom w:val="single" w:sz="4" w:space="0" w:color="auto"/>
          <w:right w:val="single" w:sz="4" w:space="4" w:color="auto"/>
        </w:pBdr>
        <w:jc w:val="center"/>
        <w:rPr>
          <w:rFonts w:ascii="NeueHaasGroteskText Pro" w:hAnsi="NeueHaasGroteskText Pro" w:cs="Arial"/>
          <w:b/>
          <w:sz w:val="36"/>
        </w:rPr>
      </w:pPr>
      <w:r w:rsidRPr="00B61E77">
        <w:rPr>
          <w:rFonts w:ascii="NeueHaasGroteskText Pro" w:hAnsi="NeueHaasGroteskText Pro" w:cs="Arial"/>
          <w:b/>
          <w:sz w:val="36"/>
        </w:rPr>
        <w:t xml:space="preserve">« </w:t>
      </w:r>
      <w:r w:rsidR="00784AEB" w:rsidRPr="00B61E77">
        <w:rPr>
          <w:rFonts w:ascii="NeueHaasGroteskText Pro" w:hAnsi="NeueHaasGroteskText Pro" w:cs="Arial"/>
          <w:b/>
          <w:sz w:val="36"/>
        </w:rPr>
        <w:t>Mayotte</w:t>
      </w:r>
      <w:r w:rsidR="005454D8" w:rsidRPr="00B61E77">
        <w:rPr>
          <w:rFonts w:ascii="NeueHaasGroteskText Pro" w:hAnsi="NeueHaasGroteskText Pro" w:cs="Arial"/>
          <w:b/>
          <w:sz w:val="36"/>
        </w:rPr>
        <w:t>, à la rencontre des mondes</w:t>
      </w:r>
      <w:r w:rsidR="00A1386C" w:rsidRPr="00B61E77">
        <w:rPr>
          <w:rFonts w:ascii="NeueHaasGroteskText Pro" w:hAnsi="NeueHaasGroteskText Pro" w:cs="Arial"/>
          <w:b/>
          <w:sz w:val="36"/>
        </w:rPr>
        <w:t> »</w:t>
      </w:r>
    </w:p>
    <w:p w14:paraId="2FC1561B" w14:textId="430AEE80" w:rsidR="00112923" w:rsidRPr="00B61E77" w:rsidRDefault="007A1635" w:rsidP="00E93C81">
      <w:pPr>
        <w:pBdr>
          <w:top w:val="single" w:sz="4" w:space="1" w:color="auto"/>
          <w:left w:val="single" w:sz="4" w:space="4" w:color="auto"/>
          <w:bottom w:val="single" w:sz="4" w:space="0" w:color="auto"/>
          <w:right w:val="single" w:sz="4" w:space="4" w:color="auto"/>
        </w:pBdr>
        <w:jc w:val="center"/>
        <w:rPr>
          <w:rFonts w:ascii="NeueHaasGroteskText Pro" w:hAnsi="NeueHaasGroteskText Pro" w:cs="Arial"/>
          <w:sz w:val="36"/>
        </w:rPr>
      </w:pPr>
      <w:r w:rsidRPr="00B61E77">
        <w:rPr>
          <w:rFonts w:ascii="NeueHaasGroteskText Pro" w:hAnsi="NeueHaasGroteskText Pro" w:cs="Arial"/>
          <w:sz w:val="36"/>
        </w:rPr>
        <w:t xml:space="preserve">Salle d’exposition du </w:t>
      </w:r>
      <w:r w:rsidR="00001073" w:rsidRPr="00B61E77">
        <w:rPr>
          <w:rFonts w:ascii="NeueHaasGroteskText Pro" w:hAnsi="NeueHaasGroteskText Pro" w:cs="Arial"/>
          <w:sz w:val="36"/>
        </w:rPr>
        <w:t>FSJ</w:t>
      </w:r>
      <w:r w:rsidR="0017472F">
        <w:rPr>
          <w:rFonts w:ascii="NeueHaasGroteskText Pro" w:hAnsi="NeueHaasGroteskText Pro" w:cs="Arial"/>
          <w:sz w:val="36"/>
        </w:rPr>
        <w:t xml:space="preserve"> (</w:t>
      </w:r>
      <w:r w:rsidRPr="00B61E77">
        <w:rPr>
          <w:rFonts w:ascii="NeueHaasGroteskText Pro" w:hAnsi="NeueHaasGroteskText Pro" w:cs="Arial"/>
          <w:sz w:val="36"/>
        </w:rPr>
        <w:t>bâtiment Georges Henri Rivière</w:t>
      </w:r>
      <w:r w:rsidR="0017472F">
        <w:rPr>
          <w:rFonts w:ascii="NeueHaasGroteskText Pro" w:hAnsi="NeueHaasGroteskText Pro" w:cs="Arial"/>
          <w:sz w:val="36"/>
        </w:rPr>
        <w:t>)</w:t>
      </w:r>
    </w:p>
    <w:p w14:paraId="2711083A" w14:textId="45292B93" w:rsidR="00112923" w:rsidRPr="009C475A" w:rsidRDefault="00112923" w:rsidP="00E93C81">
      <w:pPr>
        <w:pBdr>
          <w:top w:val="single" w:sz="4" w:space="1" w:color="auto"/>
          <w:left w:val="single" w:sz="4" w:space="4" w:color="auto"/>
          <w:bottom w:val="single" w:sz="4" w:space="0" w:color="auto"/>
          <w:right w:val="single" w:sz="4" w:space="4" w:color="auto"/>
        </w:pBdr>
        <w:jc w:val="center"/>
      </w:pPr>
      <w:r w:rsidRPr="00B61E77">
        <w:rPr>
          <w:rFonts w:ascii="NeueHaasGroteskText Pro" w:hAnsi="NeueHaasGroteskText Pro" w:cs="Arial"/>
          <w:sz w:val="36"/>
        </w:rPr>
        <w:t xml:space="preserve">Dates de l’exposition : du </w:t>
      </w:r>
      <w:r w:rsidR="0017472F">
        <w:rPr>
          <w:rFonts w:ascii="NeueHaasGroteskText Pro" w:hAnsi="NeueHaasGroteskText Pro" w:cs="Arial"/>
          <w:sz w:val="36"/>
        </w:rPr>
        <w:t>18/11</w:t>
      </w:r>
      <w:r w:rsidR="00784AEB" w:rsidRPr="00B61E77">
        <w:rPr>
          <w:rFonts w:ascii="NeueHaasGroteskText Pro" w:hAnsi="NeueHaasGroteskText Pro" w:cs="Arial"/>
          <w:sz w:val="36"/>
        </w:rPr>
        <w:t xml:space="preserve">/2026 au </w:t>
      </w:r>
      <w:r w:rsidR="0017472F">
        <w:rPr>
          <w:rFonts w:ascii="NeueHaasGroteskText Pro" w:hAnsi="NeueHaasGroteskText Pro" w:cs="Arial"/>
          <w:sz w:val="36"/>
        </w:rPr>
        <w:t>17/10</w:t>
      </w:r>
      <w:r w:rsidR="00784AEB" w:rsidRPr="00B61E77">
        <w:rPr>
          <w:rFonts w:ascii="NeueHaasGroteskText Pro" w:hAnsi="NeueHaasGroteskText Pro" w:cs="Arial"/>
          <w:sz w:val="36"/>
        </w:rPr>
        <w:t>/2027</w:t>
      </w:r>
    </w:p>
    <w:p w14:paraId="6A7FE5BC" w14:textId="77777777" w:rsidR="00710CE0" w:rsidRDefault="00710CE0" w:rsidP="00E93C81">
      <w:pPr>
        <w:pBdr>
          <w:top w:val="single" w:sz="4" w:space="1" w:color="auto"/>
          <w:left w:val="single" w:sz="4" w:space="4" w:color="auto"/>
          <w:bottom w:val="single" w:sz="4" w:space="0" w:color="auto"/>
          <w:right w:val="single" w:sz="4" w:space="4" w:color="auto"/>
        </w:pBdr>
        <w:jc w:val="center"/>
        <w:rPr>
          <w:b/>
          <w:sz w:val="32"/>
          <w:u w:val="single"/>
        </w:rPr>
      </w:pPr>
    </w:p>
    <w:p w14:paraId="360A3F67" w14:textId="7C2417D4" w:rsidR="00710CE0" w:rsidRPr="00CD093A" w:rsidRDefault="00710CE0" w:rsidP="00E93C81">
      <w:pPr>
        <w:pBdr>
          <w:top w:val="single" w:sz="4" w:space="1" w:color="auto"/>
          <w:left w:val="single" w:sz="4" w:space="4" w:color="auto"/>
          <w:bottom w:val="single" w:sz="4" w:space="0" w:color="auto"/>
          <w:right w:val="single" w:sz="4" w:space="4" w:color="auto"/>
        </w:pBdr>
        <w:jc w:val="center"/>
        <w:rPr>
          <w:b/>
          <w:sz w:val="32"/>
        </w:rPr>
      </w:pPr>
      <w:r>
        <w:rPr>
          <w:rFonts w:ascii="NeueHaasGroteskText Pro" w:hAnsi="NeueHaasGroteskText Pro" w:cs="Arial"/>
          <w:b/>
          <w:sz w:val="36"/>
        </w:rPr>
        <w:t>Marché subséquent passé</w:t>
      </w:r>
      <w:r w:rsidRPr="00021C9E">
        <w:rPr>
          <w:rFonts w:ascii="NeueHaasGroteskText Pro" w:hAnsi="NeueHaasGroteskText Pro" w:cs="Arial"/>
          <w:b/>
          <w:sz w:val="36"/>
        </w:rPr>
        <w:t xml:space="preserve"> sur le fondement de l’accord-cadre n° </w:t>
      </w:r>
      <w:r w:rsidR="00407C3E">
        <w:rPr>
          <w:rFonts w:ascii="NeueHaasGroteskText Pro" w:hAnsi="NeueHaasGroteskText Pro" w:cs="Arial"/>
          <w:b/>
          <w:sz w:val="36"/>
        </w:rPr>
        <w:t>2023 00000</w:t>
      </w:r>
      <w:r w:rsidR="00866023">
        <w:rPr>
          <w:rFonts w:ascii="NeueHaasGroteskText Pro" w:hAnsi="NeueHaasGroteskText Pro" w:cs="Arial"/>
          <w:b/>
          <w:sz w:val="36"/>
        </w:rPr>
        <w:t>01</w:t>
      </w:r>
      <w:r>
        <w:rPr>
          <w:rFonts w:ascii="NeueHaasGroteskText Pro" w:hAnsi="NeueHaasGroteskText Pro" w:cs="Arial"/>
          <w:b/>
          <w:sz w:val="36"/>
        </w:rPr>
        <w:t xml:space="preserve"> </w:t>
      </w:r>
      <w:r>
        <w:rPr>
          <w:rFonts w:ascii="NeueHaasGroteskText Pro" w:hAnsi="NeueHaasGroteskText Pro" w:cs="Arial"/>
          <w:i/>
          <w:sz w:val="28"/>
        </w:rPr>
        <w:t>(</w:t>
      </w:r>
      <w:r w:rsidR="009326BF" w:rsidRPr="009326BF">
        <w:rPr>
          <w:rFonts w:ascii="NeueHaasGroteskText Pro" w:hAnsi="NeueHaasGroteskText Pro" w:cs="Arial"/>
          <w:i/>
          <w:sz w:val="28"/>
        </w:rPr>
        <w:t>Prestations de logistique d'objets et d'œuvres d'art pour les expositions temporaires et les acquisitions</w:t>
      </w:r>
      <w:r>
        <w:rPr>
          <w:rFonts w:ascii="NeueHaasGroteskText Pro" w:hAnsi="NeueHaasGroteskText Pro" w:cs="Arial"/>
          <w:i/>
          <w:sz w:val="28"/>
        </w:rPr>
        <w:t>)</w:t>
      </w:r>
    </w:p>
    <w:p w14:paraId="26881CBB" w14:textId="63678136" w:rsidR="00710CE0" w:rsidRDefault="00760C60" w:rsidP="00E93C81">
      <w:pPr>
        <w:pBdr>
          <w:top w:val="single" w:sz="4" w:space="1" w:color="auto"/>
          <w:left w:val="single" w:sz="4" w:space="4" w:color="auto"/>
          <w:bottom w:val="single" w:sz="4" w:space="0" w:color="auto"/>
          <w:right w:val="single" w:sz="4" w:space="4" w:color="auto"/>
        </w:pBdr>
        <w:jc w:val="left"/>
        <w:rPr>
          <w:b/>
          <w:sz w:val="32"/>
        </w:rPr>
      </w:pPr>
      <w:r>
        <w:rPr>
          <w:b/>
          <w:sz w:val="32"/>
        </w:rPr>
        <w:t xml:space="preserve">        </w:t>
      </w:r>
      <w:r w:rsidRPr="001D53C0">
        <w:rPr>
          <w:b/>
          <w:sz w:val="32"/>
          <w:highlight w:val="yellow"/>
        </w:rPr>
        <w:t>TITULAIRE :</w:t>
      </w:r>
      <w:r>
        <w:rPr>
          <w:b/>
          <w:sz w:val="32"/>
        </w:rPr>
        <w:t xml:space="preserve"> </w:t>
      </w:r>
    </w:p>
    <w:p w14:paraId="3888F57F" w14:textId="77777777" w:rsidR="00760C60" w:rsidRPr="00760C60" w:rsidRDefault="00760C60" w:rsidP="00E93C81">
      <w:pPr>
        <w:pBdr>
          <w:top w:val="single" w:sz="4" w:space="1" w:color="auto"/>
          <w:left w:val="single" w:sz="4" w:space="4" w:color="auto"/>
          <w:bottom w:val="single" w:sz="4" w:space="0" w:color="auto"/>
          <w:right w:val="single" w:sz="4" w:space="4" w:color="auto"/>
        </w:pBdr>
        <w:jc w:val="left"/>
        <w:rPr>
          <w:b/>
        </w:rPr>
      </w:pPr>
    </w:p>
    <w:p w14:paraId="2688343D" w14:textId="77777777" w:rsidR="00710CE0" w:rsidRDefault="00710CE0" w:rsidP="00E93C81">
      <w:pPr>
        <w:pBdr>
          <w:top w:val="single" w:sz="4" w:space="1" w:color="auto"/>
          <w:left w:val="single" w:sz="4" w:space="4" w:color="auto"/>
          <w:bottom w:val="single" w:sz="4" w:space="0" w:color="auto"/>
          <w:right w:val="single" w:sz="4" w:space="4" w:color="auto"/>
        </w:pBdr>
        <w:jc w:val="center"/>
        <w:rPr>
          <w:sz w:val="32"/>
        </w:rPr>
      </w:pPr>
      <w:r w:rsidRPr="00AD5244">
        <w:rPr>
          <w:sz w:val="32"/>
          <w:u w:val="single"/>
        </w:rPr>
        <w:t>Date de dernière mise à jour avant notification</w:t>
      </w:r>
      <w:r w:rsidRPr="00036C4E">
        <w:rPr>
          <w:sz w:val="32"/>
        </w:rPr>
        <w:t xml:space="preserve"> </w:t>
      </w:r>
      <w:r w:rsidRPr="00AD5244">
        <w:rPr>
          <w:sz w:val="32"/>
        </w:rPr>
        <w:t xml:space="preserve">: </w:t>
      </w:r>
    </w:p>
    <w:p w14:paraId="5248C0E1" w14:textId="198435B4" w:rsidR="00710CE0" w:rsidRDefault="00113A7B" w:rsidP="00E93C81">
      <w:pPr>
        <w:pBdr>
          <w:top w:val="single" w:sz="4" w:space="1" w:color="auto"/>
          <w:left w:val="single" w:sz="4" w:space="4" w:color="auto"/>
          <w:bottom w:val="single" w:sz="4" w:space="0" w:color="auto"/>
          <w:right w:val="single" w:sz="4" w:space="4" w:color="auto"/>
        </w:pBdr>
        <w:jc w:val="center"/>
        <w:rPr>
          <w:sz w:val="32"/>
        </w:rPr>
      </w:pPr>
      <w:r>
        <w:rPr>
          <w:sz w:val="32"/>
        </w:rPr>
        <w:t>02/12</w:t>
      </w:r>
      <w:r w:rsidR="00760C60">
        <w:rPr>
          <w:sz w:val="32"/>
        </w:rPr>
        <w:t>/2025</w:t>
      </w:r>
    </w:p>
    <w:p w14:paraId="4EC2F4EB" w14:textId="77777777" w:rsidR="00710CE0" w:rsidRPr="00760C60" w:rsidRDefault="00710CE0" w:rsidP="00E93C81">
      <w:pPr>
        <w:pBdr>
          <w:top w:val="single" w:sz="4" w:space="1" w:color="auto"/>
          <w:left w:val="single" w:sz="4" w:space="4" w:color="auto"/>
          <w:bottom w:val="single" w:sz="4" w:space="0" w:color="auto"/>
          <w:right w:val="single" w:sz="4" w:space="4" w:color="auto"/>
        </w:pBdr>
        <w:jc w:val="center"/>
        <w:rPr>
          <w:sz w:val="16"/>
        </w:rPr>
      </w:pPr>
    </w:p>
    <w:p w14:paraId="655DF75B" w14:textId="77777777" w:rsidR="004D0C8D" w:rsidRDefault="004D0C8D" w:rsidP="00E93C81">
      <w:pPr>
        <w:pBdr>
          <w:top w:val="single" w:sz="4" w:space="1" w:color="auto"/>
          <w:left w:val="single" w:sz="4" w:space="4" w:color="auto"/>
          <w:bottom w:val="single" w:sz="4" w:space="0" w:color="auto"/>
          <w:right w:val="single" w:sz="4" w:space="4" w:color="auto"/>
        </w:pBdr>
        <w:jc w:val="center"/>
        <w:rPr>
          <w:sz w:val="32"/>
        </w:rPr>
      </w:pPr>
      <w:r w:rsidRPr="00AD5244">
        <w:rPr>
          <w:sz w:val="32"/>
          <w:u w:val="single"/>
        </w:rPr>
        <w:t>Référence du contrat</w:t>
      </w:r>
      <w:r>
        <w:rPr>
          <w:sz w:val="32"/>
          <w:u w:val="single"/>
        </w:rPr>
        <w:t xml:space="preserve"> </w:t>
      </w:r>
      <w:r w:rsidRPr="0018115A">
        <w:rPr>
          <w:i/>
          <w:color w:val="808080" w:themeColor="background1" w:themeShade="80"/>
          <w:sz w:val="32"/>
          <w:u w:val="single"/>
        </w:rPr>
        <w:t xml:space="preserve">(à renseigner par le </w:t>
      </w:r>
      <w:proofErr w:type="spellStart"/>
      <w:r w:rsidRPr="0018115A">
        <w:rPr>
          <w:i/>
          <w:color w:val="808080" w:themeColor="background1" w:themeShade="80"/>
          <w:sz w:val="32"/>
          <w:u w:val="single"/>
        </w:rPr>
        <w:t>Mucem</w:t>
      </w:r>
      <w:proofErr w:type="spellEnd"/>
      <w:r w:rsidRPr="0018115A">
        <w:rPr>
          <w:i/>
          <w:color w:val="808080" w:themeColor="background1" w:themeShade="80"/>
          <w:sz w:val="32"/>
          <w:u w:val="single"/>
        </w:rPr>
        <w:t>)</w:t>
      </w:r>
      <w:r w:rsidRPr="0018115A">
        <w:rPr>
          <w:color w:val="808080" w:themeColor="background1" w:themeShade="80"/>
          <w:sz w:val="32"/>
        </w:rPr>
        <w:t xml:space="preserve"> </w:t>
      </w:r>
      <w:r w:rsidRPr="00AD5244">
        <w:rPr>
          <w:sz w:val="32"/>
        </w:rPr>
        <w:t>:</w:t>
      </w:r>
    </w:p>
    <w:p w14:paraId="60E75618" w14:textId="65E2C04F" w:rsidR="004D0C8D" w:rsidRDefault="004D0C8D" w:rsidP="00E93C81">
      <w:pPr>
        <w:pBdr>
          <w:top w:val="single" w:sz="4" w:space="1" w:color="auto"/>
          <w:left w:val="single" w:sz="4" w:space="4" w:color="auto"/>
          <w:bottom w:val="single" w:sz="4" w:space="0" w:color="auto"/>
          <w:right w:val="single" w:sz="4" w:space="4" w:color="auto"/>
        </w:pBdr>
        <w:jc w:val="center"/>
        <w:rPr>
          <w:sz w:val="32"/>
        </w:rPr>
      </w:pPr>
      <w:proofErr w:type="gramStart"/>
      <w:r>
        <w:rPr>
          <w:sz w:val="32"/>
        </w:rPr>
        <w:t>20</w:t>
      </w:r>
      <w:r w:rsidR="00112923">
        <w:rPr>
          <w:sz w:val="32"/>
        </w:rPr>
        <w:t>2</w:t>
      </w:r>
      <w:r w:rsidR="0017472F">
        <w:rPr>
          <w:sz w:val="32"/>
        </w:rPr>
        <w:t>6</w:t>
      </w:r>
      <w:r>
        <w:rPr>
          <w:sz w:val="32"/>
        </w:rPr>
        <w:t xml:space="preserve">  00000</w:t>
      </w:r>
      <w:proofErr w:type="gramEnd"/>
      <w:r w:rsidRPr="00866023">
        <w:rPr>
          <w:sz w:val="32"/>
          <w:highlight w:val="lightGray"/>
        </w:rPr>
        <w:t>__</w:t>
      </w:r>
    </w:p>
    <w:p w14:paraId="2FFD613D" w14:textId="37E3D2F5" w:rsidR="00710CE0" w:rsidRDefault="00340D1E" w:rsidP="00E93C81">
      <w:pPr>
        <w:pBdr>
          <w:top w:val="single" w:sz="4" w:space="1" w:color="auto"/>
          <w:left w:val="single" w:sz="4" w:space="4" w:color="auto"/>
          <w:bottom w:val="single" w:sz="4" w:space="0" w:color="auto"/>
          <w:right w:val="single" w:sz="4" w:space="4" w:color="auto"/>
        </w:pBdr>
        <w:jc w:val="center"/>
        <w:rPr>
          <w:sz w:val="32"/>
        </w:rPr>
      </w:pPr>
      <w:r>
        <w:rPr>
          <w:sz w:val="32"/>
        </w:rPr>
        <w:t>------------------------------------------------------------------------------------------</w:t>
      </w:r>
    </w:p>
    <w:p w14:paraId="261F4088" w14:textId="470EBE09" w:rsidR="00340D1E" w:rsidRDefault="00340D1E" w:rsidP="00E93C81">
      <w:pPr>
        <w:pBdr>
          <w:top w:val="single" w:sz="4" w:space="1" w:color="auto"/>
          <w:left w:val="single" w:sz="4" w:space="4" w:color="auto"/>
          <w:bottom w:val="single" w:sz="4" w:space="0" w:color="auto"/>
          <w:right w:val="single" w:sz="4" w:space="4" w:color="auto"/>
        </w:pBdr>
        <w:jc w:val="left"/>
        <w:rPr>
          <w:color w:val="595959" w:themeColor="text1" w:themeTint="A6"/>
          <w:sz w:val="28"/>
        </w:rPr>
      </w:pPr>
      <w:r w:rsidRPr="00E229B5">
        <w:rPr>
          <w:color w:val="595959" w:themeColor="text1" w:themeTint="A6"/>
          <w:sz w:val="28"/>
          <w:u w:val="single"/>
        </w:rPr>
        <w:t>Visa Contrôleur Budgétaire Régional</w:t>
      </w:r>
      <w:r w:rsidRPr="00E229B5">
        <w:rPr>
          <w:color w:val="595959" w:themeColor="text1" w:themeTint="A6"/>
          <w:sz w:val="28"/>
        </w:rPr>
        <w:t xml:space="preserve"> :</w:t>
      </w:r>
    </w:p>
    <w:p w14:paraId="3A20D7FF" w14:textId="50BD00F7" w:rsidR="00340D1E" w:rsidRPr="00340D1E" w:rsidRDefault="0017472F" w:rsidP="00E93C81">
      <w:pPr>
        <w:pBdr>
          <w:top w:val="single" w:sz="4" w:space="1" w:color="auto"/>
          <w:left w:val="single" w:sz="4" w:space="4" w:color="auto"/>
          <w:bottom w:val="single" w:sz="4" w:space="0" w:color="auto"/>
          <w:right w:val="single" w:sz="4" w:space="4" w:color="auto"/>
        </w:pBdr>
        <w:rPr>
          <w:sz w:val="22"/>
        </w:rPr>
      </w:pPr>
      <w:r>
        <w:rPr>
          <w:sz w:val="22"/>
        </w:rPr>
        <w:t>Sans objet</w:t>
      </w:r>
    </w:p>
    <w:p w14:paraId="227C2B86" w14:textId="77777777" w:rsidR="00340D1E" w:rsidRPr="00340D1E" w:rsidRDefault="00340D1E" w:rsidP="00E93C81">
      <w:pPr>
        <w:pBdr>
          <w:top w:val="single" w:sz="4" w:space="1" w:color="auto"/>
          <w:left w:val="single" w:sz="4" w:space="4" w:color="auto"/>
          <w:bottom w:val="single" w:sz="4" w:space="0" w:color="auto"/>
          <w:right w:val="single" w:sz="4" w:space="4" w:color="auto"/>
        </w:pBdr>
        <w:rPr>
          <w:sz w:val="22"/>
        </w:rPr>
      </w:pPr>
    </w:p>
    <w:p w14:paraId="34D5D097" w14:textId="77777777" w:rsidR="00A3550B" w:rsidRDefault="00A3550B" w:rsidP="00A3550B">
      <w:r>
        <w:br w:type="page"/>
      </w:r>
    </w:p>
    <w:p w14:paraId="09AFFFE9" w14:textId="77777777" w:rsidR="0051659E" w:rsidRPr="004452FB" w:rsidRDefault="00A81438" w:rsidP="009360AD">
      <w:pPr>
        <w:jc w:val="center"/>
        <w:rPr>
          <w:b/>
          <w:sz w:val="28"/>
        </w:rPr>
      </w:pPr>
      <w:r w:rsidRPr="004452FB">
        <w:rPr>
          <w:b/>
          <w:sz w:val="28"/>
        </w:rPr>
        <w:lastRenderedPageBreak/>
        <w:t>SOMM</w:t>
      </w:r>
      <w:r w:rsidR="006629B9" w:rsidRPr="004452FB">
        <w:rPr>
          <w:b/>
          <w:sz w:val="28"/>
        </w:rPr>
        <w:t>AIRE</w:t>
      </w:r>
    </w:p>
    <w:p w14:paraId="4692F9D7" w14:textId="21A70386" w:rsidR="0017472F" w:rsidRDefault="001C51E6">
      <w:pPr>
        <w:pStyle w:val="TM1"/>
        <w:tabs>
          <w:tab w:val="right" w:leader="dot" w:pos="9628"/>
        </w:tabs>
        <w:rPr>
          <w:rFonts w:asciiTheme="minorHAnsi" w:eastAsiaTheme="minorEastAsia" w:hAnsiTheme="minorHAnsi" w:cstheme="minorBidi"/>
          <w:b w:val="0"/>
          <w:bCs w:val="0"/>
          <w:iCs w:val="0"/>
          <w:noProof/>
          <w:sz w:val="22"/>
          <w:szCs w:val="22"/>
        </w:rPr>
      </w:pPr>
      <w:r>
        <w:rPr>
          <w:rFonts w:asciiTheme="minorHAnsi" w:hAnsiTheme="minorHAnsi"/>
        </w:rPr>
        <w:fldChar w:fldCharType="begin"/>
      </w:r>
      <w:r w:rsidR="004C72C3">
        <w:rPr>
          <w:rFonts w:asciiTheme="minorHAnsi" w:hAnsiTheme="minorHAnsi"/>
        </w:rPr>
        <w:instrText xml:space="preserve"> TOC \o "1-2" \h \z \t "ANNEXE;1" </w:instrText>
      </w:r>
      <w:r>
        <w:rPr>
          <w:rFonts w:asciiTheme="minorHAnsi" w:hAnsiTheme="minorHAnsi"/>
        </w:rPr>
        <w:fldChar w:fldCharType="separate"/>
      </w:r>
      <w:hyperlink w:anchor="_Toc215675464" w:history="1">
        <w:r w:rsidR="0017472F" w:rsidRPr="00984B6A">
          <w:rPr>
            <w:rStyle w:val="Lienhypertexte"/>
            <w:rFonts w:cs="Times New Roman"/>
            <w:noProof/>
          </w:rPr>
          <w:t>Article 1</w:t>
        </w:r>
        <w:r w:rsidR="0017472F" w:rsidRPr="00984B6A">
          <w:rPr>
            <w:rStyle w:val="Lienhypertexte"/>
            <w:noProof/>
          </w:rPr>
          <w:t xml:space="preserve"> Présentation du contrat et des signataires</w:t>
        </w:r>
        <w:r w:rsidR="0017472F">
          <w:rPr>
            <w:noProof/>
            <w:webHidden/>
          </w:rPr>
          <w:tab/>
        </w:r>
        <w:r w:rsidR="0017472F">
          <w:rPr>
            <w:noProof/>
            <w:webHidden/>
          </w:rPr>
          <w:fldChar w:fldCharType="begin"/>
        </w:r>
        <w:r w:rsidR="0017472F">
          <w:rPr>
            <w:noProof/>
            <w:webHidden/>
          </w:rPr>
          <w:instrText xml:space="preserve"> PAGEREF _Toc215675464 \h </w:instrText>
        </w:r>
        <w:r w:rsidR="0017472F">
          <w:rPr>
            <w:noProof/>
            <w:webHidden/>
          </w:rPr>
        </w:r>
        <w:r w:rsidR="0017472F">
          <w:rPr>
            <w:noProof/>
            <w:webHidden/>
          </w:rPr>
          <w:fldChar w:fldCharType="separate"/>
        </w:r>
        <w:r w:rsidR="0017472F">
          <w:rPr>
            <w:noProof/>
            <w:webHidden/>
          </w:rPr>
          <w:t>3</w:t>
        </w:r>
        <w:r w:rsidR="0017472F">
          <w:rPr>
            <w:noProof/>
            <w:webHidden/>
          </w:rPr>
          <w:fldChar w:fldCharType="end"/>
        </w:r>
      </w:hyperlink>
    </w:p>
    <w:p w14:paraId="0F8782AD" w14:textId="619DE51B" w:rsidR="0017472F" w:rsidRDefault="00F048AB">
      <w:pPr>
        <w:pStyle w:val="TM2"/>
        <w:tabs>
          <w:tab w:val="right" w:leader="dot" w:pos="9628"/>
        </w:tabs>
        <w:rPr>
          <w:rFonts w:asciiTheme="minorHAnsi" w:eastAsiaTheme="minorEastAsia" w:hAnsiTheme="minorHAnsi" w:cstheme="minorBidi"/>
          <w:bCs w:val="0"/>
          <w:noProof/>
          <w:sz w:val="22"/>
        </w:rPr>
      </w:pPr>
      <w:hyperlink w:anchor="_Toc215675465" w:history="1">
        <w:r w:rsidR="0017472F" w:rsidRPr="00984B6A">
          <w:rPr>
            <w:rStyle w:val="Lienhypertexte"/>
            <w:rFonts w:cs="Times New Roman"/>
            <w:noProof/>
          </w:rPr>
          <w:t>1.1</w:t>
        </w:r>
        <w:r w:rsidR="0017472F" w:rsidRPr="00984B6A">
          <w:rPr>
            <w:rStyle w:val="Lienhypertexte"/>
            <w:noProof/>
          </w:rPr>
          <w:t xml:space="preserve"> Présentation du CCP</w:t>
        </w:r>
        <w:r w:rsidR="0017472F">
          <w:rPr>
            <w:noProof/>
            <w:webHidden/>
          </w:rPr>
          <w:tab/>
        </w:r>
        <w:r w:rsidR="0017472F">
          <w:rPr>
            <w:noProof/>
            <w:webHidden/>
          </w:rPr>
          <w:fldChar w:fldCharType="begin"/>
        </w:r>
        <w:r w:rsidR="0017472F">
          <w:rPr>
            <w:noProof/>
            <w:webHidden/>
          </w:rPr>
          <w:instrText xml:space="preserve"> PAGEREF _Toc215675465 \h </w:instrText>
        </w:r>
        <w:r w:rsidR="0017472F">
          <w:rPr>
            <w:noProof/>
            <w:webHidden/>
          </w:rPr>
        </w:r>
        <w:r w:rsidR="0017472F">
          <w:rPr>
            <w:noProof/>
            <w:webHidden/>
          </w:rPr>
          <w:fldChar w:fldCharType="separate"/>
        </w:r>
        <w:r w:rsidR="0017472F">
          <w:rPr>
            <w:noProof/>
            <w:webHidden/>
          </w:rPr>
          <w:t>3</w:t>
        </w:r>
        <w:r w:rsidR="0017472F">
          <w:rPr>
            <w:noProof/>
            <w:webHidden/>
          </w:rPr>
          <w:fldChar w:fldCharType="end"/>
        </w:r>
      </w:hyperlink>
    </w:p>
    <w:p w14:paraId="5CACEAF5" w14:textId="042875EC" w:rsidR="0017472F" w:rsidRDefault="00F048AB">
      <w:pPr>
        <w:pStyle w:val="TM2"/>
        <w:tabs>
          <w:tab w:val="right" w:leader="dot" w:pos="9628"/>
        </w:tabs>
        <w:rPr>
          <w:rFonts w:asciiTheme="minorHAnsi" w:eastAsiaTheme="minorEastAsia" w:hAnsiTheme="minorHAnsi" w:cstheme="minorBidi"/>
          <w:bCs w:val="0"/>
          <w:noProof/>
          <w:sz w:val="22"/>
        </w:rPr>
      </w:pPr>
      <w:hyperlink w:anchor="_Toc215675466" w:history="1">
        <w:r w:rsidR="0017472F" w:rsidRPr="00984B6A">
          <w:rPr>
            <w:rStyle w:val="Lienhypertexte"/>
            <w:rFonts w:cs="Times New Roman"/>
            <w:noProof/>
          </w:rPr>
          <w:t>1.2</w:t>
        </w:r>
        <w:r w:rsidR="0017472F" w:rsidRPr="00984B6A">
          <w:rPr>
            <w:rStyle w:val="Lienhypertexte"/>
            <w:caps/>
            <w:noProof/>
            <w:highlight w:val="lightGray"/>
          </w:rPr>
          <w:t xml:space="preserve"> </w:t>
        </w:r>
        <w:r w:rsidR="0017472F" w:rsidRPr="00984B6A">
          <w:rPr>
            <w:rStyle w:val="Lienhypertexte"/>
            <w:caps/>
            <w:noProof/>
            <w:sz w:val="36"/>
            <w:szCs w:val="36"/>
            <w:highlight w:val="lightGray"/>
          </w:rPr>
          <w:sym w:font="Wingdings" w:char="F046"/>
        </w:r>
        <w:r w:rsidR="0017472F" w:rsidRPr="00984B6A">
          <w:rPr>
            <w:rStyle w:val="Lienhypertexte"/>
            <w:noProof/>
          </w:rPr>
          <w:t>Désignation des parties</w:t>
        </w:r>
        <w:r w:rsidR="0017472F">
          <w:rPr>
            <w:noProof/>
            <w:webHidden/>
          </w:rPr>
          <w:tab/>
        </w:r>
        <w:r w:rsidR="0017472F">
          <w:rPr>
            <w:noProof/>
            <w:webHidden/>
          </w:rPr>
          <w:fldChar w:fldCharType="begin"/>
        </w:r>
        <w:r w:rsidR="0017472F">
          <w:rPr>
            <w:noProof/>
            <w:webHidden/>
          </w:rPr>
          <w:instrText xml:space="preserve"> PAGEREF _Toc215675466 \h </w:instrText>
        </w:r>
        <w:r w:rsidR="0017472F">
          <w:rPr>
            <w:noProof/>
            <w:webHidden/>
          </w:rPr>
        </w:r>
        <w:r w:rsidR="0017472F">
          <w:rPr>
            <w:noProof/>
            <w:webHidden/>
          </w:rPr>
          <w:fldChar w:fldCharType="separate"/>
        </w:r>
        <w:r w:rsidR="0017472F">
          <w:rPr>
            <w:noProof/>
            <w:webHidden/>
          </w:rPr>
          <w:t>3</w:t>
        </w:r>
        <w:r w:rsidR="0017472F">
          <w:rPr>
            <w:noProof/>
            <w:webHidden/>
          </w:rPr>
          <w:fldChar w:fldCharType="end"/>
        </w:r>
      </w:hyperlink>
    </w:p>
    <w:p w14:paraId="70BE971C" w14:textId="0E8F62CC" w:rsidR="0017472F" w:rsidRDefault="00F048AB">
      <w:pPr>
        <w:pStyle w:val="TM1"/>
        <w:tabs>
          <w:tab w:val="right" w:leader="dot" w:pos="9628"/>
        </w:tabs>
        <w:rPr>
          <w:rFonts w:asciiTheme="minorHAnsi" w:eastAsiaTheme="minorEastAsia" w:hAnsiTheme="minorHAnsi" w:cstheme="minorBidi"/>
          <w:b w:val="0"/>
          <w:bCs w:val="0"/>
          <w:iCs w:val="0"/>
          <w:noProof/>
          <w:sz w:val="22"/>
          <w:szCs w:val="22"/>
        </w:rPr>
      </w:pPr>
      <w:hyperlink w:anchor="_Toc215675467" w:history="1">
        <w:r w:rsidR="0017472F" w:rsidRPr="00984B6A">
          <w:rPr>
            <w:rStyle w:val="Lienhypertexte"/>
            <w:rFonts w:cs="Times New Roman"/>
            <w:noProof/>
          </w:rPr>
          <w:t>Article 2</w:t>
        </w:r>
        <w:r w:rsidR="0017472F" w:rsidRPr="00984B6A">
          <w:rPr>
            <w:rStyle w:val="Lienhypertexte"/>
            <w:noProof/>
          </w:rPr>
          <w:t xml:space="preserve"> Forme et objet du Marché Subséquent</w:t>
        </w:r>
        <w:r w:rsidR="0017472F">
          <w:rPr>
            <w:noProof/>
            <w:webHidden/>
          </w:rPr>
          <w:tab/>
        </w:r>
        <w:r w:rsidR="0017472F">
          <w:rPr>
            <w:noProof/>
            <w:webHidden/>
          </w:rPr>
          <w:fldChar w:fldCharType="begin"/>
        </w:r>
        <w:r w:rsidR="0017472F">
          <w:rPr>
            <w:noProof/>
            <w:webHidden/>
          </w:rPr>
          <w:instrText xml:space="preserve"> PAGEREF _Toc215675467 \h </w:instrText>
        </w:r>
        <w:r w:rsidR="0017472F">
          <w:rPr>
            <w:noProof/>
            <w:webHidden/>
          </w:rPr>
        </w:r>
        <w:r w:rsidR="0017472F">
          <w:rPr>
            <w:noProof/>
            <w:webHidden/>
          </w:rPr>
          <w:fldChar w:fldCharType="separate"/>
        </w:r>
        <w:r w:rsidR="0017472F">
          <w:rPr>
            <w:noProof/>
            <w:webHidden/>
          </w:rPr>
          <w:t>5</w:t>
        </w:r>
        <w:r w:rsidR="0017472F">
          <w:rPr>
            <w:noProof/>
            <w:webHidden/>
          </w:rPr>
          <w:fldChar w:fldCharType="end"/>
        </w:r>
      </w:hyperlink>
    </w:p>
    <w:p w14:paraId="5AB812C5" w14:textId="6797F613" w:rsidR="0017472F" w:rsidRDefault="00F048AB">
      <w:pPr>
        <w:pStyle w:val="TM1"/>
        <w:tabs>
          <w:tab w:val="right" w:leader="dot" w:pos="9628"/>
        </w:tabs>
        <w:rPr>
          <w:rFonts w:asciiTheme="minorHAnsi" w:eastAsiaTheme="minorEastAsia" w:hAnsiTheme="minorHAnsi" w:cstheme="minorBidi"/>
          <w:b w:val="0"/>
          <w:bCs w:val="0"/>
          <w:iCs w:val="0"/>
          <w:noProof/>
          <w:sz w:val="22"/>
          <w:szCs w:val="22"/>
        </w:rPr>
      </w:pPr>
      <w:hyperlink w:anchor="_Toc215675468" w:history="1">
        <w:r w:rsidR="0017472F" w:rsidRPr="00984B6A">
          <w:rPr>
            <w:rStyle w:val="Lienhypertexte"/>
            <w:rFonts w:cs="Times New Roman"/>
            <w:noProof/>
          </w:rPr>
          <w:t>Article 3</w:t>
        </w:r>
        <w:r w:rsidR="0017472F" w:rsidRPr="00984B6A">
          <w:rPr>
            <w:rStyle w:val="Lienhypertexte"/>
            <w:noProof/>
            <w:highlight w:val="lightGray"/>
          </w:rPr>
          <w:t xml:space="preserve"> </w:t>
        </w:r>
        <w:r w:rsidR="0017472F" w:rsidRPr="00984B6A">
          <w:rPr>
            <w:rStyle w:val="Lienhypertexte"/>
            <w:noProof/>
            <w:sz w:val="40"/>
            <w:highlight w:val="lightGray"/>
          </w:rPr>
          <w:sym w:font="Wingdings" w:char="F046"/>
        </w:r>
        <w:r w:rsidR="0017472F" w:rsidRPr="00984B6A">
          <w:rPr>
            <w:rStyle w:val="Lienhypertexte"/>
            <w:noProof/>
          </w:rPr>
          <w:t>Pièces contractuelles</w:t>
        </w:r>
        <w:r w:rsidR="0017472F">
          <w:rPr>
            <w:noProof/>
            <w:webHidden/>
          </w:rPr>
          <w:tab/>
        </w:r>
        <w:r w:rsidR="0017472F">
          <w:rPr>
            <w:noProof/>
            <w:webHidden/>
          </w:rPr>
          <w:fldChar w:fldCharType="begin"/>
        </w:r>
        <w:r w:rsidR="0017472F">
          <w:rPr>
            <w:noProof/>
            <w:webHidden/>
          </w:rPr>
          <w:instrText xml:space="preserve"> PAGEREF _Toc215675468 \h </w:instrText>
        </w:r>
        <w:r w:rsidR="0017472F">
          <w:rPr>
            <w:noProof/>
            <w:webHidden/>
          </w:rPr>
        </w:r>
        <w:r w:rsidR="0017472F">
          <w:rPr>
            <w:noProof/>
            <w:webHidden/>
          </w:rPr>
          <w:fldChar w:fldCharType="separate"/>
        </w:r>
        <w:r w:rsidR="0017472F">
          <w:rPr>
            <w:noProof/>
            <w:webHidden/>
          </w:rPr>
          <w:t>6</w:t>
        </w:r>
        <w:r w:rsidR="0017472F">
          <w:rPr>
            <w:noProof/>
            <w:webHidden/>
          </w:rPr>
          <w:fldChar w:fldCharType="end"/>
        </w:r>
      </w:hyperlink>
    </w:p>
    <w:p w14:paraId="62B4E44F" w14:textId="12F2E276" w:rsidR="0017472F" w:rsidRDefault="00F048AB">
      <w:pPr>
        <w:pStyle w:val="TM1"/>
        <w:tabs>
          <w:tab w:val="right" w:leader="dot" w:pos="9628"/>
        </w:tabs>
        <w:rPr>
          <w:rFonts w:asciiTheme="minorHAnsi" w:eastAsiaTheme="minorEastAsia" w:hAnsiTheme="minorHAnsi" w:cstheme="minorBidi"/>
          <w:b w:val="0"/>
          <w:bCs w:val="0"/>
          <w:iCs w:val="0"/>
          <w:noProof/>
          <w:sz w:val="22"/>
          <w:szCs w:val="22"/>
        </w:rPr>
      </w:pPr>
      <w:hyperlink w:anchor="_Toc215675469" w:history="1">
        <w:r w:rsidR="0017472F" w:rsidRPr="00984B6A">
          <w:rPr>
            <w:rStyle w:val="Lienhypertexte"/>
            <w:rFonts w:cs="Times New Roman"/>
            <w:noProof/>
          </w:rPr>
          <w:t>Article 4</w:t>
        </w:r>
        <w:r w:rsidR="0017472F" w:rsidRPr="00984B6A">
          <w:rPr>
            <w:rStyle w:val="Lienhypertexte"/>
            <w:noProof/>
          </w:rPr>
          <w:t xml:space="preserve"> Durée du Marché Subséquent – délais d’exécution des Prestations</w:t>
        </w:r>
        <w:r w:rsidR="0017472F">
          <w:rPr>
            <w:noProof/>
            <w:webHidden/>
          </w:rPr>
          <w:tab/>
        </w:r>
        <w:r w:rsidR="0017472F">
          <w:rPr>
            <w:noProof/>
            <w:webHidden/>
          </w:rPr>
          <w:fldChar w:fldCharType="begin"/>
        </w:r>
        <w:r w:rsidR="0017472F">
          <w:rPr>
            <w:noProof/>
            <w:webHidden/>
          </w:rPr>
          <w:instrText xml:space="preserve"> PAGEREF _Toc215675469 \h </w:instrText>
        </w:r>
        <w:r w:rsidR="0017472F">
          <w:rPr>
            <w:noProof/>
            <w:webHidden/>
          </w:rPr>
        </w:r>
        <w:r w:rsidR="0017472F">
          <w:rPr>
            <w:noProof/>
            <w:webHidden/>
          </w:rPr>
          <w:fldChar w:fldCharType="separate"/>
        </w:r>
        <w:r w:rsidR="0017472F">
          <w:rPr>
            <w:noProof/>
            <w:webHidden/>
          </w:rPr>
          <w:t>6</w:t>
        </w:r>
        <w:r w:rsidR="0017472F">
          <w:rPr>
            <w:noProof/>
            <w:webHidden/>
          </w:rPr>
          <w:fldChar w:fldCharType="end"/>
        </w:r>
      </w:hyperlink>
    </w:p>
    <w:p w14:paraId="50A7953F" w14:textId="446C0EE9" w:rsidR="0017472F" w:rsidRDefault="00F048AB">
      <w:pPr>
        <w:pStyle w:val="TM2"/>
        <w:tabs>
          <w:tab w:val="right" w:leader="dot" w:pos="9628"/>
        </w:tabs>
        <w:rPr>
          <w:rFonts w:asciiTheme="minorHAnsi" w:eastAsiaTheme="minorEastAsia" w:hAnsiTheme="minorHAnsi" w:cstheme="minorBidi"/>
          <w:bCs w:val="0"/>
          <w:noProof/>
          <w:sz w:val="22"/>
        </w:rPr>
      </w:pPr>
      <w:hyperlink w:anchor="_Toc215675470" w:history="1">
        <w:r w:rsidR="0017472F" w:rsidRPr="00984B6A">
          <w:rPr>
            <w:rStyle w:val="Lienhypertexte"/>
            <w:rFonts w:cs="Times New Roman"/>
            <w:noProof/>
          </w:rPr>
          <w:t>4.1</w:t>
        </w:r>
        <w:r w:rsidR="0017472F" w:rsidRPr="00984B6A">
          <w:rPr>
            <w:rStyle w:val="Lienhypertexte"/>
            <w:noProof/>
          </w:rPr>
          <w:t xml:space="preserve"> Durée, prise d’effet du Marché Subséquent</w:t>
        </w:r>
        <w:r w:rsidR="0017472F">
          <w:rPr>
            <w:noProof/>
            <w:webHidden/>
          </w:rPr>
          <w:tab/>
        </w:r>
        <w:r w:rsidR="0017472F">
          <w:rPr>
            <w:noProof/>
            <w:webHidden/>
          </w:rPr>
          <w:fldChar w:fldCharType="begin"/>
        </w:r>
        <w:r w:rsidR="0017472F">
          <w:rPr>
            <w:noProof/>
            <w:webHidden/>
          </w:rPr>
          <w:instrText xml:space="preserve"> PAGEREF _Toc215675470 \h </w:instrText>
        </w:r>
        <w:r w:rsidR="0017472F">
          <w:rPr>
            <w:noProof/>
            <w:webHidden/>
          </w:rPr>
        </w:r>
        <w:r w:rsidR="0017472F">
          <w:rPr>
            <w:noProof/>
            <w:webHidden/>
          </w:rPr>
          <w:fldChar w:fldCharType="separate"/>
        </w:r>
        <w:r w:rsidR="0017472F">
          <w:rPr>
            <w:noProof/>
            <w:webHidden/>
          </w:rPr>
          <w:t>6</w:t>
        </w:r>
        <w:r w:rsidR="0017472F">
          <w:rPr>
            <w:noProof/>
            <w:webHidden/>
          </w:rPr>
          <w:fldChar w:fldCharType="end"/>
        </w:r>
      </w:hyperlink>
    </w:p>
    <w:p w14:paraId="481576F7" w14:textId="2787B224" w:rsidR="0017472F" w:rsidRDefault="00F048AB">
      <w:pPr>
        <w:pStyle w:val="TM2"/>
        <w:tabs>
          <w:tab w:val="right" w:leader="dot" w:pos="9628"/>
        </w:tabs>
        <w:rPr>
          <w:rFonts w:asciiTheme="minorHAnsi" w:eastAsiaTheme="minorEastAsia" w:hAnsiTheme="minorHAnsi" w:cstheme="minorBidi"/>
          <w:bCs w:val="0"/>
          <w:noProof/>
          <w:sz w:val="22"/>
        </w:rPr>
      </w:pPr>
      <w:hyperlink w:anchor="_Toc215675471" w:history="1">
        <w:r w:rsidR="0017472F" w:rsidRPr="00984B6A">
          <w:rPr>
            <w:rStyle w:val="Lienhypertexte"/>
            <w:rFonts w:cs="Times New Roman"/>
            <w:noProof/>
          </w:rPr>
          <w:t>4.2</w:t>
        </w:r>
        <w:r w:rsidR="0017472F" w:rsidRPr="00984B6A">
          <w:rPr>
            <w:rStyle w:val="Lienhypertexte"/>
            <w:noProof/>
          </w:rPr>
          <w:t xml:space="preserve"> Périodes d’intervention – planification des arrivées et retour des œuvres et des objets</w:t>
        </w:r>
        <w:r w:rsidR="0017472F">
          <w:rPr>
            <w:noProof/>
            <w:webHidden/>
          </w:rPr>
          <w:tab/>
        </w:r>
        <w:r w:rsidR="0017472F">
          <w:rPr>
            <w:noProof/>
            <w:webHidden/>
          </w:rPr>
          <w:fldChar w:fldCharType="begin"/>
        </w:r>
        <w:r w:rsidR="0017472F">
          <w:rPr>
            <w:noProof/>
            <w:webHidden/>
          </w:rPr>
          <w:instrText xml:space="preserve"> PAGEREF _Toc215675471 \h </w:instrText>
        </w:r>
        <w:r w:rsidR="0017472F">
          <w:rPr>
            <w:noProof/>
            <w:webHidden/>
          </w:rPr>
        </w:r>
        <w:r w:rsidR="0017472F">
          <w:rPr>
            <w:noProof/>
            <w:webHidden/>
          </w:rPr>
          <w:fldChar w:fldCharType="separate"/>
        </w:r>
        <w:r w:rsidR="0017472F">
          <w:rPr>
            <w:noProof/>
            <w:webHidden/>
          </w:rPr>
          <w:t>6</w:t>
        </w:r>
        <w:r w:rsidR="0017472F">
          <w:rPr>
            <w:noProof/>
            <w:webHidden/>
          </w:rPr>
          <w:fldChar w:fldCharType="end"/>
        </w:r>
      </w:hyperlink>
    </w:p>
    <w:p w14:paraId="7A81BCD7" w14:textId="287FA56A" w:rsidR="0017472F" w:rsidRDefault="00F048AB">
      <w:pPr>
        <w:pStyle w:val="TM1"/>
        <w:tabs>
          <w:tab w:val="right" w:leader="dot" w:pos="9628"/>
        </w:tabs>
        <w:rPr>
          <w:rFonts w:asciiTheme="minorHAnsi" w:eastAsiaTheme="minorEastAsia" w:hAnsiTheme="minorHAnsi" w:cstheme="minorBidi"/>
          <w:b w:val="0"/>
          <w:bCs w:val="0"/>
          <w:iCs w:val="0"/>
          <w:noProof/>
          <w:sz w:val="22"/>
          <w:szCs w:val="22"/>
        </w:rPr>
      </w:pPr>
      <w:hyperlink w:anchor="_Toc215675472" w:history="1">
        <w:r w:rsidR="0017472F" w:rsidRPr="00984B6A">
          <w:rPr>
            <w:rStyle w:val="Lienhypertexte"/>
            <w:rFonts w:cs="Times New Roman"/>
            <w:noProof/>
          </w:rPr>
          <w:t>Article 5</w:t>
        </w:r>
        <w:r w:rsidR="0017472F" w:rsidRPr="00984B6A">
          <w:rPr>
            <w:rStyle w:val="Lienhypertexte"/>
            <w:noProof/>
          </w:rPr>
          <w:t xml:space="preserve"> Présentation de l’exposition – objets et œuvres concernées</w:t>
        </w:r>
        <w:r w:rsidR="0017472F">
          <w:rPr>
            <w:noProof/>
            <w:webHidden/>
          </w:rPr>
          <w:tab/>
        </w:r>
        <w:r w:rsidR="0017472F">
          <w:rPr>
            <w:noProof/>
            <w:webHidden/>
          </w:rPr>
          <w:fldChar w:fldCharType="begin"/>
        </w:r>
        <w:r w:rsidR="0017472F">
          <w:rPr>
            <w:noProof/>
            <w:webHidden/>
          </w:rPr>
          <w:instrText xml:space="preserve"> PAGEREF _Toc215675472 \h </w:instrText>
        </w:r>
        <w:r w:rsidR="0017472F">
          <w:rPr>
            <w:noProof/>
            <w:webHidden/>
          </w:rPr>
        </w:r>
        <w:r w:rsidR="0017472F">
          <w:rPr>
            <w:noProof/>
            <w:webHidden/>
          </w:rPr>
          <w:fldChar w:fldCharType="separate"/>
        </w:r>
        <w:r w:rsidR="0017472F">
          <w:rPr>
            <w:noProof/>
            <w:webHidden/>
          </w:rPr>
          <w:t>7</w:t>
        </w:r>
        <w:r w:rsidR="0017472F">
          <w:rPr>
            <w:noProof/>
            <w:webHidden/>
          </w:rPr>
          <w:fldChar w:fldCharType="end"/>
        </w:r>
      </w:hyperlink>
    </w:p>
    <w:p w14:paraId="5E367F83" w14:textId="670AB2A6" w:rsidR="0017472F" w:rsidRDefault="00F048AB">
      <w:pPr>
        <w:pStyle w:val="TM1"/>
        <w:tabs>
          <w:tab w:val="right" w:leader="dot" w:pos="9628"/>
        </w:tabs>
        <w:rPr>
          <w:rFonts w:asciiTheme="minorHAnsi" w:eastAsiaTheme="minorEastAsia" w:hAnsiTheme="minorHAnsi" w:cstheme="minorBidi"/>
          <w:b w:val="0"/>
          <w:bCs w:val="0"/>
          <w:iCs w:val="0"/>
          <w:noProof/>
          <w:sz w:val="22"/>
          <w:szCs w:val="22"/>
        </w:rPr>
      </w:pPr>
      <w:hyperlink w:anchor="_Toc215675473" w:history="1">
        <w:r w:rsidR="0017472F" w:rsidRPr="00984B6A">
          <w:rPr>
            <w:rStyle w:val="Lienhypertexte"/>
            <w:rFonts w:cs="Times New Roman"/>
            <w:noProof/>
          </w:rPr>
          <w:t>Article 6</w:t>
        </w:r>
        <w:r w:rsidR="0017472F" w:rsidRPr="00984B6A">
          <w:rPr>
            <w:rStyle w:val="Lienhypertexte"/>
            <w:noProof/>
          </w:rPr>
          <w:t xml:space="preserve"> Description des Prestations</w:t>
        </w:r>
        <w:r w:rsidR="0017472F">
          <w:rPr>
            <w:noProof/>
            <w:webHidden/>
          </w:rPr>
          <w:tab/>
        </w:r>
        <w:r w:rsidR="0017472F">
          <w:rPr>
            <w:noProof/>
            <w:webHidden/>
          </w:rPr>
          <w:fldChar w:fldCharType="begin"/>
        </w:r>
        <w:r w:rsidR="0017472F">
          <w:rPr>
            <w:noProof/>
            <w:webHidden/>
          </w:rPr>
          <w:instrText xml:space="preserve"> PAGEREF _Toc215675473 \h </w:instrText>
        </w:r>
        <w:r w:rsidR="0017472F">
          <w:rPr>
            <w:noProof/>
            <w:webHidden/>
          </w:rPr>
        </w:r>
        <w:r w:rsidR="0017472F">
          <w:rPr>
            <w:noProof/>
            <w:webHidden/>
          </w:rPr>
          <w:fldChar w:fldCharType="separate"/>
        </w:r>
        <w:r w:rsidR="0017472F">
          <w:rPr>
            <w:noProof/>
            <w:webHidden/>
          </w:rPr>
          <w:t>8</w:t>
        </w:r>
        <w:r w:rsidR="0017472F">
          <w:rPr>
            <w:noProof/>
            <w:webHidden/>
          </w:rPr>
          <w:fldChar w:fldCharType="end"/>
        </w:r>
      </w:hyperlink>
    </w:p>
    <w:p w14:paraId="6BC6A4B8" w14:textId="0E676A0F" w:rsidR="0017472F" w:rsidRDefault="00F048AB">
      <w:pPr>
        <w:pStyle w:val="TM2"/>
        <w:tabs>
          <w:tab w:val="right" w:leader="dot" w:pos="9628"/>
        </w:tabs>
        <w:rPr>
          <w:rFonts w:asciiTheme="minorHAnsi" w:eastAsiaTheme="minorEastAsia" w:hAnsiTheme="minorHAnsi" w:cstheme="minorBidi"/>
          <w:bCs w:val="0"/>
          <w:noProof/>
          <w:sz w:val="22"/>
        </w:rPr>
      </w:pPr>
      <w:hyperlink w:anchor="_Toc215675474" w:history="1">
        <w:r w:rsidR="0017472F" w:rsidRPr="00984B6A">
          <w:rPr>
            <w:rStyle w:val="Lienhypertexte"/>
            <w:rFonts w:cs="Times New Roman"/>
            <w:noProof/>
          </w:rPr>
          <w:t>6.1</w:t>
        </w:r>
        <w:r w:rsidR="0017472F" w:rsidRPr="00984B6A">
          <w:rPr>
            <w:rStyle w:val="Lienhypertexte"/>
            <w:noProof/>
          </w:rPr>
          <w:t xml:space="preserve"> Prestations à prix forfaitaire</w:t>
        </w:r>
        <w:r w:rsidR="0017472F">
          <w:rPr>
            <w:noProof/>
            <w:webHidden/>
          </w:rPr>
          <w:tab/>
        </w:r>
        <w:r w:rsidR="0017472F">
          <w:rPr>
            <w:noProof/>
            <w:webHidden/>
          </w:rPr>
          <w:fldChar w:fldCharType="begin"/>
        </w:r>
        <w:r w:rsidR="0017472F">
          <w:rPr>
            <w:noProof/>
            <w:webHidden/>
          </w:rPr>
          <w:instrText xml:space="preserve"> PAGEREF _Toc215675474 \h </w:instrText>
        </w:r>
        <w:r w:rsidR="0017472F">
          <w:rPr>
            <w:noProof/>
            <w:webHidden/>
          </w:rPr>
        </w:r>
        <w:r w:rsidR="0017472F">
          <w:rPr>
            <w:noProof/>
            <w:webHidden/>
          </w:rPr>
          <w:fldChar w:fldCharType="separate"/>
        </w:r>
        <w:r w:rsidR="0017472F">
          <w:rPr>
            <w:noProof/>
            <w:webHidden/>
          </w:rPr>
          <w:t>8</w:t>
        </w:r>
        <w:r w:rsidR="0017472F">
          <w:rPr>
            <w:noProof/>
            <w:webHidden/>
          </w:rPr>
          <w:fldChar w:fldCharType="end"/>
        </w:r>
      </w:hyperlink>
    </w:p>
    <w:p w14:paraId="3EAA28C5" w14:textId="59944C4C" w:rsidR="0017472F" w:rsidRDefault="00F048AB">
      <w:pPr>
        <w:pStyle w:val="TM2"/>
        <w:tabs>
          <w:tab w:val="right" w:leader="dot" w:pos="9628"/>
        </w:tabs>
        <w:rPr>
          <w:rFonts w:asciiTheme="minorHAnsi" w:eastAsiaTheme="minorEastAsia" w:hAnsiTheme="minorHAnsi" w:cstheme="minorBidi"/>
          <w:bCs w:val="0"/>
          <w:noProof/>
          <w:sz w:val="22"/>
        </w:rPr>
      </w:pPr>
      <w:hyperlink w:anchor="_Toc215675475" w:history="1">
        <w:r w:rsidR="0017472F" w:rsidRPr="00984B6A">
          <w:rPr>
            <w:rStyle w:val="Lienhypertexte"/>
            <w:rFonts w:cs="Times New Roman"/>
            <w:noProof/>
          </w:rPr>
          <w:t>6.2</w:t>
        </w:r>
        <w:r w:rsidR="0017472F" w:rsidRPr="00984B6A">
          <w:rPr>
            <w:rStyle w:val="Lienhypertexte"/>
            <w:noProof/>
          </w:rPr>
          <w:t xml:space="preserve"> Prestations à prix unitaires</w:t>
        </w:r>
        <w:r w:rsidR="0017472F">
          <w:rPr>
            <w:noProof/>
            <w:webHidden/>
          </w:rPr>
          <w:tab/>
        </w:r>
        <w:r w:rsidR="0017472F">
          <w:rPr>
            <w:noProof/>
            <w:webHidden/>
          </w:rPr>
          <w:fldChar w:fldCharType="begin"/>
        </w:r>
        <w:r w:rsidR="0017472F">
          <w:rPr>
            <w:noProof/>
            <w:webHidden/>
          </w:rPr>
          <w:instrText xml:space="preserve"> PAGEREF _Toc215675475 \h </w:instrText>
        </w:r>
        <w:r w:rsidR="0017472F">
          <w:rPr>
            <w:noProof/>
            <w:webHidden/>
          </w:rPr>
        </w:r>
        <w:r w:rsidR="0017472F">
          <w:rPr>
            <w:noProof/>
            <w:webHidden/>
          </w:rPr>
          <w:fldChar w:fldCharType="separate"/>
        </w:r>
        <w:r w:rsidR="0017472F">
          <w:rPr>
            <w:noProof/>
            <w:webHidden/>
          </w:rPr>
          <w:t>11</w:t>
        </w:r>
        <w:r w:rsidR="0017472F">
          <w:rPr>
            <w:noProof/>
            <w:webHidden/>
          </w:rPr>
          <w:fldChar w:fldCharType="end"/>
        </w:r>
      </w:hyperlink>
    </w:p>
    <w:p w14:paraId="20EAE635" w14:textId="06A1CECC" w:rsidR="0017472F" w:rsidRDefault="00F048AB">
      <w:pPr>
        <w:pStyle w:val="TM2"/>
        <w:tabs>
          <w:tab w:val="right" w:leader="dot" w:pos="9628"/>
        </w:tabs>
        <w:rPr>
          <w:rFonts w:asciiTheme="minorHAnsi" w:eastAsiaTheme="minorEastAsia" w:hAnsiTheme="minorHAnsi" w:cstheme="minorBidi"/>
          <w:bCs w:val="0"/>
          <w:noProof/>
          <w:sz w:val="22"/>
        </w:rPr>
      </w:pPr>
      <w:hyperlink w:anchor="_Toc215675476" w:history="1">
        <w:r w:rsidR="0017472F" w:rsidRPr="00984B6A">
          <w:rPr>
            <w:rStyle w:val="Lienhypertexte"/>
            <w:rFonts w:cs="Times New Roman"/>
            <w:noProof/>
          </w:rPr>
          <w:t>6.3</w:t>
        </w:r>
        <w:r w:rsidR="0017472F" w:rsidRPr="00984B6A">
          <w:rPr>
            <w:rStyle w:val="Lienhypertexte"/>
            <w:noProof/>
          </w:rPr>
          <w:t xml:space="preserve"> Lieux d’exécution des Prestations</w:t>
        </w:r>
        <w:r w:rsidR="0017472F">
          <w:rPr>
            <w:noProof/>
            <w:webHidden/>
          </w:rPr>
          <w:tab/>
        </w:r>
        <w:r w:rsidR="0017472F">
          <w:rPr>
            <w:noProof/>
            <w:webHidden/>
          </w:rPr>
          <w:fldChar w:fldCharType="begin"/>
        </w:r>
        <w:r w:rsidR="0017472F">
          <w:rPr>
            <w:noProof/>
            <w:webHidden/>
          </w:rPr>
          <w:instrText xml:space="preserve"> PAGEREF _Toc215675476 \h </w:instrText>
        </w:r>
        <w:r w:rsidR="0017472F">
          <w:rPr>
            <w:noProof/>
            <w:webHidden/>
          </w:rPr>
        </w:r>
        <w:r w:rsidR="0017472F">
          <w:rPr>
            <w:noProof/>
            <w:webHidden/>
          </w:rPr>
          <w:fldChar w:fldCharType="separate"/>
        </w:r>
        <w:r w:rsidR="0017472F">
          <w:rPr>
            <w:noProof/>
            <w:webHidden/>
          </w:rPr>
          <w:t>11</w:t>
        </w:r>
        <w:r w:rsidR="0017472F">
          <w:rPr>
            <w:noProof/>
            <w:webHidden/>
          </w:rPr>
          <w:fldChar w:fldCharType="end"/>
        </w:r>
      </w:hyperlink>
    </w:p>
    <w:p w14:paraId="6E8E5485" w14:textId="558C2173" w:rsidR="0017472F" w:rsidRDefault="00F048AB">
      <w:pPr>
        <w:pStyle w:val="TM2"/>
        <w:tabs>
          <w:tab w:val="right" w:leader="dot" w:pos="9628"/>
        </w:tabs>
        <w:rPr>
          <w:rFonts w:asciiTheme="minorHAnsi" w:eastAsiaTheme="minorEastAsia" w:hAnsiTheme="minorHAnsi" w:cstheme="minorBidi"/>
          <w:bCs w:val="0"/>
          <w:noProof/>
          <w:sz w:val="22"/>
        </w:rPr>
      </w:pPr>
      <w:hyperlink w:anchor="_Toc215675477" w:history="1">
        <w:r w:rsidR="0017472F" w:rsidRPr="00984B6A">
          <w:rPr>
            <w:rStyle w:val="Lienhypertexte"/>
            <w:rFonts w:cs="Times New Roman"/>
            <w:noProof/>
          </w:rPr>
          <w:t>6.4</w:t>
        </w:r>
        <w:r w:rsidR="0017472F" w:rsidRPr="00984B6A">
          <w:rPr>
            <w:rStyle w:val="Lienhypertexte"/>
            <w:noProof/>
          </w:rPr>
          <w:t xml:space="preserve"> Documents particuliers fournis par le Titulaire</w:t>
        </w:r>
        <w:r w:rsidR="0017472F">
          <w:rPr>
            <w:noProof/>
            <w:webHidden/>
          </w:rPr>
          <w:tab/>
        </w:r>
        <w:r w:rsidR="0017472F">
          <w:rPr>
            <w:noProof/>
            <w:webHidden/>
          </w:rPr>
          <w:fldChar w:fldCharType="begin"/>
        </w:r>
        <w:r w:rsidR="0017472F">
          <w:rPr>
            <w:noProof/>
            <w:webHidden/>
          </w:rPr>
          <w:instrText xml:space="preserve"> PAGEREF _Toc215675477 \h </w:instrText>
        </w:r>
        <w:r w:rsidR="0017472F">
          <w:rPr>
            <w:noProof/>
            <w:webHidden/>
          </w:rPr>
        </w:r>
        <w:r w:rsidR="0017472F">
          <w:rPr>
            <w:noProof/>
            <w:webHidden/>
          </w:rPr>
          <w:fldChar w:fldCharType="separate"/>
        </w:r>
        <w:r w:rsidR="0017472F">
          <w:rPr>
            <w:noProof/>
            <w:webHidden/>
          </w:rPr>
          <w:t>11</w:t>
        </w:r>
        <w:r w:rsidR="0017472F">
          <w:rPr>
            <w:noProof/>
            <w:webHidden/>
          </w:rPr>
          <w:fldChar w:fldCharType="end"/>
        </w:r>
      </w:hyperlink>
    </w:p>
    <w:p w14:paraId="654D6747" w14:textId="475AD80E" w:rsidR="0017472F" w:rsidRDefault="00F048AB">
      <w:pPr>
        <w:pStyle w:val="TM1"/>
        <w:tabs>
          <w:tab w:val="right" w:leader="dot" w:pos="9628"/>
        </w:tabs>
        <w:rPr>
          <w:rFonts w:asciiTheme="minorHAnsi" w:eastAsiaTheme="minorEastAsia" w:hAnsiTheme="minorHAnsi" w:cstheme="minorBidi"/>
          <w:b w:val="0"/>
          <w:bCs w:val="0"/>
          <w:iCs w:val="0"/>
          <w:noProof/>
          <w:sz w:val="22"/>
          <w:szCs w:val="22"/>
        </w:rPr>
      </w:pPr>
      <w:hyperlink w:anchor="_Toc215675478" w:history="1">
        <w:r w:rsidR="0017472F" w:rsidRPr="00984B6A">
          <w:rPr>
            <w:rStyle w:val="Lienhypertexte"/>
            <w:rFonts w:cs="Times New Roman"/>
            <w:noProof/>
          </w:rPr>
          <w:t>Article 7</w:t>
        </w:r>
        <w:r w:rsidR="0017472F" w:rsidRPr="00984B6A">
          <w:rPr>
            <w:rStyle w:val="Lienhypertexte"/>
            <w:noProof/>
          </w:rPr>
          <w:t xml:space="preserve"> Modalités financières</w:t>
        </w:r>
        <w:r w:rsidR="0017472F">
          <w:rPr>
            <w:noProof/>
            <w:webHidden/>
          </w:rPr>
          <w:tab/>
        </w:r>
        <w:r w:rsidR="0017472F">
          <w:rPr>
            <w:noProof/>
            <w:webHidden/>
          </w:rPr>
          <w:fldChar w:fldCharType="begin"/>
        </w:r>
        <w:r w:rsidR="0017472F">
          <w:rPr>
            <w:noProof/>
            <w:webHidden/>
          </w:rPr>
          <w:instrText xml:space="preserve"> PAGEREF _Toc215675478 \h </w:instrText>
        </w:r>
        <w:r w:rsidR="0017472F">
          <w:rPr>
            <w:noProof/>
            <w:webHidden/>
          </w:rPr>
        </w:r>
        <w:r w:rsidR="0017472F">
          <w:rPr>
            <w:noProof/>
            <w:webHidden/>
          </w:rPr>
          <w:fldChar w:fldCharType="separate"/>
        </w:r>
        <w:r w:rsidR="0017472F">
          <w:rPr>
            <w:noProof/>
            <w:webHidden/>
          </w:rPr>
          <w:t>11</w:t>
        </w:r>
        <w:r w:rsidR="0017472F">
          <w:rPr>
            <w:noProof/>
            <w:webHidden/>
          </w:rPr>
          <w:fldChar w:fldCharType="end"/>
        </w:r>
      </w:hyperlink>
    </w:p>
    <w:p w14:paraId="657FFD76" w14:textId="26FADF27" w:rsidR="0017472F" w:rsidRDefault="00F048AB">
      <w:pPr>
        <w:pStyle w:val="TM2"/>
        <w:tabs>
          <w:tab w:val="right" w:leader="dot" w:pos="9628"/>
        </w:tabs>
        <w:rPr>
          <w:rFonts w:asciiTheme="minorHAnsi" w:eastAsiaTheme="minorEastAsia" w:hAnsiTheme="minorHAnsi" w:cstheme="minorBidi"/>
          <w:bCs w:val="0"/>
          <w:noProof/>
          <w:sz w:val="22"/>
        </w:rPr>
      </w:pPr>
      <w:hyperlink w:anchor="_Toc215675479" w:history="1">
        <w:r w:rsidR="0017472F" w:rsidRPr="00984B6A">
          <w:rPr>
            <w:rStyle w:val="Lienhypertexte"/>
            <w:rFonts w:cs="Times New Roman"/>
            <w:noProof/>
          </w:rPr>
          <w:t>7.1</w:t>
        </w:r>
        <w:r w:rsidR="0017472F" w:rsidRPr="00984B6A">
          <w:rPr>
            <w:rStyle w:val="Lienhypertexte"/>
            <w:noProof/>
          </w:rPr>
          <w:t xml:space="preserve"> Forme et contenu des prix</w:t>
        </w:r>
        <w:r w:rsidR="0017472F">
          <w:rPr>
            <w:noProof/>
            <w:webHidden/>
          </w:rPr>
          <w:tab/>
        </w:r>
        <w:r w:rsidR="0017472F">
          <w:rPr>
            <w:noProof/>
            <w:webHidden/>
          </w:rPr>
          <w:fldChar w:fldCharType="begin"/>
        </w:r>
        <w:r w:rsidR="0017472F">
          <w:rPr>
            <w:noProof/>
            <w:webHidden/>
          </w:rPr>
          <w:instrText xml:space="preserve"> PAGEREF _Toc215675479 \h </w:instrText>
        </w:r>
        <w:r w:rsidR="0017472F">
          <w:rPr>
            <w:noProof/>
            <w:webHidden/>
          </w:rPr>
        </w:r>
        <w:r w:rsidR="0017472F">
          <w:rPr>
            <w:noProof/>
            <w:webHidden/>
          </w:rPr>
          <w:fldChar w:fldCharType="separate"/>
        </w:r>
        <w:r w:rsidR="0017472F">
          <w:rPr>
            <w:noProof/>
            <w:webHidden/>
          </w:rPr>
          <w:t>11</w:t>
        </w:r>
        <w:r w:rsidR="0017472F">
          <w:rPr>
            <w:noProof/>
            <w:webHidden/>
          </w:rPr>
          <w:fldChar w:fldCharType="end"/>
        </w:r>
      </w:hyperlink>
    </w:p>
    <w:p w14:paraId="7A2B7C91" w14:textId="1A7120CC" w:rsidR="0017472F" w:rsidRDefault="00F048AB">
      <w:pPr>
        <w:pStyle w:val="TM2"/>
        <w:tabs>
          <w:tab w:val="right" w:leader="dot" w:pos="9628"/>
        </w:tabs>
        <w:rPr>
          <w:rFonts w:asciiTheme="minorHAnsi" w:eastAsiaTheme="minorEastAsia" w:hAnsiTheme="minorHAnsi" w:cstheme="minorBidi"/>
          <w:bCs w:val="0"/>
          <w:noProof/>
          <w:sz w:val="22"/>
        </w:rPr>
      </w:pPr>
      <w:hyperlink w:anchor="_Toc215675480" w:history="1">
        <w:r w:rsidR="0017472F" w:rsidRPr="00984B6A">
          <w:rPr>
            <w:rStyle w:val="Lienhypertexte"/>
            <w:rFonts w:cs="Times New Roman"/>
            <w:noProof/>
          </w:rPr>
          <w:t>7.2</w:t>
        </w:r>
        <w:r w:rsidR="0017472F" w:rsidRPr="00984B6A">
          <w:rPr>
            <w:rStyle w:val="Lienhypertexte"/>
            <w:caps/>
            <w:noProof/>
            <w:highlight w:val="lightGray"/>
          </w:rPr>
          <w:t xml:space="preserve"> </w:t>
        </w:r>
        <w:r w:rsidR="0017472F" w:rsidRPr="00984B6A">
          <w:rPr>
            <w:rStyle w:val="Lienhypertexte"/>
            <w:caps/>
            <w:noProof/>
            <w:sz w:val="36"/>
            <w:szCs w:val="36"/>
            <w:highlight w:val="lightGray"/>
          </w:rPr>
          <w:sym w:font="Wingdings" w:char="F046"/>
        </w:r>
        <w:r w:rsidR="0017472F" w:rsidRPr="00984B6A">
          <w:rPr>
            <w:rStyle w:val="Lienhypertexte"/>
            <w:noProof/>
          </w:rPr>
          <w:t>Montant forfaitaire du Marché Subséquent</w:t>
        </w:r>
        <w:r w:rsidR="0017472F">
          <w:rPr>
            <w:noProof/>
            <w:webHidden/>
          </w:rPr>
          <w:tab/>
        </w:r>
        <w:r w:rsidR="0017472F">
          <w:rPr>
            <w:noProof/>
            <w:webHidden/>
          </w:rPr>
          <w:fldChar w:fldCharType="begin"/>
        </w:r>
        <w:r w:rsidR="0017472F">
          <w:rPr>
            <w:noProof/>
            <w:webHidden/>
          </w:rPr>
          <w:instrText xml:space="preserve"> PAGEREF _Toc215675480 \h </w:instrText>
        </w:r>
        <w:r w:rsidR="0017472F">
          <w:rPr>
            <w:noProof/>
            <w:webHidden/>
          </w:rPr>
        </w:r>
        <w:r w:rsidR="0017472F">
          <w:rPr>
            <w:noProof/>
            <w:webHidden/>
          </w:rPr>
          <w:fldChar w:fldCharType="separate"/>
        </w:r>
        <w:r w:rsidR="0017472F">
          <w:rPr>
            <w:noProof/>
            <w:webHidden/>
          </w:rPr>
          <w:t>11</w:t>
        </w:r>
        <w:r w:rsidR="0017472F">
          <w:rPr>
            <w:noProof/>
            <w:webHidden/>
          </w:rPr>
          <w:fldChar w:fldCharType="end"/>
        </w:r>
      </w:hyperlink>
    </w:p>
    <w:p w14:paraId="7156CBAC" w14:textId="6E07137E" w:rsidR="0017472F" w:rsidRDefault="00F048AB">
      <w:pPr>
        <w:pStyle w:val="TM2"/>
        <w:tabs>
          <w:tab w:val="right" w:leader="dot" w:pos="9628"/>
        </w:tabs>
        <w:rPr>
          <w:rFonts w:asciiTheme="minorHAnsi" w:eastAsiaTheme="minorEastAsia" w:hAnsiTheme="minorHAnsi" w:cstheme="minorBidi"/>
          <w:bCs w:val="0"/>
          <w:noProof/>
          <w:sz w:val="22"/>
        </w:rPr>
      </w:pPr>
      <w:hyperlink w:anchor="_Toc215675481" w:history="1">
        <w:r w:rsidR="0017472F" w:rsidRPr="00984B6A">
          <w:rPr>
            <w:rStyle w:val="Lienhypertexte"/>
            <w:rFonts w:cs="Times New Roman"/>
            <w:noProof/>
          </w:rPr>
          <w:t>7.3</w:t>
        </w:r>
        <w:r w:rsidR="0017472F" w:rsidRPr="00984B6A">
          <w:rPr>
            <w:rStyle w:val="Lienhypertexte"/>
            <w:noProof/>
          </w:rPr>
          <w:t xml:space="preserve"> Garantie financière</w:t>
        </w:r>
        <w:r w:rsidR="0017472F">
          <w:rPr>
            <w:noProof/>
            <w:webHidden/>
          </w:rPr>
          <w:tab/>
        </w:r>
        <w:r w:rsidR="0017472F">
          <w:rPr>
            <w:noProof/>
            <w:webHidden/>
          </w:rPr>
          <w:fldChar w:fldCharType="begin"/>
        </w:r>
        <w:r w:rsidR="0017472F">
          <w:rPr>
            <w:noProof/>
            <w:webHidden/>
          </w:rPr>
          <w:instrText xml:space="preserve"> PAGEREF _Toc215675481 \h </w:instrText>
        </w:r>
        <w:r w:rsidR="0017472F">
          <w:rPr>
            <w:noProof/>
            <w:webHidden/>
          </w:rPr>
        </w:r>
        <w:r w:rsidR="0017472F">
          <w:rPr>
            <w:noProof/>
            <w:webHidden/>
          </w:rPr>
          <w:fldChar w:fldCharType="separate"/>
        </w:r>
        <w:r w:rsidR="0017472F">
          <w:rPr>
            <w:noProof/>
            <w:webHidden/>
          </w:rPr>
          <w:t>12</w:t>
        </w:r>
        <w:r w:rsidR="0017472F">
          <w:rPr>
            <w:noProof/>
            <w:webHidden/>
          </w:rPr>
          <w:fldChar w:fldCharType="end"/>
        </w:r>
      </w:hyperlink>
    </w:p>
    <w:p w14:paraId="29D06F36" w14:textId="0A356AC7" w:rsidR="0017472F" w:rsidRDefault="00F048AB">
      <w:pPr>
        <w:pStyle w:val="TM2"/>
        <w:tabs>
          <w:tab w:val="right" w:leader="dot" w:pos="9628"/>
        </w:tabs>
        <w:rPr>
          <w:rFonts w:asciiTheme="minorHAnsi" w:eastAsiaTheme="minorEastAsia" w:hAnsiTheme="minorHAnsi" w:cstheme="minorBidi"/>
          <w:bCs w:val="0"/>
          <w:noProof/>
          <w:sz w:val="22"/>
        </w:rPr>
      </w:pPr>
      <w:hyperlink w:anchor="_Toc215675482" w:history="1">
        <w:r w:rsidR="0017472F" w:rsidRPr="00984B6A">
          <w:rPr>
            <w:rStyle w:val="Lienhypertexte"/>
            <w:rFonts w:cs="Times New Roman"/>
            <w:noProof/>
          </w:rPr>
          <w:t>7.4</w:t>
        </w:r>
        <w:r w:rsidR="0017472F" w:rsidRPr="00984B6A">
          <w:rPr>
            <w:rStyle w:val="Lienhypertexte"/>
            <w:noProof/>
          </w:rPr>
          <w:t xml:space="preserve"> Variation des prix</w:t>
        </w:r>
        <w:r w:rsidR="0017472F">
          <w:rPr>
            <w:noProof/>
            <w:webHidden/>
          </w:rPr>
          <w:tab/>
        </w:r>
        <w:r w:rsidR="0017472F">
          <w:rPr>
            <w:noProof/>
            <w:webHidden/>
          </w:rPr>
          <w:fldChar w:fldCharType="begin"/>
        </w:r>
        <w:r w:rsidR="0017472F">
          <w:rPr>
            <w:noProof/>
            <w:webHidden/>
          </w:rPr>
          <w:instrText xml:space="preserve"> PAGEREF _Toc215675482 \h </w:instrText>
        </w:r>
        <w:r w:rsidR="0017472F">
          <w:rPr>
            <w:noProof/>
            <w:webHidden/>
          </w:rPr>
        </w:r>
        <w:r w:rsidR="0017472F">
          <w:rPr>
            <w:noProof/>
            <w:webHidden/>
          </w:rPr>
          <w:fldChar w:fldCharType="separate"/>
        </w:r>
        <w:r w:rsidR="0017472F">
          <w:rPr>
            <w:noProof/>
            <w:webHidden/>
          </w:rPr>
          <w:t>12</w:t>
        </w:r>
        <w:r w:rsidR="0017472F">
          <w:rPr>
            <w:noProof/>
            <w:webHidden/>
          </w:rPr>
          <w:fldChar w:fldCharType="end"/>
        </w:r>
      </w:hyperlink>
    </w:p>
    <w:p w14:paraId="3C47297C" w14:textId="51ADDDCF" w:rsidR="0017472F" w:rsidRDefault="00F048AB">
      <w:pPr>
        <w:pStyle w:val="TM2"/>
        <w:tabs>
          <w:tab w:val="right" w:leader="dot" w:pos="9628"/>
        </w:tabs>
        <w:rPr>
          <w:rFonts w:asciiTheme="minorHAnsi" w:eastAsiaTheme="minorEastAsia" w:hAnsiTheme="minorHAnsi" w:cstheme="minorBidi"/>
          <w:bCs w:val="0"/>
          <w:noProof/>
          <w:sz w:val="22"/>
        </w:rPr>
      </w:pPr>
      <w:hyperlink w:anchor="_Toc215675483" w:history="1">
        <w:r w:rsidR="0017472F" w:rsidRPr="00984B6A">
          <w:rPr>
            <w:rStyle w:val="Lienhypertexte"/>
            <w:rFonts w:cs="Times New Roman"/>
            <w:noProof/>
          </w:rPr>
          <w:t>7.5</w:t>
        </w:r>
        <w:r w:rsidR="0017472F" w:rsidRPr="00984B6A">
          <w:rPr>
            <w:rStyle w:val="Lienhypertexte"/>
            <w:noProof/>
          </w:rPr>
          <w:t xml:space="preserve"> Avance</w:t>
        </w:r>
        <w:r w:rsidR="0017472F">
          <w:rPr>
            <w:noProof/>
            <w:webHidden/>
          </w:rPr>
          <w:tab/>
        </w:r>
        <w:r w:rsidR="0017472F">
          <w:rPr>
            <w:noProof/>
            <w:webHidden/>
          </w:rPr>
          <w:fldChar w:fldCharType="begin"/>
        </w:r>
        <w:r w:rsidR="0017472F">
          <w:rPr>
            <w:noProof/>
            <w:webHidden/>
          </w:rPr>
          <w:instrText xml:space="preserve"> PAGEREF _Toc215675483 \h </w:instrText>
        </w:r>
        <w:r w:rsidR="0017472F">
          <w:rPr>
            <w:noProof/>
            <w:webHidden/>
          </w:rPr>
        </w:r>
        <w:r w:rsidR="0017472F">
          <w:rPr>
            <w:noProof/>
            <w:webHidden/>
          </w:rPr>
          <w:fldChar w:fldCharType="separate"/>
        </w:r>
        <w:r w:rsidR="0017472F">
          <w:rPr>
            <w:noProof/>
            <w:webHidden/>
          </w:rPr>
          <w:t>12</w:t>
        </w:r>
        <w:r w:rsidR="0017472F">
          <w:rPr>
            <w:noProof/>
            <w:webHidden/>
          </w:rPr>
          <w:fldChar w:fldCharType="end"/>
        </w:r>
      </w:hyperlink>
    </w:p>
    <w:p w14:paraId="110F3CBC" w14:textId="4413F0EB" w:rsidR="0017472F" w:rsidRDefault="00F048AB">
      <w:pPr>
        <w:pStyle w:val="TM1"/>
        <w:tabs>
          <w:tab w:val="right" w:leader="dot" w:pos="9628"/>
        </w:tabs>
        <w:rPr>
          <w:rFonts w:asciiTheme="minorHAnsi" w:eastAsiaTheme="minorEastAsia" w:hAnsiTheme="minorHAnsi" w:cstheme="minorBidi"/>
          <w:b w:val="0"/>
          <w:bCs w:val="0"/>
          <w:iCs w:val="0"/>
          <w:noProof/>
          <w:sz w:val="22"/>
          <w:szCs w:val="22"/>
        </w:rPr>
      </w:pPr>
      <w:hyperlink w:anchor="_Toc215675484" w:history="1">
        <w:r w:rsidR="0017472F" w:rsidRPr="00984B6A">
          <w:rPr>
            <w:rStyle w:val="Lienhypertexte"/>
            <w:rFonts w:cs="Times New Roman"/>
            <w:noProof/>
          </w:rPr>
          <w:t>Article 8</w:t>
        </w:r>
        <w:r w:rsidR="0017472F" w:rsidRPr="00984B6A">
          <w:rPr>
            <w:rStyle w:val="Lienhypertexte"/>
            <w:noProof/>
            <w:highlight w:val="lightGray"/>
          </w:rPr>
          <w:t xml:space="preserve"> </w:t>
        </w:r>
        <w:r w:rsidR="0017472F" w:rsidRPr="00984B6A">
          <w:rPr>
            <w:rStyle w:val="Lienhypertexte"/>
            <w:noProof/>
            <w:highlight w:val="lightGray"/>
          </w:rPr>
          <w:sym w:font="Wingdings" w:char="F046"/>
        </w:r>
        <w:r w:rsidR="0017472F" w:rsidRPr="00984B6A">
          <w:rPr>
            <w:rStyle w:val="Lienhypertexte"/>
            <w:noProof/>
          </w:rPr>
          <w:t>Sous-traitance</w:t>
        </w:r>
        <w:r w:rsidR="0017472F">
          <w:rPr>
            <w:noProof/>
            <w:webHidden/>
          </w:rPr>
          <w:tab/>
        </w:r>
        <w:r w:rsidR="0017472F">
          <w:rPr>
            <w:noProof/>
            <w:webHidden/>
          </w:rPr>
          <w:fldChar w:fldCharType="begin"/>
        </w:r>
        <w:r w:rsidR="0017472F">
          <w:rPr>
            <w:noProof/>
            <w:webHidden/>
          </w:rPr>
          <w:instrText xml:space="preserve"> PAGEREF _Toc215675484 \h </w:instrText>
        </w:r>
        <w:r w:rsidR="0017472F">
          <w:rPr>
            <w:noProof/>
            <w:webHidden/>
          </w:rPr>
        </w:r>
        <w:r w:rsidR="0017472F">
          <w:rPr>
            <w:noProof/>
            <w:webHidden/>
          </w:rPr>
          <w:fldChar w:fldCharType="separate"/>
        </w:r>
        <w:r w:rsidR="0017472F">
          <w:rPr>
            <w:noProof/>
            <w:webHidden/>
          </w:rPr>
          <w:t>13</w:t>
        </w:r>
        <w:r w:rsidR="0017472F">
          <w:rPr>
            <w:noProof/>
            <w:webHidden/>
          </w:rPr>
          <w:fldChar w:fldCharType="end"/>
        </w:r>
      </w:hyperlink>
    </w:p>
    <w:p w14:paraId="1099C51A" w14:textId="32CF6176" w:rsidR="0017472F" w:rsidRDefault="00F048AB">
      <w:pPr>
        <w:pStyle w:val="TM1"/>
        <w:tabs>
          <w:tab w:val="right" w:leader="dot" w:pos="9628"/>
        </w:tabs>
        <w:rPr>
          <w:rFonts w:asciiTheme="minorHAnsi" w:eastAsiaTheme="minorEastAsia" w:hAnsiTheme="minorHAnsi" w:cstheme="minorBidi"/>
          <w:b w:val="0"/>
          <w:bCs w:val="0"/>
          <w:iCs w:val="0"/>
          <w:noProof/>
          <w:sz w:val="22"/>
          <w:szCs w:val="22"/>
        </w:rPr>
      </w:pPr>
      <w:hyperlink w:anchor="_Toc215675485" w:history="1">
        <w:r w:rsidR="0017472F" w:rsidRPr="00984B6A">
          <w:rPr>
            <w:rStyle w:val="Lienhypertexte"/>
            <w:rFonts w:cs="Times New Roman"/>
            <w:noProof/>
          </w:rPr>
          <w:t>Article 9</w:t>
        </w:r>
        <w:r w:rsidR="0017472F" w:rsidRPr="00984B6A">
          <w:rPr>
            <w:rStyle w:val="Lienhypertexte"/>
            <w:noProof/>
            <w:highlight w:val="lightGray"/>
          </w:rPr>
          <w:t xml:space="preserve"> </w:t>
        </w:r>
        <w:r w:rsidR="0017472F" w:rsidRPr="00984B6A">
          <w:rPr>
            <w:rStyle w:val="Lienhypertexte"/>
            <w:noProof/>
            <w:highlight w:val="lightGray"/>
          </w:rPr>
          <w:sym w:font="Wingdings" w:char="F046"/>
        </w:r>
        <w:r w:rsidR="0017472F" w:rsidRPr="00984B6A">
          <w:rPr>
            <w:rStyle w:val="Lienhypertexte"/>
            <w:noProof/>
          </w:rPr>
          <w:t>Signature des parties</w:t>
        </w:r>
        <w:r w:rsidR="0017472F">
          <w:rPr>
            <w:noProof/>
            <w:webHidden/>
          </w:rPr>
          <w:tab/>
        </w:r>
        <w:r w:rsidR="0017472F">
          <w:rPr>
            <w:noProof/>
            <w:webHidden/>
          </w:rPr>
          <w:fldChar w:fldCharType="begin"/>
        </w:r>
        <w:r w:rsidR="0017472F">
          <w:rPr>
            <w:noProof/>
            <w:webHidden/>
          </w:rPr>
          <w:instrText xml:space="preserve"> PAGEREF _Toc215675485 \h </w:instrText>
        </w:r>
        <w:r w:rsidR="0017472F">
          <w:rPr>
            <w:noProof/>
            <w:webHidden/>
          </w:rPr>
        </w:r>
        <w:r w:rsidR="0017472F">
          <w:rPr>
            <w:noProof/>
            <w:webHidden/>
          </w:rPr>
          <w:fldChar w:fldCharType="separate"/>
        </w:r>
        <w:r w:rsidR="0017472F">
          <w:rPr>
            <w:noProof/>
            <w:webHidden/>
          </w:rPr>
          <w:t>13</w:t>
        </w:r>
        <w:r w:rsidR="0017472F">
          <w:rPr>
            <w:noProof/>
            <w:webHidden/>
          </w:rPr>
          <w:fldChar w:fldCharType="end"/>
        </w:r>
      </w:hyperlink>
    </w:p>
    <w:p w14:paraId="1E8115C4" w14:textId="3581908B" w:rsidR="00E22FCF" w:rsidRDefault="001C51E6" w:rsidP="00062D32">
      <w:pPr>
        <w:rPr>
          <w:rFonts w:asciiTheme="minorHAnsi" w:hAnsiTheme="minorHAnsi" w:cstheme="minorHAnsi"/>
          <w:color w:val="244061" w:themeColor="accent1" w:themeShade="80"/>
          <w:szCs w:val="24"/>
        </w:rPr>
      </w:pPr>
      <w:r>
        <w:rPr>
          <w:rFonts w:asciiTheme="minorHAnsi" w:hAnsiTheme="minorHAnsi" w:cstheme="minorHAnsi"/>
          <w:color w:val="244061" w:themeColor="accent1" w:themeShade="80"/>
          <w:szCs w:val="24"/>
        </w:rPr>
        <w:fldChar w:fldCharType="end"/>
      </w:r>
    </w:p>
    <w:p w14:paraId="592CCF1A" w14:textId="77777777" w:rsidR="00E22FCF" w:rsidRDefault="00E22FCF">
      <w:pPr>
        <w:overflowPunct/>
        <w:autoSpaceDE/>
        <w:autoSpaceDN/>
        <w:adjustRightInd/>
        <w:spacing w:after="200" w:line="276" w:lineRule="auto"/>
        <w:jc w:val="left"/>
        <w:textAlignment w:val="auto"/>
        <w:rPr>
          <w:rFonts w:asciiTheme="minorHAnsi" w:hAnsiTheme="minorHAnsi" w:cstheme="minorHAnsi"/>
          <w:color w:val="244061" w:themeColor="accent1" w:themeShade="80"/>
          <w:szCs w:val="24"/>
        </w:rPr>
      </w:pPr>
      <w:r>
        <w:rPr>
          <w:rFonts w:asciiTheme="minorHAnsi" w:hAnsiTheme="minorHAnsi" w:cstheme="minorHAnsi"/>
          <w:color w:val="244061" w:themeColor="accent1" w:themeShade="80"/>
          <w:szCs w:val="24"/>
        </w:rPr>
        <w:br w:type="page"/>
      </w:r>
    </w:p>
    <w:p w14:paraId="2711FC8D" w14:textId="77777777" w:rsidR="006D648B" w:rsidRDefault="00F8711F" w:rsidP="00F8711F">
      <w:pPr>
        <w:pStyle w:val="Titre1"/>
      </w:pPr>
      <w:bookmarkStart w:id="0" w:name="_Toc215675464"/>
      <w:bookmarkStart w:id="1" w:name="_Ref337396313"/>
      <w:bookmarkStart w:id="2" w:name="_Toc251755465"/>
      <w:bookmarkStart w:id="3" w:name="_Toc251755541"/>
      <w:bookmarkStart w:id="4" w:name="_Toc251761062"/>
      <w:bookmarkStart w:id="5" w:name="_Toc295160927"/>
      <w:bookmarkStart w:id="6" w:name="_Toc295312885"/>
      <w:r>
        <w:lastRenderedPageBreak/>
        <w:t xml:space="preserve">Présentation du contrat et </w:t>
      </w:r>
      <w:r w:rsidR="001B3BE2">
        <w:t xml:space="preserve">des </w:t>
      </w:r>
      <w:r>
        <w:t>signataires</w:t>
      </w:r>
      <w:bookmarkEnd w:id="0"/>
    </w:p>
    <w:p w14:paraId="78127A78" w14:textId="77777777" w:rsidR="00F8711F" w:rsidRDefault="004A0748" w:rsidP="009C475A">
      <w:pPr>
        <w:pStyle w:val="Titre2"/>
      </w:pPr>
      <w:bookmarkStart w:id="7" w:name="_Toc215675465"/>
      <w:r>
        <w:t>Présentation du CC</w:t>
      </w:r>
      <w:r w:rsidR="00F8711F">
        <w:t>P</w:t>
      </w:r>
      <w:bookmarkEnd w:id="7"/>
    </w:p>
    <w:tbl>
      <w:tblPr>
        <w:tblStyle w:val="Grilledutableau"/>
        <w:tblW w:w="0" w:type="auto"/>
        <w:tblLook w:val="04A0" w:firstRow="1" w:lastRow="0" w:firstColumn="1" w:lastColumn="0" w:noHBand="0" w:noVBand="1"/>
      </w:tblPr>
      <w:tblGrid>
        <w:gridCol w:w="9628"/>
      </w:tblGrid>
      <w:tr w:rsidR="00C171C6" w14:paraId="2B5859F3" w14:textId="77777777" w:rsidTr="0001715E">
        <w:tc>
          <w:tcPr>
            <w:tcW w:w="9778" w:type="dxa"/>
          </w:tcPr>
          <w:p w14:paraId="5510C0EA" w14:textId="2AE96C12" w:rsidR="00C07DCF" w:rsidRDefault="00C07DCF" w:rsidP="00C07DCF">
            <w:r>
              <w:t xml:space="preserve">Le présent document constitue le CCP valant acte d’engagement du Marché Subséquent conclu entre le </w:t>
            </w:r>
            <w:proofErr w:type="spellStart"/>
            <w:r w:rsidR="008D034F">
              <w:t>Mucem</w:t>
            </w:r>
            <w:proofErr w:type="spellEnd"/>
            <w:r>
              <w:t xml:space="preserve"> et le Titulaire, suite à la procédure de </w:t>
            </w:r>
            <w:r w:rsidR="00A13BE3">
              <w:t>mise en concurrence des titulaires de l’accord-cadre mentionné en page de garde</w:t>
            </w:r>
            <w:r>
              <w:t xml:space="preserve">. Ce document est </w:t>
            </w:r>
            <w:proofErr w:type="gramStart"/>
            <w:r>
              <w:t>renseigné</w:t>
            </w:r>
            <w:r w:rsidRPr="00AA7136">
              <w:rPr>
                <w:vertAlign w:val="superscript"/>
              </w:rPr>
              <w:t>(</w:t>
            </w:r>
            <w:proofErr w:type="gramEnd"/>
            <w:r w:rsidRPr="00AA7136">
              <w:rPr>
                <w:vertAlign w:val="superscript"/>
              </w:rPr>
              <w:t>*)</w:t>
            </w:r>
            <w:r>
              <w:t xml:space="preserve"> et signé par le titulaire de l’accord-cadre désigné comme attributaire officiel du marché subséquent.</w:t>
            </w:r>
          </w:p>
          <w:p w14:paraId="7EC5B9FB" w14:textId="6DB82841" w:rsidR="00C07DCF" w:rsidRDefault="00C07DCF" w:rsidP="00C07DCF">
            <w:r>
              <w:t xml:space="preserve">Une fois le document complété, </w:t>
            </w:r>
            <w:r w:rsidRPr="00CC31F8">
              <w:rPr>
                <w:u w:val="single"/>
              </w:rPr>
              <w:t>uniquement dans les parties réservées à cet effet</w:t>
            </w:r>
            <w:r>
              <w:t>, son contenu est à accepter par le Titulaire concerné sans aucune modification</w:t>
            </w:r>
            <w:r w:rsidR="008D034F">
              <w:t>.</w:t>
            </w:r>
          </w:p>
          <w:p w14:paraId="7055EC55" w14:textId="027CBE62" w:rsidR="00C171C6" w:rsidRDefault="00C07DCF" w:rsidP="00C07DCF">
            <w:r w:rsidRPr="00866023">
              <w:rPr>
                <w:i/>
                <w:highlight w:val="lightGray"/>
                <w:vertAlign w:val="superscript"/>
              </w:rPr>
              <w:t>(</w:t>
            </w:r>
            <w:proofErr w:type="gramStart"/>
            <w:r w:rsidRPr="00866023">
              <w:rPr>
                <w:i/>
                <w:highlight w:val="lightGray"/>
                <w:vertAlign w:val="superscript"/>
              </w:rPr>
              <w:t>*)</w:t>
            </w:r>
            <w:r w:rsidRPr="00866023">
              <w:rPr>
                <w:i/>
                <w:highlight w:val="lightGray"/>
              </w:rPr>
              <w:t>Les</w:t>
            </w:r>
            <w:proofErr w:type="gramEnd"/>
            <w:r w:rsidRPr="00866023">
              <w:rPr>
                <w:i/>
                <w:highlight w:val="lightGray"/>
              </w:rPr>
              <w:t xml:space="preserve"> articles ou phrases précédés du signe «</w:t>
            </w:r>
            <w:r w:rsidRPr="00866023">
              <w:rPr>
                <w:b/>
                <w:i/>
                <w:caps/>
                <w:color w:val="FF0000"/>
                <w:kern w:val="16"/>
                <w:sz w:val="36"/>
                <w:highlight w:val="lightGray"/>
              </w:rPr>
              <w:sym w:font="Wingdings" w:char="F046"/>
            </w:r>
            <w:r w:rsidRPr="00866023">
              <w:rPr>
                <w:i/>
                <w:color w:val="FF0000"/>
                <w:highlight w:val="lightGray"/>
              </w:rPr>
              <w:t xml:space="preserve"> </w:t>
            </w:r>
            <w:r w:rsidRPr="00866023">
              <w:rPr>
                <w:i/>
                <w:highlight w:val="lightGray"/>
              </w:rPr>
              <w:t xml:space="preserve">» correspondent aux </w:t>
            </w:r>
            <w:r w:rsidRPr="00866023">
              <w:rPr>
                <w:i/>
                <w:highlight w:val="lightGray"/>
                <w:u w:val="single"/>
              </w:rPr>
              <w:t>seuls articles</w:t>
            </w:r>
            <w:r w:rsidRPr="00866023">
              <w:rPr>
                <w:i/>
                <w:highlight w:val="lightGray"/>
              </w:rPr>
              <w:t xml:space="preserve"> qui doivent être complétés par le titulaire retenu à l’issue de la procédure de remise en concurrence.</w:t>
            </w:r>
          </w:p>
        </w:tc>
      </w:tr>
    </w:tbl>
    <w:p w14:paraId="7413B1B9" w14:textId="77777777" w:rsidR="0001715E" w:rsidRDefault="001B3BE2" w:rsidP="009C475A">
      <w:pPr>
        <w:pStyle w:val="Titre2"/>
      </w:pPr>
      <w:bookmarkStart w:id="8" w:name="_Ref359508711"/>
      <w:bookmarkStart w:id="9" w:name="_Toc215675466"/>
      <w:bookmarkEnd w:id="1"/>
      <w:r w:rsidRPr="00866023">
        <w:rPr>
          <w:caps/>
          <w:color w:val="FF0000"/>
          <w:sz w:val="36"/>
          <w:szCs w:val="36"/>
          <w:highlight w:val="lightGray"/>
        </w:rPr>
        <w:sym w:font="Wingdings" w:char="F046"/>
      </w:r>
      <w:r w:rsidR="0001715E">
        <w:t>Désignation des parties</w:t>
      </w:r>
      <w:bookmarkEnd w:id="8"/>
      <w:bookmarkEnd w:id="9"/>
    </w:p>
    <w:p w14:paraId="329609B5" w14:textId="2EF5EEBA" w:rsidR="00614C3E" w:rsidRPr="00AF472A" w:rsidRDefault="00614C3E" w:rsidP="00066D41">
      <w:r w:rsidRPr="00AF472A">
        <w:t xml:space="preserve">Le présent </w:t>
      </w:r>
      <w:r>
        <w:t>Marché</w:t>
      </w:r>
      <w:r w:rsidRPr="00AF472A">
        <w:t xml:space="preserve"> </w:t>
      </w:r>
      <w:r w:rsidR="0071727B">
        <w:t xml:space="preserve">Subséquent </w:t>
      </w:r>
      <w:r w:rsidRPr="00AF472A">
        <w:t>est conclu entre :</w:t>
      </w:r>
    </w:p>
    <w:p w14:paraId="40FF3634" w14:textId="77777777" w:rsidR="00614C3E" w:rsidRPr="00626A7A" w:rsidRDefault="00614C3E" w:rsidP="00066D41">
      <w:pPr>
        <w:rPr>
          <w:b/>
        </w:rPr>
      </w:pPr>
      <w:r w:rsidRPr="00626A7A">
        <w:rPr>
          <w:b/>
        </w:rPr>
        <w:t xml:space="preserve">D’une part, </w:t>
      </w:r>
    </w:p>
    <w:p w14:paraId="19CF2D61" w14:textId="7CCB262D" w:rsidR="00626A7A" w:rsidRPr="00DB58C6" w:rsidRDefault="00626A7A" w:rsidP="00626A7A">
      <w:pPr>
        <w:rPr>
          <w:b/>
          <w:iCs/>
        </w:rPr>
      </w:pPr>
      <w:r w:rsidRPr="00DB58C6">
        <w:rPr>
          <w:b/>
          <w:iCs/>
        </w:rPr>
        <w:t>L’</w:t>
      </w:r>
      <w:r w:rsidRPr="00DB58C6">
        <w:rPr>
          <w:b/>
        </w:rPr>
        <w:t xml:space="preserve">établissement public </w:t>
      </w:r>
      <w:r w:rsidRPr="00DB58C6">
        <w:rPr>
          <w:b/>
          <w:iCs/>
        </w:rPr>
        <w:t xml:space="preserve">du </w:t>
      </w:r>
      <w:proofErr w:type="spellStart"/>
      <w:r w:rsidR="008D034F">
        <w:rPr>
          <w:b/>
          <w:iCs/>
        </w:rPr>
        <w:t>Mucem</w:t>
      </w:r>
      <w:proofErr w:type="spellEnd"/>
    </w:p>
    <w:p w14:paraId="3C0C9677" w14:textId="77777777" w:rsidR="00626A7A" w:rsidRPr="00926001" w:rsidRDefault="00626A7A" w:rsidP="00626A7A">
      <w:pPr>
        <w:rPr>
          <w:iCs/>
        </w:rPr>
      </w:pPr>
      <w:r w:rsidRPr="00926001">
        <w:t>Esplanade du J4 – 7, Promenade Robert Laffont – CS 10351 – 13213 Marseille cedex 02</w:t>
      </w:r>
    </w:p>
    <w:p w14:paraId="49F51DDC" w14:textId="30A36873" w:rsidR="00626A7A" w:rsidRPr="00926001" w:rsidRDefault="00626A7A" w:rsidP="00626A7A">
      <w:r w:rsidRPr="00926001">
        <w:t xml:space="preserve">Représenté par : </w:t>
      </w:r>
      <w:proofErr w:type="gramStart"/>
      <w:r w:rsidR="00716C30">
        <w:t>le</w:t>
      </w:r>
      <w:r>
        <w:t xml:space="preserve"> </w:t>
      </w:r>
      <w:r w:rsidR="00716C30">
        <w:t>Présidente</w:t>
      </w:r>
      <w:proofErr w:type="gramEnd"/>
      <w:r w:rsidR="00716C30">
        <w:t xml:space="preserve"> du </w:t>
      </w:r>
      <w:proofErr w:type="spellStart"/>
      <w:r w:rsidR="008D034F">
        <w:t>Mucem</w:t>
      </w:r>
      <w:proofErr w:type="spellEnd"/>
    </w:p>
    <w:p w14:paraId="72334233" w14:textId="77777777" w:rsidR="00614C3E" w:rsidRDefault="001B3BE2" w:rsidP="00066D41">
      <w:pPr>
        <w:rPr>
          <w:b/>
          <w:sz w:val="24"/>
        </w:rPr>
      </w:pPr>
      <w:r w:rsidRPr="00866023">
        <w:rPr>
          <w:caps/>
          <w:color w:val="FF0000"/>
          <w:sz w:val="36"/>
          <w:szCs w:val="36"/>
          <w:highlight w:val="lightGray"/>
        </w:rPr>
        <w:sym w:font="Wingdings" w:char="F046"/>
      </w:r>
      <w:r w:rsidR="00614C3E" w:rsidRPr="00626A7A">
        <w:rPr>
          <w:b/>
        </w:rPr>
        <w:t>Et d’autre part</w:t>
      </w:r>
      <w:r w:rsidR="00614C3E" w:rsidRPr="004F0873">
        <w:rPr>
          <w:sz w:val="18"/>
        </w:rPr>
        <w:footnoteReference w:id="1"/>
      </w:r>
      <w:r w:rsidR="00614C3E" w:rsidRPr="004F0873">
        <w:rPr>
          <w:b/>
          <w:sz w:val="24"/>
        </w:rPr>
        <w:t>,</w:t>
      </w:r>
    </w:p>
    <w:p w14:paraId="40559090" w14:textId="4DA0D179" w:rsidR="00614C3E" w:rsidRPr="003559AE" w:rsidRDefault="001C51E6" w:rsidP="0001715E">
      <w:pPr>
        <w:spacing w:before="120"/>
      </w:pPr>
      <w:r w:rsidRPr="00AF472A">
        <w:rPr>
          <w:rFonts w:ascii="CGP" w:hAnsi="CGP"/>
          <w:b/>
        </w:rPr>
        <w:fldChar w:fldCharType="begin">
          <w:ffData>
            <w:name w:val="CaseACocher1"/>
            <w:enabled/>
            <w:calcOnExit w:val="0"/>
            <w:checkBox>
              <w:sizeAuto/>
              <w:default w:val="0"/>
            </w:checkBox>
          </w:ffData>
        </w:fldChar>
      </w:r>
      <w:r w:rsidR="00614C3E" w:rsidRPr="00AF472A">
        <w:rPr>
          <w:rFonts w:ascii="CGP" w:hAnsi="CGP"/>
          <w:b/>
        </w:rPr>
        <w:instrText xml:space="preserve"> FORMCHECKBOX </w:instrText>
      </w:r>
      <w:r w:rsidR="00F048AB">
        <w:rPr>
          <w:rFonts w:ascii="CGP" w:hAnsi="CGP"/>
          <w:b/>
        </w:rPr>
      </w:r>
      <w:r w:rsidR="00F048AB">
        <w:rPr>
          <w:rFonts w:ascii="CGP" w:hAnsi="CGP"/>
          <w:b/>
        </w:rPr>
        <w:fldChar w:fldCharType="separate"/>
      </w:r>
      <w:r w:rsidRPr="00AF472A">
        <w:rPr>
          <w:rFonts w:ascii="CGP" w:hAnsi="CGP"/>
          <w:b/>
        </w:rPr>
        <w:fldChar w:fldCharType="end"/>
      </w:r>
      <w:r w:rsidR="00614C3E" w:rsidRPr="00AF472A">
        <w:rPr>
          <w:rFonts w:ascii="CGP" w:hAnsi="CGP"/>
          <w:b/>
        </w:rPr>
        <w:t xml:space="preserve"> </w:t>
      </w:r>
      <w:r w:rsidR="00614C3E" w:rsidRPr="003559AE">
        <w:rPr>
          <w:b/>
        </w:rPr>
        <w:t>L’entreprise, cocontractant unique se présentant seul</w:t>
      </w:r>
      <w:r w:rsidR="00614C3E" w:rsidRPr="003559AE">
        <w:t xml:space="preserve">, </w:t>
      </w:r>
      <w:r w:rsidR="00614C3E">
        <w:t>ci-après dénommé « le Titulaire » en cas d’attribution du Marché</w:t>
      </w:r>
      <w:r w:rsidR="0071727B">
        <w:t xml:space="preserve"> Subséquent.</w:t>
      </w:r>
    </w:p>
    <w:p w14:paraId="2D97B889" w14:textId="77777777" w:rsidR="00614C3E" w:rsidRPr="00AF472A" w:rsidRDefault="00614C3E" w:rsidP="003559AE">
      <w:r w:rsidRPr="00AF472A">
        <w:t>Dénomination sociale : ……………………………………………………………………………………………...</w:t>
      </w:r>
    </w:p>
    <w:p w14:paraId="308F198A" w14:textId="77777777" w:rsidR="00614C3E" w:rsidRPr="00AF472A" w:rsidRDefault="00614C3E" w:rsidP="003559AE">
      <w:r w:rsidRPr="00AF472A">
        <w:t>Ayant son siège social à : ……………………………………………………………………………………</w:t>
      </w:r>
      <w:proofErr w:type="gramStart"/>
      <w:r w:rsidRPr="00AF472A">
        <w:t>…….</w:t>
      </w:r>
      <w:proofErr w:type="gramEnd"/>
      <w:r w:rsidRPr="00AF472A">
        <w:t>.</w:t>
      </w:r>
    </w:p>
    <w:p w14:paraId="7CD39EB1" w14:textId="77777777" w:rsidR="00614C3E" w:rsidRPr="00AF472A" w:rsidRDefault="00614C3E" w:rsidP="003559AE">
      <w:r w:rsidRPr="00AF472A">
        <w:t>………………………………………………………………………………………………………………...............</w:t>
      </w:r>
    </w:p>
    <w:p w14:paraId="75F924EF" w14:textId="77777777" w:rsidR="00614C3E" w:rsidRPr="00AF472A" w:rsidRDefault="00614C3E" w:rsidP="003559AE">
      <w:r w:rsidRPr="00AF472A">
        <w:t>Ayant pour numéro unique d’identification SIRET : …………………………………………………………….</w:t>
      </w:r>
    </w:p>
    <w:p w14:paraId="720AE8FF" w14:textId="77777777" w:rsidR="00614C3E" w:rsidRPr="00B21B4E" w:rsidRDefault="00614C3E" w:rsidP="003559AE">
      <w:pPr>
        <w:rPr>
          <w:i/>
          <w:u w:val="single"/>
        </w:rPr>
      </w:pPr>
      <w:r w:rsidRPr="00B21B4E">
        <w:rPr>
          <w:i/>
          <w:u w:val="single"/>
        </w:rPr>
        <w:t xml:space="preserve">Représentée par : </w:t>
      </w:r>
    </w:p>
    <w:p w14:paraId="2799685D" w14:textId="77777777" w:rsidR="00614C3E" w:rsidRPr="00AF472A" w:rsidRDefault="00614C3E" w:rsidP="003559AE">
      <w:r w:rsidRPr="00AF472A">
        <w:t>Nom : ……………………………………………………………………………………………………………</w:t>
      </w:r>
      <w:proofErr w:type="gramStart"/>
      <w:r w:rsidRPr="00AF472A">
        <w:t>…....</w:t>
      </w:r>
      <w:proofErr w:type="gramEnd"/>
      <w:r w:rsidRPr="00AF472A">
        <w:t>.</w:t>
      </w:r>
    </w:p>
    <w:p w14:paraId="434576A6" w14:textId="77777777" w:rsidR="00614C3E" w:rsidRPr="00AF472A" w:rsidRDefault="00614C3E" w:rsidP="003559AE">
      <w:r w:rsidRPr="00AF472A">
        <w:t>Qualité</w:t>
      </w:r>
      <w:r w:rsidRPr="003559AE">
        <w:rPr>
          <w:rStyle w:val="Appelnotedebasdep"/>
          <w:rFonts w:asciiTheme="minorHAnsi" w:hAnsiTheme="minorHAnsi" w:cstheme="minorHAnsi"/>
        </w:rPr>
        <w:footnoteReference w:id="2"/>
      </w:r>
      <w:r w:rsidRPr="003559AE">
        <w:rPr>
          <w:rFonts w:asciiTheme="minorHAnsi" w:hAnsiTheme="minorHAnsi" w:cstheme="minorHAnsi"/>
        </w:rPr>
        <w:t>:</w:t>
      </w:r>
      <w:r w:rsidRPr="00AF472A">
        <w:t xml:space="preserve"> </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F048AB">
        <w:fldChar w:fldCharType="separate"/>
      </w:r>
      <w:r w:rsidR="001C51E6" w:rsidRPr="00AF472A">
        <w:fldChar w:fldCharType="end"/>
      </w:r>
      <w:r w:rsidRPr="00AF472A">
        <w:t xml:space="preserve"> Représentant légal de l’entreprise</w:t>
      </w:r>
    </w:p>
    <w:p w14:paraId="5AE5A75A" w14:textId="77777777" w:rsidR="00614C3E" w:rsidRPr="00AF472A" w:rsidRDefault="00614C3E" w:rsidP="003559AE">
      <w:r w:rsidRPr="00AF472A">
        <w:t xml:space="preserve"> </w:t>
      </w:r>
      <w:r>
        <w:tab/>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F048AB">
        <w:fldChar w:fldCharType="separate"/>
      </w:r>
      <w:r w:rsidR="001C51E6" w:rsidRPr="00AF472A">
        <w:fldChar w:fldCharType="end"/>
      </w:r>
      <w:r w:rsidRPr="00AF472A">
        <w:t xml:space="preserve"> Ayant reçu pouvoir du représentant légal de l’entreprise</w:t>
      </w:r>
    </w:p>
    <w:p w14:paraId="37521ADC" w14:textId="56486A0C" w:rsidR="00614C3E" w:rsidRPr="00AF472A" w:rsidRDefault="00614C3E" w:rsidP="003559AE">
      <w:r>
        <w:t>Les P</w:t>
      </w:r>
      <w:r w:rsidRPr="00AF472A">
        <w:t xml:space="preserve">restations réalisées dans le cadre </w:t>
      </w:r>
      <w:r>
        <w:t xml:space="preserve">du </w:t>
      </w:r>
      <w:r w:rsidR="0071727B">
        <w:t xml:space="preserve">présent </w:t>
      </w:r>
      <w:r>
        <w:t>Marché</w:t>
      </w:r>
      <w:r w:rsidRPr="00AF472A">
        <w:t xml:space="preserve"> </w:t>
      </w:r>
      <w:r w:rsidR="0071727B">
        <w:t>Subséquent</w:t>
      </w:r>
      <w:r w:rsidR="0071727B" w:rsidRPr="00AF472A">
        <w:t xml:space="preserve"> </w:t>
      </w:r>
      <w:r w:rsidRPr="00AF472A">
        <w:t>seront exécutées</w:t>
      </w:r>
      <w:r w:rsidRPr="003559AE">
        <w:rPr>
          <w:rStyle w:val="Appelnotedebasdep"/>
          <w:rFonts w:asciiTheme="minorHAnsi" w:hAnsiTheme="minorHAnsi" w:cstheme="minorHAnsi"/>
        </w:rPr>
        <w:footnoteReference w:id="3"/>
      </w:r>
      <w:r w:rsidRPr="00AF472A">
        <w:t> :</w:t>
      </w:r>
    </w:p>
    <w:p w14:paraId="63DD4ABA" w14:textId="77777777" w:rsidR="00614C3E" w:rsidRPr="00AF472A" w:rsidRDefault="001C51E6" w:rsidP="003559AE">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F048AB">
        <w:fldChar w:fldCharType="separate"/>
      </w:r>
      <w:r w:rsidRPr="00AF472A">
        <w:fldChar w:fldCharType="end"/>
      </w:r>
      <w:r w:rsidR="00614C3E" w:rsidRPr="00AF472A">
        <w:t xml:space="preserve"> Par le siège</w:t>
      </w:r>
    </w:p>
    <w:p w14:paraId="3B88B57C" w14:textId="77777777" w:rsidR="00614C3E" w:rsidRPr="00AF472A" w:rsidRDefault="001C51E6" w:rsidP="003559AE">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00F048AB">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06A72FD1" w14:textId="77777777" w:rsidR="00614C3E" w:rsidRPr="00AF472A" w:rsidRDefault="00614C3E" w:rsidP="003559AE">
      <w:pPr>
        <w:ind w:left="1134"/>
      </w:pPr>
      <w:r w:rsidRPr="00AF472A">
        <w:t>Nom : ……………………………………………………………………………………………………….</w:t>
      </w:r>
    </w:p>
    <w:p w14:paraId="56E20944" w14:textId="77777777" w:rsidR="00614C3E" w:rsidRPr="00AF472A" w:rsidRDefault="00614C3E" w:rsidP="003559AE">
      <w:pPr>
        <w:ind w:left="1134"/>
      </w:pPr>
      <w:r w:rsidRPr="00AF472A">
        <w:t>Adresse : …………………………………………………………………………………………………...</w:t>
      </w:r>
    </w:p>
    <w:p w14:paraId="388A5337" w14:textId="77777777" w:rsidR="00614C3E" w:rsidRPr="00AF472A" w:rsidRDefault="00614C3E" w:rsidP="003559AE">
      <w:pPr>
        <w:ind w:left="1134"/>
      </w:pPr>
      <w:r w:rsidRPr="00AF472A">
        <w:t>……………………………………………………………………………………………………………….</w:t>
      </w:r>
    </w:p>
    <w:p w14:paraId="09C493D7" w14:textId="62833FBD" w:rsidR="00614C3E" w:rsidRDefault="00614C3E" w:rsidP="00C07DCF">
      <w:pPr>
        <w:ind w:left="1134"/>
      </w:pPr>
      <w:r w:rsidRPr="00AF472A">
        <w:lastRenderedPageBreak/>
        <w:t>Numéro unique d’identification SIRET</w:t>
      </w:r>
      <w:r w:rsidRPr="00AF472A">
        <w:rPr>
          <w:rStyle w:val="Appelnotedebasdep"/>
          <w:rFonts w:ascii="CGP" w:hAnsi="CGP"/>
        </w:rPr>
        <w:footnoteReference w:id="4"/>
      </w:r>
      <w:r w:rsidRPr="00AF472A">
        <w:t> : …………………………………………………………</w:t>
      </w:r>
      <w:proofErr w:type="gramStart"/>
      <w:r w:rsidRPr="00AF472A">
        <w:t>…….</w:t>
      </w:r>
      <w:proofErr w:type="gramEnd"/>
      <w:r w:rsidRPr="00AF472A">
        <w:t>.</w:t>
      </w:r>
    </w:p>
    <w:p w14:paraId="5F6E247E" w14:textId="4A77DB53" w:rsidR="00F5484E" w:rsidRPr="001F51A7" w:rsidRDefault="00F5484E" w:rsidP="00F5484E">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866023">
        <w:rPr>
          <w:caps/>
          <w:color w:val="FF0000"/>
          <w:sz w:val="36"/>
          <w:szCs w:val="36"/>
          <w:highlight w:val="lightGray"/>
        </w:rPr>
        <w:sym w:font="Wingdings" w:char="F046"/>
      </w:r>
      <w:r>
        <w:rPr>
          <w:rFonts w:cs="Arial"/>
          <w:b/>
          <w:i/>
        </w:rPr>
        <w:t>Paragraphe à remplir lorsque le titulaire s’est présenté à l’accord-cadre</w:t>
      </w:r>
      <w:r w:rsidRPr="001F51A7">
        <w:rPr>
          <w:rFonts w:cs="Arial"/>
          <w:b/>
          <w:i/>
        </w:rPr>
        <w:t xml:space="preserve"> sous forme</w:t>
      </w:r>
      <w:r>
        <w:rPr>
          <w:rFonts w:cs="Arial"/>
          <w:b/>
          <w:i/>
        </w:rPr>
        <w:t xml:space="preserve"> de groupement</w:t>
      </w:r>
    </w:p>
    <w:p w14:paraId="1F7AE1E6" w14:textId="77777777" w:rsidR="00F5484E" w:rsidRPr="003559AE" w:rsidRDefault="00F5484E" w:rsidP="00F5484E">
      <w:pPr>
        <w:spacing w:line="360" w:lineRule="auto"/>
      </w:pPr>
      <w:r w:rsidRPr="00AF472A">
        <w:rPr>
          <w:rFonts w:ascii="CGP" w:hAnsi="CGP"/>
          <w:b/>
        </w:rPr>
        <w:fldChar w:fldCharType="begin">
          <w:ffData>
            <w:name w:val="CaseACocher1"/>
            <w:enabled/>
            <w:calcOnExit w:val="0"/>
            <w:checkBox>
              <w:sizeAuto/>
              <w:default w:val="0"/>
            </w:checkBox>
          </w:ffData>
        </w:fldChar>
      </w:r>
      <w:r w:rsidRPr="00AF472A">
        <w:rPr>
          <w:rFonts w:ascii="CGP" w:hAnsi="CGP"/>
          <w:b/>
        </w:rPr>
        <w:instrText xml:space="preserve"> FORMCHECKBOX </w:instrText>
      </w:r>
      <w:r w:rsidR="00F048AB">
        <w:rPr>
          <w:rFonts w:ascii="CGP" w:hAnsi="CGP"/>
          <w:b/>
        </w:rPr>
      </w:r>
      <w:r w:rsidR="00F048AB">
        <w:rPr>
          <w:rFonts w:ascii="CGP" w:hAnsi="CGP"/>
          <w:b/>
        </w:rPr>
        <w:fldChar w:fldCharType="separate"/>
      </w:r>
      <w:r w:rsidRPr="00AF472A">
        <w:rPr>
          <w:rFonts w:ascii="CGP" w:hAnsi="CGP"/>
          <w:b/>
        </w:rPr>
        <w:fldChar w:fldCharType="end"/>
      </w:r>
      <w:r w:rsidRPr="00AF472A">
        <w:rPr>
          <w:rFonts w:ascii="CGP" w:hAnsi="CGP"/>
          <w:b/>
        </w:rPr>
        <w:t xml:space="preserve"> </w:t>
      </w:r>
      <w:r w:rsidRPr="003559AE">
        <w:rPr>
          <w:b/>
        </w:rPr>
        <w:t xml:space="preserve">Le groupement d’entrepreneurs </w:t>
      </w:r>
      <w:r w:rsidRPr="003559AE">
        <w:rPr>
          <w:b/>
        </w:rPr>
        <w:fldChar w:fldCharType="begin">
          <w:ffData>
            <w:name w:val="CaseACocher1"/>
            <w:enabled/>
            <w:calcOnExit w:val="0"/>
            <w:checkBox>
              <w:sizeAuto/>
              <w:default w:val="0"/>
            </w:checkBox>
          </w:ffData>
        </w:fldChar>
      </w:r>
      <w:r w:rsidRPr="003559AE">
        <w:rPr>
          <w:b/>
        </w:rPr>
        <w:instrText xml:space="preserve"> FORMCHECKBOX </w:instrText>
      </w:r>
      <w:r w:rsidR="00F048AB">
        <w:rPr>
          <w:b/>
        </w:rPr>
      </w:r>
      <w:r w:rsidR="00F048AB">
        <w:rPr>
          <w:b/>
        </w:rPr>
        <w:fldChar w:fldCharType="separate"/>
      </w:r>
      <w:r w:rsidRPr="003559AE">
        <w:rPr>
          <w:b/>
        </w:rPr>
        <w:fldChar w:fldCharType="end"/>
      </w:r>
      <w:r w:rsidRPr="003559AE">
        <w:rPr>
          <w:b/>
        </w:rPr>
        <w:t xml:space="preserve"> solidaire </w:t>
      </w:r>
      <w:r w:rsidRPr="003559AE">
        <w:rPr>
          <w:b/>
        </w:rPr>
        <w:fldChar w:fldCharType="begin">
          <w:ffData>
            <w:name w:val="CaseACocher1"/>
            <w:enabled/>
            <w:calcOnExit w:val="0"/>
            <w:checkBox>
              <w:sizeAuto/>
              <w:default w:val="0"/>
            </w:checkBox>
          </w:ffData>
        </w:fldChar>
      </w:r>
      <w:r w:rsidRPr="003559AE">
        <w:rPr>
          <w:b/>
        </w:rPr>
        <w:instrText xml:space="preserve"> FORMCHECKBOX </w:instrText>
      </w:r>
      <w:r w:rsidR="00F048AB">
        <w:rPr>
          <w:b/>
        </w:rPr>
      </w:r>
      <w:r w:rsidR="00F048AB">
        <w:rPr>
          <w:b/>
        </w:rPr>
        <w:fldChar w:fldCharType="separate"/>
      </w:r>
      <w:r w:rsidRPr="003559AE">
        <w:rPr>
          <w:b/>
        </w:rPr>
        <w:fldChar w:fldCharType="end"/>
      </w:r>
      <w:r w:rsidRPr="003559AE">
        <w:rPr>
          <w:b/>
        </w:rPr>
        <w:t xml:space="preserve"> conjoint</w:t>
      </w:r>
      <w:r>
        <w:rPr>
          <w:b/>
        </w:rPr>
        <w:t xml:space="preserve">, </w:t>
      </w:r>
      <w:r w:rsidRPr="003559AE">
        <w:rPr>
          <w:b/>
        </w:rPr>
        <w:fldChar w:fldCharType="begin">
          <w:ffData>
            <w:name w:val="CaseACocher1"/>
            <w:enabled/>
            <w:calcOnExit w:val="0"/>
            <w:checkBox>
              <w:sizeAuto/>
              <w:default w:val="0"/>
            </w:checkBox>
          </w:ffData>
        </w:fldChar>
      </w:r>
      <w:r w:rsidRPr="003559AE">
        <w:rPr>
          <w:b/>
        </w:rPr>
        <w:instrText xml:space="preserve"> FORMCHECKBOX </w:instrText>
      </w:r>
      <w:r w:rsidR="00F048AB">
        <w:rPr>
          <w:b/>
        </w:rPr>
      </w:r>
      <w:r w:rsidR="00F048AB">
        <w:rPr>
          <w:b/>
        </w:rPr>
        <w:fldChar w:fldCharType="separate"/>
      </w:r>
      <w:r w:rsidRPr="003559AE">
        <w:rPr>
          <w:b/>
        </w:rPr>
        <w:fldChar w:fldCharType="end"/>
      </w:r>
      <w:r w:rsidRPr="003559AE">
        <w:rPr>
          <w:b/>
        </w:rPr>
        <w:t xml:space="preserve"> </w:t>
      </w:r>
      <w:r>
        <w:rPr>
          <w:b/>
        </w:rPr>
        <w:t>avec mandataire solidaire</w:t>
      </w:r>
      <w:r w:rsidRPr="00EF5F4F">
        <w:rPr>
          <w:vertAlign w:val="superscript"/>
        </w:rPr>
        <w:footnoteReference w:id="5"/>
      </w:r>
      <w:r w:rsidRPr="00EF5F4F">
        <w:rPr>
          <w:vertAlign w:val="superscript"/>
        </w:rPr>
        <w:t> </w:t>
      </w:r>
      <w:r w:rsidRPr="003559AE">
        <w:rPr>
          <w:b/>
        </w:rPr>
        <w:t xml:space="preserve">, </w:t>
      </w:r>
      <w:r w:rsidRPr="003559AE">
        <w:t xml:space="preserve">ci-après dénommé « le </w:t>
      </w:r>
      <w:r>
        <w:t xml:space="preserve">Titulaire » </w:t>
      </w:r>
      <w:r w:rsidRPr="003559AE">
        <w:t xml:space="preserve">et composé des entreprises </w:t>
      </w:r>
      <w:proofErr w:type="gramStart"/>
      <w:r w:rsidRPr="003559AE">
        <w:t>suivantes:</w:t>
      </w:r>
      <w:proofErr w:type="gramEnd"/>
      <w:r w:rsidRPr="003559AE">
        <w:t xml:space="preserve"> </w:t>
      </w:r>
    </w:p>
    <w:p w14:paraId="4838EC27" w14:textId="77777777" w:rsidR="00F5484E" w:rsidRDefault="00F5484E" w:rsidP="00F5484E">
      <w:r w:rsidRPr="00447EDB">
        <w:t xml:space="preserve">En cas de groupement conjoint, le mandataire est solidaire, pour l’exécution du contrat, de chacun des membres du groupement pour ses obligations contractuelles à l’égard du </w:t>
      </w:r>
      <w:proofErr w:type="spellStart"/>
      <w:r w:rsidRPr="00447EDB">
        <w:t>Mucem</w:t>
      </w:r>
      <w:proofErr w:type="spellEnd"/>
      <w:r w:rsidRPr="00447EDB">
        <w:t>.</w:t>
      </w:r>
      <w:r w:rsidRPr="00926001">
        <w:t xml:space="preserve"> </w:t>
      </w:r>
    </w:p>
    <w:p w14:paraId="4AC86577" w14:textId="77777777" w:rsidR="00F5484E" w:rsidRPr="00AF472A" w:rsidRDefault="00F5484E" w:rsidP="00F5484E">
      <w:pPr>
        <w:rPr>
          <w:b/>
        </w:rPr>
      </w:pPr>
      <w:r w:rsidRPr="00AF472A">
        <w:rPr>
          <w:b/>
        </w:rPr>
        <w:t>1</w:t>
      </w:r>
      <w:r w:rsidRPr="00AF472A">
        <w:rPr>
          <w:b/>
          <w:vertAlign w:val="superscript"/>
        </w:rPr>
        <w:t>ère</w:t>
      </w:r>
      <w:r w:rsidRPr="00AF472A">
        <w:rPr>
          <w:b/>
        </w:rPr>
        <w:t xml:space="preserve"> entreprise cotraitante mandataire du groupement : </w:t>
      </w:r>
    </w:p>
    <w:p w14:paraId="04E96325" w14:textId="77777777" w:rsidR="00F5484E" w:rsidRPr="00AF472A" w:rsidRDefault="00F5484E" w:rsidP="00F5484E">
      <w:r w:rsidRPr="00AF472A">
        <w:t xml:space="preserve">Dénomination sociale : </w:t>
      </w:r>
      <w:r w:rsidRPr="001350E9">
        <w:rPr>
          <w:b/>
        </w:rPr>
        <w:t>………………………………………………………………………………………</w:t>
      </w:r>
      <w:proofErr w:type="gramStart"/>
      <w:r w:rsidRPr="001350E9">
        <w:rPr>
          <w:b/>
        </w:rPr>
        <w:t>…….</w:t>
      </w:r>
      <w:proofErr w:type="gramEnd"/>
      <w:r w:rsidRPr="001350E9">
        <w:rPr>
          <w:b/>
        </w:rPr>
        <w:t>.</w:t>
      </w:r>
    </w:p>
    <w:p w14:paraId="088D3EEA" w14:textId="77777777" w:rsidR="00F5484E" w:rsidRPr="00AF472A" w:rsidRDefault="00F5484E" w:rsidP="00F5484E">
      <w:r w:rsidRPr="00AF472A">
        <w:t>Ayant son siège à : ………………………………………………………………………………………………….</w:t>
      </w:r>
    </w:p>
    <w:p w14:paraId="2DB33A86" w14:textId="77777777" w:rsidR="00F5484E" w:rsidRPr="00AF472A" w:rsidRDefault="00F5484E" w:rsidP="00F5484E">
      <w:r w:rsidRPr="00AF472A">
        <w:t>…………………………………………………………………………………………………………………………</w:t>
      </w:r>
    </w:p>
    <w:p w14:paraId="4FD90444" w14:textId="77777777" w:rsidR="00F5484E" w:rsidRPr="00B21B4E" w:rsidRDefault="00F5484E" w:rsidP="00F5484E">
      <w:r w:rsidRPr="00B21B4E">
        <w:t>Ayant pour numéro unique d’identification SIRET : …………………………………………………………….</w:t>
      </w:r>
    </w:p>
    <w:p w14:paraId="53857985" w14:textId="77777777" w:rsidR="00F5484E" w:rsidRDefault="00F5484E" w:rsidP="00F5484E"/>
    <w:p w14:paraId="4293D4D5" w14:textId="77777777" w:rsidR="00F5484E" w:rsidRPr="00B21B4E" w:rsidRDefault="00F5484E" w:rsidP="00F5484E">
      <w:pPr>
        <w:rPr>
          <w:i/>
          <w:u w:val="single"/>
        </w:rPr>
      </w:pPr>
      <w:r w:rsidRPr="00B21B4E">
        <w:rPr>
          <w:i/>
          <w:u w:val="single"/>
        </w:rPr>
        <w:t xml:space="preserve">Représentée par : </w:t>
      </w:r>
    </w:p>
    <w:p w14:paraId="3C58D056" w14:textId="77777777" w:rsidR="00F5484E" w:rsidRPr="00AF472A" w:rsidRDefault="00F5484E" w:rsidP="00F5484E">
      <w:r w:rsidRPr="00AF472A">
        <w:t>Nom : ………………………………………………………………………………………………………………....</w:t>
      </w:r>
    </w:p>
    <w:p w14:paraId="363D4EBB" w14:textId="77777777" w:rsidR="00F5484E" w:rsidRPr="00AF472A" w:rsidRDefault="00F5484E" w:rsidP="00F5484E">
      <w:r w:rsidRPr="00AF472A">
        <w:t>Qualité</w:t>
      </w:r>
      <w:r w:rsidRPr="00EF5F4F">
        <w:rPr>
          <w:vertAlign w:val="superscript"/>
        </w:rPr>
        <w:footnoteReference w:id="6"/>
      </w:r>
      <w:r w:rsidRPr="00EF5F4F">
        <w:rPr>
          <w:vertAlign w:val="superscript"/>
        </w:rPr>
        <w:t> </w:t>
      </w:r>
      <w:r>
        <w:t>:</w:t>
      </w:r>
      <w:r>
        <w:tab/>
      </w:r>
      <w:r w:rsidRPr="00AF472A">
        <w:fldChar w:fldCharType="begin">
          <w:ffData>
            <w:name w:val="CaseACocher1"/>
            <w:enabled/>
            <w:calcOnExit w:val="0"/>
            <w:checkBox>
              <w:sizeAuto/>
              <w:default w:val="0"/>
            </w:checkBox>
          </w:ffData>
        </w:fldChar>
      </w:r>
      <w:r w:rsidRPr="00AF472A">
        <w:instrText xml:space="preserve"> FORMCHECKBOX </w:instrText>
      </w:r>
      <w:r w:rsidR="00F048AB">
        <w:fldChar w:fldCharType="separate"/>
      </w:r>
      <w:r w:rsidRPr="00AF472A">
        <w:fldChar w:fldCharType="end"/>
      </w:r>
      <w:r w:rsidRPr="00AF472A">
        <w:t xml:space="preserve"> Représentant légal de l’entreprise</w:t>
      </w:r>
    </w:p>
    <w:p w14:paraId="69022D74" w14:textId="77777777" w:rsidR="00F5484E" w:rsidRPr="00AF472A" w:rsidRDefault="00F5484E" w:rsidP="00F5484E">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F048AB">
        <w:fldChar w:fldCharType="separate"/>
      </w:r>
      <w:r w:rsidRPr="00AF472A">
        <w:fldChar w:fldCharType="end"/>
      </w:r>
      <w:r w:rsidRPr="00AF472A">
        <w:t xml:space="preserve"> Ayant reçu pouvoir du représentant légal de l’entreprise</w:t>
      </w:r>
    </w:p>
    <w:p w14:paraId="1396ACF6" w14:textId="77777777" w:rsidR="00F5484E" w:rsidRDefault="00F5484E" w:rsidP="00F5484E"/>
    <w:p w14:paraId="0AC77D64" w14:textId="77777777" w:rsidR="00F5484E" w:rsidRPr="00AF472A" w:rsidRDefault="00F5484E" w:rsidP="00F5484E">
      <w:r w:rsidRPr="00AF472A">
        <w:t xml:space="preserve">Les </w:t>
      </w:r>
      <w:r>
        <w:t>P</w:t>
      </w:r>
      <w:r w:rsidRPr="00AF472A">
        <w:t>restations réal</w:t>
      </w:r>
      <w:r>
        <w:t>isées dans le cadre du présent contrat</w:t>
      </w:r>
      <w:r w:rsidRPr="00AF472A">
        <w:t xml:space="preserve"> seront exécutées</w:t>
      </w:r>
      <w:r w:rsidRPr="00B21B4E">
        <w:rPr>
          <w:rStyle w:val="Appelnotedebasdep"/>
          <w:rFonts w:asciiTheme="minorHAnsi" w:hAnsiTheme="minorHAnsi" w:cstheme="minorHAnsi"/>
        </w:rPr>
        <w:footnoteReference w:id="7"/>
      </w:r>
      <w:r w:rsidRPr="00B21B4E">
        <w:rPr>
          <w:rFonts w:asciiTheme="minorHAnsi" w:hAnsiTheme="minorHAnsi" w:cstheme="minorHAnsi"/>
        </w:rPr>
        <w:t> </w:t>
      </w:r>
      <w:r w:rsidRPr="00AF472A">
        <w:t>:</w:t>
      </w:r>
    </w:p>
    <w:p w14:paraId="222222B2" w14:textId="77777777" w:rsidR="00F5484E" w:rsidRPr="00AF472A" w:rsidRDefault="00F5484E" w:rsidP="00F5484E">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F048AB">
        <w:fldChar w:fldCharType="separate"/>
      </w:r>
      <w:r w:rsidRPr="00AF472A">
        <w:fldChar w:fldCharType="end"/>
      </w:r>
      <w:r w:rsidRPr="00AF472A">
        <w:t xml:space="preserve"> Par le siège</w:t>
      </w:r>
    </w:p>
    <w:p w14:paraId="1299D771" w14:textId="77777777" w:rsidR="00F5484E" w:rsidRPr="00AF472A" w:rsidRDefault="00F5484E" w:rsidP="00F5484E">
      <w:pPr>
        <w:ind w:left="1416"/>
      </w:pPr>
      <w:r w:rsidRPr="00AF472A">
        <w:fldChar w:fldCharType="begin">
          <w:ffData>
            <w:name w:val="CaseACocher1"/>
            <w:enabled/>
            <w:calcOnExit w:val="0"/>
            <w:checkBox>
              <w:sizeAuto/>
              <w:default w:val="0"/>
            </w:checkBox>
          </w:ffData>
        </w:fldChar>
      </w:r>
      <w:r w:rsidRPr="00AF472A">
        <w:instrText xml:space="preserve"> FORMCHECKBOX </w:instrText>
      </w:r>
      <w:r w:rsidR="00F048AB">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32EAB62F" w14:textId="77777777" w:rsidR="00F5484E" w:rsidRPr="00AF472A" w:rsidRDefault="00F5484E" w:rsidP="00F5484E">
      <w:pPr>
        <w:ind w:left="1134"/>
      </w:pPr>
      <w:r w:rsidRPr="00AF472A">
        <w:t>Nom : ……………………………………………………………………………………………………….</w:t>
      </w:r>
    </w:p>
    <w:p w14:paraId="715C0263" w14:textId="77777777" w:rsidR="00F5484E" w:rsidRPr="00AF472A" w:rsidRDefault="00F5484E" w:rsidP="00F5484E">
      <w:pPr>
        <w:ind w:left="1134"/>
      </w:pPr>
      <w:r w:rsidRPr="00AF472A">
        <w:t>Adresse : …………………………………………………………………………………………………...</w:t>
      </w:r>
    </w:p>
    <w:p w14:paraId="71D47D95" w14:textId="77777777" w:rsidR="00F5484E" w:rsidRPr="00AF472A" w:rsidRDefault="00F5484E" w:rsidP="00F5484E">
      <w:pPr>
        <w:ind w:left="1134"/>
      </w:pPr>
      <w:r w:rsidRPr="00AF472A">
        <w:t>……………………………………………………………………………………………………………….</w:t>
      </w:r>
    </w:p>
    <w:p w14:paraId="7FE2B370" w14:textId="77777777" w:rsidR="00F5484E" w:rsidRPr="00AF472A" w:rsidRDefault="00F5484E" w:rsidP="00F5484E">
      <w:pPr>
        <w:ind w:left="1134"/>
      </w:pPr>
      <w:r w:rsidRPr="00AF472A">
        <w:t>Numéro unique d’identification SIRET</w:t>
      </w:r>
      <w:r w:rsidRPr="00AF472A">
        <w:rPr>
          <w:rStyle w:val="Appelnotedebasdep"/>
          <w:rFonts w:ascii="CGP" w:hAnsi="CGP"/>
        </w:rPr>
        <w:footnoteReference w:id="8"/>
      </w:r>
      <w:r w:rsidRPr="00AF472A">
        <w:t> : …………………………………………………………</w:t>
      </w:r>
      <w:proofErr w:type="gramStart"/>
      <w:r w:rsidRPr="00AF472A">
        <w:t>…….</w:t>
      </w:r>
      <w:proofErr w:type="gramEnd"/>
      <w:r w:rsidRPr="00AF472A">
        <w:t>.</w:t>
      </w:r>
    </w:p>
    <w:p w14:paraId="370AC8B3" w14:textId="77777777" w:rsidR="00F5484E" w:rsidRPr="00AF472A" w:rsidRDefault="00F5484E" w:rsidP="00F5484E">
      <w:r w:rsidRPr="00AF472A">
        <w:t xml:space="preserve">En cas groupement conjoint, le mandataire est solidaire, pour l’exécution du </w:t>
      </w:r>
      <w:r>
        <w:t>contrat</w:t>
      </w:r>
      <w:r w:rsidRPr="00AF472A">
        <w:t xml:space="preserve">, de chacun des membres du groupement pour ses obligations contractuelles à l’égard </w:t>
      </w:r>
      <w:r>
        <w:t xml:space="preserve">du </w:t>
      </w:r>
      <w:proofErr w:type="spellStart"/>
      <w:r>
        <w:t>Mucem</w:t>
      </w:r>
      <w:proofErr w:type="spellEnd"/>
      <w:r w:rsidRPr="00AF472A">
        <w:t xml:space="preserve">. </w:t>
      </w:r>
    </w:p>
    <w:p w14:paraId="33C23BFE" w14:textId="77777777" w:rsidR="00F5484E" w:rsidRPr="00AF472A" w:rsidRDefault="00F5484E" w:rsidP="00F5484E">
      <w:pPr>
        <w:ind w:left="708"/>
        <w:rPr>
          <w:rFonts w:ascii="CGP" w:hAnsi="CGP"/>
        </w:rPr>
      </w:pPr>
    </w:p>
    <w:p w14:paraId="3D844542" w14:textId="77777777" w:rsidR="00F5484E" w:rsidRPr="00AF472A" w:rsidRDefault="00F5484E" w:rsidP="00F5484E">
      <w:pPr>
        <w:rPr>
          <w:b/>
        </w:rPr>
      </w:pPr>
      <w:r>
        <w:rPr>
          <w:b/>
        </w:rPr>
        <w:t>2</w:t>
      </w:r>
      <w:r w:rsidRPr="001F09E5">
        <w:rPr>
          <w:b/>
          <w:vertAlign w:val="superscript"/>
        </w:rPr>
        <w:t>ème</w:t>
      </w:r>
      <w:r>
        <w:rPr>
          <w:b/>
        </w:rPr>
        <w:t xml:space="preserve"> e</w:t>
      </w:r>
      <w:r w:rsidRPr="00AF472A">
        <w:rPr>
          <w:b/>
        </w:rPr>
        <w:t>ntreprise cotraitante</w:t>
      </w:r>
      <w:r>
        <w:rPr>
          <w:b/>
        </w:rPr>
        <w:t xml:space="preserve"> </w:t>
      </w:r>
      <w:r w:rsidRPr="00AF472A">
        <w:rPr>
          <w:b/>
        </w:rPr>
        <w:t xml:space="preserve">: </w:t>
      </w:r>
    </w:p>
    <w:p w14:paraId="1661C17B" w14:textId="77777777" w:rsidR="00F5484E" w:rsidRPr="00AF472A" w:rsidRDefault="00F5484E" w:rsidP="00F5484E">
      <w:r w:rsidRPr="00AF472A">
        <w:t>Dénomination sociale : ………………………………………………………………………………………</w:t>
      </w:r>
      <w:proofErr w:type="gramStart"/>
      <w:r w:rsidRPr="00AF472A">
        <w:t>…….</w:t>
      </w:r>
      <w:proofErr w:type="gramEnd"/>
      <w:r w:rsidRPr="00AF472A">
        <w:t>.</w:t>
      </w:r>
    </w:p>
    <w:p w14:paraId="3F48509E" w14:textId="77777777" w:rsidR="00F5484E" w:rsidRPr="00AF472A" w:rsidRDefault="00F5484E" w:rsidP="00F5484E">
      <w:r w:rsidRPr="00AF472A">
        <w:t>Ayant son siège à : ………………………………………………………………………………………………….</w:t>
      </w:r>
    </w:p>
    <w:p w14:paraId="54499B6F" w14:textId="77777777" w:rsidR="00F5484E" w:rsidRPr="00AF472A" w:rsidRDefault="00F5484E" w:rsidP="00F5484E">
      <w:r w:rsidRPr="00AF472A">
        <w:t>…………………………………………………………………………………………………………………………</w:t>
      </w:r>
    </w:p>
    <w:p w14:paraId="26DCC997" w14:textId="77777777" w:rsidR="00F5484E" w:rsidRPr="00B21B4E" w:rsidRDefault="00F5484E" w:rsidP="00F5484E">
      <w:r w:rsidRPr="00B21B4E">
        <w:t>Ayant pour numéro unique d’identification SIRET : …………………………………………………………….</w:t>
      </w:r>
    </w:p>
    <w:p w14:paraId="7F2E7EA4" w14:textId="77777777" w:rsidR="00F5484E" w:rsidRPr="00B21B4E" w:rsidRDefault="00F5484E" w:rsidP="00F5484E">
      <w:pPr>
        <w:rPr>
          <w:i/>
          <w:u w:val="single"/>
        </w:rPr>
      </w:pPr>
      <w:r w:rsidRPr="00B21B4E">
        <w:rPr>
          <w:i/>
          <w:u w:val="single"/>
        </w:rPr>
        <w:t xml:space="preserve">Représentée par : </w:t>
      </w:r>
    </w:p>
    <w:p w14:paraId="35BD6326" w14:textId="77777777" w:rsidR="00F5484E" w:rsidRPr="00AF472A" w:rsidRDefault="00F5484E" w:rsidP="00F5484E">
      <w:r w:rsidRPr="00AF472A">
        <w:lastRenderedPageBreak/>
        <w:t>Nom : ………………………………………………………………………………………………………………....</w:t>
      </w:r>
    </w:p>
    <w:p w14:paraId="3D916F2A" w14:textId="77777777" w:rsidR="00F5484E" w:rsidRPr="00AF472A" w:rsidRDefault="00F5484E" w:rsidP="00F5484E">
      <w:r w:rsidRPr="00AF472A">
        <w:t>Qualité</w:t>
      </w:r>
      <w:r w:rsidRPr="00767232">
        <w:rPr>
          <w:rStyle w:val="Appelnotedebasdep"/>
          <w:rFonts w:asciiTheme="minorHAnsi" w:hAnsiTheme="minorHAnsi" w:cstheme="minorHAnsi"/>
        </w:rPr>
        <w:footnoteReference w:id="9"/>
      </w:r>
      <w:r w:rsidRPr="00767232">
        <w:rPr>
          <w:rStyle w:val="Appelnotedebasdep"/>
          <w:rFonts w:asciiTheme="minorHAnsi" w:hAnsiTheme="minorHAnsi" w:cstheme="minorHAnsi"/>
        </w:rPr>
        <w:t> </w:t>
      </w:r>
      <w:r>
        <w:t>:</w:t>
      </w:r>
      <w:r>
        <w:tab/>
      </w:r>
      <w:r w:rsidRPr="00AF472A">
        <w:fldChar w:fldCharType="begin">
          <w:ffData>
            <w:name w:val="CaseACocher1"/>
            <w:enabled/>
            <w:calcOnExit w:val="0"/>
            <w:checkBox>
              <w:sizeAuto/>
              <w:default w:val="0"/>
            </w:checkBox>
          </w:ffData>
        </w:fldChar>
      </w:r>
      <w:r w:rsidRPr="00AF472A">
        <w:instrText xml:space="preserve"> FORMCHECKBOX </w:instrText>
      </w:r>
      <w:r w:rsidR="00F048AB">
        <w:fldChar w:fldCharType="separate"/>
      </w:r>
      <w:r w:rsidRPr="00AF472A">
        <w:fldChar w:fldCharType="end"/>
      </w:r>
      <w:r w:rsidRPr="00AF472A">
        <w:t xml:space="preserve"> Représentant légal de l’entreprise</w:t>
      </w:r>
    </w:p>
    <w:p w14:paraId="0F62673E" w14:textId="77777777" w:rsidR="00F5484E" w:rsidRPr="00AF472A" w:rsidRDefault="00F5484E" w:rsidP="00F5484E">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F048AB">
        <w:fldChar w:fldCharType="separate"/>
      </w:r>
      <w:r w:rsidRPr="00AF472A">
        <w:fldChar w:fldCharType="end"/>
      </w:r>
      <w:r w:rsidRPr="00AF472A">
        <w:t xml:space="preserve"> Ayant reçu pouvoir du représentant légal de l’entreprise</w:t>
      </w:r>
    </w:p>
    <w:p w14:paraId="53759E77" w14:textId="77777777" w:rsidR="00F5484E" w:rsidRPr="00AF472A" w:rsidRDefault="00F5484E" w:rsidP="00F5484E"/>
    <w:p w14:paraId="624D2015" w14:textId="77777777" w:rsidR="00F5484E" w:rsidRPr="00AF472A" w:rsidRDefault="00F5484E" w:rsidP="00F5484E">
      <w:r w:rsidRPr="00AF472A">
        <w:t xml:space="preserve">Les </w:t>
      </w:r>
      <w:r>
        <w:t>P</w:t>
      </w:r>
      <w:r w:rsidRPr="00AF472A">
        <w:t>restations réal</w:t>
      </w:r>
      <w:r>
        <w:t>isées dans le cadre du présent contrat</w:t>
      </w:r>
      <w:r w:rsidRPr="00AF472A">
        <w:t xml:space="preserve"> seront exécutées</w:t>
      </w:r>
      <w:r w:rsidRPr="00B21B4E">
        <w:rPr>
          <w:rStyle w:val="Appelnotedebasdep"/>
          <w:rFonts w:asciiTheme="minorHAnsi" w:hAnsiTheme="minorHAnsi" w:cstheme="minorHAnsi"/>
        </w:rPr>
        <w:footnoteReference w:id="10"/>
      </w:r>
      <w:r w:rsidRPr="00B21B4E">
        <w:rPr>
          <w:rFonts w:asciiTheme="minorHAnsi" w:hAnsiTheme="minorHAnsi" w:cstheme="minorHAnsi"/>
        </w:rPr>
        <w:t> </w:t>
      </w:r>
      <w:r w:rsidRPr="00AF472A">
        <w:t>:</w:t>
      </w:r>
    </w:p>
    <w:p w14:paraId="43D4B233" w14:textId="77777777" w:rsidR="00F5484E" w:rsidRPr="00AF472A" w:rsidRDefault="00F5484E" w:rsidP="00F5484E">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F048AB">
        <w:fldChar w:fldCharType="separate"/>
      </w:r>
      <w:r w:rsidRPr="00AF472A">
        <w:fldChar w:fldCharType="end"/>
      </w:r>
      <w:r w:rsidRPr="00AF472A">
        <w:t xml:space="preserve"> Par le siège</w:t>
      </w:r>
    </w:p>
    <w:p w14:paraId="51C52FEF" w14:textId="77777777" w:rsidR="00F5484E" w:rsidRPr="00AF472A" w:rsidRDefault="00F5484E" w:rsidP="00F5484E">
      <w:pPr>
        <w:ind w:left="1416"/>
      </w:pPr>
      <w:r w:rsidRPr="00AF472A">
        <w:fldChar w:fldCharType="begin">
          <w:ffData>
            <w:name w:val="CaseACocher1"/>
            <w:enabled/>
            <w:calcOnExit w:val="0"/>
            <w:checkBox>
              <w:sizeAuto/>
              <w:default w:val="0"/>
            </w:checkBox>
          </w:ffData>
        </w:fldChar>
      </w:r>
      <w:r w:rsidRPr="00AF472A">
        <w:instrText xml:space="preserve"> FORMCHECKBOX </w:instrText>
      </w:r>
      <w:r w:rsidR="00F048AB">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14CCC2C3" w14:textId="77777777" w:rsidR="00F5484E" w:rsidRPr="00AF472A" w:rsidRDefault="00F5484E" w:rsidP="00F5484E">
      <w:pPr>
        <w:ind w:left="1134"/>
      </w:pPr>
      <w:r w:rsidRPr="00AF472A">
        <w:t>Nom : ……………………………………………………………………………………………………….</w:t>
      </w:r>
    </w:p>
    <w:p w14:paraId="0E586BA4" w14:textId="77777777" w:rsidR="00F5484E" w:rsidRPr="00AF472A" w:rsidRDefault="00F5484E" w:rsidP="00F5484E">
      <w:pPr>
        <w:ind w:left="1134"/>
      </w:pPr>
      <w:r w:rsidRPr="00AF472A">
        <w:t>Adresse : …………………………………………………………………………………………………...</w:t>
      </w:r>
    </w:p>
    <w:p w14:paraId="712619EA" w14:textId="77777777" w:rsidR="00F5484E" w:rsidRPr="00AF472A" w:rsidRDefault="00F5484E" w:rsidP="00F5484E">
      <w:pPr>
        <w:ind w:left="1134"/>
      </w:pPr>
      <w:r w:rsidRPr="00AF472A">
        <w:t>……………………………………………………………………………………………………………….</w:t>
      </w:r>
    </w:p>
    <w:p w14:paraId="5DBD0DB5" w14:textId="77777777" w:rsidR="00F5484E" w:rsidRDefault="00F5484E" w:rsidP="00F5484E">
      <w:pPr>
        <w:ind w:left="1134"/>
      </w:pPr>
      <w:r w:rsidRPr="00AF472A">
        <w:t>Numéro unique d’identification SIRET</w:t>
      </w:r>
      <w:r w:rsidRPr="00AF472A">
        <w:rPr>
          <w:rStyle w:val="Appelnotedebasdep"/>
          <w:rFonts w:ascii="CGP" w:hAnsi="CGP"/>
        </w:rPr>
        <w:footnoteReference w:id="11"/>
      </w:r>
      <w:r w:rsidRPr="00AF472A">
        <w:t> : ………………………………………………………</w:t>
      </w:r>
      <w:proofErr w:type="gramStart"/>
      <w:r w:rsidRPr="00AF472A">
        <w:t>…….</w:t>
      </w:r>
      <w:proofErr w:type="gramEnd"/>
      <w:r w:rsidRPr="00AF472A">
        <w:t>.</w:t>
      </w:r>
    </w:p>
    <w:tbl>
      <w:tblPr>
        <w:tblStyle w:val="Grilledutableau"/>
        <w:tblW w:w="9889" w:type="dxa"/>
        <w:shd w:val="clear" w:color="auto" w:fill="D9D9D9" w:themeFill="background1" w:themeFillShade="D9"/>
        <w:tblLook w:val="04A0" w:firstRow="1" w:lastRow="0" w:firstColumn="1" w:lastColumn="0" w:noHBand="0" w:noVBand="1"/>
      </w:tblPr>
      <w:tblGrid>
        <w:gridCol w:w="9889"/>
      </w:tblGrid>
      <w:tr w:rsidR="00F5484E" w:rsidRPr="00782378" w14:paraId="48E62906" w14:textId="77777777" w:rsidTr="009C475A">
        <w:tc>
          <w:tcPr>
            <w:tcW w:w="9889" w:type="dxa"/>
            <w:shd w:val="clear" w:color="auto" w:fill="D9D9D9" w:themeFill="background1" w:themeFillShade="D9"/>
          </w:tcPr>
          <w:p w14:paraId="38C3C194" w14:textId="77777777" w:rsidR="00F5484E" w:rsidRPr="00782378" w:rsidRDefault="00F5484E" w:rsidP="00B24918">
            <w:pPr>
              <w:rPr>
                <w:b/>
                <w:i/>
              </w:rPr>
            </w:pPr>
            <w:r w:rsidRPr="00782378">
              <w:rPr>
                <w:b/>
                <w:i/>
              </w:rPr>
              <w:t>Ajouter les autres éventuelles entreprises cotraitantes si nécessaire.</w:t>
            </w:r>
          </w:p>
        </w:tc>
      </w:tr>
    </w:tbl>
    <w:p w14:paraId="30572A33" w14:textId="33193490" w:rsidR="00906DE9" w:rsidRPr="00F07F6E" w:rsidRDefault="00EA7224" w:rsidP="00906DE9">
      <w:pPr>
        <w:pStyle w:val="Titre1"/>
      </w:pPr>
      <w:bookmarkStart w:id="10" w:name="_Toc333412607"/>
      <w:bookmarkStart w:id="11" w:name="_Toc215675467"/>
      <w:bookmarkStart w:id="12" w:name="_Toc251755466"/>
      <w:bookmarkStart w:id="13" w:name="_Toc251755542"/>
      <w:bookmarkStart w:id="14" w:name="_Toc251761063"/>
      <w:bookmarkStart w:id="15" w:name="_Toc295160928"/>
      <w:bookmarkStart w:id="16" w:name="_Toc295312886"/>
      <w:bookmarkStart w:id="17" w:name="_Ref318106763"/>
      <w:bookmarkStart w:id="18" w:name="_Toc251755469"/>
      <w:bookmarkStart w:id="19" w:name="_Toc251755545"/>
      <w:bookmarkStart w:id="20" w:name="_Toc251761066"/>
      <w:bookmarkStart w:id="21" w:name="_Toc295160931"/>
      <w:bookmarkStart w:id="22" w:name="_Toc295312889"/>
      <w:bookmarkEnd w:id="2"/>
      <w:bookmarkEnd w:id="3"/>
      <w:bookmarkEnd w:id="4"/>
      <w:bookmarkEnd w:id="5"/>
      <w:bookmarkEnd w:id="6"/>
      <w:r>
        <w:t>Forme et objet</w:t>
      </w:r>
      <w:r w:rsidR="00906DE9" w:rsidRPr="00F07F6E">
        <w:t xml:space="preserve"> </w:t>
      </w:r>
      <w:bookmarkEnd w:id="10"/>
      <w:r w:rsidR="002B7E46">
        <w:t>du Marché</w:t>
      </w:r>
      <w:r w:rsidR="0071727B">
        <w:t xml:space="preserve"> Subséquent</w:t>
      </w:r>
      <w:bookmarkEnd w:id="11"/>
    </w:p>
    <w:p w14:paraId="6415B156" w14:textId="37475896" w:rsidR="00251026" w:rsidRDefault="00251026" w:rsidP="00251026">
      <w:r w:rsidRPr="00C03671">
        <w:t xml:space="preserve">Le Marché </w:t>
      </w:r>
      <w:r>
        <w:t xml:space="preserve">Subséquent prend la forme d’un </w:t>
      </w:r>
      <w:r w:rsidR="003747FA">
        <w:t>accor</w:t>
      </w:r>
      <w:r w:rsidR="00407C3E">
        <w:t xml:space="preserve">d-cadre à prix forfaitaire </w:t>
      </w:r>
      <w:r w:rsidR="0017472F">
        <w:t xml:space="preserve">(ne nécessitant pas l’émission de bons de commande) </w:t>
      </w:r>
      <w:r w:rsidR="00407C3E">
        <w:t xml:space="preserve">et </w:t>
      </w:r>
      <w:r w:rsidR="003747FA">
        <w:t>prix unitaires (</w:t>
      </w:r>
      <w:r w:rsidR="0017472F">
        <w:t xml:space="preserve">pour la </w:t>
      </w:r>
      <w:r w:rsidR="00407C3E">
        <w:t>part à commande pour les plus-values notamment</w:t>
      </w:r>
      <w:r w:rsidR="003747FA" w:rsidRPr="003747FA">
        <w:t>)</w:t>
      </w:r>
      <w:r w:rsidRPr="003747FA">
        <w:t xml:space="preserve"> </w:t>
      </w:r>
      <w:r w:rsidR="009A48DF">
        <w:t>dans les conditions fixées</w:t>
      </w:r>
      <w:r>
        <w:t xml:space="preserve"> à </w:t>
      </w:r>
      <w:r w:rsidRPr="00251026">
        <w:rPr>
          <w:b/>
          <w:i/>
          <w:color w:val="595959" w:themeColor="text1" w:themeTint="A6"/>
        </w:rPr>
        <w:t xml:space="preserve">l’article </w:t>
      </w:r>
      <w:r>
        <w:rPr>
          <w:b/>
          <w:i/>
          <w:color w:val="595959" w:themeColor="text1" w:themeTint="A6"/>
        </w:rPr>
        <w:fldChar w:fldCharType="begin"/>
      </w:r>
      <w:r>
        <w:rPr>
          <w:b/>
          <w:i/>
          <w:color w:val="595959" w:themeColor="text1" w:themeTint="A6"/>
        </w:rPr>
        <w:instrText xml:space="preserve"> REF _Ref453677235 \r \h </w:instrText>
      </w:r>
      <w:r>
        <w:rPr>
          <w:b/>
          <w:i/>
          <w:color w:val="595959" w:themeColor="text1" w:themeTint="A6"/>
        </w:rPr>
      </w:r>
      <w:r>
        <w:rPr>
          <w:b/>
          <w:i/>
          <w:color w:val="595959" w:themeColor="text1" w:themeTint="A6"/>
        </w:rPr>
        <w:fldChar w:fldCharType="separate"/>
      </w:r>
      <w:r w:rsidR="0017472F">
        <w:rPr>
          <w:b/>
          <w:i/>
          <w:color w:val="595959" w:themeColor="text1" w:themeTint="A6"/>
        </w:rPr>
        <w:t>7.1</w:t>
      </w:r>
      <w:r>
        <w:rPr>
          <w:b/>
          <w:i/>
          <w:color w:val="595959" w:themeColor="text1" w:themeTint="A6"/>
        </w:rPr>
        <w:fldChar w:fldCharType="end"/>
      </w:r>
      <w:r>
        <w:rPr>
          <w:b/>
          <w:i/>
          <w:color w:val="595959" w:themeColor="text1" w:themeTint="A6"/>
        </w:rPr>
        <w:t xml:space="preserve"> </w:t>
      </w:r>
      <w:r w:rsidRPr="00251026">
        <w:rPr>
          <w:b/>
          <w:i/>
          <w:color w:val="595959" w:themeColor="text1" w:themeTint="A6"/>
        </w:rPr>
        <w:t>du présent CCP</w:t>
      </w:r>
      <w:r>
        <w:t>.</w:t>
      </w:r>
    </w:p>
    <w:p w14:paraId="4E57F05F" w14:textId="404BB0C0" w:rsidR="00906DE9" w:rsidRDefault="0022413E" w:rsidP="00254443">
      <w:pPr>
        <w:spacing w:line="276" w:lineRule="auto"/>
      </w:pPr>
      <w:r w:rsidRPr="002038EE">
        <w:t>Le</w:t>
      </w:r>
      <w:r w:rsidR="00906DE9" w:rsidRPr="002038EE">
        <w:t xml:space="preserve"> </w:t>
      </w:r>
      <w:r w:rsidR="0071727B">
        <w:t xml:space="preserve">présent </w:t>
      </w:r>
      <w:r w:rsidR="00906DE9" w:rsidRPr="002038EE">
        <w:t xml:space="preserve">Marché </w:t>
      </w:r>
      <w:r w:rsidR="0071727B">
        <w:t>Subséquent</w:t>
      </w:r>
      <w:r w:rsidR="0071727B" w:rsidRPr="002038EE">
        <w:t xml:space="preserve"> </w:t>
      </w:r>
      <w:r w:rsidR="00906DE9" w:rsidRPr="002038EE">
        <w:t>a po</w:t>
      </w:r>
      <w:r w:rsidR="00906DE9" w:rsidRPr="00821B53">
        <w:t>ur objet la réalisation</w:t>
      </w:r>
      <w:r w:rsidR="00906DE9">
        <w:t xml:space="preserve"> pour le compte du </w:t>
      </w:r>
      <w:proofErr w:type="spellStart"/>
      <w:r w:rsidR="008D034F">
        <w:t>Mucem</w:t>
      </w:r>
      <w:proofErr w:type="spellEnd"/>
      <w:r w:rsidR="00906DE9">
        <w:t xml:space="preserve"> de Prestations </w:t>
      </w:r>
      <w:r w:rsidR="00C03671" w:rsidRPr="00226EE4">
        <w:rPr>
          <w:rFonts w:cs="Arial"/>
        </w:rPr>
        <w:t>relatives à</w:t>
      </w:r>
      <w:r w:rsidR="00C03671">
        <w:rPr>
          <w:rFonts w:cs="Arial"/>
        </w:rPr>
        <w:t xml:space="preserve"> la </w:t>
      </w:r>
      <w:r w:rsidR="00C03671" w:rsidRPr="00254443">
        <w:rPr>
          <w:rFonts w:cs="Arial"/>
          <w:b/>
        </w:rPr>
        <w:t>préparation et à l’organisation des emballages, transports, manutentions, installations d’œuvres d’art dans le cadre de</w:t>
      </w:r>
      <w:r w:rsidR="00C03671">
        <w:rPr>
          <w:rFonts w:cs="Arial"/>
        </w:rPr>
        <w:t xml:space="preserve"> </w:t>
      </w:r>
      <w:r w:rsidR="00C03671" w:rsidRPr="0071727B">
        <w:rPr>
          <w:rFonts w:cs="Arial"/>
          <w:b/>
        </w:rPr>
        <w:t>l’</w:t>
      </w:r>
      <w:r w:rsidR="00C03671">
        <w:rPr>
          <w:rFonts w:cs="Arial"/>
          <w:b/>
        </w:rPr>
        <w:t>exposition temporaire « </w:t>
      </w:r>
      <w:r w:rsidR="00B61E77" w:rsidRPr="00B61E77">
        <w:rPr>
          <w:b/>
          <w:i/>
        </w:rPr>
        <w:t>Mayotte, à la rencontre des mondes</w:t>
      </w:r>
      <w:r w:rsidR="00B61E77" w:rsidRPr="001C0066">
        <w:rPr>
          <w:rFonts w:cs="Arial"/>
          <w:b/>
        </w:rPr>
        <w:t xml:space="preserve"> »</w:t>
      </w:r>
      <w:r w:rsidR="00716C30">
        <w:rPr>
          <w:rFonts w:cs="Arial"/>
          <w:b/>
        </w:rPr>
        <w:t xml:space="preserve">. </w:t>
      </w:r>
      <w:r w:rsidR="00C03671">
        <w:t xml:space="preserve">Les Prestations comprennent </w:t>
      </w:r>
      <w:r w:rsidR="0071727B">
        <w:t xml:space="preserve">notamment </w:t>
      </w:r>
      <w:r w:rsidR="00C03671">
        <w:t xml:space="preserve">les </w:t>
      </w:r>
      <w:r w:rsidR="0071727B">
        <w:t>opérations</w:t>
      </w:r>
      <w:r w:rsidR="00C03671">
        <w:t xml:space="preserve"> </w:t>
      </w:r>
      <w:r w:rsidR="008F7047">
        <w:t>suivantes</w:t>
      </w:r>
      <w:r w:rsidR="00C03671">
        <w:t> :</w:t>
      </w:r>
    </w:p>
    <w:p w14:paraId="488E0614" w14:textId="5B2FFF59" w:rsidR="00C03671" w:rsidRPr="00CA6394" w:rsidRDefault="00C03671" w:rsidP="00C665D1">
      <w:pPr>
        <w:pStyle w:val="Listepuces"/>
        <w:rPr>
          <w:b/>
        </w:rPr>
      </w:pPr>
      <w:r w:rsidRPr="00CA6394">
        <w:rPr>
          <w:b/>
        </w:rPr>
        <w:t>EMBALLAGE :</w:t>
      </w:r>
    </w:p>
    <w:p w14:paraId="0B8BFB32" w14:textId="21835B52" w:rsidR="00C03671" w:rsidRDefault="00C03671" w:rsidP="00DD4906">
      <w:pPr>
        <w:pStyle w:val="Listepuces2"/>
      </w:pPr>
      <w:r>
        <w:t>Emballage des œuvres et des objets à l’adresse indiquée par les prêteurs,</w:t>
      </w:r>
    </w:p>
    <w:p w14:paraId="14305D0C" w14:textId="09524C67" w:rsidR="00C03671" w:rsidRPr="00CA6394" w:rsidRDefault="00C03671" w:rsidP="00C665D1">
      <w:pPr>
        <w:pStyle w:val="Listepuces"/>
        <w:rPr>
          <w:b/>
        </w:rPr>
      </w:pPr>
      <w:r w:rsidRPr="00CA6394">
        <w:rPr>
          <w:b/>
        </w:rPr>
        <w:t>TRANSPORT/MANUTENTION ALLER :</w:t>
      </w:r>
    </w:p>
    <w:p w14:paraId="1E6E4B76" w14:textId="0F93A971" w:rsidR="00C03671" w:rsidRDefault="00C03671" w:rsidP="00DD4906">
      <w:pPr>
        <w:pStyle w:val="Listepuces2"/>
      </w:pPr>
      <w:r>
        <w:t xml:space="preserve">Transport des œuvres et des objets, de l’adresse indiquée par les prêteurs, jusqu’aux espaces d’exposition du </w:t>
      </w:r>
      <w:r w:rsidR="00DE10FD">
        <w:t>FSJ, Salle GHR</w:t>
      </w:r>
    </w:p>
    <w:p w14:paraId="1D997814" w14:textId="13F06024" w:rsidR="003655B5" w:rsidRDefault="003655B5" w:rsidP="003655B5">
      <w:pPr>
        <w:pStyle w:val="Listepuces"/>
        <w:rPr>
          <w:b/>
        </w:rPr>
      </w:pPr>
      <w:r w:rsidRPr="003655B5">
        <w:rPr>
          <w:b/>
        </w:rPr>
        <w:t>TRAITEMENT</w:t>
      </w:r>
    </w:p>
    <w:p w14:paraId="07A501A0" w14:textId="1972795E" w:rsidR="003655B5" w:rsidRPr="003655B5" w:rsidRDefault="003655B5" w:rsidP="003655B5">
      <w:pPr>
        <w:pStyle w:val="Listepuces2"/>
      </w:pPr>
      <w:r>
        <w:t xml:space="preserve">Traitement </w:t>
      </w:r>
      <w:r w:rsidR="001E24B1">
        <w:t>des œuvres en provenance de Mayotte (anoxie ou congélation).</w:t>
      </w:r>
    </w:p>
    <w:p w14:paraId="0851A6E4" w14:textId="358F483D" w:rsidR="00C03671" w:rsidRPr="00CA6394" w:rsidRDefault="00C03671" w:rsidP="00C665D1">
      <w:pPr>
        <w:pStyle w:val="Listepuces"/>
        <w:rPr>
          <w:b/>
        </w:rPr>
      </w:pPr>
      <w:r w:rsidRPr="00CA6394">
        <w:rPr>
          <w:b/>
        </w:rPr>
        <w:t>INSTALLATION/ACCROCHAGE ALLER :</w:t>
      </w:r>
    </w:p>
    <w:p w14:paraId="3F7C3512" w14:textId="77777777" w:rsidR="00C03671" w:rsidRDefault="00C03671" w:rsidP="00DD4906">
      <w:pPr>
        <w:pStyle w:val="Listepuces2"/>
      </w:pPr>
      <w:r>
        <w:t>D</w:t>
      </w:r>
      <w:r w:rsidRPr="004D4D0C">
        <w:t>éballage des œuvres et des objets</w:t>
      </w:r>
      <w:r>
        <w:t>,</w:t>
      </w:r>
    </w:p>
    <w:p w14:paraId="1B0CCEE1" w14:textId="667818FE" w:rsidR="00C03671" w:rsidRPr="004D4D0C" w:rsidRDefault="00C03671" w:rsidP="00DD4906">
      <w:pPr>
        <w:pStyle w:val="Listepuces2"/>
      </w:pPr>
      <w:r>
        <w:t>A</w:t>
      </w:r>
      <w:r w:rsidRPr="004D4D0C">
        <w:t>ccrochage/</w:t>
      </w:r>
      <w:r>
        <w:t>i</w:t>
      </w:r>
      <w:r w:rsidRPr="004D4D0C">
        <w:t xml:space="preserve">nstallation des œuvres et des objets </w:t>
      </w:r>
      <w:r>
        <w:t xml:space="preserve">dans les espaces d’exposition au </w:t>
      </w:r>
      <w:r w:rsidR="00DE10FD">
        <w:t>du FSJ, Salle GHR</w:t>
      </w:r>
      <w:r>
        <w:t>,</w:t>
      </w:r>
    </w:p>
    <w:p w14:paraId="55695153" w14:textId="77777777" w:rsidR="00C03671" w:rsidRDefault="00C03671" w:rsidP="00DD4906">
      <w:pPr>
        <w:pStyle w:val="Listepuces2"/>
      </w:pPr>
      <w:r>
        <w:t>E</w:t>
      </w:r>
      <w:r w:rsidRPr="004D4D0C">
        <w:t>nlèvement des caisses/emballages vides</w:t>
      </w:r>
      <w:r>
        <w:t>,</w:t>
      </w:r>
    </w:p>
    <w:p w14:paraId="72CA4A8C" w14:textId="19053F5A" w:rsidR="00C03671" w:rsidRPr="00CA6394" w:rsidRDefault="00C03671" w:rsidP="00C665D1">
      <w:pPr>
        <w:pStyle w:val="Listepuces"/>
        <w:rPr>
          <w:b/>
        </w:rPr>
      </w:pPr>
      <w:r w:rsidRPr="00CA6394">
        <w:rPr>
          <w:b/>
        </w:rPr>
        <w:t>STOCKAGE :</w:t>
      </w:r>
    </w:p>
    <w:p w14:paraId="3F745C56" w14:textId="1DE9E529" w:rsidR="00E00E35" w:rsidRDefault="00E00E35" w:rsidP="00DD4906">
      <w:pPr>
        <w:pStyle w:val="Listepuces2"/>
      </w:pPr>
      <w:r>
        <w:t>Stockage temporaire des caisses pleines des objets non restaurés à l’arrivée des œuvres avant leur exposition</w:t>
      </w:r>
    </w:p>
    <w:p w14:paraId="559AD545" w14:textId="31E1D34F" w:rsidR="00C03671" w:rsidRDefault="00C03671" w:rsidP="00DD4906">
      <w:pPr>
        <w:pStyle w:val="Listepuces2"/>
      </w:pPr>
      <w:r w:rsidRPr="00BF1093">
        <w:t>Stockage des caisses/emballages vides pendant la durée de l’exposition</w:t>
      </w:r>
    </w:p>
    <w:p w14:paraId="09D58612" w14:textId="57A6D8B3" w:rsidR="00E00E35" w:rsidRDefault="00E00E35" w:rsidP="00DD4906">
      <w:pPr>
        <w:pStyle w:val="Listepuces2"/>
      </w:pPr>
      <w:r>
        <w:lastRenderedPageBreak/>
        <w:t>Stockage des caisses pleines des objets restaurés mais non exposés pendant la durée de l’exposition</w:t>
      </w:r>
    </w:p>
    <w:p w14:paraId="36D424CB" w14:textId="0F2FBCAD" w:rsidR="001E24B1" w:rsidRPr="00BF1093" w:rsidRDefault="001E24B1" w:rsidP="00DD4906">
      <w:pPr>
        <w:pStyle w:val="Listepuces2"/>
      </w:pPr>
      <w:r>
        <w:t>Stockage des 2 œuvres grands formats à restaurer : Cachalot et voile de boutre =&gt; mis à disposition d’un espace, idéalement à Marseille, pour que les restauratrices puissent intervenir sur les œuvres.</w:t>
      </w:r>
    </w:p>
    <w:p w14:paraId="53F8C9AD" w14:textId="0B098531" w:rsidR="00C03671" w:rsidRPr="00CA6394" w:rsidRDefault="00C03671" w:rsidP="00C665D1">
      <w:pPr>
        <w:pStyle w:val="Listepuces"/>
        <w:rPr>
          <w:b/>
        </w:rPr>
      </w:pPr>
      <w:r w:rsidRPr="00CA6394">
        <w:rPr>
          <w:b/>
        </w:rPr>
        <w:t>TRANSPORT/MANUTENTION RETOUR :</w:t>
      </w:r>
    </w:p>
    <w:p w14:paraId="0A5DE1B8" w14:textId="3C5D0A2B" w:rsidR="00C03671" w:rsidRDefault="00C03671" w:rsidP="00DD4906">
      <w:pPr>
        <w:pStyle w:val="Listepuces2"/>
      </w:pPr>
      <w:r>
        <w:t>Livraison des caisses vides</w:t>
      </w:r>
      <w:r w:rsidRPr="00666D7F">
        <w:t xml:space="preserve"> </w:t>
      </w:r>
      <w:r w:rsidRPr="00226EE4">
        <w:t>et/ou de</w:t>
      </w:r>
      <w:r>
        <w:t>s emballages de</w:t>
      </w:r>
      <w:r w:rsidRPr="00226EE4">
        <w:t xml:space="preserve"> protection des œuvres</w:t>
      </w:r>
      <w:r>
        <w:t xml:space="preserve"> et des objets </w:t>
      </w:r>
      <w:r w:rsidR="00DE10FD">
        <w:t>au FSJ, Salle GHR</w:t>
      </w:r>
    </w:p>
    <w:p w14:paraId="63B21DF7" w14:textId="77777777" w:rsidR="00C03671" w:rsidRDefault="00C03671" w:rsidP="00DD4906">
      <w:pPr>
        <w:pStyle w:val="Listepuces2"/>
      </w:pPr>
      <w:r>
        <w:t>Décrochage et remballage des œuvres ;</w:t>
      </w:r>
    </w:p>
    <w:p w14:paraId="5A3BF0B4" w14:textId="43346FB6" w:rsidR="00C03671" w:rsidRDefault="00C03671" w:rsidP="00DD4906">
      <w:pPr>
        <w:pStyle w:val="Listepuces2"/>
      </w:pPr>
      <w:r>
        <w:t xml:space="preserve">Transport retour, </w:t>
      </w:r>
      <w:r w:rsidRPr="00D97AE5">
        <w:t xml:space="preserve">livraison </w:t>
      </w:r>
      <w:r>
        <w:t>et</w:t>
      </w:r>
      <w:r w:rsidRPr="00D97AE5">
        <w:t xml:space="preserve"> déballage des œuvres à l’adresse indiquée par les prêteurs</w:t>
      </w:r>
      <w:r>
        <w:t xml:space="preserve"> et le</w:t>
      </w:r>
      <w:r w:rsidRPr="00D97AE5">
        <w:t xml:space="preserve"> cas échéant</w:t>
      </w:r>
      <w:r>
        <w:t>,</w:t>
      </w:r>
      <w:r w:rsidRPr="00D97AE5">
        <w:t xml:space="preserve"> la reprise des caisses vides</w:t>
      </w:r>
    </w:p>
    <w:p w14:paraId="2FF753D4" w14:textId="747A445E" w:rsidR="00AF77A5" w:rsidRPr="00A046A7" w:rsidRDefault="00251026" w:rsidP="00AF77A5">
      <w:pPr>
        <w:pStyle w:val="Titre1"/>
      </w:pPr>
      <w:bookmarkStart w:id="23" w:name="_Ref335896546"/>
      <w:bookmarkStart w:id="24" w:name="_Ref335896556"/>
      <w:bookmarkStart w:id="25" w:name="_Toc215675468"/>
      <w:r w:rsidRPr="00866023">
        <w:rPr>
          <w:color w:val="FF0000"/>
          <w:sz w:val="40"/>
          <w:szCs w:val="24"/>
          <w:highlight w:val="lightGray"/>
        </w:rPr>
        <w:sym w:font="Wingdings" w:char="F046"/>
      </w:r>
      <w:r w:rsidR="00AF77A5" w:rsidRPr="00A046A7">
        <w:t xml:space="preserve">Pièces </w:t>
      </w:r>
      <w:bookmarkEnd w:id="12"/>
      <w:bookmarkEnd w:id="13"/>
      <w:bookmarkEnd w:id="14"/>
      <w:bookmarkEnd w:id="15"/>
      <w:bookmarkEnd w:id="16"/>
      <w:bookmarkEnd w:id="17"/>
      <w:r w:rsidR="00A046A7">
        <w:t>contractuelles</w:t>
      </w:r>
      <w:bookmarkEnd w:id="23"/>
      <w:bookmarkEnd w:id="24"/>
      <w:bookmarkEnd w:id="25"/>
    </w:p>
    <w:p w14:paraId="2E166E43" w14:textId="77777777" w:rsidR="00716C30" w:rsidRDefault="00716C30" w:rsidP="00716C30">
      <w:r>
        <w:t xml:space="preserve">Le Marché Subséquent est composé des pièces suivantes qui prévalent </w:t>
      </w:r>
      <w:r w:rsidRPr="00226EE4">
        <w:rPr>
          <w:rFonts w:cs="Arial"/>
        </w:rPr>
        <w:t>par ordre de priorité décroissante </w:t>
      </w:r>
      <w:r>
        <w:t>:</w:t>
      </w:r>
    </w:p>
    <w:p w14:paraId="2D90DAEE" w14:textId="77777777" w:rsidR="00716C30" w:rsidRDefault="00716C30" w:rsidP="00276AB5">
      <w:pPr>
        <w:pStyle w:val="Listepuces"/>
      </w:pPr>
      <w:r>
        <w:t xml:space="preserve">Le </w:t>
      </w:r>
      <w:r w:rsidRPr="00800880">
        <w:rPr>
          <w:b/>
        </w:rPr>
        <w:t>présent CCP</w:t>
      </w:r>
      <w:r>
        <w:t xml:space="preserve"> valant acte d’engagement et ses annexes :</w:t>
      </w:r>
    </w:p>
    <w:p w14:paraId="292BA717" w14:textId="6B7FEC37" w:rsidR="00716C30" w:rsidRDefault="00716C30" w:rsidP="00716C30">
      <w:pPr>
        <w:pStyle w:val="Listepuces2"/>
        <w:spacing w:before="0"/>
        <w:ind w:left="1985"/>
        <w:jc w:val="left"/>
      </w:pPr>
      <w:r>
        <w:t xml:space="preserve">Annexe 1 : annexe </w:t>
      </w:r>
      <w:r w:rsidRPr="0071727B">
        <w:t>financière : DPGF</w:t>
      </w:r>
    </w:p>
    <w:p w14:paraId="01C186EA" w14:textId="0E030897" w:rsidR="000A311F" w:rsidRPr="00735702" w:rsidRDefault="00BF34E5" w:rsidP="00B24918">
      <w:pPr>
        <w:pStyle w:val="Listepuces2"/>
        <w:spacing w:before="0"/>
        <w:ind w:left="1985"/>
        <w:jc w:val="left"/>
      </w:pPr>
      <w:r>
        <w:t>Annexe 2</w:t>
      </w:r>
      <w:r w:rsidR="000A311F" w:rsidRPr="00735702">
        <w:t>.1</w:t>
      </w:r>
      <w:r w:rsidRPr="00735702">
        <w:t xml:space="preserve"> : </w:t>
      </w:r>
      <w:r w:rsidR="00C82037" w:rsidRPr="00735702">
        <w:t>L</w:t>
      </w:r>
      <w:r w:rsidRPr="00735702">
        <w:t>iste d’œuvres</w:t>
      </w:r>
      <w:r w:rsidR="006210D6" w:rsidRPr="00735702">
        <w:t xml:space="preserve"> à exposer</w:t>
      </w:r>
    </w:p>
    <w:p w14:paraId="646457C8" w14:textId="0D98A3D6" w:rsidR="000A311F" w:rsidRPr="00735702" w:rsidRDefault="000A311F" w:rsidP="00B24918">
      <w:pPr>
        <w:pStyle w:val="Listepuces2"/>
        <w:spacing w:before="0"/>
        <w:ind w:left="1985"/>
        <w:jc w:val="left"/>
      </w:pPr>
      <w:r w:rsidRPr="00735702">
        <w:t>Annexe 2.2</w:t>
      </w:r>
      <w:r w:rsidR="000E6A79" w:rsidRPr="00735702">
        <w:t>.1</w:t>
      </w:r>
      <w:r w:rsidRPr="00735702">
        <w:t> : Colisage détaillé du cachalot</w:t>
      </w:r>
      <w:r w:rsidR="000E6A79" w:rsidRPr="00735702">
        <w:t xml:space="preserve"> : </w:t>
      </w:r>
      <w:r w:rsidRPr="00735702">
        <w:t>(</w:t>
      </w:r>
      <w:r w:rsidR="000E6A79" w:rsidRPr="00735702">
        <w:t xml:space="preserve">liste </w:t>
      </w:r>
      <w:proofErr w:type="spellStart"/>
      <w:r w:rsidR="000E6A79" w:rsidRPr="00735702">
        <w:t>excel</w:t>
      </w:r>
      <w:proofErr w:type="spellEnd"/>
      <w:r w:rsidR="000E6A79" w:rsidRPr="00735702">
        <w:t xml:space="preserve"> et dossiers photographies)</w:t>
      </w:r>
    </w:p>
    <w:p w14:paraId="33D1F9BF" w14:textId="771F2BBC" w:rsidR="000E6A79" w:rsidRPr="00735702" w:rsidRDefault="000E6A79" w:rsidP="00B24918">
      <w:pPr>
        <w:pStyle w:val="Listepuces2"/>
        <w:spacing w:before="0"/>
        <w:ind w:left="1985"/>
        <w:jc w:val="left"/>
      </w:pPr>
      <w:r w:rsidRPr="00735702">
        <w:t xml:space="preserve">Annexe 2.2.2 : Colisage détaillé du </w:t>
      </w:r>
      <w:proofErr w:type="spellStart"/>
      <w:r w:rsidR="00EF7845" w:rsidRPr="00735702">
        <w:t>socle_du_</w:t>
      </w:r>
      <w:r w:rsidRPr="00735702">
        <w:t>cachalot</w:t>
      </w:r>
      <w:proofErr w:type="spellEnd"/>
      <w:r w:rsidRPr="00735702">
        <w:t xml:space="preserve">  </w:t>
      </w:r>
    </w:p>
    <w:p w14:paraId="561E633E" w14:textId="1510DFF9" w:rsidR="00407C3E" w:rsidRPr="00735702" w:rsidRDefault="00BF34E5" w:rsidP="00B24918">
      <w:pPr>
        <w:pStyle w:val="Listepuces2"/>
        <w:spacing w:before="0"/>
        <w:ind w:left="1985"/>
        <w:jc w:val="left"/>
      </w:pPr>
      <w:bookmarkStart w:id="26" w:name="_GoBack"/>
      <w:bookmarkEnd w:id="26"/>
      <w:r w:rsidRPr="00735702">
        <w:t xml:space="preserve"> </w:t>
      </w:r>
      <w:r w:rsidR="000E6A79" w:rsidRPr="00735702">
        <w:t>Annexe</w:t>
      </w:r>
      <w:r w:rsidR="00EF7845" w:rsidRPr="00735702">
        <w:t xml:space="preserve"> </w:t>
      </w:r>
      <w:r w:rsidR="000E6A79" w:rsidRPr="00735702">
        <w:t>2.3</w:t>
      </w:r>
      <w:r w:rsidR="00B4453D" w:rsidRPr="00735702">
        <w:t> :</w:t>
      </w:r>
      <w:r w:rsidR="000E6A79" w:rsidRPr="00735702">
        <w:t xml:space="preserve"> </w:t>
      </w:r>
      <w:r w:rsidR="00C82037" w:rsidRPr="00735702">
        <w:t>C</w:t>
      </w:r>
      <w:r w:rsidR="000557AD" w:rsidRPr="00735702">
        <w:t xml:space="preserve">ontraintes d’accès pour certaines œuvres du </w:t>
      </w:r>
      <w:proofErr w:type="spellStart"/>
      <w:r w:rsidR="000557AD" w:rsidRPr="00735702">
        <w:t>Muma</w:t>
      </w:r>
      <w:proofErr w:type="spellEnd"/>
    </w:p>
    <w:p w14:paraId="60F7EE75" w14:textId="0337764A" w:rsidR="00EF7845" w:rsidRDefault="00EF7845" w:rsidP="00B24918">
      <w:pPr>
        <w:pStyle w:val="Listepuces2"/>
        <w:spacing w:before="0"/>
        <w:ind w:left="1985"/>
        <w:jc w:val="left"/>
      </w:pPr>
      <w:r>
        <w:t xml:space="preserve">Annexe 2.4 Plan </w:t>
      </w:r>
      <w:proofErr w:type="spellStart"/>
      <w:r>
        <w:t>Muma</w:t>
      </w:r>
      <w:proofErr w:type="spellEnd"/>
    </w:p>
    <w:p w14:paraId="23EA9913" w14:textId="6D457CCE" w:rsidR="00EB1F47" w:rsidRDefault="00DE6050" w:rsidP="003655B5">
      <w:pPr>
        <w:pStyle w:val="Listepuces2"/>
        <w:spacing w:before="0"/>
        <w:ind w:left="1985"/>
        <w:jc w:val="left"/>
      </w:pPr>
      <w:r>
        <w:t xml:space="preserve">Annexe 2.5 </w:t>
      </w:r>
      <w:r w:rsidR="00C82037">
        <w:t>L</w:t>
      </w:r>
      <w:r>
        <w:t xml:space="preserve">iste </w:t>
      </w:r>
      <w:r w:rsidR="006210D6">
        <w:t>d’œuvres</w:t>
      </w:r>
      <w:r>
        <w:t xml:space="preserve"> à transport</w:t>
      </w:r>
      <w:r w:rsidR="006210D6">
        <w:t>er</w:t>
      </w:r>
      <w:r>
        <w:t xml:space="preserve"> </w:t>
      </w:r>
      <w:r w:rsidR="006210D6">
        <w:t xml:space="preserve">pour restauration </w:t>
      </w:r>
    </w:p>
    <w:p w14:paraId="60F8A00F" w14:textId="62AD0D78" w:rsidR="00BF34E5" w:rsidRPr="00F76ADF" w:rsidRDefault="00BF34E5" w:rsidP="003655B5">
      <w:pPr>
        <w:pStyle w:val="Listepuces2"/>
        <w:spacing w:before="0"/>
        <w:ind w:left="1985"/>
        <w:jc w:val="left"/>
      </w:pPr>
      <w:r>
        <w:t>Annexe 3</w:t>
      </w:r>
      <w:r w:rsidRPr="008F1CF2">
        <w:t xml:space="preserve"> : demande d’acceptation de sous-traitance (DC4) – </w:t>
      </w:r>
      <w:r w:rsidRPr="00EB1F47">
        <w:rPr>
          <w:i/>
        </w:rPr>
        <w:t>si cette demande est effectuée par le Titulaire avant notification du Marché Subséquent</w:t>
      </w:r>
      <w:r w:rsidR="000C706D" w:rsidRPr="00EB1F47">
        <w:rPr>
          <w:i/>
        </w:rPr>
        <w:t xml:space="preserve"> (voir le modèle de DC4 en annexe de l’accord-cadre)</w:t>
      </w:r>
    </w:p>
    <w:p w14:paraId="20F343C9" w14:textId="089126DE" w:rsidR="00716C30" w:rsidRDefault="00716C30" w:rsidP="00992C44">
      <w:pPr>
        <w:pStyle w:val="Listepuces"/>
        <w:spacing w:line="276" w:lineRule="auto"/>
      </w:pPr>
      <w:r w:rsidRPr="00866023">
        <w:rPr>
          <w:color w:val="FF0000"/>
          <w:sz w:val="40"/>
          <w:szCs w:val="24"/>
          <w:highlight w:val="lightGray"/>
        </w:rPr>
        <w:sym w:font="Wingdings" w:char="F046"/>
      </w:r>
      <w:r>
        <w:t xml:space="preserve">Le </w:t>
      </w:r>
      <w:r w:rsidRPr="00800880">
        <w:rPr>
          <w:b/>
        </w:rPr>
        <w:t>mémoire technique</w:t>
      </w:r>
      <w:r>
        <w:t xml:space="preserve"> chiffré du Titulaire dans sa version du </w:t>
      </w:r>
      <w:r w:rsidR="008D034F" w:rsidRPr="00866023">
        <w:rPr>
          <w:highlight w:val="lightGray"/>
        </w:rPr>
        <w:t>__/__/20</w:t>
      </w:r>
      <w:r w:rsidR="004D0C8D" w:rsidRPr="00866023">
        <w:rPr>
          <w:highlight w:val="lightGray"/>
        </w:rPr>
        <w:t>2</w:t>
      </w:r>
      <w:r w:rsidR="00866023" w:rsidRPr="00866023">
        <w:rPr>
          <w:highlight w:val="lightGray"/>
        </w:rPr>
        <w:t>x</w:t>
      </w:r>
    </w:p>
    <w:p w14:paraId="2F7C4299" w14:textId="41B8626C" w:rsidR="00716C30" w:rsidRDefault="00992C44" w:rsidP="00992C44">
      <w:pPr>
        <w:spacing w:line="276" w:lineRule="auto"/>
        <w:ind w:left="143" w:firstLine="708"/>
      </w:pPr>
      <w:r>
        <w:t>C</w:t>
      </w:r>
      <w:r w:rsidR="00716C30">
        <w:t xml:space="preserve">e mémoire comporte un </w:t>
      </w:r>
      <w:r w:rsidR="00716C30" w:rsidRPr="00800880">
        <w:rPr>
          <w:u w:val="single"/>
        </w:rPr>
        <w:t>chiffrage détaillé</w:t>
      </w:r>
      <w:r w:rsidR="00716C30">
        <w:t xml:space="preserve"> des Prestations suivant les prescriptions du </w:t>
      </w:r>
      <w:proofErr w:type="spellStart"/>
      <w:r w:rsidR="008D034F">
        <w:t>Mucem</w:t>
      </w:r>
      <w:proofErr w:type="spellEnd"/>
      <w:r w:rsidR="00276AB5">
        <w:t>.</w:t>
      </w:r>
    </w:p>
    <w:p w14:paraId="23E4602A" w14:textId="32EB313D" w:rsidR="0097150C" w:rsidRPr="00547B0E" w:rsidRDefault="00716C30" w:rsidP="00276AB5">
      <w:pPr>
        <w:pStyle w:val="Listepuces"/>
      </w:pPr>
      <w:r>
        <w:t>L’éventuelle demande d’acceptation de sous-traitance (en cas de demande postérieure à la notification du Marché Subséquent).</w:t>
      </w:r>
    </w:p>
    <w:p w14:paraId="0B49EFBF" w14:textId="140AAB8C" w:rsidR="006629B9" w:rsidRDefault="000817ED" w:rsidP="00AA1285">
      <w:pPr>
        <w:pStyle w:val="Titre1"/>
      </w:pPr>
      <w:bookmarkStart w:id="27" w:name="_Toc215675469"/>
      <w:r w:rsidRPr="006379E6">
        <w:t>Durée</w:t>
      </w:r>
      <w:r w:rsidR="00A15D98" w:rsidRPr="006379E6">
        <w:t xml:space="preserve"> </w:t>
      </w:r>
      <w:bookmarkEnd w:id="18"/>
      <w:bookmarkEnd w:id="19"/>
      <w:bookmarkEnd w:id="20"/>
      <w:bookmarkEnd w:id="21"/>
      <w:bookmarkEnd w:id="22"/>
      <w:r w:rsidR="00B04DF1" w:rsidRPr="006379E6">
        <w:t xml:space="preserve">du Marché </w:t>
      </w:r>
      <w:r w:rsidR="0028167E">
        <w:t xml:space="preserve">Subséquent </w:t>
      </w:r>
      <w:r w:rsidR="00783E8A" w:rsidRPr="006379E6">
        <w:t>– délais d’exécution</w:t>
      </w:r>
      <w:r w:rsidR="00F42DA2" w:rsidRPr="006379E6">
        <w:t xml:space="preserve"> </w:t>
      </w:r>
      <w:r w:rsidR="006379E6" w:rsidRPr="006379E6">
        <w:t>des Prestations</w:t>
      </w:r>
      <w:bookmarkEnd w:id="27"/>
    </w:p>
    <w:p w14:paraId="2E7F269D" w14:textId="7863E815" w:rsidR="00DE2F0C" w:rsidRDefault="00DE2F0C" w:rsidP="009C475A">
      <w:pPr>
        <w:pStyle w:val="Titre2"/>
      </w:pPr>
      <w:bookmarkStart w:id="28" w:name="_Toc215675470"/>
      <w:bookmarkStart w:id="29" w:name="_Toc300767441"/>
      <w:bookmarkStart w:id="30" w:name="_Ref329613463"/>
      <w:bookmarkStart w:id="31" w:name="_Toc293853475"/>
      <w:bookmarkStart w:id="32" w:name="_Toc295160936"/>
      <w:bookmarkStart w:id="33" w:name="_Toc295312894"/>
      <w:r>
        <w:t>Durée, prise d’effet du Marché</w:t>
      </w:r>
      <w:r w:rsidR="0028167E">
        <w:t xml:space="preserve"> Subséquent</w:t>
      </w:r>
      <w:bookmarkEnd w:id="28"/>
    </w:p>
    <w:p w14:paraId="7DE36E14" w14:textId="159CAA34" w:rsidR="006379E6" w:rsidRPr="001C0066" w:rsidRDefault="006379E6" w:rsidP="006379E6">
      <w:r>
        <w:t>Le M</w:t>
      </w:r>
      <w:r w:rsidR="00254443">
        <w:t>arché</w:t>
      </w:r>
      <w:r>
        <w:t xml:space="preserve"> </w:t>
      </w:r>
      <w:r w:rsidR="0071727B">
        <w:t>Subséquent</w:t>
      </w:r>
      <w:r w:rsidR="0071727B" w:rsidRPr="008A28E0">
        <w:t xml:space="preserve"> </w:t>
      </w:r>
      <w:r w:rsidRPr="008A28E0">
        <w:t xml:space="preserve">prend effet </w:t>
      </w:r>
      <w:r w:rsidRPr="00866396">
        <w:rPr>
          <w:b/>
        </w:rPr>
        <w:t>à compter de sa date de notification</w:t>
      </w:r>
      <w:r>
        <w:t xml:space="preserve"> </w:t>
      </w:r>
      <w:r w:rsidRPr="00C433EF">
        <w:rPr>
          <w:b/>
        </w:rPr>
        <w:t>jusqu’à la réception définitive des Prestations</w:t>
      </w:r>
      <w:r w:rsidR="00407C3E">
        <w:rPr>
          <w:b/>
        </w:rPr>
        <w:t xml:space="preserve"> </w:t>
      </w:r>
      <w:r w:rsidR="00407C3E" w:rsidRPr="00C433EF">
        <w:rPr>
          <w:b/>
        </w:rPr>
        <w:t xml:space="preserve">par le </w:t>
      </w:r>
      <w:proofErr w:type="spellStart"/>
      <w:r w:rsidR="00407C3E">
        <w:rPr>
          <w:b/>
        </w:rPr>
        <w:t>Mucem</w:t>
      </w:r>
      <w:proofErr w:type="spellEnd"/>
      <w:r w:rsidR="00C81E31">
        <w:rPr>
          <w:b/>
        </w:rPr>
        <w:t>.</w:t>
      </w:r>
    </w:p>
    <w:p w14:paraId="78420C9B" w14:textId="6CBA5A90" w:rsidR="00442AD4" w:rsidRDefault="006379E6" w:rsidP="009C475A">
      <w:pPr>
        <w:pStyle w:val="Titre2"/>
      </w:pPr>
      <w:bookmarkStart w:id="34" w:name="_Toc215675471"/>
      <w:r>
        <w:t>Périodes d’intervention</w:t>
      </w:r>
      <w:r w:rsidR="00C665D1">
        <w:t xml:space="preserve"> – planification des arrivées </w:t>
      </w:r>
      <w:r w:rsidR="00C433EF">
        <w:t xml:space="preserve">et retour </w:t>
      </w:r>
      <w:r w:rsidR="00C665D1">
        <w:t>des œuvres et des objets</w:t>
      </w:r>
      <w:bookmarkEnd w:id="34"/>
    </w:p>
    <w:p w14:paraId="395D4C21" w14:textId="77777777" w:rsidR="00BF69E1" w:rsidRDefault="003B6DDF" w:rsidP="00992C44">
      <w:pPr>
        <w:spacing w:before="100" w:beforeAutospacing="1" w:after="0" w:line="360" w:lineRule="auto"/>
        <w:rPr>
          <w:rFonts w:cs="Arial"/>
        </w:rPr>
      </w:pPr>
      <w:r w:rsidRPr="002B7A86">
        <w:rPr>
          <w:rFonts w:cs="Arial"/>
        </w:rPr>
        <w:t xml:space="preserve">Le planning détaillé d’organisation des Prestations figure dans le mémoire du Titulaire. </w:t>
      </w:r>
    </w:p>
    <w:p w14:paraId="6170F242" w14:textId="2E70D3ED" w:rsidR="00C82037" w:rsidRPr="001A5DF7" w:rsidRDefault="00C82037" w:rsidP="00C82037">
      <w:pPr>
        <w:spacing w:before="100" w:beforeAutospacing="1" w:after="0" w:line="360" w:lineRule="auto"/>
        <w:rPr>
          <w:rFonts w:cs="Arial"/>
          <w:i/>
        </w:rPr>
      </w:pPr>
      <w:r w:rsidRPr="001A5DF7">
        <w:rPr>
          <w:rFonts w:cs="Arial"/>
          <w:b/>
        </w:rPr>
        <w:t>Un traitement généralisé</w:t>
      </w:r>
      <w:r w:rsidRPr="00C82037">
        <w:rPr>
          <w:rFonts w:cs="Arial"/>
        </w:rPr>
        <w:t xml:space="preserve"> des œuvres </w:t>
      </w:r>
      <w:r>
        <w:rPr>
          <w:rFonts w:cs="Arial"/>
        </w:rPr>
        <w:t xml:space="preserve">en provenance de Mayotte </w:t>
      </w:r>
      <w:r w:rsidRPr="00C82037">
        <w:rPr>
          <w:rFonts w:cs="Arial"/>
        </w:rPr>
        <w:t>à leur arrivée en métropole</w:t>
      </w:r>
      <w:r w:rsidRPr="00C82037">
        <w:rPr>
          <w:rFonts w:cs="Arial"/>
          <w:b/>
        </w:rPr>
        <w:t xml:space="preserve"> en juin 2026</w:t>
      </w:r>
      <w:r w:rsidRPr="00C82037">
        <w:rPr>
          <w:rFonts w:cs="Arial"/>
        </w:rPr>
        <w:t xml:space="preserve">, </w:t>
      </w:r>
      <w:r>
        <w:rPr>
          <w:rFonts w:cs="Arial"/>
        </w:rPr>
        <w:t xml:space="preserve">devra être réaliser </w:t>
      </w:r>
      <w:r w:rsidRPr="00C82037">
        <w:rPr>
          <w:rFonts w:cs="Arial"/>
        </w:rPr>
        <w:t xml:space="preserve">afin de garantir leur conservation optimale. </w:t>
      </w:r>
      <w:r w:rsidRPr="001A5DF7">
        <w:rPr>
          <w:rFonts w:cs="Arial"/>
          <w:i/>
        </w:rPr>
        <w:t>Congélation ou Anoxie.</w:t>
      </w:r>
    </w:p>
    <w:p w14:paraId="30D7C795" w14:textId="0E28EF02" w:rsidR="00BF69E1" w:rsidRPr="00FD770C" w:rsidRDefault="00BF69E1" w:rsidP="00992C44">
      <w:pPr>
        <w:spacing w:before="100" w:beforeAutospacing="1" w:after="0" w:line="360" w:lineRule="auto"/>
        <w:rPr>
          <w:rFonts w:cs="Arial"/>
        </w:rPr>
      </w:pPr>
      <w:r w:rsidRPr="00FD770C">
        <w:rPr>
          <w:rFonts w:cs="Arial"/>
        </w:rPr>
        <w:t xml:space="preserve">Le choix de réaliser </w:t>
      </w:r>
      <w:r w:rsidRPr="001A5DF7">
        <w:rPr>
          <w:rFonts w:cs="Arial"/>
          <w:b/>
        </w:rPr>
        <w:t>les restaurations de</w:t>
      </w:r>
      <w:r w:rsidR="00B4453D" w:rsidRPr="001A5DF7">
        <w:rPr>
          <w:rFonts w:cs="Arial"/>
          <w:b/>
        </w:rPr>
        <w:t xml:space="preserve"> </w:t>
      </w:r>
      <w:r w:rsidR="00C82037" w:rsidRPr="001A5DF7">
        <w:rPr>
          <w:rFonts w:cs="Arial"/>
          <w:b/>
        </w:rPr>
        <w:t>11</w:t>
      </w:r>
      <w:r w:rsidR="00B4453D" w:rsidRPr="001A5DF7">
        <w:rPr>
          <w:rFonts w:cs="Arial"/>
          <w:b/>
        </w:rPr>
        <w:t xml:space="preserve"> œuvres</w:t>
      </w:r>
      <w:r w:rsidR="00B4453D" w:rsidRPr="00FD770C">
        <w:rPr>
          <w:rFonts w:cs="Arial"/>
        </w:rPr>
        <w:t xml:space="preserve"> issues des</w:t>
      </w:r>
      <w:r w:rsidRPr="00FD770C">
        <w:rPr>
          <w:rFonts w:cs="Arial"/>
        </w:rPr>
        <w:t xml:space="preserve"> collections du </w:t>
      </w:r>
      <w:proofErr w:type="spellStart"/>
      <w:r w:rsidRPr="00FD770C">
        <w:rPr>
          <w:rFonts w:cs="Arial"/>
        </w:rPr>
        <w:t>MuMA</w:t>
      </w:r>
      <w:proofErr w:type="spellEnd"/>
      <w:r w:rsidRPr="00FD770C">
        <w:rPr>
          <w:rFonts w:cs="Arial"/>
        </w:rPr>
        <w:t xml:space="preserve">, à Marseille, a été validé conjointement par les deux institutions. Cette décision implique un transport anticipé de l’ensemble des items localisés à Mayotte destinés à l’exposition. Les objets </w:t>
      </w:r>
      <w:proofErr w:type="spellStart"/>
      <w:r w:rsidRPr="00FD770C">
        <w:rPr>
          <w:rFonts w:cs="Arial"/>
        </w:rPr>
        <w:t>MuMA</w:t>
      </w:r>
      <w:proofErr w:type="spellEnd"/>
      <w:r w:rsidRPr="00FD770C">
        <w:rPr>
          <w:rFonts w:cs="Arial"/>
        </w:rPr>
        <w:t xml:space="preserve"> ne nécessitant pas de restauration y seront </w:t>
      </w:r>
      <w:r w:rsidRPr="00FD770C">
        <w:rPr>
          <w:rFonts w:cs="Arial"/>
        </w:rPr>
        <w:lastRenderedPageBreak/>
        <w:t xml:space="preserve">également acheminés, afin d’y être conservés en stockage sécurisé jusqu’à leur transfert vers le </w:t>
      </w:r>
      <w:proofErr w:type="spellStart"/>
      <w:r w:rsidRPr="00FD770C">
        <w:rPr>
          <w:rFonts w:cs="Arial"/>
        </w:rPr>
        <w:t>Mucem</w:t>
      </w:r>
      <w:proofErr w:type="spellEnd"/>
      <w:r w:rsidR="00C82037">
        <w:rPr>
          <w:rFonts w:cs="Arial"/>
        </w:rPr>
        <w:t xml:space="preserve"> (J4 et FSJ)</w:t>
      </w:r>
      <w:r w:rsidRPr="00FD770C">
        <w:rPr>
          <w:rFonts w:cs="Arial"/>
        </w:rPr>
        <w:t>.</w:t>
      </w:r>
      <w:r w:rsidR="00C82037">
        <w:rPr>
          <w:rFonts w:cs="Arial"/>
        </w:rPr>
        <w:t xml:space="preserve"> Un constat d’arrivée de l’ensemble de ces œuvres sera effectué dans l’entrepôts de stockage.</w:t>
      </w:r>
    </w:p>
    <w:p w14:paraId="7E67081E" w14:textId="7A1837FD" w:rsidR="00B4453D" w:rsidRDefault="00B4453D" w:rsidP="00B4453D">
      <w:pPr>
        <w:spacing w:before="100" w:beforeAutospacing="1" w:after="0" w:line="360" w:lineRule="auto"/>
        <w:rPr>
          <w:rFonts w:cs="Arial"/>
        </w:rPr>
      </w:pPr>
      <w:r w:rsidRPr="00B4453D">
        <w:rPr>
          <w:rFonts w:cs="Arial"/>
        </w:rPr>
        <w:t>Dans le cadre de la restauration</w:t>
      </w:r>
      <w:r w:rsidR="00C82037">
        <w:rPr>
          <w:rFonts w:cs="Arial"/>
        </w:rPr>
        <w:t> :</w:t>
      </w:r>
      <w:r w:rsidRPr="00B4453D">
        <w:rPr>
          <w:rFonts w:cs="Arial"/>
        </w:rPr>
        <w:t xml:space="preserve"> deux œuvres majeures, </w:t>
      </w:r>
      <w:r w:rsidRPr="00C82037">
        <w:rPr>
          <w:rFonts w:cs="Arial"/>
          <w:b/>
        </w:rPr>
        <w:t>à savoir le cachalot et la voile de boutre</w:t>
      </w:r>
      <w:r w:rsidRPr="00B4453D">
        <w:rPr>
          <w:rFonts w:cs="Arial"/>
        </w:rPr>
        <w:t xml:space="preserve">, </w:t>
      </w:r>
      <w:r w:rsidR="00C82037">
        <w:rPr>
          <w:rFonts w:cs="Arial"/>
        </w:rPr>
        <w:t xml:space="preserve">leurs </w:t>
      </w:r>
      <w:r w:rsidRPr="00B4453D">
        <w:rPr>
          <w:rFonts w:cs="Arial"/>
        </w:rPr>
        <w:t>dimensions exceptionnelles ne permettent pas leur accueil au Centre de Conservation et de Restauration (CCR).</w:t>
      </w:r>
      <w:r w:rsidR="00FD770C">
        <w:rPr>
          <w:rFonts w:cs="Arial"/>
        </w:rPr>
        <w:t xml:space="preserve"> </w:t>
      </w:r>
      <w:r w:rsidRPr="00B4453D">
        <w:rPr>
          <w:rFonts w:cs="Arial"/>
        </w:rPr>
        <w:t>Afin de garantir les conditions optimales pour ces travaux, nous vous demandons de bien vouloir prévoir un lieu sécurisé, idéalement situé à Marseille, pour y réaliser les opérations de restauration. Ce lieu devra répondre aux exigences de sécurité, d’accessibilité et de conservation propres à ces œuvres.</w:t>
      </w:r>
    </w:p>
    <w:p w14:paraId="3CC57538" w14:textId="42C670E2" w:rsidR="003B6DDF" w:rsidRDefault="003B6DDF" w:rsidP="00992C44">
      <w:pPr>
        <w:spacing w:before="100" w:beforeAutospacing="1" w:after="0" w:line="360" w:lineRule="auto"/>
        <w:rPr>
          <w:rFonts w:cs="Arial"/>
        </w:rPr>
      </w:pPr>
      <w:r w:rsidRPr="002B7A86">
        <w:rPr>
          <w:rFonts w:cs="Arial"/>
        </w:rPr>
        <w:t xml:space="preserve">Ce planning respecte </w:t>
      </w:r>
      <w:r w:rsidR="00BF34E5" w:rsidRPr="002B7A86">
        <w:rPr>
          <w:rFonts w:cs="Arial"/>
        </w:rPr>
        <w:t>à</w:t>
      </w:r>
      <w:r w:rsidRPr="002B7A86">
        <w:rPr>
          <w:rFonts w:cs="Arial"/>
        </w:rPr>
        <w:t xml:space="preserve"> minima les périodes et dates </w:t>
      </w:r>
      <w:r w:rsidR="00AD3C13" w:rsidRPr="002B7A86">
        <w:rPr>
          <w:rFonts w:cs="Arial"/>
        </w:rPr>
        <w:t>suivantes :</w:t>
      </w:r>
    </w:p>
    <w:p w14:paraId="358F1AF0" w14:textId="690D9811" w:rsidR="00784AEB" w:rsidRPr="00E40868" w:rsidRDefault="00784AEB" w:rsidP="00992C44">
      <w:pPr>
        <w:numPr>
          <w:ilvl w:val="0"/>
          <w:numId w:val="34"/>
        </w:numPr>
        <w:spacing w:line="360" w:lineRule="auto"/>
        <w:rPr>
          <w:rFonts w:eastAsia="Calibri" w:cs="Arial"/>
        </w:rPr>
      </w:pPr>
      <w:r>
        <w:rPr>
          <w:rFonts w:eastAsia="Calibri" w:cs="Arial"/>
        </w:rPr>
        <w:t>L’emballage et la mise à d</w:t>
      </w:r>
      <w:r w:rsidRPr="00E40868">
        <w:rPr>
          <w:rFonts w:eastAsia="Calibri" w:cs="Arial"/>
        </w:rPr>
        <w:t xml:space="preserve">isposition de fournitures d’emballage </w:t>
      </w:r>
      <w:r w:rsidR="00191748" w:rsidRPr="00E40868">
        <w:rPr>
          <w:rFonts w:eastAsia="Calibri" w:cs="Arial"/>
        </w:rPr>
        <w:t xml:space="preserve">pour les items localisés à Mayotte </w:t>
      </w:r>
      <w:r w:rsidRPr="00E40868">
        <w:rPr>
          <w:rFonts w:eastAsia="Calibri" w:cs="Arial"/>
        </w:rPr>
        <w:t xml:space="preserve">sera </w:t>
      </w:r>
      <w:r w:rsidR="00255921" w:rsidRPr="00E40868">
        <w:rPr>
          <w:rFonts w:eastAsia="Calibri" w:cs="Arial"/>
        </w:rPr>
        <w:t>entièrement à la charge du Titulaire</w:t>
      </w:r>
      <w:r w:rsidR="005D0A2E" w:rsidRPr="00E40868">
        <w:rPr>
          <w:rFonts w:eastAsia="Calibri" w:cs="Arial"/>
        </w:rPr>
        <w:t xml:space="preserve"> dés notification du marché.</w:t>
      </w:r>
    </w:p>
    <w:p w14:paraId="3DCF7CE9" w14:textId="16F4CFDE" w:rsidR="00FC7E94" w:rsidRPr="00E40868" w:rsidRDefault="005D0A2E" w:rsidP="00992C44">
      <w:pPr>
        <w:numPr>
          <w:ilvl w:val="0"/>
          <w:numId w:val="34"/>
        </w:numPr>
        <w:spacing w:line="360" w:lineRule="auto"/>
        <w:rPr>
          <w:rFonts w:eastAsia="Calibri" w:cs="Arial"/>
        </w:rPr>
      </w:pPr>
      <w:r w:rsidRPr="00E40868">
        <w:rPr>
          <w:rFonts w:eastAsia="Calibri" w:cs="Arial"/>
        </w:rPr>
        <w:t>Transport Mayotte / Marseille sur les différents sites (stockages temporaire</w:t>
      </w:r>
      <w:r w:rsidR="00FC7E94" w:rsidRPr="00E40868">
        <w:rPr>
          <w:rFonts w:eastAsia="Calibri" w:cs="Arial"/>
        </w:rPr>
        <w:t>s</w:t>
      </w:r>
      <w:r w:rsidR="001A5DF7" w:rsidRPr="00E40868">
        <w:rPr>
          <w:rFonts w:eastAsia="Calibri" w:cs="Arial"/>
        </w:rPr>
        <w:t>, CCR)</w:t>
      </w:r>
    </w:p>
    <w:p w14:paraId="498FC248" w14:textId="1E586F54" w:rsidR="005D0A2E" w:rsidRPr="00E40868" w:rsidRDefault="001A5DF7" w:rsidP="00992C44">
      <w:pPr>
        <w:numPr>
          <w:ilvl w:val="0"/>
          <w:numId w:val="34"/>
        </w:numPr>
        <w:spacing w:line="360" w:lineRule="auto"/>
        <w:rPr>
          <w:rFonts w:eastAsia="Calibri" w:cs="Arial"/>
        </w:rPr>
      </w:pPr>
      <w:proofErr w:type="gramStart"/>
      <w:r w:rsidRPr="00E40868">
        <w:rPr>
          <w:rFonts w:eastAsia="Calibri" w:cs="Arial"/>
        </w:rPr>
        <w:t>F</w:t>
      </w:r>
      <w:r w:rsidR="005D0A2E" w:rsidRPr="00E40868">
        <w:rPr>
          <w:rFonts w:eastAsia="Calibri" w:cs="Arial"/>
        </w:rPr>
        <w:t>ormalité douanières</w:t>
      </w:r>
      <w:proofErr w:type="gramEnd"/>
      <w:r w:rsidR="005D0A2E" w:rsidRPr="00E40868">
        <w:rPr>
          <w:rFonts w:eastAsia="Calibri" w:cs="Arial"/>
        </w:rPr>
        <w:t xml:space="preserve"> </w:t>
      </w:r>
    </w:p>
    <w:p w14:paraId="4EE0F9BA" w14:textId="708863F7" w:rsidR="005D0A2E" w:rsidRPr="00E40868" w:rsidRDefault="005D0A2E" w:rsidP="005D0A2E">
      <w:pPr>
        <w:numPr>
          <w:ilvl w:val="0"/>
          <w:numId w:val="34"/>
        </w:numPr>
        <w:spacing w:line="360" w:lineRule="auto"/>
        <w:rPr>
          <w:rFonts w:eastAsia="Calibri" w:cs="Arial"/>
        </w:rPr>
      </w:pPr>
      <w:r w:rsidRPr="00E40868">
        <w:rPr>
          <w:rFonts w:eastAsia="Calibri" w:cs="Arial"/>
        </w:rPr>
        <w:t xml:space="preserve">Prévoir un </w:t>
      </w:r>
      <w:r w:rsidRPr="00E40868">
        <w:rPr>
          <w:rFonts w:eastAsia="Calibri" w:cs="Arial"/>
          <w:b/>
        </w:rPr>
        <w:t>traitement</w:t>
      </w:r>
      <w:r w:rsidRPr="00E40868">
        <w:rPr>
          <w:rFonts w:eastAsia="Calibri" w:cs="Arial"/>
        </w:rPr>
        <w:t xml:space="preserve"> </w:t>
      </w:r>
      <w:r w:rsidR="000F3F22" w:rsidRPr="00E40868">
        <w:rPr>
          <w:rFonts w:eastAsia="Calibri" w:cs="Arial"/>
          <w:b/>
        </w:rPr>
        <w:t>généralisé des œuvres à leur</w:t>
      </w:r>
      <w:r w:rsidRPr="00E40868">
        <w:rPr>
          <w:rFonts w:eastAsia="Calibri" w:cs="Arial"/>
          <w:b/>
        </w:rPr>
        <w:t xml:space="preserve"> arrivée</w:t>
      </w:r>
      <w:r w:rsidR="000F3F22" w:rsidRPr="00E40868">
        <w:rPr>
          <w:rFonts w:eastAsia="Calibri" w:cs="Arial"/>
          <w:b/>
        </w:rPr>
        <w:t xml:space="preserve"> en métropoles</w:t>
      </w:r>
      <w:r w:rsidRPr="00E40868">
        <w:rPr>
          <w:rFonts w:eastAsia="Calibri" w:cs="Arial"/>
          <w:b/>
        </w:rPr>
        <w:t xml:space="preserve"> juin 2026</w:t>
      </w:r>
      <w:r w:rsidRPr="00E40868">
        <w:rPr>
          <w:rFonts w:eastAsia="Calibri" w:cs="Arial"/>
        </w:rPr>
        <w:t>, afin de garantir leur conservation optimale. Ces œuvres, acheminées</w:t>
      </w:r>
      <w:r w:rsidR="00D97F29" w:rsidRPr="00E40868">
        <w:rPr>
          <w:rFonts w:eastAsia="Calibri" w:cs="Arial"/>
        </w:rPr>
        <w:t xml:space="preserve"> surement</w:t>
      </w:r>
      <w:r w:rsidRPr="00E40868">
        <w:rPr>
          <w:rFonts w:eastAsia="Calibri" w:cs="Arial"/>
        </w:rPr>
        <w:t xml:space="preserve"> par conteneurs, devront faire l’objet d’une intervention immédiate, selon les modalités suivantes :</w:t>
      </w:r>
    </w:p>
    <w:p w14:paraId="27D92CB0" w14:textId="5F33A75A" w:rsidR="005D0A2E" w:rsidRPr="00E40868" w:rsidRDefault="005D0A2E" w:rsidP="005D0A2E">
      <w:pPr>
        <w:pStyle w:val="Listepuces2"/>
        <w:rPr>
          <w:rFonts w:eastAsia="Calibri"/>
        </w:rPr>
      </w:pPr>
      <w:r w:rsidRPr="00E40868">
        <w:rPr>
          <w:rFonts w:eastAsia="Calibri"/>
        </w:rPr>
        <w:t>Congélation : Pour éliminer tout risque d’infestation ou de dégradation biologique.</w:t>
      </w:r>
    </w:p>
    <w:p w14:paraId="5BA80A3A" w14:textId="1FFEE1C2" w:rsidR="00BF3E5C" w:rsidRPr="00E40868" w:rsidRDefault="00BF3E5C" w:rsidP="00BF3E5C">
      <w:pPr>
        <w:pStyle w:val="Listepuces2"/>
        <w:numPr>
          <w:ilvl w:val="0"/>
          <w:numId w:val="0"/>
        </w:numPr>
        <w:ind w:left="643"/>
        <w:rPr>
          <w:rFonts w:eastAsia="Calibri"/>
        </w:rPr>
      </w:pPr>
      <w:proofErr w:type="gramStart"/>
      <w:r w:rsidRPr="00E40868">
        <w:rPr>
          <w:rFonts w:eastAsia="Calibri"/>
        </w:rPr>
        <w:t>ou</w:t>
      </w:r>
      <w:proofErr w:type="gramEnd"/>
    </w:p>
    <w:p w14:paraId="519426CA" w14:textId="77777777" w:rsidR="005D0A2E" w:rsidRPr="00E40868" w:rsidRDefault="005D0A2E" w:rsidP="005D0A2E">
      <w:pPr>
        <w:pStyle w:val="Listepuces2"/>
        <w:rPr>
          <w:rFonts w:eastAsia="Calibri"/>
        </w:rPr>
      </w:pPr>
      <w:r w:rsidRPr="00E40868">
        <w:rPr>
          <w:rFonts w:eastAsia="Calibri"/>
        </w:rPr>
        <w:t>Anoxie : Traitement par atmosphère contrôlée (manque d’oxygène), réalisé par des entreprises spécialisées.</w:t>
      </w:r>
    </w:p>
    <w:p w14:paraId="3BA0FED5" w14:textId="77777777" w:rsidR="005D0A2E" w:rsidRPr="00E40868" w:rsidRDefault="005D0A2E" w:rsidP="005D0A2E">
      <w:pPr>
        <w:pStyle w:val="Listepuces2"/>
        <w:numPr>
          <w:ilvl w:val="0"/>
          <w:numId w:val="0"/>
        </w:numPr>
        <w:ind w:left="1701" w:hanging="357"/>
        <w:rPr>
          <w:rFonts w:eastAsia="Calibri"/>
        </w:rPr>
      </w:pPr>
      <w:r w:rsidRPr="00E40868">
        <w:rPr>
          <w:rFonts w:eastAsia="Calibri"/>
        </w:rPr>
        <w:t xml:space="preserve"> </w:t>
      </w:r>
    </w:p>
    <w:p w14:paraId="2A5CF6FD" w14:textId="450A8178" w:rsidR="005D0A2E" w:rsidRPr="00E40868" w:rsidRDefault="005D0A2E" w:rsidP="005D0A2E">
      <w:pPr>
        <w:pStyle w:val="Paragraphedeliste"/>
        <w:numPr>
          <w:ilvl w:val="0"/>
          <w:numId w:val="40"/>
        </w:numPr>
        <w:spacing w:line="360" w:lineRule="auto"/>
        <w:rPr>
          <w:rFonts w:eastAsia="Calibri" w:cs="Arial"/>
        </w:rPr>
      </w:pPr>
      <w:r w:rsidRPr="00E40868">
        <w:rPr>
          <w:rFonts w:eastAsia="Calibri" w:cs="Arial"/>
        </w:rPr>
        <w:t xml:space="preserve">Nous vous proposons de solliciter des prestataires agréés, tels que </w:t>
      </w:r>
      <w:proofErr w:type="spellStart"/>
      <w:r w:rsidRPr="00E40868">
        <w:rPr>
          <w:rFonts w:eastAsia="Calibri" w:cs="Arial"/>
        </w:rPr>
        <w:t>Bovis</w:t>
      </w:r>
      <w:proofErr w:type="spellEnd"/>
      <w:r w:rsidRPr="00E40868">
        <w:rPr>
          <w:rFonts w:eastAsia="Calibri" w:cs="Arial"/>
        </w:rPr>
        <w:t xml:space="preserve"> ou </w:t>
      </w:r>
      <w:r w:rsidR="00D97F29" w:rsidRPr="00E40868">
        <w:rPr>
          <w:rFonts w:eastAsia="Calibri" w:cs="Arial"/>
        </w:rPr>
        <w:t xml:space="preserve">la société </w:t>
      </w:r>
      <w:proofErr w:type="spellStart"/>
      <w:r w:rsidRPr="00E40868">
        <w:rPr>
          <w:rFonts w:eastAsia="Calibri" w:cs="Arial"/>
        </w:rPr>
        <w:t>Tournillon</w:t>
      </w:r>
      <w:proofErr w:type="spellEnd"/>
      <w:r w:rsidRPr="00E40868">
        <w:rPr>
          <w:rFonts w:eastAsia="Calibri" w:cs="Arial"/>
        </w:rPr>
        <w:t>, pour assurer ces opérations dans les meilleures conditions. Ce protocole permettra de sécuriser les œuvres avant leur transfert vers les lieux de restauration ou de stockage et d’exposition.</w:t>
      </w:r>
    </w:p>
    <w:p w14:paraId="57162038" w14:textId="57629400" w:rsidR="00784AEB" w:rsidRPr="00E40868" w:rsidRDefault="00784AEB" w:rsidP="00784AEB">
      <w:pPr>
        <w:numPr>
          <w:ilvl w:val="0"/>
          <w:numId w:val="34"/>
        </w:numPr>
        <w:spacing w:line="360" w:lineRule="auto"/>
        <w:rPr>
          <w:rFonts w:eastAsia="Calibri" w:cs="Arial"/>
          <w:color w:val="000000" w:themeColor="text1"/>
        </w:rPr>
      </w:pPr>
      <w:r w:rsidRPr="00E40868">
        <w:rPr>
          <w:rFonts w:eastAsia="Calibri" w:cs="Arial"/>
          <w:b/>
          <w:color w:val="000000" w:themeColor="text1"/>
        </w:rPr>
        <w:t>Livraison et déballage</w:t>
      </w:r>
      <w:r w:rsidRPr="00E40868">
        <w:rPr>
          <w:rFonts w:eastAsia="Calibri" w:cs="Arial"/>
          <w:color w:val="000000" w:themeColor="text1"/>
        </w:rPr>
        <w:t xml:space="preserve"> des </w:t>
      </w:r>
      <w:r w:rsidR="00341C7C" w:rsidRPr="00E40868">
        <w:rPr>
          <w:rFonts w:eastAsia="Calibri" w:cs="Arial"/>
          <w:color w:val="000000" w:themeColor="text1"/>
        </w:rPr>
        <w:t xml:space="preserve">11 </w:t>
      </w:r>
      <w:r w:rsidRPr="00E40868">
        <w:rPr>
          <w:rFonts w:eastAsia="Calibri" w:cs="Arial"/>
          <w:color w:val="000000" w:themeColor="text1"/>
        </w:rPr>
        <w:t xml:space="preserve">œuvres </w:t>
      </w:r>
      <w:r w:rsidR="00191748" w:rsidRPr="00E40868">
        <w:rPr>
          <w:rFonts w:eastAsia="Calibri" w:cs="Arial"/>
          <w:color w:val="000000" w:themeColor="text1"/>
        </w:rPr>
        <w:t>en provenance d</w:t>
      </w:r>
      <w:r w:rsidR="00A3618E" w:rsidRPr="00E40868">
        <w:rPr>
          <w:rFonts w:eastAsia="Calibri" w:cs="Arial"/>
          <w:color w:val="000000" w:themeColor="text1"/>
        </w:rPr>
        <w:t>e</w:t>
      </w:r>
      <w:r w:rsidR="00191748" w:rsidRPr="00E40868">
        <w:rPr>
          <w:rFonts w:eastAsia="Calibri" w:cs="Arial"/>
          <w:color w:val="000000" w:themeColor="text1"/>
        </w:rPr>
        <w:t xml:space="preserve"> Mayotte </w:t>
      </w:r>
      <w:r w:rsidRPr="00E40868">
        <w:rPr>
          <w:rFonts w:eastAsia="Calibri" w:cs="Arial"/>
          <w:color w:val="000000" w:themeColor="text1"/>
        </w:rPr>
        <w:t>dans les espaces</w:t>
      </w:r>
      <w:r w:rsidR="008F4BB8" w:rsidRPr="00E40868">
        <w:rPr>
          <w:rFonts w:eastAsia="Calibri" w:cs="Arial"/>
          <w:color w:val="000000" w:themeColor="text1"/>
        </w:rPr>
        <w:t xml:space="preserve"> </w:t>
      </w:r>
      <w:r w:rsidR="008F4BB8" w:rsidRPr="00E40868">
        <w:rPr>
          <w:rFonts w:eastAsia="Calibri" w:cs="Arial"/>
          <w:b/>
          <w:color w:val="000000" w:themeColor="text1"/>
        </w:rPr>
        <w:t>de restauration</w:t>
      </w:r>
      <w:r w:rsidRPr="00E40868">
        <w:rPr>
          <w:rFonts w:eastAsia="Calibri" w:cs="Arial"/>
          <w:color w:val="000000" w:themeColor="text1"/>
        </w:rPr>
        <w:t xml:space="preserve"> du CCR </w:t>
      </w:r>
      <w:r w:rsidR="00341C7C" w:rsidRPr="00E40868">
        <w:rPr>
          <w:rFonts w:eastAsia="Calibri" w:cs="Arial"/>
          <w:color w:val="000000" w:themeColor="text1"/>
        </w:rPr>
        <w:t xml:space="preserve">(9 œuvres) et ceux mis à disposition par le Titulaire pour les 2 œuvres grands formats (cachalot et voile de boutre) </w:t>
      </w:r>
      <w:r w:rsidRPr="00E40868">
        <w:rPr>
          <w:rFonts w:eastAsia="Calibri" w:cs="Arial"/>
          <w:color w:val="000000" w:themeColor="text1"/>
        </w:rPr>
        <w:t xml:space="preserve">: entre le </w:t>
      </w:r>
      <w:r w:rsidR="00DE10FD" w:rsidRPr="00E40868">
        <w:rPr>
          <w:rFonts w:eastAsia="Calibri" w:cs="Arial"/>
          <w:color w:val="000000" w:themeColor="text1"/>
        </w:rPr>
        <w:t>15</w:t>
      </w:r>
      <w:r w:rsidRPr="00E40868">
        <w:rPr>
          <w:rFonts w:eastAsia="Calibri" w:cs="Arial"/>
          <w:color w:val="000000" w:themeColor="text1"/>
        </w:rPr>
        <w:t xml:space="preserve"> et le </w:t>
      </w:r>
      <w:r w:rsidR="00DE10FD" w:rsidRPr="00E40868">
        <w:rPr>
          <w:rFonts w:eastAsia="Calibri" w:cs="Arial"/>
          <w:color w:val="000000" w:themeColor="text1"/>
        </w:rPr>
        <w:t>30</w:t>
      </w:r>
      <w:r w:rsidRPr="00E40868">
        <w:rPr>
          <w:rFonts w:eastAsia="Calibri" w:cs="Arial"/>
          <w:color w:val="000000" w:themeColor="text1"/>
        </w:rPr>
        <w:t xml:space="preserve"> </w:t>
      </w:r>
      <w:r w:rsidR="00DE10FD" w:rsidRPr="00E40868">
        <w:rPr>
          <w:rFonts w:eastAsia="Calibri" w:cs="Arial"/>
          <w:b/>
          <w:color w:val="000000" w:themeColor="text1"/>
          <w:u w:val="single"/>
        </w:rPr>
        <w:t>juin</w:t>
      </w:r>
      <w:r w:rsidRPr="00E40868">
        <w:rPr>
          <w:rFonts w:eastAsia="Calibri" w:cs="Arial"/>
          <w:b/>
          <w:color w:val="000000" w:themeColor="text1"/>
          <w:u w:val="single"/>
        </w:rPr>
        <w:t xml:space="preserve"> 2026. </w:t>
      </w:r>
      <w:r w:rsidRPr="00E40868">
        <w:rPr>
          <w:rFonts w:eastAsia="Calibri" w:cs="Arial"/>
          <w:color w:val="000000" w:themeColor="text1"/>
        </w:rPr>
        <w:t xml:space="preserve">Cette date peut être avancée à la demande du Titulaire suivant l’organisation des transports, </w:t>
      </w:r>
      <w:r w:rsidRPr="00E40868">
        <w:rPr>
          <w:rFonts w:eastAsia="Calibri" w:cs="Arial"/>
          <w:color w:val="000000" w:themeColor="text1"/>
          <w:u w:val="single"/>
        </w:rPr>
        <w:t xml:space="preserve">après accord exprès du </w:t>
      </w:r>
      <w:proofErr w:type="spellStart"/>
      <w:r w:rsidRPr="00E40868">
        <w:rPr>
          <w:rFonts w:eastAsia="Calibri" w:cs="Arial"/>
          <w:color w:val="000000" w:themeColor="text1"/>
          <w:u w:val="single"/>
        </w:rPr>
        <w:t>Mucem</w:t>
      </w:r>
      <w:proofErr w:type="spellEnd"/>
      <w:r w:rsidRPr="00E40868">
        <w:rPr>
          <w:rFonts w:eastAsia="Calibri" w:cs="Arial"/>
          <w:color w:val="000000" w:themeColor="text1"/>
        </w:rPr>
        <w:t>.</w:t>
      </w:r>
    </w:p>
    <w:p w14:paraId="2E4B4825" w14:textId="64346B0C" w:rsidR="00B24918" w:rsidRPr="00E40868" w:rsidRDefault="00B24918" w:rsidP="00001073">
      <w:pPr>
        <w:numPr>
          <w:ilvl w:val="0"/>
          <w:numId w:val="34"/>
        </w:numPr>
        <w:spacing w:line="360" w:lineRule="auto"/>
        <w:rPr>
          <w:rFonts w:eastAsia="Calibri" w:cs="Arial"/>
          <w:b/>
          <w:color w:val="000000" w:themeColor="text1"/>
        </w:rPr>
      </w:pPr>
      <w:r w:rsidRPr="00E40868">
        <w:rPr>
          <w:rFonts w:eastAsia="Calibri" w:cs="Arial"/>
          <w:color w:val="000000" w:themeColor="text1"/>
        </w:rPr>
        <w:t xml:space="preserve">Stockage des emballage vides </w:t>
      </w:r>
      <w:r w:rsidR="00A81DE0" w:rsidRPr="00E40868">
        <w:rPr>
          <w:rFonts w:eastAsia="Calibri" w:cs="Arial"/>
          <w:color w:val="000000" w:themeColor="text1"/>
        </w:rPr>
        <w:t xml:space="preserve">pendant la </w:t>
      </w:r>
      <w:r w:rsidR="00001073" w:rsidRPr="00E40868">
        <w:rPr>
          <w:rFonts w:eastAsia="Calibri" w:cs="Arial"/>
          <w:color w:val="000000" w:themeColor="text1"/>
        </w:rPr>
        <w:t xml:space="preserve">durée des restaurations </w:t>
      </w:r>
      <w:r w:rsidR="00001073" w:rsidRPr="00E40868">
        <w:rPr>
          <w:rFonts w:eastAsia="Calibri" w:cs="Arial"/>
          <w:b/>
          <w:color w:val="000000" w:themeColor="text1"/>
        </w:rPr>
        <w:t>d</w:t>
      </w:r>
      <w:r w:rsidR="00DE10FD" w:rsidRPr="00E40868">
        <w:rPr>
          <w:rFonts w:eastAsia="Calibri" w:cs="Arial"/>
          <w:b/>
          <w:color w:val="000000" w:themeColor="text1"/>
        </w:rPr>
        <w:t xml:space="preserve">e </w:t>
      </w:r>
      <w:proofErr w:type="spellStart"/>
      <w:r w:rsidR="00E0640E" w:rsidRPr="00E40868">
        <w:rPr>
          <w:rFonts w:eastAsia="Calibri" w:cs="Arial"/>
          <w:b/>
          <w:color w:val="000000" w:themeColor="text1"/>
        </w:rPr>
        <w:t xml:space="preserve">mi </w:t>
      </w:r>
      <w:r w:rsidR="00DE10FD" w:rsidRPr="00E40868">
        <w:rPr>
          <w:rFonts w:eastAsia="Calibri" w:cs="Arial"/>
          <w:b/>
          <w:color w:val="000000" w:themeColor="text1"/>
        </w:rPr>
        <w:t>juin</w:t>
      </w:r>
      <w:proofErr w:type="spellEnd"/>
      <w:r w:rsidR="00001073" w:rsidRPr="00E40868">
        <w:rPr>
          <w:rFonts w:eastAsia="Calibri" w:cs="Arial"/>
          <w:b/>
          <w:color w:val="000000" w:themeColor="text1"/>
        </w:rPr>
        <w:t xml:space="preserve"> jusqu’</w:t>
      </w:r>
      <w:r w:rsidR="00DE10FD" w:rsidRPr="00E40868">
        <w:rPr>
          <w:rFonts w:eastAsia="Calibri" w:cs="Arial"/>
          <w:b/>
          <w:color w:val="000000" w:themeColor="text1"/>
        </w:rPr>
        <w:t>à fin octobre - début novembre 2026.</w:t>
      </w:r>
    </w:p>
    <w:p w14:paraId="4756BAD9" w14:textId="4B4832A8" w:rsidR="009F73AE" w:rsidRPr="00E40868" w:rsidRDefault="00320744" w:rsidP="009F73AE">
      <w:pPr>
        <w:numPr>
          <w:ilvl w:val="0"/>
          <w:numId w:val="34"/>
        </w:numPr>
        <w:spacing w:line="360" w:lineRule="auto"/>
        <w:rPr>
          <w:rFonts w:eastAsia="Calibri" w:cs="Arial"/>
          <w:b/>
          <w:color w:val="000000" w:themeColor="text1"/>
        </w:rPr>
      </w:pPr>
      <w:r w:rsidRPr="00E40868">
        <w:rPr>
          <w:rFonts w:eastAsia="Calibri" w:cs="Arial"/>
          <w:color w:val="000000" w:themeColor="text1"/>
        </w:rPr>
        <w:t>Stockage des caisses pleines avec ouverture au préalable pour réalisation des constats dans les entrepôts sécurisés du Titulaire</w:t>
      </w:r>
      <w:r w:rsidR="004052BC" w:rsidRPr="00E40868">
        <w:rPr>
          <w:rFonts w:eastAsia="Calibri" w:cs="Arial"/>
          <w:b/>
          <w:color w:val="000000" w:themeColor="text1"/>
        </w:rPr>
        <w:t xml:space="preserve">=&gt; Mise </w:t>
      </w:r>
      <w:proofErr w:type="spellStart"/>
      <w:r w:rsidR="004052BC" w:rsidRPr="00E40868">
        <w:rPr>
          <w:rFonts w:eastAsia="Calibri" w:cs="Arial"/>
          <w:b/>
          <w:color w:val="000000" w:themeColor="text1"/>
        </w:rPr>
        <w:t>a</w:t>
      </w:r>
      <w:proofErr w:type="spellEnd"/>
      <w:r w:rsidR="004052BC" w:rsidRPr="00E40868">
        <w:rPr>
          <w:rFonts w:eastAsia="Calibri" w:cs="Arial"/>
          <w:b/>
          <w:color w:val="000000" w:themeColor="text1"/>
        </w:rPr>
        <w:t xml:space="preserve"> disposition d’une équipe pour le déballage pour la réalisation des constats à l’arrivée des œuvres en juin 2026, puis remise en caisses avant stockage temporaire de </w:t>
      </w:r>
      <w:proofErr w:type="spellStart"/>
      <w:r w:rsidR="004052BC" w:rsidRPr="00E40868">
        <w:rPr>
          <w:rFonts w:eastAsia="Calibri" w:cs="Arial"/>
          <w:b/>
          <w:color w:val="000000" w:themeColor="text1"/>
        </w:rPr>
        <w:t>mi juin</w:t>
      </w:r>
      <w:proofErr w:type="spellEnd"/>
      <w:r w:rsidR="004052BC" w:rsidRPr="00E40868">
        <w:rPr>
          <w:rFonts w:eastAsia="Calibri" w:cs="Arial"/>
          <w:b/>
          <w:color w:val="000000" w:themeColor="text1"/>
        </w:rPr>
        <w:t xml:space="preserve"> jusqu’à fin octobre - début novembre 2026</w:t>
      </w:r>
    </w:p>
    <w:p w14:paraId="49FBAA10" w14:textId="06ECE2BB" w:rsidR="00320744" w:rsidRPr="00E40868" w:rsidRDefault="009F73AE" w:rsidP="00001073">
      <w:pPr>
        <w:numPr>
          <w:ilvl w:val="0"/>
          <w:numId w:val="34"/>
        </w:numPr>
        <w:spacing w:line="360" w:lineRule="auto"/>
        <w:rPr>
          <w:rFonts w:eastAsia="Calibri" w:cs="Arial"/>
          <w:b/>
          <w:color w:val="000000" w:themeColor="text1"/>
        </w:rPr>
      </w:pPr>
      <w:r w:rsidRPr="00E40868">
        <w:rPr>
          <w:rFonts w:eastAsia="Calibri" w:cs="Arial"/>
          <w:color w:val="000000" w:themeColor="text1"/>
        </w:rPr>
        <w:t xml:space="preserve">Stockage des œuvres non exposés et restaurés chez le Titulaire (voile de boutre) pendant la durée de l’exposition </w:t>
      </w:r>
      <w:r w:rsidRPr="00E40868">
        <w:rPr>
          <w:rFonts w:eastAsia="Calibri" w:cs="Arial"/>
          <w:b/>
          <w:color w:val="000000" w:themeColor="text1"/>
        </w:rPr>
        <w:t>de novembre 2026 à fin octobre 2027</w:t>
      </w:r>
      <w:r w:rsidR="00320744" w:rsidRPr="00E40868">
        <w:rPr>
          <w:rFonts w:eastAsia="Calibri" w:cs="Arial"/>
          <w:b/>
          <w:color w:val="000000" w:themeColor="text1"/>
        </w:rPr>
        <w:t>.</w:t>
      </w:r>
    </w:p>
    <w:p w14:paraId="7DDB59D6" w14:textId="4B9B5393" w:rsidR="00001073" w:rsidRPr="00E40868" w:rsidRDefault="00001073" w:rsidP="00001073">
      <w:pPr>
        <w:pStyle w:val="Paragraphedeliste"/>
        <w:numPr>
          <w:ilvl w:val="0"/>
          <w:numId w:val="34"/>
        </w:numPr>
        <w:spacing w:line="360" w:lineRule="auto"/>
        <w:rPr>
          <w:rFonts w:eastAsia="Calibri" w:cs="Arial"/>
        </w:rPr>
      </w:pPr>
      <w:r w:rsidRPr="00E40868">
        <w:rPr>
          <w:rFonts w:eastAsia="Calibri" w:cs="Arial"/>
          <w:b/>
        </w:rPr>
        <w:t>Relivraison des caisses vides au CCR</w:t>
      </w:r>
      <w:r w:rsidRPr="00E40868">
        <w:rPr>
          <w:rFonts w:eastAsia="Calibri" w:cs="Arial"/>
        </w:rPr>
        <w:t xml:space="preserve"> et emballages de l’ensemble des œuvres et objets au CCR entre</w:t>
      </w:r>
      <w:r w:rsidRPr="00E40868">
        <w:rPr>
          <w:rFonts w:eastAsia="Calibri" w:cs="Arial"/>
          <w:b/>
        </w:rPr>
        <w:t xml:space="preserve"> le </w:t>
      </w:r>
      <w:r w:rsidR="00DE10FD" w:rsidRPr="00E40868">
        <w:rPr>
          <w:rFonts w:eastAsia="Calibri" w:cs="Arial"/>
          <w:b/>
        </w:rPr>
        <w:t xml:space="preserve">26 </w:t>
      </w:r>
      <w:r w:rsidR="007B7FF3" w:rsidRPr="00E40868">
        <w:rPr>
          <w:rFonts w:eastAsia="Calibri" w:cs="Arial"/>
          <w:b/>
        </w:rPr>
        <w:t xml:space="preserve">et le 30 </w:t>
      </w:r>
      <w:r w:rsidR="00DE10FD" w:rsidRPr="00E40868">
        <w:rPr>
          <w:rFonts w:eastAsia="Calibri" w:cs="Arial"/>
          <w:b/>
        </w:rPr>
        <w:t>octobre</w:t>
      </w:r>
      <w:r w:rsidR="007B7FF3" w:rsidRPr="00E40868">
        <w:rPr>
          <w:rFonts w:eastAsia="Calibri" w:cs="Arial"/>
          <w:b/>
        </w:rPr>
        <w:t xml:space="preserve"> </w:t>
      </w:r>
      <w:r w:rsidRPr="00E40868">
        <w:rPr>
          <w:rFonts w:eastAsia="Calibri" w:cs="Arial"/>
          <w:b/>
        </w:rPr>
        <w:t>2026.</w:t>
      </w:r>
    </w:p>
    <w:p w14:paraId="52C2E0CE" w14:textId="51BAFEFC" w:rsidR="00001073" w:rsidRPr="00E40868" w:rsidRDefault="00001073" w:rsidP="00001073">
      <w:pPr>
        <w:pStyle w:val="Paragraphedeliste"/>
        <w:numPr>
          <w:ilvl w:val="0"/>
          <w:numId w:val="34"/>
        </w:numPr>
        <w:spacing w:line="360" w:lineRule="auto"/>
        <w:rPr>
          <w:rFonts w:eastAsia="Calibri" w:cs="Arial"/>
          <w:color w:val="000000" w:themeColor="text1"/>
        </w:rPr>
      </w:pPr>
      <w:r w:rsidRPr="00E40868">
        <w:rPr>
          <w:rFonts w:eastAsia="Calibri" w:cs="Arial"/>
          <w:color w:val="000000" w:themeColor="text1"/>
        </w:rPr>
        <w:t xml:space="preserve">Transfert entre le CCR et le J4 le </w:t>
      </w:r>
      <w:r w:rsidR="00D70FDE" w:rsidRPr="00E40868">
        <w:rPr>
          <w:rFonts w:eastAsia="Calibri" w:cs="Arial"/>
          <w:color w:val="000000" w:themeColor="text1"/>
        </w:rPr>
        <w:t>2 novembre</w:t>
      </w:r>
      <w:r w:rsidRPr="00E40868">
        <w:rPr>
          <w:rFonts w:eastAsia="Calibri" w:cs="Arial"/>
          <w:color w:val="000000" w:themeColor="text1"/>
        </w:rPr>
        <w:t xml:space="preserve"> 2026</w:t>
      </w:r>
      <w:r w:rsidR="00191748" w:rsidRPr="00E40868">
        <w:rPr>
          <w:rFonts w:eastAsia="Calibri" w:cs="Arial"/>
          <w:color w:val="000000" w:themeColor="text1"/>
        </w:rPr>
        <w:t xml:space="preserve"> des items en provenance de Mayotte</w:t>
      </w:r>
      <w:r w:rsidRPr="00E40868">
        <w:rPr>
          <w:rFonts w:eastAsia="Calibri" w:cs="Arial"/>
          <w:color w:val="000000" w:themeColor="text1"/>
        </w:rPr>
        <w:t>.</w:t>
      </w:r>
    </w:p>
    <w:p w14:paraId="52B29739" w14:textId="06AC2227" w:rsidR="00001073" w:rsidRPr="00E40868" w:rsidRDefault="00001073" w:rsidP="00001073">
      <w:pPr>
        <w:pStyle w:val="Paragraphedeliste"/>
        <w:numPr>
          <w:ilvl w:val="0"/>
          <w:numId w:val="34"/>
        </w:numPr>
        <w:spacing w:line="360" w:lineRule="auto"/>
        <w:rPr>
          <w:rFonts w:eastAsia="Calibri" w:cs="Arial"/>
        </w:rPr>
      </w:pPr>
      <w:r w:rsidRPr="00E40868">
        <w:rPr>
          <w:rFonts w:eastAsia="Calibri" w:cs="Arial"/>
        </w:rPr>
        <w:lastRenderedPageBreak/>
        <w:t xml:space="preserve">Déballage des objets à </w:t>
      </w:r>
      <w:proofErr w:type="spellStart"/>
      <w:r w:rsidRPr="00E40868">
        <w:rPr>
          <w:rFonts w:eastAsia="Calibri" w:cs="Arial"/>
        </w:rPr>
        <w:t>socler</w:t>
      </w:r>
      <w:proofErr w:type="spellEnd"/>
      <w:r w:rsidRPr="00E40868">
        <w:rPr>
          <w:rFonts w:eastAsia="Calibri" w:cs="Arial"/>
        </w:rPr>
        <w:t xml:space="preserve"> au J4 </w:t>
      </w:r>
      <w:r w:rsidR="00A3618E" w:rsidRPr="00E40868">
        <w:rPr>
          <w:rFonts w:eastAsia="Calibri" w:cs="Arial"/>
        </w:rPr>
        <w:t xml:space="preserve">dans les réserves du Mole J4, R-2, </w:t>
      </w:r>
      <w:r w:rsidRPr="00E40868">
        <w:rPr>
          <w:rFonts w:eastAsia="Calibri" w:cs="Arial"/>
        </w:rPr>
        <w:t xml:space="preserve">le </w:t>
      </w:r>
      <w:r w:rsidR="007B7FF3" w:rsidRPr="00E40868">
        <w:rPr>
          <w:rFonts w:eastAsia="Calibri" w:cs="Arial"/>
        </w:rPr>
        <w:t>2 novembre</w:t>
      </w:r>
      <w:r w:rsidRPr="00E40868">
        <w:rPr>
          <w:rFonts w:eastAsia="Calibri" w:cs="Arial"/>
        </w:rPr>
        <w:t xml:space="preserve"> juin 2026</w:t>
      </w:r>
      <w:r w:rsidR="00191748" w:rsidRPr="00E40868">
        <w:rPr>
          <w:rFonts w:eastAsia="Calibri" w:cs="Arial"/>
        </w:rPr>
        <w:t>.</w:t>
      </w:r>
    </w:p>
    <w:p w14:paraId="7A8E74FF" w14:textId="74EEFABB" w:rsidR="00191748" w:rsidRPr="00E40868" w:rsidRDefault="00191748" w:rsidP="00001073">
      <w:pPr>
        <w:pStyle w:val="Paragraphedeliste"/>
        <w:numPr>
          <w:ilvl w:val="0"/>
          <w:numId w:val="34"/>
        </w:numPr>
        <w:spacing w:line="360" w:lineRule="auto"/>
        <w:rPr>
          <w:rFonts w:eastAsia="Calibri" w:cs="Arial"/>
        </w:rPr>
      </w:pPr>
      <w:r w:rsidRPr="00E40868">
        <w:rPr>
          <w:rFonts w:eastAsia="Calibri" w:cs="Arial"/>
          <w:b/>
        </w:rPr>
        <w:t>Emballage des prêts localisés en métropole</w:t>
      </w:r>
      <w:r w:rsidR="007B7FF3" w:rsidRPr="00E40868">
        <w:rPr>
          <w:rFonts w:eastAsia="Calibri" w:cs="Arial"/>
        </w:rPr>
        <w:t xml:space="preserve"> (aux ANOM Aix-en Provence) </w:t>
      </w:r>
      <w:r w:rsidRPr="00E40868">
        <w:rPr>
          <w:rFonts w:eastAsia="Calibri" w:cs="Arial"/>
          <w:b/>
        </w:rPr>
        <w:t xml:space="preserve">la semaine du </w:t>
      </w:r>
      <w:r w:rsidR="007B2725" w:rsidRPr="00E40868">
        <w:rPr>
          <w:rFonts w:eastAsia="Calibri" w:cs="Arial"/>
          <w:b/>
        </w:rPr>
        <w:t xml:space="preserve">2 </w:t>
      </w:r>
      <w:r w:rsidR="007B7FF3" w:rsidRPr="00E40868">
        <w:rPr>
          <w:rFonts w:eastAsia="Calibri" w:cs="Arial"/>
          <w:b/>
        </w:rPr>
        <w:t xml:space="preserve">novembre </w:t>
      </w:r>
      <w:r w:rsidR="007B7FF3" w:rsidRPr="00E40868">
        <w:rPr>
          <w:rFonts w:eastAsia="Calibri" w:cs="Arial"/>
        </w:rPr>
        <w:t>directement dans la salle d’exposition du GHR au FSJ</w:t>
      </w:r>
      <w:r w:rsidRPr="00E40868">
        <w:rPr>
          <w:rFonts w:eastAsia="Calibri" w:cs="Arial"/>
        </w:rPr>
        <w:t>.</w:t>
      </w:r>
    </w:p>
    <w:p w14:paraId="0C02159C" w14:textId="5B2B695D" w:rsidR="006379E6" w:rsidRPr="00E40868" w:rsidRDefault="008F7047" w:rsidP="00992C44">
      <w:pPr>
        <w:numPr>
          <w:ilvl w:val="0"/>
          <w:numId w:val="34"/>
        </w:numPr>
        <w:spacing w:line="360" w:lineRule="auto"/>
        <w:rPr>
          <w:rFonts w:eastAsia="Calibri" w:cs="Arial"/>
        </w:rPr>
      </w:pPr>
      <w:r w:rsidRPr="00E40868">
        <w:rPr>
          <w:rFonts w:eastAsia="Calibri" w:cs="Arial"/>
        </w:rPr>
        <w:t>L</w:t>
      </w:r>
      <w:r w:rsidR="006379E6" w:rsidRPr="00E40868">
        <w:rPr>
          <w:rFonts w:eastAsia="Calibri" w:cs="Arial"/>
        </w:rPr>
        <w:t>ivraison</w:t>
      </w:r>
      <w:r w:rsidR="00BB2FE6" w:rsidRPr="00E40868">
        <w:rPr>
          <w:rFonts w:eastAsia="Calibri" w:cs="Arial"/>
        </w:rPr>
        <w:t xml:space="preserve"> et</w:t>
      </w:r>
      <w:r w:rsidR="006379E6" w:rsidRPr="00E40868">
        <w:rPr>
          <w:rFonts w:eastAsia="Calibri" w:cs="Arial"/>
        </w:rPr>
        <w:t xml:space="preserve"> installation des œuvres et des objets</w:t>
      </w:r>
      <w:r w:rsidR="00A3618E" w:rsidRPr="00E40868">
        <w:rPr>
          <w:rFonts w:eastAsia="Calibri" w:cs="Arial"/>
        </w:rPr>
        <w:t xml:space="preserve"> de l’ensemble de l’exposition (ceux déjà dans les réserves du Môle J4 et ceux chez les prêteurs en métropole)</w:t>
      </w:r>
      <w:r w:rsidR="006379E6" w:rsidRPr="00E40868">
        <w:rPr>
          <w:rFonts w:eastAsia="Calibri" w:cs="Arial"/>
        </w:rPr>
        <w:t xml:space="preserve"> dans les espaces d’exposition du </w:t>
      </w:r>
      <w:r w:rsidR="00001073" w:rsidRPr="00E40868">
        <w:rPr>
          <w:rFonts w:eastAsia="Calibri" w:cs="Arial"/>
        </w:rPr>
        <w:t>FSJ dans la salle du GHR</w:t>
      </w:r>
      <w:r w:rsidRPr="00E40868">
        <w:rPr>
          <w:rFonts w:eastAsia="Calibri" w:cs="Arial"/>
        </w:rPr>
        <w:t> </w:t>
      </w:r>
      <w:r w:rsidR="005D7740" w:rsidRPr="00E40868">
        <w:rPr>
          <w:rFonts w:eastAsia="Calibri" w:cs="Arial"/>
        </w:rPr>
        <w:t xml:space="preserve">et dans les réserves du R-2 au J4 pour certaines œuvres a </w:t>
      </w:r>
      <w:proofErr w:type="spellStart"/>
      <w:r w:rsidR="005D7740" w:rsidRPr="00E40868">
        <w:rPr>
          <w:rFonts w:eastAsia="Calibri" w:cs="Arial"/>
        </w:rPr>
        <w:t>socler</w:t>
      </w:r>
      <w:proofErr w:type="spellEnd"/>
      <w:r w:rsidR="005D7740" w:rsidRPr="00E40868">
        <w:rPr>
          <w:rFonts w:eastAsia="Calibri" w:cs="Arial"/>
        </w:rPr>
        <w:t xml:space="preserve"> </w:t>
      </w:r>
      <w:r w:rsidRPr="00E40868">
        <w:rPr>
          <w:rFonts w:eastAsia="Calibri" w:cs="Arial"/>
        </w:rPr>
        <w:t>:</w:t>
      </w:r>
      <w:r w:rsidR="006379E6" w:rsidRPr="00E40868">
        <w:rPr>
          <w:rFonts w:eastAsia="Calibri" w:cs="Arial"/>
        </w:rPr>
        <w:t xml:space="preserve"> à partir du </w:t>
      </w:r>
      <w:r w:rsidR="003D2824" w:rsidRPr="00E40868">
        <w:rPr>
          <w:rFonts w:eastAsia="Calibri" w:cs="Arial"/>
          <w:b/>
          <w:u w:val="single"/>
        </w:rPr>
        <w:t xml:space="preserve">lundi </w:t>
      </w:r>
      <w:r w:rsidR="007B7FF3" w:rsidRPr="00E40868">
        <w:rPr>
          <w:rFonts w:eastAsia="Calibri" w:cs="Arial"/>
          <w:b/>
          <w:u w:val="single"/>
        </w:rPr>
        <w:t>2 novembre</w:t>
      </w:r>
      <w:r w:rsidR="00BB2FE6" w:rsidRPr="00E40868">
        <w:rPr>
          <w:rFonts w:eastAsia="Calibri" w:cs="Arial"/>
          <w:b/>
          <w:u w:val="single"/>
        </w:rPr>
        <w:t xml:space="preserve"> 2026</w:t>
      </w:r>
      <w:r w:rsidR="005638F1" w:rsidRPr="00E40868">
        <w:rPr>
          <w:rFonts w:eastAsia="Calibri" w:cs="Arial"/>
          <w:b/>
          <w:u w:val="single"/>
        </w:rPr>
        <w:t xml:space="preserve"> </w:t>
      </w:r>
      <w:r w:rsidR="006379E6" w:rsidRPr="00E40868">
        <w:rPr>
          <w:rFonts w:eastAsia="Calibri" w:cs="Arial"/>
          <w:b/>
          <w:u w:val="single"/>
        </w:rPr>
        <w:t xml:space="preserve">jusqu’au vendredi </w:t>
      </w:r>
      <w:r w:rsidR="007B7FF3" w:rsidRPr="00E40868">
        <w:rPr>
          <w:rFonts w:eastAsia="Calibri" w:cs="Arial"/>
          <w:b/>
          <w:u w:val="single"/>
        </w:rPr>
        <w:t>9 novembre 2026</w:t>
      </w:r>
      <w:r w:rsidR="006379E6" w:rsidRPr="00E40868">
        <w:rPr>
          <w:rFonts w:eastAsia="Calibri" w:cs="Arial"/>
        </w:rPr>
        <w:t>.</w:t>
      </w:r>
      <w:r w:rsidR="003D2824" w:rsidRPr="00E40868">
        <w:rPr>
          <w:rFonts w:eastAsia="Calibri" w:cs="Arial"/>
        </w:rPr>
        <w:t xml:space="preserve"> Cette date peut être avancée à la demande du Titulaire suivant l’organisation des transports, </w:t>
      </w:r>
      <w:r w:rsidR="003D2824" w:rsidRPr="00E40868">
        <w:rPr>
          <w:rFonts w:eastAsia="Calibri" w:cs="Arial"/>
          <w:u w:val="single"/>
        </w:rPr>
        <w:t xml:space="preserve">après accord exprès du </w:t>
      </w:r>
      <w:proofErr w:type="spellStart"/>
      <w:r w:rsidR="008D034F" w:rsidRPr="00E40868">
        <w:rPr>
          <w:rFonts w:eastAsia="Calibri" w:cs="Arial"/>
          <w:u w:val="single"/>
        </w:rPr>
        <w:t>Mucem</w:t>
      </w:r>
      <w:proofErr w:type="spellEnd"/>
      <w:r w:rsidR="003D2824" w:rsidRPr="00E40868">
        <w:rPr>
          <w:rFonts w:eastAsia="Calibri" w:cs="Arial"/>
        </w:rPr>
        <w:t>.</w:t>
      </w:r>
    </w:p>
    <w:p w14:paraId="52E52844" w14:textId="737F36CC" w:rsidR="00B62068" w:rsidRPr="00E40868" w:rsidRDefault="00645063" w:rsidP="00992C44">
      <w:pPr>
        <w:numPr>
          <w:ilvl w:val="0"/>
          <w:numId w:val="34"/>
        </w:numPr>
        <w:spacing w:line="360" w:lineRule="auto"/>
        <w:rPr>
          <w:rFonts w:eastAsia="Calibri" w:cs="Arial"/>
        </w:rPr>
      </w:pPr>
      <w:r w:rsidRPr="00E40868">
        <w:rPr>
          <w:rFonts w:eastAsia="Calibri" w:cs="Arial"/>
          <w:b/>
          <w:u w:val="single"/>
        </w:rPr>
        <w:t>R</w:t>
      </w:r>
      <w:r w:rsidR="00B62068" w:rsidRPr="00E40868">
        <w:rPr>
          <w:rFonts w:eastAsia="Calibri" w:cs="Arial"/>
          <w:b/>
          <w:u w:val="single"/>
        </w:rPr>
        <w:t>otation d’œuvre</w:t>
      </w:r>
      <w:r w:rsidRPr="00E40868">
        <w:rPr>
          <w:rFonts w:eastAsia="Calibri" w:cs="Arial"/>
          <w:b/>
          <w:u w:val="single"/>
        </w:rPr>
        <w:t>s n°1</w:t>
      </w:r>
      <w:r w:rsidRPr="00E40868">
        <w:rPr>
          <w:rFonts w:eastAsia="Calibri" w:cs="Arial"/>
        </w:rPr>
        <w:t> : Remballage et restitution des prêts des ANOM et de</w:t>
      </w:r>
      <w:r w:rsidR="00CB547B" w:rsidRPr="00E40868">
        <w:rPr>
          <w:rFonts w:eastAsia="Calibri" w:cs="Arial"/>
        </w:rPr>
        <w:t>s Archives départementales de La Réunion</w:t>
      </w:r>
      <w:r w:rsidR="00B62068" w:rsidRPr="00E40868">
        <w:rPr>
          <w:rFonts w:eastAsia="Calibri" w:cs="Arial"/>
        </w:rPr>
        <w:t xml:space="preserve"> la journée du </w:t>
      </w:r>
      <w:r w:rsidR="00CB547B" w:rsidRPr="00E40868">
        <w:rPr>
          <w:rFonts w:eastAsia="Calibri" w:cs="Arial"/>
        </w:rPr>
        <w:t>mardi 19</w:t>
      </w:r>
      <w:r w:rsidR="00B62068" w:rsidRPr="00E40868">
        <w:rPr>
          <w:rFonts w:eastAsia="Calibri" w:cs="Arial"/>
        </w:rPr>
        <w:t xml:space="preserve"> </w:t>
      </w:r>
      <w:r w:rsidR="00CB547B" w:rsidRPr="00E40868">
        <w:rPr>
          <w:rFonts w:eastAsia="Calibri" w:cs="Arial"/>
        </w:rPr>
        <w:t>Janvier</w:t>
      </w:r>
      <w:r w:rsidR="00B62068" w:rsidRPr="00E40868">
        <w:rPr>
          <w:rFonts w:eastAsia="Calibri" w:cs="Arial"/>
        </w:rPr>
        <w:t xml:space="preserve"> 202</w:t>
      </w:r>
      <w:r w:rsidR="00CB547B" w:rsidRPr="00E40868">
        <w:rPr>
          <w:rFonts w:eastAsia="Calibri" w:cs="Arial"/>
        </w:rPr>
        <w:t>7</w:t>
      </w:r>
      <w:r w:rsidR="00B62068" w:rsidRPr="00E40868">
        <w:rPr>
          <w:rFonts w:eastAsia="Calibri" w:cs="Arial"/>
        </w:rPr>
        <w:t xml:space="preserve">. Les œuvres pour la rotation seront conservées au </w:t>
      </w:r>
      <w:proofErr w:type="spellStart"/>
      <w:r w:rsidR="00B62068" w:rsidRPr="00E40868">
        <w:rPr>
          <w:rFonts w:eastAsia="Calibri" w:cs="Arial"/>
        </w:rPr>
        <w:t>Mucem</w:t>
      </w:r>
      <w:proofErr w:type="spellEnd"/>
      <w:r w:rsidR="00B62068" w:rsidRPr="00E40868">
        <w:rPr>
          <w:rFonts w:eastAsia="Calibri" w:cs="Arial"/>
        </w:rPr>
        <w:t xml:space="preserve"> J4.</w:t>
      </w:r>
    </w:p>
    <w:p w14:paraId="0AC582E9" w14:textId="338BC6C6" w:rsidR="00645063" w:rsidRPr="00E40868" w:rsidRDefault="00CB547B" w:rsidP="00645063">
      <w:pPr>
        <w:numPr>
          <w:ilvl w:val="0"/>
          <w:numId w:val="34"/>
        </w:numPr>
        <w:spacing w:line="360" w:lineRule="auto"/>
        <w:rPr>
          <w:rFonts w:eastAsia="Calibri" w:cs="Arial"/>
        </w:rPr>
      </w:pPr>
      <w:r w:rsidRPr="00E40868">
        <w:rPr>
          <w:rFonts w:eastAsia="Calibri" w:cs="Arial"/>
          <w:b/>
          <w:u w:val="single"/>
        </w:rPr>
        <w:t>Rotation d’œuvres n°2</w:t>
      </w:r>
      <w:r w:rsidR="001E24B1" w:rsidRPr="00E40868">
        <w:rPr>
          <w:rFonts w:eastAsia="Calibri" w:cs="Arial"/>
        </w:rPr>
        <w:t> :</w:t>
      </w:r>
      <w:r w:rsidR="00645063" w:rsidRPr="00E40868">
        <w:rPr>
          <w:rFonts w:eastAsia="Calibri" w:cs="Arial"/>
        </w:rPr>
        <w:t xml:space="preserve"> la journée du 13 avril 202</w:t>
      </w:r>
      <w:r w:rsidRPr="00E40868">
        <w:rPr>
          <w:rFonts w:eastAsia="Calibri" w:cs="Arial"/>
        </w:rPr>
        <w:t>7</w:t>
      </w:r>
      <w:r w:rsidR="00645063" w:rsidRPr="00E40868">
        <w:rPr>
          <w:rFonts w:eastAsia="Calibri" w:cs="Arial"/>
        </w:rPr>
        <w:t xml:space="preserve">. Les œuvres pour la rotation seront conservées au </w:t>
      </w:r>
      <w:proofErr w:type="spellStart"/>
      <w:r w:rsidR="00645063" w:rsidRPr="00E40868">
        <w:rPr>
          <w:rFonts w:eastAsia="Calibri" w:cs="Arial"/>
        </w:rPr>
        <w:t>Mucem</w:t>
      </w:r>
      <w:proofErr w:type="spellEnd"/>
      <w:r w:rsidR="00645063" w:rsidRPr="00E40868">
        <w:rPr>
          <w:rFonts w:eastAsia="Calibri" w:cs="Arial"/>
        </w:rPr>
        <w:t xml:space="preserve"> J4.</w:t>
      </w:r>
      <w:r w:rsidRPr="00E40868">
        <w:rPr>
          <w:rFonts w:eastAsia="Calibri" w:cs="Arial"/>
        </w:rPr>
        <w:t xml:space="preserve"> Pas de transport pour restitution à prévoir. Liste non terminée à ce stade du projet. </w:t>
      </w:r>
    </w:p>
    <w:p w14:paraId="4703AD5B" w14:textId="2B760601" w:rsidR="006379E6" w:rsidRPr="00E40868" w:rsidRDefault="008F7047" w:rsidP="006379E6">
      <w:pPr>
        <w:numPr>
          <w:ilvl w:val="0"/>
          <w:numId w:val="34"/>
        </w:numPr>
        <w:spacing w:line="276" w:lineRule="auto"/>
        <w:rPr>
          <w:rFonts w:eastAsia="Calibri" w:cs="Arial"/>
          <w:b/>
        </w:rPr>
      </w:pPr>
      <w:r w:rsidRPr="00E40868">
        <w:rPr>
          <w:rFonts w:eastAsia="Calibri" w:cs="Arial"/>
        </w:rPr>
        <w:t>D</w:t>
      </w:r>
      <w:r w:rsidR="006379E6" w:rsidRPr="00E40868">
        <w:rPr>
          <w:rFonts w:eastAsia="Calibri" w:cs="Arial"/>
        </w:rPr>
        <w:t xml:space="preserve">écrochage et remballage des œuvres et des objets dans les espaces d’exposition du </w:t>
      </w:r>
      <w:r w:rsidR="00BB2FE6" w:rsidRPr="00E40868">
        <w:rPr>
          <w:rFonts w:eastAsia="Calibri" w:cs="Arial"/>
        </w:rPr>
        <w:t>FSJ, salle du GHR</w:t>
      </w:r>
      <w:r w:rsidRPr="00E40868">
        <w:rPr>
          <w:rFonts w:eastAsia="Calibri" w:cs="Arial"/>
        </w:rPr>
        <w:t> :</w:t>
      </w:r>
      <w:r w:rsidR="006379E6" w:rsidRPr="00E40868">
        <w:rPr>
          <w:rFonts w:eastAsia="Calibri" w:cs="Arial"/>
        </w:rPr>
        <w:t xml:space="preserve"> à partir </w:t>
      </w:r>
      <w:r w:rsidR="006379E6" w:rsidRPr="00E40868">
        <w:rPr>
          <w:rFonts w:eastAsia="Calibri" w:cs="Arial"/>
          <w:b/>
        </w:rPr>
        <w:t xml:space="preserve">du </w:t>
      </w:r>
      <w:r w:rsidR="00BB2FE6" w:rsidRPr="00E40868">
        <w:rPr>
          <w:rFonts w:eastAsia="Calibri" w:cs="Arial"/>
          <w:b/>
        </w:rPr>
        <w:t>lundi 1</w:t>
      </w:r>
      <w:r w:rsidR="00B62068" w:rsidRPr="00E40868">
        <w:rPr>
          <w:rFonts w:eastAsia="Calibri" w:cs="Arial"/>
          <w:b/>
        </w:rPr>
        <w:t>8 octobre au vendredi 22 octobre 202</w:t>
      </w:r>
      <w:r w:rsidR="00CB547B" w:rsidRPr="00E40868">
        <w:rPr>
          <w:rFonts w:eastAsia="Calibri" w:cs="Arial"/>
          <w:b/>
        </w:rPr>
        <w:t>7</w:t>
      </w:r>
      <w:r w:rsidR="006379E6" w:rsidRPr="00E40868">
        <w:rPr>
          <w:rFonts w:eastAsia="Calibri" w:cs="Arial"/>
          <w:b/>
        </w:rPr>
        <w:t>.</w:t>
      </w:r>
      <w:r w:rsidR="003D2824" w:rsidRPr="00E40868">
        <w:rPr>
          <w:rFonts w:eastAsia="Calibri" w:cs="Arial"/>
          <w:b/>
        </w:rPr>
        <w:t xml:space="preserve"> </w:t>
      </w:r>
      <w:r w:rsidR="003D2824" w:rsidRPr="00E40868">
        <w:rPr>
          <w:rFonts w:eastAsia="Calibri" w:cs="Arial"/>
        </w:rPr>
        <w:t xml:space="preserve">Cette date peut être avancée à la demande du Titulaire suivant l’organisation des transports, </w:t>
      </w:r>
      <w:r w:rsidR="003D2824" w:rsidRPr="00E40868">
        <w:rPr>
          <w:rFonts w:eastAsia="Calibri" w:cs="Arial"/>
          <w:u w:val="single"/>
        </w:rPr>
        <w:t xml:space="preserve">après accord exprès du </w:t>
      </w:r>
      <w:proofErr w:type="spellStart"/>
      <w:r w:rsidR="008D034F" w:rsidRPr="00E40868">
        <w:rPr>
          <w:rFonts w:eastAsia="Calibri" w:cs="Arial"/>
          <w:u w:val="single"/>
        </w:rPr>
        <w:t>Mucem</w:t>
      </w:r>
      <w:proofErr w:type="spellEnd"/>
      <w:r w:rsidR="003D2824" w:rsidRPr="00E40868">
        <w:rPr>
          <w:rFonts w:eastAsia="Calibri" w:cs="Arial"/>
        </w:rPr>
        <w:t>.</w:t>
      </w:r>
    </w:p>
    <w:p w14:paraId="69D11972" w14:textId="12FAAFB8" w:rsidR="005D7740" w:rsidRPr="00E40868" w:rsidRDefault="005D7740" w:rsidP="006379E6">
      <w:pPr>
        <w:numPr>
          <w:ilvl w:val="0"/>
          <w:numId w:val="34"/>
        </w:numPr>
        <w:spacing w:line="276" w:lineRule="auto"/>
        <w:rPr>
          <w:rFonts w:eastAsia="Calibri" w:cs="Arial"/>
        </w:rPr>
      </w:pPr>
      <w:r w:rsidRPr="00E40868">
        <w:rPr>
          <w:rFonts w:eastAsia="Calibri" w:cs="Arial"/>
          <w:b/>
        </w:rPr>
        <w:t xml:space="preserve">Transport retour </w:t>
      </w:r>
      <w:r w:rsidRPr="00E40868">
        <w:rPr>
          <w:rFonts w:eastAsia="Calibri" w:cs="Arial"/>
        </w:rPr>
        <w:t>à partir du vendredi 22 Octobre 2026.</w:t>
      </w:r>
    </w:p>
    <w:p w14:paraId="731E51EC" w14:textId="283888FE" w:rsidR="006379E6" w:rsidRPr="00E40868" w:rsidRDefault="006379E6" w:rsidP="006379E6">
      <w:pPr>
        <w:spacing w:before="100" w:beforeAutospacing="1" w:after="0"/>
      </w:pPr>
      <w:r w:rsidRPr="00E40868">
        <w:rPr>
          <w:rFonts w:cs="Arial"/>
        </w:rPr>
        <w:t xml:space="preserve">Un planning plus précis </w:t>
      </w:r>
      <w:r w:rsidR="00904C75" w:rsidRPr="00E40868">
        <w:rPr>
          <w:rFonts w:cs="Arial"/>
        </w:rPr>
        <w:t xml:space="preserve">pourra être </w:t>
      </w:r>
      <w:r w:rsidRPr="00E40868">
        <w:rPr>
          <w:rFonts w:cs="Arial"/>
        </w:rPr>
        <w:t>transmis au Titulaire a</w:t>
      </w:r>
      <w:r w:rsidRPr="00E40868">
        <w:t>près la notification du Marché</w:t>
      </w:r>
      <w:r w:rsidR="0071727B" w:rsidRPr="00E40868">
        <w:t xml:space="preserve"> Subséquent</w:t>
      </w:r>
      <w:r w:rsidR="003D2824" w:rsidRPr="00E40868">
        <w:t>.</w:t>
      </w:r>
    </w:p>
    <w:p w14:paraId="7147248F" w14:textId="3A21F65A" w:rsidR="008F7047" w:rsidRPr="00E40868" w:rsidRDefault="008F7047" w:rsidP="008F7047">
      <w:pPr>
        <w:pStyle w:val="Titre1"/>
      </w:pPr>
      <w:bookmarkStart w:id="35" w:name="_Toc333412606"/>
      <w:bookmarkStart w:id="36" w:name="_Toc215675472"/>
      <w:bookmarkStart w:id="37" w:name="_Ref406054798"/>
      <w:bookmarkStart w:id="38" w:name="_Ref406054834"/>
      <w:bookmarkStart w:id="39" w:name="_Toc251755489"/>
      <w:bookmarkStart w:id="40" w:name="_Toc251755565"/>
      <w:bookmarkStart w:id="41" w:name="_Toc251761086"/>
      <w:bookmarkStart w:id="42" w:name="_Toc295160971"/>
      <w:bookmarkStart w:id="43" w:name="_Toc295312929"/>
      <w:bookmarkStart w:id="44" w:name="_Toc237763167"/>
      <w:bookmarkEnd w:id="29"/>
      <w:bookmarkEnd w:id="30"/>
      <w:r w:rsidRPr="00E40868">
        <w:t xml:space="preserve">Présentation </w:t>
      </w:r>
      <w:bookmarkEnd w:id="35"/>
      <w:r w:rsidRPr="00E40868">
        <w:t>de l’exposition</w:t>
      </w:r>
      <w:r w:rsidR="00795C89" w:rsidRPr="00E40868">
        <w:t xml:space="preserve"> – objets et œuvres concernées</w:t>
      </w:r>
      <w:bookmarkEnd w:id="36"/>
    </w:p>
    <w:p w14:paraId="4F326581" w14:textId="01652E3B" w:rsidR="005F2E86" w:rsidRPr="00E40868" w:rsidRDefault="0072735A" w:rsidP="005F2E86">
      <w:pPr>
        <w:rPr>
          <w:rFonts w:cs="Arial"/>
        </w:rPr>
      </w:pPr>
      <w:r w:rsidRPr="00E40868">
        <w:rPr>
          <w:rFonts w:cs="Arial"/>
        </w:rPr>
        <w:t xml:space="preserve">Titre : </w:t>
      </w:r>
      <w:r w:rsidR="005F2E86" w:rsidRPr="00E40868">
        <w:rPr>
          <w:rFonts w:cs="Arial"/>
        </w:rPr>
        <w:t>Mayotte, à la rencontre des mondes</w:t>
      </w:r>
    </w:p>
    <w:p w14:paraId="59299C33" w14:textId="77777777" w:rsidR="005F2E86" w:rsidRPr="00E40868" w:rsidRDefault="005F2E86" w:rsidP="005F2E86">
      <w:pPr>
        <w:rPr>
          <w:rFonts w:cs="Arial"/>
        </w:rPr>
      </w:pPr>
      <w:r w:rsidRPr="00E40868">
        <w:rPr>
          <w:rFonts w:cs="Arial"/>
        </w:rPr>
        <w:t xml:space="preserve">Le </w:t>
      </w:r>
      <w:proofErr w:type="spellStart"/>
      <w:r w:rsidRPr="00E40868">
        <w:rPr>
          <w:rFonts w:cs="Arial"/>
        </w:rPr>
        <w:t>Mucem</w:t>
      </w:r>
      <w:proofErr w:type="spellEnd"/>
      <w:r w:rsidRPr="00E40868">
        <w:rPr>
          <w:rFonts w:cs="Arial"/>
        </w:rPr>
        <w:t xml:space="preserve"> dévoile une exposition inédite consacrée à Mayotte, cette île méconnue de l’Hexagone, située à plus de 7000 kilomètres, au cœur de la zone </w:t>
      </w:r>
      <w:proofErr w:type="spellStart"/>
      <w:r w:rsidRPr="00E40868">
        <w:rPr>
          <w:rFonts w:cs="Arial"/>
        </w:rPr>
        <w:t>indo-pacifique</w:t>
      </w:r>
      <w:proofErr w:type="spellEnd"/>
      <w:r w:rsidRPr="00E40868">
        <w:rPr>
          <w:rFonts w:cs="Arial"/>
        </w:rPr>
        <w:t>. Terre de contrastes et de métissages, Mayotte se révèle comme un véritable carrefour culturel, un lieu de rencontres multiples – parfois conflictuelles, souvent fécondes.</w:t>
      </w:r>
    </w:p>
    <w:p w14:paraId="6266F936" w14:textId="4D068406" w:rsidR="00A63C1E" w:rsidRPr="00E40868" w:rsidRDefault="00A63C1E" w:rsidP="005F2E86">
      <w:r w:rsidRPr="00E40868">
        <w:t xml:space="preserve">À travers objets de la vie quotidienne, musiques, récits et œuvres d’art, cette exposition propose un voyage sensible et inspirant au cœur du patrimoine mahorais, naturel comme culturel. </w:t>
      </w:r>
    </w:p>
    <w:p w14:paraId="72FAF12A" w14:textId="7C1A942B" w:rsidR="005F2E86" w:rsidRPr="00E40868" w:rsidRDefault="005F2E86" w:rsidP="005F2E86">
      <w:r w:rsidRPr="00E40868">
        <w:t xml:space="preserve">La réflexion sur cet espace naturel et culturel exceptionnel et son devenir est l'enjeu de l'unique musée de Mayotte, inauguré en septembre 2015, qui devrait </w:t>
      </w:r>
      <w:proofErr w:type="spellStart"/>
      <w:r w:rsidRPr="00E40868">
        <w:t>ré-ouvrir</w:t>
      </w:r>
      <w:proofErr w:type="spellEnd"/>
      <w:r w:rsidRPr="00E40868">
        <w:t xml:space="preserve"> en 2027, après sa fermeture en 2020 à la suite des séismes.</w:t>
      </w:r>
    </w:p>
    <w:p w14:paraId="4F4D1B06" w14:textId="134634E2" w:rsidR="005F2E86" w:rsidRPr="00E40868" w:rsidRDefault="005F2E86" w:rsidP="005F2E86">
      <w:pPr>
        <w:spacing w:after="100" w:afterAutospacing="1"/>
        <w:rPr>
          <w:rFonts w:cs="Arial"/>
        </w:rPr>
      </w:pPr>
      <w:r w:rsidRPr="00E40868">
        <w:rPr>
          <w:rFonts w:cs="Arial"/>
        </w:rPr>
        <w:t xml:space="preserve">Après les terrifiants essaims de séismes dus à l'apparition, dans l'Océan proche, du </w:t>
      </w:r>
      <w:proofErr w:type="spellStart"/>
      <w:r w:rsidRPr="00E40868">
        <w:rPr>
          <w:rFonts w:cs="Arial"/>
        </w:rPr>
        <w:t>Fani</w:t>
      </w:r>
      <w:proofErr w:type="spellEnd"/>
      <w:r w:rsidRPr="00E40868">
        <w:rPr>
          <w:rFonts w:cs="Arial"/>
        </w:rPr>
        <w:t xml:space="preserve"> </w:t>
      </w:r>
      <w:proofErr w:type="spellStart"/>
      <w:r w:rsidRPr="00E40868">
        <w:rPr>
          <w:rFonts w:cs="Arial"/>
        </w:rPr>
        <w:t>Maore</w:t>
      </w:r>
      <w:proofErr w:type="spellEnd"/>
      <w:r w:rsidRPr="00E40868">
        <w:rPr>
          <w:rFonts w:cs="Arial"/>
        </w:rPr>
        <w:t>, plus jeune volcan du monde, et après les récentes épreuves cycloniques (</w:t>
      </w:r>
      <w:proofErr w:type="spellStart"/>
      <w:r w:rsidRPr="00E40868">
        <w:rPr>
          <w:rFonts w:cs="Arial"/>
        </w:rPr>
        <w:t>Chido</w:t>
      </w:r>
      <w:proofErr w:type="spellEnd"/>
      <w:r w:rsidRPr="00E40868">
        <w:rPr>
          <w:rFonts w:cs="Arial"/>
        </w:rPr>
        <w:t xml:space="preserve">, </w:t>
      </w:r>
      <w:proofErr w:type="spellStart"/>
      <w:r w:rsidRPr="00E40868">
        <w:rPr>
          <w:rFonts w:cs="Arial"/>
        </w:rPr>
        <w:t>Dikilédi</w:t>
      </w:r>
      <w:proofErr w:type="spellEnd"/>
      <w:r w:rsidRPr="00E40868">
        <w:rPr>
          <w:rFonts w:cs="Arial"/>
        </w:rPr>
        <w:t>), exposer à Marseille est un exercice de passion impliquée, un engagement pour mettre à l’honneur une société et une culture trop peu connues. Cette exposition, après Marseille, sera présentée au public de Mayotte à Dzaoudzi.</w:t>
      </w:r>
    </w:p>
    <w:p w14:paraId="41A83F7E" w14:textId="3A42598D" w:rsidR="008F7047" w:rsidRPr="00E40868" w:rsidRDefault="008F7047" w:rsidP="008F7047">
      <w:r w:rsidRPr="00E40868">
        <w:rPr>
          <w:rFonts w:cs="Arial"/>
        </w:rPr>
        <w:t xml:space="preserve">L’exposition sera présentée à Marseille, sur le site du </w:t>
      </w:r>
      <w:r w:rsidR="005F2E86" w:rsidRPr="00E40868">
        <w:rPr>
          <w:rFonts w:cs="Arial"/>
        </w:rPr>
        <w:t>GHR</w:t>
      </w:r>
      <w:r w:rsidRPr="00E40868">
        <w:rPr>
          <w:rFonts w:cs="Arial"/>
        </w:rPr>
        <w:t xml:space="preserve">, où elle occupera un plateau de </w:t>
      </w:r>
      <w:r w:rsidR="005F2E86" w:rsidRPr="00E40868">
        <w:rPr>
          <w:rFonts w:cs="Arial"/>
        </w:rPr>
        <w:t>3</w:t>
      </w:r>
      <w:r w:rsidRPr="00E40868">
        <w:rPr>
          <w:rFonts w:cs="Arial"/>
        </w:rPr>
        <w:t>00 m2.</w:t>
      </w:r>
    </w:p>
    <w:p w14:paraId="364712BA" w14:textId="569CADDC" w:rsidR="002B0058" w:rsidRPr="0072735A" w:rsidRDefault="002B0058" w:rsidP="002B0058">
      <w:pPr>
        <w:spacing w:after="100" w:afterAutospacing="1"/>
        <w:rPr>
          <w:rFonts w:cs="Arial"/>
        </w:rPr>
      </w:pPr>
      <w:r w:rsidRPr="00E40868">
        <w:rPr>
          <w:rFonts w:cs="Arial"/>
        </w:rPr>
        <w:t xml:space="preserve">L’exposition montrera des </w:t>
      </w:r>
      <w:r w:rsidRPr="00E40868">
        <w:rPr>
          <w:rFonts w:cs="Arial"/>
          <w:b/>
        </w:rPr>
        <w:t>œuvres issues de collections privées</w:t>
      </w:r>
      <w:r w:rsidRPr="00E40868">
        <w:rPr>
          <w:rFonts w:cs="Arial"/>
        </w:rPr>
        <w:t xml:space="preserve"> (particuliers), de </w:t>
      </w:r>
      <w:r w:rsidRPr="00E40868">
        <w:rPr>
          <w:rFonts w:cs="Arial"/>
          <w:b/>
        </w:rPr>
        <w:t>collections publiques</w:t>
      </w:r>
      <w:r w:rsidRPr="00E40868">
        <w:rPr>
          <w:rFonts w:cs="Arial"/>
        </w:rPr>
        <w:t xml:space="preserve"> (nationales et/ou internationales)</w:t>
      </w:r>
      <w:r w:rsidR="004D7F5D" w:rsidRPr="00E40868">
        <w:rPr>
          <w:rFonts w:cs="Arial"/>
        </w:rPr>
        <w:t>.</w:t>
      </w:r>
    </w:p>
    <w:p w14:paraId="7CE03265" w14:textId="77777777" w:rsidR="004D7F5D" w:rsidRDefault="004D7F5D" w:rsidP="005F2E86">
      <w:pPr>
        <w:spacing w:after="100" w:afterAutospacing="1"/>
        <w:rPr>
          <w:rFonts w:cs="Arial"/>
        </w:rPr>
      </w:pPr>
      <w:r>
        <w:rPr>
          <w:rFonts w:cs="Arial"/>
        </w:rPr>
        <w:t>L</w:t>
      </w:r>
      <w:r w:rsidR="005F2E86" w:rsidRPr="005F2E86">
        <w:rPr>
          <w:rFonts w:cs="Arial"/>
        </w:rPr>
        <w:t>es œuvres majeures</w:t>
      </w:r>
      <w:r>
        <w:rPr>
          <w:rFonts w:cs="Arial"/>
        </w:rPr>
        <w:t xml:space="preserve"> du </w:t>
      </w:r>
      <w:proofErr w:type="spellStart"/>
      <w:r>
        <w:rPr>
          <w:rFonts w:cs="Arial"/>
        </w:rPr>
        <w:t>MuMA</w:t>
      </w:r>
      <w:proofErr w:type="spellEnd"/>
      <w:r w:rsidR="005F2E86" w:rsidRPr="005F2E86">
        <w:rPr>
          <w:rFonts w:cs="Arial"/>
        </w:rPr>
        <w:t xml:space="preserve"> sont le squelette complet d’un jeune cachalot femelle (objet emblématique pour les visiteurs de Mayotte au musée de Dzaoudzi), une chaise à porteur (l’abolition de l’esclavage a été déclarée dans l’archipel en 1846, bien plus tôt que dans les autres territoires français ultramarins). </w:t>
      </w:r>
    </w:p>
    <w:p w14:paraId="37FC2909" w14:textId="00030357" w:rsidR="004D7F5D" w:rsidRDefault="005F2E86" w:rsidP="005F2E86">
      <w:pPr>
        <w:spacing w:after="100" w:afterAutospacing="1"/>
        <w:rPr>
          <w:rFonts w:cs="Arial"/>
        </w:rPr>
      </w:pPr>
      <w:r w:rsidRPr="005F2E86">
        <w:rPr>
          <w:rFonts w:cs="Arial"/>
        </w:rPr>
        <w:t xml:space="preserve">Des collections archéologiques tels les colliers en perles de verre découverts en contexte funéraire, des morceaux de cristal de roche de </w:t>
      </w:r>
      <w:proofErr w:type="spellStart"/>
      <w:r w:rsidRPr="005F2E86">
        <w:rPr>
          <w:rFonts w:cs="Arial"/>
        </w:rPr>
        <w:t>Dembeni</w:t>
      </w:r>
      <w:proofErr w:type="spellEnd"/>
      <w:r w:rsidRPr="005F2E86">
        <w:rPr>
          <w:rFonts w:cs="Arial"/>
        </w:rPr>
        <w:t xml:space="preserve"> provenant de Madagascar, des objets familiers évoquant la splendeur colorée des vêtements féminins (</w:t>
      </w:r>
      <w:proofErr w:type="spellStart"/>
      <w:r w:rsidRPr="005F2E86">
        <w:rPr>
          <w:rFonts w:cs="Arial"/>
        </w:rPr>
        <w:t>saluva</w:t>
      </w:r>
      <w:proofErr w:type="spellEnd"/>
      <w:r w:rsidRPr="005F2E86">
        <w:rPr>
          <w:rFonts w:cs="Arial"/>
        </w:rPr>
        <w:t xml:space="preserve"> et </w:t>
      </w:r>
      <w:proofErr w:type="spellStart"/>
      <w:r w:rsidRPr="005F2E86">
        <w:rPr>
          <w:rFonts w:cs="Arial"/>
        </w:rPr>
        <w:t>kishali</w:t>
      </w:r>
      <w:proofErr w:type="spellEnd"/>
      <w:r w:rsidRPr="005F2E86">
        <w:rPr>
          <w:rFonts w:cs="Arial"/>
        </w:rPr>
        <w:t xml:space="preserve">), la pêche au </w:t>
      </w:r>
      <w:proofErr w:type="spellStart"/>
      <w:r w:rsidRPr="005F2E86">
        <w:rPr>
          <w:rFonts w:cs="Arial"/>
        </w:rPr>
        <w:t>djarifa</w:t>
      </w:r>
      <w:proofErr w:type="spellEnd"/>
      <w:r w:rsidRPr="005F2E86">
        <w:rPr>
          <w:rFonts w:cs="Arial"/>
        </w:rPr>
        <w:t>, d’autres évoquant la navigation dans le canal du Mozambique (maquettes de boutres). Des œuvres contemporaines (photos, tableaux et vidéos</w:t>
      </w:r>
      <w:r w:rsidR="004D7F5D">
        <w:rPr>
          <w:rFonts w:cs="Arial"/>
        </w:rPr>
        <w:t xml:space="preserve">) </w:t>
      </w:r>
      <w:r w:rsidRPr="005F2E86">
        <w:rPr>
          <w:rFonts w:cs="Arial"/>
        </w:rPr>
        <w:t xml:space="preserve">complèteront </w:t>
      </w:r>
      <w:r w:rsidR="004D7F5D">
        <w:rPr>
          <w:rFonts w:cs="Arial"/>
        </w:rPr>
        <w:t>l’</w:t>
      </w:r>
      <w:r w:rsidRPr="005F2E86">
        <w:rPr>
          <w:rFonts w:cs="Arial"/>
        </w:rPr>
        <w:t>exposition</w:t>
      </w:r>
      <w:r w:rsidR="004D7F5D">
        <w:rPr>
          <w:rFonts w:cs="Arial"/>
        </w:rPr>
        <w:t>.</w:t>
      </w:r>
    </w:p>
    <w:p w14:paraId="1DDC4695" w14:textId="0DB9EDC1" w:rsidR="00C619BE" w:rsidRPr="00C619BE" w:rsidRDefault="002B0058" w:rsidP="001606F1">
      <w:pPr>
        <w:spacing w:before="100" w:beforeAutospacing="1" w:after="100" w:afterAutospacing="1"/>
      </w:pPr>
      <w:r w:rsidRPr="002B0058">
        <w:rPr>
          <w:rFonts w:cs="Arial"/>
        </w:rPr>
        <w:lastRenderedPageBreak/>
        <w:t xml:space="preserve">La liste des œuvres figure </w:t>
      </w:r>
      <w:r w:rsidRPr="002B0058">
        <w:rPr>
          <w:rFonts w:cs="Arial"/>
          <w:b/>
          <w:i/>
          <w:color w:val="595959"/>
        </w:rPr>
        <w:t xml:space="preserve">en </w:t>
      </w:r>
      <w:r>
        <w:rPr>
          <w:rFonts w:cs="Arial"/>
          <w:b/>
          <w:i/>
          <w:color w:val="595959"/>
        </w:rPr>
        <w:t xml:space="preserve">annexe 2 </w:t>
      </w:r>
      <w:r w:rsidRPr="002B0058">
        <w:rPr>
          <w:rFonts w:cs="Arial"/>
          <w:b/>
          <w:i/>
          <w:color w:val="595959"/>
        </w:rPr>
        <w:t xml:space="preserve">du </w:t>
      </w:r>
      <w:r w:rsidR="00992C44">
        <w:rPr>
          <w:rFonts w:cs="Arial"/>
          <w:b/>
          <w:i/>
          <w:color w:val="595959"/>
        </w:rPr>
        <w:t xml:space="preserve">présent </w:t>
      </w:r>
      <w:r w:rsidRPr="002B0058">
        <w:rPr>
          <w:rFonts w:cs="Arial"/>
          <w:b/>
          <w:i/>
          <w:color w:val="595959"/>
        </w:rPr>
        <w:t>CC</w:t>
      </w:r>
      <w:r w:rsidR="00BF34E5">
        <w:rPr>
          <w:rFonts w:cs="Arial"/>
          <w:b/>
          <w:i/>
          <w:color w:val="595959"/>
        </w:rPr>
        <w:t>P</w:t>
      </w:r>
      <w:r w:rsidR="00992C44">
        <w:rPr>
          <w:rFonts w:cs="Arial"/>
        </w:rPr>
        <w:t>.</w:t>
      </w:r>
    </w:p>
    <w:p w14:paraId="3332668C" w14:textId="46E03CF9" w:rsidR="000F5FDA" w:rsidRDefault="000F5FDA" w:rsidP="00AA1285">
      <w:pPr>
        <w:pStyle w:val="Titre1"/>
      </w:pPr>
      <w:bookmarkStart w:id="45" w:name="_Toc215675473"/>
      <w:r>
        <w:t>Description des Prestations</w:t>
      </w:r>
      <w:bookmarkEnd w:id="37"/>
      <w:bookmarkEnd w:id="38"/>
      <w:bookmarkEnd w:id="45"/>
    </w:p>
    <w:p w14:paraId="4E8FC241" w14:textId="5ECD1F35" w:rsidR="00D0642B" w:rsidRPr="00C665D1" w:rsidRDefault="00D0642B" w:rsidP="00D0642B">
      <w:bookmarkStart w:id="46" w:name="_Ref343425123"/>
      <w:bookmarkStart w:id="47" w:name="_Toc369873191"/>
      <w:r>
        <w:t xml:space="preserve">Le présent Marché Subséquent comprend une </w:t>
      </w:r>
      <w:r w:rsidRPr="00BD6D63">
        <w:rPr>
          <w:b/>
        </w:rPr>
        <w:t>part à prix forfaitaire</w:t>
      </w:r>
      <w:r>
        <w:t xml:space="preserve"> </w:t>
      </w:r>
      <w:r w:rsidRPr="00A1386C">
        <w:t>ne</w:t>
      </w:r>
      <w:r w:rsidR="00992C44" w:rsidRPr="00A1386C">
        <w:t xml:space="preserve"> nécessitant pas l’émission de bon de c</w:t>
      </w:r>
      <w:r w:rsidRPr="00A1386C">
        <w:t xml:space="preserve">ommande une </w:t>
      </w:r>
      <w:r w:rsidRPr="00A1386C">
        <w:rPr>
          <w:b/>
        </w:rPr>
        <w:t>part à prix unitaires</w:t>
      </w:r>
      <w:r w:rsidRPr="00A1386C">
        <w:t xml:space="preserve"> impliquant </w:t>
      </w:r>
      <w:r w:rsidR="00992C44" w:rsidRPr="00A1386C">
        <w:t>l’émission d’un bon</w:t>
      </w:r>
      <w:r w:rsidR="00992C44">
        <w:t xml:space="preserve"> de c</w:t>
      </w:r>
      <w:r>
        <w:t>ommande</w:t>
      </w:r>
      <w:r w:rsidR="00992C44">
        <w:t>.</w:t>
      </w:r>
    </w:p>
    <w:p w14:paraId="1DF0559A" w14:textId="4AB071D3" w:rsidR="00C665D1" w:rsidRDefault="00C665D1" w:rsidP="009C475A">
      <w:pPr>
        <w:pStyle w:val="Titre2"/>
      </w:pPr>
      <w:bookmarkStart w:id="48" w:name="_Ref456091182"/>
      <w:bookmarkStart w:id="49" w:name="_Ref456091254"/>
      <w:bookmarkStart w:id="50" w:name="_Toc215675474"/>
      <w:r>
        <w:t xml:space="preserve">Prestations </w:t>
      </w:r>
      <w:r w:rsidR="00BD6D63">
        <w:t xml:space="preserve">à prix </w:t>
      </w:r>
      <w:r>
        <w:t>forfaitaire</w:t>
      </w:r>
      <w:bookmarkEnd w:id="46"/>
      <w:bookmarkEnd w:id="47"/>
      <w:bookmarkEnd w:id="48"/>
      <w:bookmarkEnd w:id="49"/>
      <w:bookmarkEnd w:id="50"/>
    </w:p>
    <w:p w14:paraId="252225FD" w14:textId="5DCBFF4C" w:rsidR="00C665D1" w:rsidRPr="00226EE4" w:rsidRDefault="00C665D1" w:rsidP="004E1B4C">
      <w:r w:rsidRPr="00226EE4">
        <w:t xml:space="preserve">Les </w:t>
      </w:r>
      <w:r>
        <w:t>Prestations</w:t>
      </w:r>
      <w:r w:rsidRPr="00226EE4">
        <w:t xml:space="preserve"> comprennent</w:t>
      </w:r>
      <w:r>
        <w:t xml:space="preserve"> notamment</w:t>
      </w:r>
      <w:r w:rsidR="00CF27F7">
        <w:t xml:space="preserve">, </w:t>
      </w:r>
      <w:r w:rsidR="00CF27F7" w:rsidRPr="00CF27F7">
        <w:rPr>
          <w:color w:val="FF0000"/>
        </w:rPr>
        <w:t>à la fois lors du montage et du démontage et des rotations intermédiaires</w:t>
      </w:r>
      <w:r w:rsidR="00CF27F7">
        <w:t xml:space="preserve"> </w:t>
      </w:r>
      <w:r w:rsidRPr="00226EE4">
        <w:t>:</w:t>
      </w:r>
    </w:p>
    <w:p w14:paraId="4D8BEF60" w14:textId="77777777" w:rsidR="001606F1" w:rsidRPr="00EE00D8" w:rsidRDefault="001606F1" w:rsidP="001606F1">
      <w:pPr>
        <w:pStyle w:val="Listepuces"/>
      </w:pPr>
      <w:bookmarkStart w:id="51" w:name="_Ref406063476"/>
      <w:r w:rsidRPr="00EE00D8">
        <w:rPr>
          <w:b/>
        </w:rPr>
        <w:t>Aller-voir</w:t>
      </w:r>
      <w:r w:rsidRPr="00EE00D8">
        <w:t xml:space="preserve"> des œuvres / définition des conditions d’enlèvement, du type d’emballage et </w:t>
      </w:r>
      <w:r>
        <w:t>de conditionnement</w:t>
      </w:r>
    </w:p>
    <w:p w14:paraId="0C6B01EE" w14:textId="7AF2A3B1" w:rsidR="001606F1" w:rsidRPr="00EE00D8" w:rsidRDefault="001606F1" w:rsidP="001606F1">
      <w:pPr>
        <w:pStyle w:val="Listepuces"/>
      </w:pPr>
      <w:r w:rsidRPr="00406106">
        <w:rPr>
          <w:b/>
        </w:rPr>
        <w:t>Fabrication de caisses et/ou d’emballage</w:t>
      </w:r>
      <w:r>
        <w:rPr>
          <w:b/>
        </w:rPr>
        <w:t>s</w:t>
      </w:r>
      <w:r w:rsidRPr="00EE00D8">
        <w:t xml:space="preserve"> de protection (conformément aux exigences mentionnées </w:t>
      </w:r>
      <w:r w:rsidRPr="00406106">
        <w:rPr>
          <w:b/>
          <w:i/>
          <w:color w:val="595959" w:themeColor="text1" w:themeTint="A6"/>
        </w:rPr>
        <w:t>en Annexe 2 du CCTPI</w:t>
      </w:r>
      <w:r w:rsidR="00D0642B">
        <w:rPr>
          <w:b/>
          <w:i/>
          <w:color w:val="595959" w:themeColor="text1" w:themeTint="A6"/>
        </w:rPr>
        <w:t xml:space="preserve"> de l’Accord-Cadre</w:t>
      </w:r>
      <w:r w:rsidRPr="00EE00D8">
        <w:t xml:space="preserve">) : </w:t>
      </w:r>
      <w:r>
        <w:t>f</w:t>
      </w:r>
      <w:r w:rsidRPr="00B2517A">
        <w:t>ourniture et réalisation par du personnel qualifié de tout emballage et conditionnement en ma</w:t>
      </w:r>
      <w:r>
        <w:t>tériaux de qualité</w:t>
      </w:r>
    </w:p>
    <w:p w14:paraId="0035C8F4" w14:textId="77777777" w:rsidR="001606F1" w:rsidRPr="00EE00D8" w:rsidRDefault="001606F1" w:rsidP="001606F1">
      <w:pPr>
        <w:pStyle w:val="Listepuces"/>
      </w:pPr>
      <w:r w:rsidRPr="00EE00D8">
        <w:rPr>
          <w:b/>
        </w:rPr>
        <w:t>Livraison des caisses vides et/ou des emballages</w:t>
      </w:r>
      <w:r w:rsidRPr="00EE00D8">
        <w:t xml:space="preserve"> de protection des œuvres et des objets </w:t>
      </w:r>
      <w:r w:rsidRPr="00EE00D8">
        <w:rPr>
          <w:b/>
        </w:rPr>
        <w:t>au domicile des prêteurs</w:t>
      </w:r>
    </w:p>
    <w:p w14:paraId="2A6AE2AD" w14:textId="77777777" w:rsidR="001606F1" w:rsidRDefault="001606F1" w:rsidP="001606F1">
      <w:pPr>
        <w:pStyle w:val="Listepuces"/>
      </w:pPr>
      <w:r w:rsidRPr="00EE00D8">
        <w:rPr>
          <w:b/>
        </w:rPr>
        <w:t>Emballage, enlèvement, transport, et manutention/acheminement</w:t>
      </w:r>
      <w:r w:rsidRPr="00EE00D8">
        <w:t xml:space="preserve"> des œuvres et des objets, depuis l’adresse indiquée par les prêteurs, jusqu’à l’espace d’exposition </w:t>
      </w:r>
      <w:r>
        <w:t>mentionné dans le Marché Subséquent. : les Prestations concernent</w:t>
      </w:r>
      <w:r w:rsidRPr="00B2517A">
        <w:t xml:space="preserve"> </w:t>
      </w:r>
      <w:r>
        <w:t xml:space="preserve">notamment </w:t>
      </w:r>
      <w:r w:rsidRPr="00B2517A">
        <w:t xml:space="preserve">la mise en caisse, </w:t>
      </w:r>
      <w:r>
        <w:t xml:space="preserve">la mise sous protection, </w:t>
      </w:r>
      <w:r w:rsidRPr="00B2517A">
        <w:t>l</w:t>
      </w:r>
      <w:r>
        <w:t>a sortie des caisses des œuvres</w:t>
      </w:r>
    </w:p>
    <w:p w14:paraId="6186DCDD" w14:textId="77777777" w:rsidR="001606F1" w:rsidRDefault="001606F1" w:rsidP="001606F1">
      <w:pPr>
        <w:pStyle w:val="Listepuces"/>
      </w:pPr>
      <w:r w:rsidRPr="00EE00D8">
        <w:rPr>
          <w:b/>
        </w:rPr>
        <w:t>Sécurisation des œuvres et des objets</w:t>
      </w:r>
      <w:r>
        <w:t xml:space="preserve"> sur site</w:t>
      </w:r>
    </w:p>
    <w:p w14:paraId="0DD40698" w14:textId="77777777" w:rsidR="001606F1" w:rsidRPr="00EE00D8" w:rsidRDefault="001606F1" w:rsidP="001606F1">
      <w:pPr>
        <w:pStyle w:val="Listepuces"/>
      </w:pPr>
      <w:r w:rsidRPr="00EE00D8">
        <w:rPr>
          <w:b/>
        </w:rPr>
        <w:t>Déballage</w:t>
      </w:r>
      <w:r>
        <w:t xml:space="preserve"> des œuvres et des objets</w:t>
      </w:r>
    </w:p>
    <w:p w14:paraId="1A0DB5CF" w14:textId="73398523" w:rsidR="001606F1" w:rsidRPr="00EE00D8" w:rsidRDefault="001606F1" w:rsidP="001606F1">
      <w:pPr>
        <w:pStyle w:val="Listepuces"/>
      </w:pPr>
      <w:r w:rsidRPr="00EE00D8">
        <w:rPr>
          <w:b/>
        </w:rPr>
        <w:t>Chargement / déchargement</w:t>
      </w:r>
      <w:r>
        <w:t xml:space="preserve"> : </w:t>
      </w:r>
      <w:r w:rsidRPr="00B2517A">
        <w:t>toute action effectuée</w:t>
      </w:r>
      <w:r>
        <w:t>,</w:t>
      </w:r>
      <w:r w:rsidRPr="00B2517A">
        <w:t xml:space="preserve"> par une main d’œuvre qualifiée</w:t>
      </w:r>
      <w:r>
        <w:t>,</w:t>
      </w:r>
      <w:r w:rsidRPr="00B2517A">
        <w:t xml:space="preserve"> relative à la manipulation des œuvres : manuelle ou à l’aide de moyens de levage (notamment pour le chargement, déchargement, stockage, roulage, installation et rangement) au </w:t>
      </w:r>
      <w:proofErr w:type="spellStart"/>
      <w:r w:rsidR="008D034F">
        <w:t>Mucem</w:t>
      </w:r>
      <w:proofErr w:type="spellEnd"/>
      <w:r w:rsidRPr="00B2517A">
        <w:t xml:space="preserve"> (FSJ, J4, CCR) ou en tout autre lieu (prêteurs, institutions, musées</w:t>
      </w:r>
      <w:r>
        <w:t>, galeries, particuliers, etc.)</w:t>
      </w:r>
    </w:p>
    <w:p w14:paraId="1B048FB5" w14:textId="77777777" w:rsidR="001606F1" w:rsidRDefault="001606F1" w:rsidP="001606F1">
      <w:pPr>
        <w:pStyle w:val="Listepuces"/>
      </w:pPr>
      <w:r w:rsidRPr="00EE00D8">
        <w:rPr>
          <w:b/>
        </w:rPr>
        <w:t>Accrochage / installation</w:t>
      </w:r>
      <w:r w:rsidRPr="00EE00D8">
        <w:t xml:space="preserve"> </w:t>
      </w:r>
      <w:r>
        <w:t xml:space="preserve">/ </w:t>
      </w:r>
      <w:r w:rsidRPr="00E64A4B">
        <w:rPr>
          <w:b/>
        </w:rPr>
        <w:t xml:space="preserve">décrochage </w:t>
      </w:r>
      <w:r w:rsidRPr="00EE00D8">
        <w:t xml:space="preserve">des œuvres et des objets dans les emplacements muséographiques prévus et sur des supports variés (sols, plafond, </w:t>
      </w:r>
      <w:r>
        <w:t>cimaise, socle, vitrine, etc.) :</w:t>
      </w:r>
    </w:p>
    <w:p w14:paraId="1909CD80" w14:textId="4CAA66CC" w:rsidR="001606F1" w:rsidRPr="00DE05FE" w:rsidRDefault="001606F1" w:rsidP="00DE05FE">
      <w:pPr>
        <w:pStyle w:val="Listepuces2"/>
      </w:pPr>
      <w:proofErr w:type="gramStart"/>
      <w:r w:rsidRPr="00DE05FE">
        <w:t>les</w:t>
      </w:r>
      <w:proofErr w:type="gramEnd"/>
      <w:r w:rsidRPr="00DE05FE">
        <w:t xml:space="preserve"> installations/décrochages s’effectuent toujours en présence d’un régisseur ou de l’un des représentants du </w:t>
      </w:r>
      <w:proofErr w:type="spellStart"/>
      <w:r w:rsidR="008D034F" w:rsidRPr="00DE05FE">
        <w:t>Mucem</w:t>
      </w:r>
      <w:proofErr w:type="spellEnd"/>
    </w:p>
    <w:p w14:paraId="281D6A90" w14:textId="77777777" w:rsidR="001606F1" w:rsidRPr="00DE05FE" w:rsidRDefault="001606F1" w:rsidP="00DE05FE">
      <w:pPr>
        <w:pStyle w:val="Listepuces2"/>
      </w:pPr>
      <w:proofErr w:type="gramStart"/>
      <w:r w:rsidRPr="00DE05FE">
        <w:t>transfert</w:t>
      </w:r>
      <w:proofErr w:type="gramEnd"/>
      <w:r w:rsidRPr="00DE05FE">
        <w:t xml:space="preserve"> des œuvres « décaissées », depuis le lieu du constat d’état vers le lieu d’installation, et opération retour ; </w:t>
      </w:r>
    </w:p>
    <w:p w14:paraId="0B8DDF99" w14:textId="02C0B5A3" w:rsidR="001606F1" w:rsidRPr="00DE05FE" w:rsidRDefault="001606F1" w:rsidP="00DE05FE">
      <w:pPr>
        <w:pStyle w:val="Listepuces2"/>
      </w:pPr>
      <w:proofErr w:type="gramStart"/>
      <w:r w:rsidRPr="00DE05FE">
        <w:t>préparation</w:t>
      </w:r>
      <w:proofErr w:type="gramEnd"/>
      <w:r w:rsidRPr="00DE05FE">
        <w:t xml:space="preserve"> des systèmes d’accrochage et montage des œuvres de type peinture, sculpture, installation, mobilier, maquette, etc. Le Titulaire soumettra au préalable au </w:t>
      </w:r>
      <w:proofErr w:type="spellStart"/>
      <w:r w:rsidR="008D034F" w:rsidRPr="00DE05FE">
        <w:t>Mucem</w:t>
      </w:r>
      <w:proofErr w:type="spellEnd"/>
      <w:r w:rsidRPr="00DE05FE">
        <w:t xml:space="preserve"> des solutions d’accrochage ou d’installation.</w:t>
      </w:r>
    </w:p>
    <w:p w14:paraId="5CC7966B" w14:textId="77777777" w:rsidR="001606F1" w:rsidRPr="00DE05FE" w:rsidRDefault="001606F1" w:rsidP="00DE05FE">
      <w:pPr>
        <w:pStyle w:val="Listepuces2"/>
      </w:pPr>
      <w:proofErr w:type="gramStart"/>
      <w:r w:rsidRPr="00DE05FE">
        <w:t>fourniture</w:t>
      </w:r>
      <w:proofErr w:type="gramEnd"/>
      <w:r w:rsidRPr="00DE05FE">
        <w:t xml:space="preserve"> et préparation des systèmes d’accrochage (visserie, atèles, pitons, pattes, crochets, système de suspension d’œuvres : câbles…). Tous les matériaux doivent justifier d’un agrément technique aux normes Européennes en cours de validité.</w:t>
      </w:r>
    </w:p>
    <w:p w14:paraId="3A527EDE" w14:textId="77777777" w:rsidR="00DE05FE" w:rsidRPr="00DE05FE" w:rsidRDefault="001606F1" w:rsidP="00DE05FE">
      <w:pPr>
        <w:pStyle w:val="Listepuces2"/>
      </w:pPr>
      <w:proofErr w:type="gramStart"/>
      <w:r w:rsidRPr="00DE05FE">
        <w:t>fourniture</w:t>
      </w:r>
      <w:proofErr w:type="gramEnd"/>
      <w:r w:rsidRPr="00DE05FE">
        <w:t xml:space="preserve"> de l’outillage adapté pour l’install</w:t>
      </w:r>
      <w:r w:rsidR="00DE05FE" w:rsidRPr="00DE05FE">
        <w:t>ation des œuvres et des objets</w:t>
      </w:r>
    </w:p>
    <w:p w14:paraId="227BC5C2" w14:textId="09D9E8B0" w:rsidR="00DE05FE" w:rsidRPr="00CF27F7" w:rsidRDefault="00DE05FE" w:rsidP="00DE05FE">
      <w:pPr>
        <w:pStyle w:val="Listepuces2"/>
        <w:rPr>
          <w:color w:val="FF0000"/>
        </w:rPr>
      </w:pPr>
      <w:proofErr w:type="gramStart"/>
      <w:r w:rsidRPr="00CF27F7">
        <w:rPr>
          <w:color w:val="FF0000"/>
        </w:rPr>
        <w:t>nettoyage</w:t>
      </w:r>
      <w:proofErr w:type="gramEnd"/>
      <w:r w:rsidRPr="00CF27F7">
        <w:rPr>
          <w:color w:val="FF0000"/>
        </w:rPr>
        <w:t xml:space="preserve"> des vitres et plexiglas avant installation des objets sous vitrine : nettoyage intérieur et extérieur avec matériel et produits adaptés (chiffons microfibres, produit de nettoyage, notamment antistatique pour les matériaux plastiques).</w:t>
      </w:r>
    </w:p>
    <w:p w14:paraId="5ED5278D" w14:textId="77777777" w:rsidR="001606F1" w:rsidRPr="00EE00D8" w:rsidRDefault="001606F1" w:rsidP="001606F1">
      <w:pPr>
        <w:pStyle w:val="Listepuces"/>
      </w:pPr>
      <w:r w:rsidRPr="00DD66C8">
        <w:rPr>
          <w:b/>
        </w:rPr>
        <w:t>Manutention d’éléments scénographiques</w:t>
      </w:r>
      <w:r w:rsidRPr="00EE00D8">
        <w:t xml:space="preserve"> (mobilier, vitrine, etc.),</w:t>
      </w:r>
    </w:p>
    <w:p w14:paraId="325B2311" w14:textId="77777777" w:rsidR="001606F1" w:rsidRPr="00EE00D8" w:rsidRDefault="001606F1" w:rsidP="001606F1">
      <w:pPr>
        <w:pStyle w:val="Listepuces"/>
      </w:pPr>
      <w:r>
        <w:rPr>
          <w:b/>
        </w:rPr>
        <w:lastRenderedPageBreak/>
        <w:t>Enlèvement des caisses, é</w:t>
      </w:r>
      <w:r w:rsidRPr="00DD66C8">
        <w:rPr>
          <w:b/>
        </w:rPr>
        <w:t xml:space="preserve">vacuation des emballages </w:t>
      </w:r>
      <w:r>
        <w:rPr>
          <w:b/>
        </w:rPr>
        <w:t xml:space="preserve">vides </w:t>
      </w:r>
      <w:r w:rsidRPr="00DD66C8">
        <w:rPr>
          <w:b/>
        </w:rPr>
        <w:t>au fur et à mesure du déballage des œuvres</w:t>
      </w:r>
      <w:r w:rsidRPr="00EE00D8">
        <w:t>.</w:t>
      </w:r>
    </w:p>
    <w:p w14:paraId="6D5D0AA8" w14:textId="72C0A714" w:rsidR="001606F1" w:rsidRDefault="001606F1" w:rsidP="001606F1">
      <w:pPr>
        <w:pStyle w:val="Listepuces"/>
        <w:numPr>
          <w:ilvl w:val="0"/>
          <w:numId w:val="0"/>
        </w:numPr>
        <w:ind w:left="851"/>
      </w:pPr>
      <w:r w:rsidRPr="00EE00D8">
        <w:t xml:space="preserve">A l’issue de chaque livraison, tous les emballages seront retirés dans la journée même, sauf instructions contraires du </w:t>
      </w:r>
      <w:proofErr w:type="spellStart"/>
      <w:r w:rsidR="008D034F">
        <w:t>Mucem</w:t>
      </w:r>
      <w:proofErr w:type="spellEnd"/>
      <w:r w:rsidRPr="00EE00D8">
        <w:t>.</w:t>
      </w:r>
    </w:p>
    <w:p w14:paraId="256EB3D0" w14:textId="77777777" w:rsidR="001606F1" w:rsidRPr="00EE00D8" w:rsidRDefault="001606F1" w:rsidP="001606F1">
      <w:pPr>
        <w:pStyle w:val="Listepuces"/>
        <w:numPr>
          <w:ilvl w:val="0"/>
          <w:numId w:val="0"/>
        </w:numPr>
        <w:ind w:left="851"/>
      </w:pPr>
      <w:r w:rsidRPr="00EE00D8">
        <w:t>En fin d’opération et après enlèvement des protections, le Titulaire devra veiller à quitter les lieux d’exécution des Prestations, en les restituant en état de propreté.</w:t>
      </w:r>
    </w:p>
    <w:p w14:paraId="22F4F1E1" w14:textId="3B3187F8" w:rsidR="001606F1" w:rsidRPr="00B2517A" w:rsidRDefault="001606F1" w:rsidP="001606F1">
      <w:pPr>
        <w:pStyle w:val="Listepuces"/>
      </w:pPr>
      <w:r w:rsidRPr="00B2517A">
        <w:rPr>
          <w:b/>
        </w:rPr>
        <w:t>Stockage des œuvres</w:t>
      </w:r>
      <w:r>
        <w:rPr>
          <w:b/>
        </w:rPr>
        <w:t xml:space="preserve"> si nécessaire</w:t>
      </w:r>
      <w:r w:rsidRPr="00B2517A">
        <w:t> : stockage dans des locaux sécurisés garantissant la bonne conservation des œuvres. Le lieu retenu devra impérativement être s</w:t>
      </w:r>
      <w:r>
        <w:t xml:space="preserve">oumis à une validation du </w:t>
      </w:r>
      <w:proofErr w:type="spellStart"/>
      <w:r w:rsidR="008D034F">
        <w:t>Mucem</w:t>
      </w:r>
      <w:proofErr w:type="spellEnd"/>
    </w:p>
    <w:p w14:paraId="29F00ADF" w14:textId="29847938" w:rsidR="001606F1" w:rsidRPr="00B2517A" w:rsidRDefault="001606F1" w:rsidP="001606F1">
      <w:pPr>
        <w:pStyle w:val="Listepuces"/>
      </w:pPr>
      <w:r w:rsidRPr="00E64A4B">
        <w:rPr>
          <w:b/>
        </w:rPr>
        <w:t>Stockage des caisses et des emballages vides</w:t>
      </w:r>
      <w:r w:rsidRPr="00EE00D8">
        <w:t xml:space="preserve"> </w:t>
      </w:r>
      <w:r w:rsidRPr="00E64A4B">
        <w:rPr>
          <w:u w:val="single"/>
        </w:rPr>
        <w:t>pendant toute la durée de l’exposition</w:t>
      </w:r>
      <w:r>
        <w:t xml:space="preserve">, </w:t>
      </w:r>
      <w:r w:rsidRPr="00B2517A">
        <w:t xml:space="preserve">dans </w:t>
      </w:r>
      <w:proofErr w:type="gramStart"/>
      <w:r w:rsidRPr="00B2517A">
        <w:t xml:space="preserve">des locaux </w:t>
      </w:r>
      <w:r>
        <w:t>précisé</w:t>
      </w:r>
      <w:proofErr w:type="gramEnd"/>
      <w:r>
        <w:t xml:space="preserve"> dans le mémoire du Titulaire, </w:t>
      </w:r>
      <w:r w:rsidRPr="00B2517A">
        <w:t>garantissant la bonne conservation des emballages</w:t>
      </w:r>
      <w:r w:rsidRPr="00E64A4B">
        <w:t xml:space="preserve"> </w:t>
      </w:r>
      <w:r>
        <w:t>(conditions de température et d’humidité adaptées)</w:t>
      </w:r>
      <w:r w:rsidRPr="00B2517A">
        <w:t>. Le lieu retenu devra impérativement être s</w:t>
      </w:r>
      <w:r>
        <w:t xml:space="preserve">oumis à une validation du </w:t>
      </w:r>
      <w:proofErr w:type="spellStart"/>
      <w:r w:rsidR="008D034F">
        <w:t>Mucem</w:t>
      </w:r>
      <w:proofErr w:type="spellEnd"/>
    </w:p>
    <w:p w14:paraId="78DDE772" w14:textId="77777777" w:rsidR="001606F1" w:rsidRPr="00EE00D8" w:rsidRDefault="001606F1" w:rsidP="001606F1">
      <w:pPr>
        <w:pStyle w:val="Listepuces"/>
      </w:pPr>
      <w:r w:rsidRPr="00EE00D8">
        <w:rPr>
          <w:b/>
        </w:rPr>
        <w:t>Livraison des caisses/emballages vides</w:t>
      </w:r>
      <w:r w:rsidRPr="00EE00D8">
        <w:t xml:space="preserve"> </w:t>
      </w:r>
      <w:r>
        <w:t xml:space="preserve">sur les lieux de départs/arrivées des œuvres et objets, </w:t>
      </w:r>
      <w:r w:rsidRPr="00EE00D8">
        <w:t>en tenant compte du planning de remballage et des contraintes d’acclimatation des caisses (24h ou 48h)</w:t>
      </w:r>
    </w:p>
    <w:p w14:paraId="740509D4" w14:textId="77777777" w:rsidR="001606F1" w:rsidRPr="00B2517A" w:rsidRDefault="001606F1" w:rsidP="001606F1">
      <w:pPr>
        <w:pStyle w:val="Listepuces"/>
      </w:pPr>
      <w:r w:rsidRPr="00B2517A">
        <w:rPr>
          <w:b/>
        </w:rPr>
        <w:t xml:space="preserve">Régie des œuvres : </w:t>
      </w:r>
      <w:r w:rsidRPr="00B2517A">
        <w:t>gestion des listes d’œuvres, gestion, coordination et planification des mouvements d’œuvres, des intervenants internes et externes, du colisage, gestion, coordination et planification des accrochages et des décrochages, vérification des conditions de conservation préventive, etc.</w:t>
      </w:r>
    </w:p>
    <w:p w14:paraId="00570F51" w14:textId="77777777" w:rsidR="001606F1" w:rsidRPr="00EE00D8" w:rsidRDefault="001606F1" w:rsidP="001606F1">
      <w:pPr>
        <w:pStyle w:val="Listepuces"/>
      </w:pPr>
      <w:r w:rsidRPr="00EE00D8">
        <w:rPr>
          <w:b/>
        </w:rPr>
        <w:t>Décrochage, remballage et transport retour</w:t>
      </w:r>
      <w:r w:rsidRPr="00EE00D8">
        <w:t xml:space="preserve"> des œuvres et des objets, depuis le Môle J</w:t>
      </w:r>
      <w:proofErr w:type="gramStart"/>
      <w:r w:rsidRPr="00EE00D8">
        <w:t>4  jusqu</w:t>
      </w:r>
      <w:proofErr w:type="gramEnd"/>
      <w:r w:rsidRPr="00EE00D8">
        <w:t>’ à l’adresse indiquée par les prêteurs ;</w:t>
      </w:r>
    </w:p>
    <w:p w14:paraId="26F34F4C" w14:textId="77777777" w:rsidR="001606F1" w:rsidRPr="00EE00D8" w:rsidRDefault="001606F1" w:rsidP="001606F1">
      <w:pPr>
        <w:pStyle w:val="Listepuces"/>
      </w:pPr>
      <w:r w:rsidRPr="00EE00D8">
        <w:rPr>
          <w:b/>
        </w:rPr>
        <w:t>Fourniture de matériaux d’emballages</w:t>
      </w:r>
      <w:r w:rsidRPr="00EE00D8">
        <w:t xml:space="preserve"> pour effectuer d’éventuels tamponnages lors du d</w:t>
      </w:r>
      <w:r>
        <w:t>émontage de l’exposition</w:t>
      </w:r>
    </w:p>
    <w:p w14:paraId="5F35EB47" w14:textId="3FC17D24" w:rsidR="001606F1" w:rsidRPr="00EE00D8" w:rsidRDefault="001606F1" w:rsidP="001606F1">
      <w:pPr>
        <w:pStyle w:val="Listepuces"/>
      </w:pPr>
      <w:r w:rsidRPr="00EE00D8">
        <w:rPr>
          <w:b/>
        </w:rPr>
        <w:t>Organisation des transports et planification</w:t>
      </w:r>
      <w:r w:rsidRPr="00EE00D8">
        <w:t xml:space="preserve"> des arrivées et des départs en liaison avec le </w:t>
      </w:r>
      <w:proofErr w:type="spellStart"/>
      <w:r w:rsidR="008D034F">
        <w:t>Mucem</w:t>
      </w:r>
      <w:proofErr w:type="spellEnd"/>
      <w:r w:rsidRPr="00EE00D8">
        <w:t xml:space="preserve">. Le transport doit être le plus direct possible, par toutes les voies et moyens appropriés en accord avec le </w:t>
      </w:r>
      <w:proofErr w:type="spellStart"/>
      <w:r w:rsidR="008D034F">
        <w:t>Mucem</w:t>
      </w:r>
      <w:proofErr w:type="spellEnd"/>
      <w:r w:rsidRPr="00EE00D8">
        <w:t xml:space="preserve"> en garantissant l’intégrité et la sécurité des œuvres.</w:t>
      </w:r>
    </w:p>
    <w:p w14:paraId="328FF4C3" w14:textId="4FB7855F" w:rsidR="001606F1" w:rsidRDefault="001606F1" w:rsidP="001606F1">
      <w:pPr>
        <w:pStyle w:val="Listepuces"/>
        <w:numPr>
          <w:ilvl w:val="0"/>
          <w:numId w:val="0"/>
        </w:numPr>
        <w:ind w:left="851"/>
      </w:pPr>
      <w:r>
        <w:t>L</w:t>
      </w:r>
      <w:r w:rsidRPr="00EE00D8">
        <w:t xml:space="preserve">e cas échéant, le préacheminement des œuvres et des objets à un point de rassemblement défini par le Titulaire est soumis au </w:t>
      </w:r>
      <w:proofErr w:type="spellStart"/>
      <w:r w:rsidR="008D034F">
        <w:t>Mucem</w:t>
      </w:r>
      <w:proofErr w:type="spellEnd"/>
      <w:r w:rsidRPr="00EE00D8">
        <w:t xml:space="preserve"> avant le transport groupé par camion ou avion ;</w:t>
      </w:r>
    </w:p>
    <w:p w14:paraId="57AD9AE1" w14:textId="4AB12005" w:rsidR="001606F1" w:rsidRPr="00B2517A" w:rsidRDefault="001606F1" w:rsidP="001606F1">
      <w:pPr>
        <w:pStyle w:val="Listepuces"/>
        <w:numPr>
          <w:ilvl w:val="0"/>
          <w:numId w:val="0"/>
        </w:numPr>
        <w:ind w:left="851"/>
      </w:pPr>
      <w:r>
        <w:rPr>
          <w:b/>
        </w:rPr>
        <w:t>En cas d’e</w:t>
      </w:r>
      <w:r w:rsidRPr="00B2517A">
        <w:rPr>
          <w:b/>
        </w:rPr>
        <w:t>xpédition à l’étranger</w:t>
      </w:r>
      <w:r w:rsidRPr="00B2517A">
        <w:t xml:space="preserve"> : transport le plus direct possible, par toute voie et moyen appropriés en accord avec le </w:t>
      </w:r>
      <w:proofErr w:type="spellStart"/>
      <w:r w:rsidR="008D034F">
        <w:t>Mucem</w:t>
      </w:r>
      <w:proofErr w:type="spellEnd"/>
      <w:r w:rsidRPr="00B2517A">
        <w:t xml:space="preserve"> en garantissant la sécurité et l’intégrité des œuvres. Coordination de toutes les tâches liées à l’expédition : réservation des frets aériens d’œuvres d’art, préparation à l’expédition (édition, LTA, liste de colisage, etc.), gestion des formalités douanières, prise en charge des convoyeurs, sécurisation et supervision de la palettisation du fret, etc.</w:t>
      </w:r>
    </w:p>
    <w:p w14:paraId="3A1B92DD" w14:textId="77777777" w:rsidR="001606F1" w:rsidRPr="00EE00D8" w:rsidRDefault="001606F1" w:rsidP="001606F1">
      <w:pPr>
        <w:pStyle w:val="Listepuces"/>
        <w:numPr>
          <w:ilvl w:val="0"/>
          <w:numId w:val="0"/>
        </w:numPr>
        <w:ind w:left="851"/>
      </w:pPr>
      <w:r w:rsidRPr="00EE00D8">
        <w:rPr>
          <w:b/>
        </w:rPr>
        <w:t>Dans le cas de transports aériens</w:t>
      </w:r>
      <w:r w:rsidRPr="00EE00D8">
        <w:t>, remise des caisses à la compagnie aérienne, supervision de la palettisation et du chargement des caisses dans les avions ;</w:t>
      </w:r>
    </w:p>
    <w:p w14:paraId="4EDDFC0E" w14:textId="77777777" w:rsidR="001606F1" w:rsidRDefault="001606F1" w:rsidP="001606F1">
      <w:pPr>
        <w:pStyle w:val="Listepuces"/>
      </w:pPr>
      <w:r w:rsidRPr="00DD66C8">
        <w:rPr>
          <w:b/>
        </w:rPr>
        <w:t>Formalité de douane, de transit, d’entrée et de sortie du territoire national</w:t>
      </w:r>
      <w:r w:rsidRPr="00EE00D8">
        <w:t xml:space="preserve"> le cas échéant ;</w:t>
      </w:r>
      <w:r>
        <w:t xml:space="preserve"> </w:t>
      </w:r>
      <w:r w:rsidRPr="00DD66C8">
        <w:t>formalités douanières de réexportation ;</w:t>
      </w:r>
    </w:p>
    <w:p w14:paraId="351B81C6" w14:textId="77777777" w:rsidR="001606F1" w:rsidRPr="00EE00D8" w:rsidRDefault="001606F1" w:rsidP="001606F1">
      <w:pPr>
        <w:pStyle w:val="Listepuces"/>
        <w:numPr>
          <w:ilvl w:val="0"/>
          <w:numId w:val="0"/>
        </w:numPr>
        <w:ind w:left="851"/>
      </w:pPr>
      <w:r>
        <w:lastRenderedPageBreak/>
        <w:t>La Prestation implique l’</w:t>
      </w:r>
      <w:r w:rsidRPr="00B2517A">
        <w:t>intervention de personnels qualifiés auprès des administrations et organismes compétents, afin d’effectuer toutes les formalités de douane, de transit, d’entrée et de sortie du territoire national.</w:t>
      </w:r>
    </w:p>
    <w:p w14:paraId="7B4E56DA" w14:textId="77777777" w:rsidR="001606F1" w:rsidRPr="00EE00D8" w:rsidRDefault="001606F1" w:rsidP="001606F1">
      <w:pPr>
        <w:pStyle w:val="Listepuces"/>
      </w:pPr>
      <w:r w:rsidRPr="00EE00D8">
        <w:rPr>
          <w:b/>
        </w:rPr>
        <w:t>Coordination des différentes opérations</w:t>
      </w:r>
      <w:r w:rsidRPr="00EE00D8">
        <w:t xml:space="preserve"> y compris celles réalisées par les correspondants à l’étranger du Titulaire ;</w:t>
      </w:r>
    </w:p>
    <w:p w14:paraId="0766E5CE" w14:textId="77777777" w:rsidR="001606F1" w:rsidRPr="00EE00D8" w:rsidRDefault="001606F1" w:rsidP="001606F1">
      <w:pPr>
        <w:pStyle w:val="Listepuces"/>
        <w:rPr>
          <w:b/>
        </w:rPr>
      </w:pPr>
      <w:r w:rsidRPr="00EE00D8">
        <w:rPr>
          <w:b/>
        </w:rPr>
        <w:t>Fret aérien ;</w:t>
      </w:r>
    </w:p>
    <w:p w14:paraId="118AC603" w14:textId="3D1CF81A" w:rsidR="001606F1" w:rsidRPr="00EE00D8" w:rsidRDefault="001606F1" w:rsidP="001606F1">
      <w:pPr>
        <w:pStyle w:val="Listepuces"/>
      </w:pPr>
      <w:r w:rsidRPr="00EE00D8">
        <w:t xml:space="preserve">Transmission au </w:t>
      </w:r>
      <w:proofErr w:type="spellStart"/>
      <w:r w:rsidR="008D034F">
        <w:t>Mucem</w:t>
      </w:r>
      <w:proofErr w:type="spellEnd"/>
      <w:r w:rsidRPr="00EE00D8">
        <w:t xml:space="preserve"> des </w:t>
      </w:r>
      <w:r w:rsidRPr="00EE00D8">
        <w:rPr>
          <w:b/>
        </w:rPr>
        <w:t>copies des L.T.A</w:t>
      </w:r>
      <w:r w:rsidRPr="00EE00D8">
        <w:t> ;</w:t>
      </w:r>
    </w:p>
    <w:p w14:paraId="13DB2115" w14:textId="77777777" w:rsidR="001606F1" w:rsidRDefault="001606F1" w:rsidP="001606F1">
      <w:pPr>
        <w:pStyle w:val="Listepuces"/>
      </w:pPr>
      <w:r w:rsidRPr="00EE00D8">
        <w:rPr>
          <w:b/>
        </w:rPr>
        <w:t>Prise en charge des convoyeurs</w:t>
      </w:r>
      <w:r w:rsidRPr="00EE00D8">
        <w:t> :</w:t>
      </w:r>
      <w:r>
        <w:t xml:space="preserve"> </w:t>
      </w:r>
      <w:r w:rsidRPr="00EE00D8">
        <w:t xml:space="preserve">planning, per diem, hôtel, titres de transport, </w:t>
      </w:r>
      <w:r>
        <w:t>assurance voyage, etc. :</w:t>
      </w:r>
    </w:p>
    <w:p w14:paraId="5890DAC0" w14:textId="060ABAED" w:rsidR="001606F1" w:rsidRPr="00EE00D8" w:rsidRDefault="001606F1" w:rsidP="001606F1">
      <w:pPr>
        <w:pStyle w:val="Listepuces2"/>
      </w:pPr>
      <w:r w:rsidRPr="00EE00D8">
        <w:t xml:space="preserve">Prise en charge des billets d’avion ou de train des convoyeurs : en classe économique en Europe ou s’ils voyagent sans les œuvres ; en classe affaire s’ils voyagent avec les œuvres </w:t>
      </w:r>
      <w:r w:rsidR="000C446A">
        <w:t xml:space="preserve">(à confirmer préalablement avec le </w:t>
      </w:r>
      <w:proofErr w:type="spellStart"/>
      <w:r w:rsidR="000C446A">
        <w:t>Mucem</w:t>
      </w:r>
      <w:proofErr w:type="spellEnd"/>
      <w:r w:rsidR="000C446A">
        <w:t xml:space="preserve">) </w:t>
      </w:r>
      <w:r w:rsidRPr="00EE00D8">
        <w:t>ou si le trajet dure plus de 9 heures.</w:t>
      </w:r>
    </w:p>
    <w:p w14:paraId="685B9375" w14:textId="77777777" w:rsidR="00652294" w:rsidRPr="00017BF5" w:rsidRDefault="00652294" w:rsidP="00652294">
      <w:pPr>
        <w:pStyle w:val="Listepuces2"/>
        <w:rPr>
          <w:strike/>
        </w:rPr>
      </w:pPr>
      <w:bookmarkStart w:id="52" w:name="_Hlk152604947"/>
      <w:r w:rsidRPr="00EE00D8">
        <w:t>Réservation des hôtels des convoyeurs suivant la liste des convoyeurs trans</w:t>
      </w:r>
      <w:r>
        <w:t xml:space="preserve">mise par le régisseur d’œuvres. </w:t>
      </w:r>
      <w:bookmarkStart w:id="53" w:name="_Hlk151623631"/>
      <w:bookmarkStart w:id="54" w:name="_Hlk151633638"/>
    </w:p>
    <w:p w14:paraId="1C34D496" w14:textId="77777777" w:rsidR="00652294" w:rsidRPr="00017BF5" w:rsidRDefault="00652294" w:rsidP="00652294">
      <w:pPr>
        <w:pStyle w:val="Listepuces2"/>
        <w:numPr>
          <w:ilvl w:val="0"/>
          <w:numId w:val="0"/>
        </w:numPr>
        <w:ind w:left="1701"/>
        <w:rPr>
          <w:strike/>
        </w:rPr>
      </w:pPr>
      <w:r>
        <w:rPr>
          <w:b/>
          <w:i/>
          <w:color w:val="FF0000"/>
          <w:highlight w:val="cyan"/>
        </w:rPr>
        <w:t>L</w:t>
      </w:r>
      <w:r w:rsidRPr="003F3C6F">
        <w:rPr>
          <w:b/>
          <w:i/>
          <w:color w:val="FF0000"/>
          <w:highlight w:val="cyan"/>
        </w:rPr>
        <w:t xml:space="preserve">e prix de la nuitée </w:t>
      </w:r>
      <w:r>
        <w:rPr>
          <w:b/>
          <w:i/>
          <w:color w:val="FF0000"/>
          <w:highlight w:val="cyan"/>
        </w:rPr>
        <w:t xml:space="preserve">à Marseille </w:t>
      </w:r>
      <w:r w:rsidRPr="003F3C6F">
        <w:rPr>
          <w:b/>
          <w:i/>
          <w:color w:val="FF0000"/>
          <w:highlight w:val="cyan"/>
        </w:rPr>
        <w:t>ne devra pas dépasser le montant de</w:t>
      </w:r>
      <w:r>
        <w:rPr>
          <w:b/>
          <w:i/>
          <w:color w:val="FF0000"/>
          <w:highlight w:val="cyan"/>
        </w:rPr>
        <w:t xml:space="preserve"> </w:t>
      </w:r>
      <w:r w:rsidRPr="003F3C6F">
        <w:rPr>
          <w:highlight w:val="cyan"/>
        </w:rPr>
        <w:t>(frais éventuels de réservation inclus)</w:t>
      </w:r>
      <w:r>
        <w:rPr>
          <w:b/>
          <w:i/>
          <w:color w:val="FF0000"/>
          <w:highlight w:val="cyan"/>
        </w:rPr>
        <w:t> :</w:t>
      </w:r>
    </w:p>
    <w:p w14:paraId="31CC333E" w14:textId="77777777" w:rsidR="00652294" w:rsidRPr="00652294" w:rsidRDefault="00652294" w:rsidP="00652294">
      <w:pPr>
        <w:pStyle w:val="Listepuces2"/>
        <w:numPr>
          <w:ilvl w:val="1"/>
          <w:numId w:val="7"/>
        </w:numPr>
        <w:ind w:left="2552" w:hanging="284"/>
      </w:pPr>
      <w:r w:rsidRPr="00652294">
        <w:rPr>
          <w:b/>
          <w:i/>
          <w:highlight w:val="cyan"/>
        </w:rPr>
        <w:t>120 € TTC dans les grandes villes de France métropolitaine et les communes de la métropole du Grand Paris</w:t>
      </w:r>
    </w:p>
    <w:p w14:paraId="01D6A692" w14:textId="77777777" w:rsidR="00652294" w:rsidRPr="00652294" w:rsidRDefault="00652294" w:rsidP="00652294">
      <w:pPr>
        <w:pStyle w:val="Listepuces2"/>
        <w:numPr>
          <w:ilvl w:val="1"/>
          <w:numId w:val="7"/>
        </w:numPr>
        <w:ind w:left="2552" w:hanging="284"/>
      </w:pPr>
      <w:r w:rsidRPr="00652294">
        <w:rPr>
          <w:b/>
          <w:i/>
          <w:highlight w:val="cyan"/>
        </w:rPr>
        <w:t>140 €TTC à Paris</w:t>
      </w:r>
    </w:p>
    <w:p w14:paraId="22C0E8BC" w14:textId="5BD24671" w:rsidR="00652294" w:rsidRPr="005D542E" w:rsidRDefault="00652294" w:rsidP="00652294">
      <w:pPr>
        <w:pStyle w:val="Listepuces2"/>
        <w:numPr>
          <w:ilvl w:val="0"/>
          <w:numId w:val="0"/>
        </w:numPr>
        <w:ind w:left="1701"/>
        <w:rPr>
          <w:strike/>
        </w:rPr>
      </w:pPr>
      <w:r w:rsidRPr="00017BF5">
        <w:rPr>
          <w:highlight w:val="cyan"/>
        </w:rPr>
        <w:t>L</w:t>
      </w:r>
      <w:r>
        <w:rPr>
          <w:highlight w:val="cyan"/>
        </w:rPr>
        <w:t xml:space="preserve">e montant de l’hébergement </w:t>
      </w:r>
      <w:r w:rsidRPr="00017BF5">
        <w:rPr>
          <w:highlight w:val="cyan"/>
        </w:rPr>
        <w:t>sera</w:t>
      </w:r>
      <w:r w:rsidRPr="003F3C6F">
        <w:rPr>
          <w:highlight w:val="cyan"/>
        </w:rPr>
        <w:t xml:space="preserve"> réglé directement par le transporteur à l’hôtel.</w:t>
      </w:r>
      <w:bookmarkEnd w:id="53"/>
      <w:r>
        <w:rPr>
          <w:highlight w:val="cyan"/>
        </w:rPr>
        <w:t xml:space="preserve"> En cas d’impossibilité de trouver un hôtel à ce prix, il pourra être accepté un dépassement, sur validation expresse du </w:t>
      </w:r>
      <w:proofErr w:type="spellStart"/>
      <w:r>
        <w:rPr>
          <w:highlight w:val="cyan"/>
        </w:rPr>
        <w:t>Mucem</w:t>
      </w:r>
      <w:proofErr w:type="spellEnd"/>
      <w:r>
        <w:rPr>
          <w:highlight w:val="cyan"/>
        </w:rPr>
        <w:t xml:space="preserve"> (à condition que le titulaire ait fourni des justifications acceptables)</w:t>
      </w:r>
      <w:bookmarkEnd w:id="54"/>
    </w:p>
    <w:bookmarkEnd w:id="52"/>
    <w:p w14:paraId="47D13C4B" w14:textId="26041CB4" w:rsidR="001606F1" w:rsidRPr="00EE00D8" w:rsidRDefault="001606F1" w:rsidP="001606F1">
      <w:pPr>
        <w:pStyle w:val="Listepuces2"/>
      </w:pPr>
      <w:r w:rsidRPr="00EE00D8">
        <w:t xml:space="preserve">Remise des « per diem » : </w:t>
      </w:r>
      <w:bookmarkStart w:id="55" w:name="_Hlk151623309"/>
      <w:r w:rsidRPr="003F3C6F">
        <w:rPr>
          <w:b/>
          <w:i/>
          <w:color w:val="FF0000"/>
          <w:highlight w:val="cyan"/>
        </w:rPr>
        <w:t xml:space="preserve">le prix d’un « per diem » de devra pas dépasser le montant de </w:t>
      </w:r>
      <w:r w:rsidR="003F3C6F" w:rsidRPr="003F3C6F">
        <w:rPr>
          <w:b/>
          <w:i/>
          <w:color w:val="FF0000"/>
          <w:highlight w:val="cyan"/>
        </w:rPr>
        <w:t>60</w:t>
      </w:r>
      <w:r w:rsidRPr="003F3C6F">
        <w:rPr>
          <w:b/>
          <w:i/>
          <w:color w:val="FF0000"/>
          <w:highlight w:val="cyan"/>
        </w:rPr>
        <w:t xml:space="preserve"> €</w:t>
      </w:r>
      <w:r w:rsidR="00CF27F7" w:rsidRPr="005B7874">
        <w:rPr>
          <w:b/>
          <w:i/>
          <w:color w:val="FF0000"/>
          <w:highlight w:val="cyan"/>
        </w:rPr>
        <w:t>TTC</w:t>
      </w:r>
      <w:r w:rsidR="005B7874">
        <w:rPr>
          <w:highlight w:val="cyan"/>
        </w:rPr>
        <w:t>,</w:t>
      </w:r>
      <w:r w:rsidR="008B1F51">
        <w:rPr>
          <w:highlight w:val="cyan"/>
        </w:rPr>
        <w:t xml:space="preserve"> </w:t>
      </w:r>
      <w:r w:rsidRPr="003F3C6F">
        <w:rPr>
          <w:highlight w:val="cyan"/>
        </w:rPr>
        <w:t xml:space="preserve">sauf accord préalable avec le </w:t>
      </w:r>
      <w:proofErr w:type="spellStart"/>
      <w:r w:rsidR="008D034F" w:rsidRPr="003F3C6F">
        <w:rPr>
          <w:highlight w:val="cyan"/>
        </w:rPr>
        <w:t>Mucem</w:t>
      </w:r>
      <w:proofErr w:type="spellEnd"/>
      <w:r w:rsidRPr="003F3C6F">
        <w:rPr>
          <w:highlight w:val="cyan"/>
        </w:rPr>
        <w:t xml:space="preserve"> ou mention indiquée dans la liste d’œuvres</w:t>
      </w:r>
      <w:bookmarkEnd w:id="55"/>
    </w:p>
    <w:p w14:paraId="4102EEB3" w14:textId="7F02581F" w:rsidR="001606F1" w:rsidRPr="00EE00D8" w:rsidRDefault="001606F1" w:rsidP="001606F1">
      <w:pPr>
        <w:pStyle w:val="Listepuces2"/>
      </w:pPr>
      <w:r w:rsidRPr="00EE00D8">
        <w:t xml:space="preserve">Les per diem devront être remis aux convoyeurs le jour de leur arrivée au </w:t>
      </w:r>
      <w:proofErr w:type="spellStart"/>
      <w:r w:rsidR="008D034F">
        <w:t>Mucem</w:t>
      </w:r>
      <w:proofErr w:type="spellEnd"/>
      <w:r w:rsidRPr="00EE00D8">
        <w:t xml:space="preserve"> de préférence, ou à leur hôtel</w:t>
      </w:r>
    </w:p>
    <w:p w14:paraId="288C209F" w14:textId="2A16F884" w:rsidR="001606F1" w:rsidRPr="00EE00D8" w:rsidRDefault="001606F1" w:rsidP="001606F1">
      <w:pPr>
        <w:pStyle w:val="Listepuces2"/>
      </w:pPr>
      <w:r w:rsidRPr="00EE00D8">
        <w:t>Pour les convoyeurs européens, les indemnités ne devront pas excéder l’équivalent de 2 nuits d’hôtel et 3 jours pour les indemnités de séjour</w:t>
      </w:r>
    </w:p>
    <w:p w14:paraId="22CC3434" w14:textId="77777777" w:rsidR="001606F1" w:rsidRPr="00EE00D8" w:rsidRDefault="001606F1" w:rsidP="001606F1">
      <w:pPr>
        <w:pStyle w:val="Listepuces"/>
        <w:numPr>
          <w:ilvl w:val="0"/>
          <w:numId w:val="0"/>
        </w:numPr>
        <w:ind w:left="851"/>
      </w:pPr>
      <w:r w:rsidRPr="00EE00D8">
        <w:t xml:space="preserve">Pour les convoyeurs hors Europe, </w:t>
      </w:r>
      <w:r w:rsidRPr="00DD66C8">
        <w:rPr>
          <w:u w:val="single"/>
        </w:rPr>
        <w:t>les indemnités ne devront pas excéder l’équivalent de 3 nuits d’hôtel et 4 jours pour les indemnités de séjour</w:t>
      </w:r>
      <w:r w:rsidRPr="00EE00D8">
        <w:t>.</w:t>
      </w:r>
    </w:p>
    <w:p w14:paraId="0EFB6A76" w14:textId="77777777" w:rsidR="001606F1" w:rsidRPr="00EE00D8" w:rsidRDefault="001606F1" w:rsidP="001606F1">
      <w:pPr>
        <w:pStyle w:val="Listepuces"/>
      </w:pPr>
      <w:r w:rsidRPr="00EE00D8">
        <w:t xml:space="preserve">La </w:t>
      </w:r>
      <w:r w:rsidRPr="00EE00D8">
        <w:rPr>
          <w:b/>
        </w:rPr>
        <w:t xml:space="preserve">réception des œuvres et des objets aux aéroports et la supervision des opérations de </w:t>
      </w:r>
      <w:proofErr w:type="spellStart"/>
      <w:r w:rsidRPr="00EE00D8">
        <w:rPr>
          <w:b/>
        </w:rPr>
        <w:t>dépalettisation</w:t>
      </w:r>
      <w:proofErr w:type="spellEnd"/>
      <w:r w:rsidRPr="00EE00D8">
        <w:rPr>
          <w:b/>
        </w:rPr>
        <w:t xml:space="preserve"> et de chargement</w:t>
      </w:r>
      <w:r w:rsidRPr="00EE00D8">
        <w:t xml:space="preserve"> des œuvres et des objets dans les camions ;</w:t>
      </w:r>
    </w:p>
    <w:p w14:paraId="5E2FF3DA" w14:textId="77777777" w:rsidR="001606F1" w:rsidRPr="00EE00D8" w:rsidRDefault="001606F1" w:rsidP="001606F1">
      <w:pPr>
        <w:pStyle w:val="Listepuces"/>
      </w:pPr>
      <w:r w:rsidRPr="00EE00D8">
        <w:t xml:space="preserve">Etablissement des </w:t>
      </w:r>
      <w:r w:rsidRPr="00EE00D8">
        <w:rPr>
          <w:b/>
        </w:rPr>
        <w:t>listes de colisage</w:t>
      </w:r>
      <w:r w:rsidRPr="00EE00D8">
        <w:t xml:space="preserve"> par arrivée et par départ ;</w:t>
      </w:r>
    </w:p>
    <w:p w14:paraId="70AADADE" w14:textId="53582173" w:rsidR="001606F1" w:rsidRPr="00EE00D8" w:rsidRDefault="00DE05FE" w:rsidP="001606F1">
      <w:pPr>
        <w:pStyle w:val="Listepuces"/>
      </w:pPr>
      <w:r w:rsidRPr="00CF27F7">
        <w:rPr>
          <w:b/>
          <w:color w:val="000000" w:themeColor="text1"/>
        </w:rPr>
        <w:t>Fourniture</w:t>
      </w:r>
      <w:r w:rsidRPr="00DE05FE">
        <w:rPr>
          <w:b/>
        </w:rPr>
        <w:t xml:space="preserve"> et m</w:t>
      </w:r>
      <w:r w:rsidR="001606F1" w:rsidRPr="00DE05FE">
        <w:rPr>
          <w:b/>
        </w:rPr>
        <w:t>ise en place des</w:t>
      </w:r>
      <w:r w:rsidR="001606F1" w:rsidRPr="00E64A4B">
        <w:t xml:space="preserve"> </w:t>
      </w:r>
      <w:r w:rsidR="001606F1" w:rsidRPr="00E64A4B">
        <w:rPr>
          <w:b/>
        </w:rPr>
        <w:t>aménagements nécessaires à la protection</w:t>
      </w:r>
      <w:r w:rsidR="001606F1" w:rsidRPr="00E64A4B">
        <w:t xml:space="preserve"> des sols, des murs, des portes et de façon générale tout ce qui est afférent aux bâtiments et/ou à la muséographie</w:t>
      </w:r>
      <w:r w:rsidR="001606F1" w:rsidRPr="00EE00D8">
        <w:t>.</w:t>
      </w:r>
      <w:r w:rsidR="001606F1">
        <w:t xml:space="preserve"> </w:t>
      </w:r>
      <w:r w:rsidR="001606F1" w:rsidRPr="00EE00D8">
        <w:t xml:space="preserve">Le </w:t>
      </w:r>
      <w:r w:rsidR="001606F1" w:rsidRPr="00DE05FE">
        <w:t xml:space="preserve">Titulaire utilisera notamment des plaques d’isorel pour la protection des </w:t>
      </w:r>
      <w:r w:rsidR="001606F1" w:rsidRPr="00CF27F7">
        <w:rPr>
          <w:color w:val="000000" w:themeColor="text1"/>
        </w:rPr>
        <w:t>sols</w:t>
      </w:r>
      <w:r w:rsidRPr="00CF27F7">
        <w:rPr>
          <w:color w:val="000000" w:themeColor="text1"/>
        </w:rPr>
        <w:t xml:space="preserve"> et des plaques métalliques de répartition des charges lourdes dans le cas d’utilisation d’engins de levage spécifique.</w:t>
      </w:r>
    </w:p>
    <w:p w14:paraId="659B6D55" w14:textId="77777777" w:rsidR="001606F1" w:rsidRPr="00EE00D8" w:rsidRDefault="001606F1" w:rsidP="001606F1">
      <w:pPr>
        <w:pStyle w:val="Listepuces"/>
      </w:pPr>
      <w:r w:rsidRPr="00E64A4B">
        <w:rPr>
          <w:b/>
        </w:rPr>
        <w:t xml:space="preserve">Mise en place des </w:t>
      </w:r>
      <w:r>
        <w:rPr>
          <w:b/>
        </w:rPr>
        <w:t xml:space="preserve">dispositifs et </w:t>
      </w:r>
      <w:r w:rsidRPr="00E64A4B">
        <w:rPr>
          <w:b/>
        </w:rPr>
        <w:t>moyens nécessaires pour garantir la sécurité des opérations de chargement et de déchargement sur voies publiques et privées</w:t>
      </w:r>
      <w:r w:rsidRPr="00EE00D8">
        <w:t xml:space="preserve">. </w:t>
      </w:r>
    </w:p>
    <w:p w14:paraId="16BE4B4B" w14:textId="5F683D91" w:rsidR="001606F1" w:rsidRPr="00B2517A" w:rsidRDefault="001606F1" w:rsidP="001606F1">
      <w:pPr>
        <w:pStyle w:val="Corpsdetexte"/>
      </w:pPr>
      <w:r w:rsidRPr="00B2517A">
        <w:t>Cette liste n’est pas exhaustive</w:t>
      </w:r>
      <w:r>
        <w:t xml:space="preserve"> et peut être complétée par le Titulaire dans son mémoire suivant les opérations qu’il estime devoir réaliser suivant les pratiques relevant des règles de l’art de son activité</w:t>
      </w:r>
      <w:r w:rsidRPr="00B2517A">
        <w:t>.</w:t>
      </w:r>
    </w:p>
    <w:p w14:paraId="40E77C69" w14:textId="131BD0EE" w:rsidR="00C665D1" w:rsidRDefault="00C665D1" w:rsidP="009C475A">
      <w:pPr>
        <w:pStyle w:val="Titre2"/>
      </w:pPr>
      <w:bookmarkStart w:id="56" w:name="_Ref421029144"/>
      <w:bookmarkStart w:id="57" w:name="_Toc215675475"/>
      <w:r>
        <w:lastRenderedPageBreak/>
        <w:t>Prestations à prix unitaires</w:t>
      </w:r>
      <w:bookmarkEnd w:id="51"/>
      <w:bookmarkEnd w:id="56"/>
      <w:bookmarkEnd w:id="57"/>
    </w:p>
    <w:p w14:paraId="0EE08BC8" w14:textId="14C8C8CE" w:rsidR="00BA45F2" w:rsidRDefault="00BA45F2" w:rsidP="00BA45F2">
      <w:bookmarkStart w:id="58" w:name="_Ref406054847"/>
      <w:r w:rsidRPr="00090E92">
        <w:t xml:space="preserve">Les Prestations à prix unitaires concernent des </w:t>
      </w:r>
      <w:r w:rsidRPr="00D0642B">
        <w:rPr>
          <w:b/>
        </w:rPr>
        <w:t xml:space="preserve">Prestations supplémentaires liées à l’objet du Marché Subséquent pouvant être commandées par le </w:t>
      </w:r>
      <w:proofErr w:type="spellStart"/>
      <w:r w:rsidR="008D034F">
        <w:rPr>
          <w:b/>
        </w:rPr>
        <w:t>Mucem</w:t>
      </w:r>
      <w:proofErr w:type="spellEnd"/>
      <w:r w:rsidRPr="00D0642B">
        <w:rPr>
          <w:b/>
        </w:rPr>
        <w:t xml:space="preserve"> pour gérer les éventuelles plus-values apparues en cours d’exécution du Marché Subséquent</w:t>
      </w:r>
      <w:r w:rsidRPr="00090E92">
        <w:t>.</w:t>
      </w:r>
    </w:p>
    <w:p w14:paraId="79E53E7C" w14:textId="3737EA25" w:rsidR="001606F1" w:rsidRDefault="001606F1" w:rsidP="009C475A">
      <w:pPr>
        <w:pStyle w:val="Titre2"/>
      </w:pPr>
      <w:bookmarkStart w:id="59" w:name="_Toc215675476"/>
      <w:r>
        <w:t>Lieux d’exécution des Prestations</w:t>
      </w:r>
      <w:bookmarkEnd w:id="59"/>
    </w:p>
    <w:p w14:paraId="27B71F49" w14:textId="380B2A8C" w:rsidR="001606F1" w:rsidRDefault="001606F1" w:rsidP="001606F1">
      <w:r>
        <w:t xml:space="preserve">La Prestation concerne </w:t>
      </w:r>
      <w:r w:rsidR="00D0642B">
        <w:t xml:space="preserve">en partie </w:t>
      </w:r>
      <w:r>
        <w:t xml:space="preserve">le site dit </w:t>
      </w:r>
      <w:r w:rsidR="00D0642B">
        <w:t>« </w:t>
      </w:r>
      <w:r>
        <w:t>môle J4</w:t>
      </w:r>
      <w:r w:rsidR="00D0642B">
        <w:t> »</w:t>
      </w:r>
      <w:r>
        <w:t xml:space="preserve"> du </w:t>
      </w:r>
      <w:proofErr w:type="spellStart"/>
      <w:r w:rsidR="008D034F">
        <w:t>Mucem</w:t>
      </w:r>
      <w:proofErr w:type="spellEnd"/>
      <w:r>
        <w:t>.</w:t>
      </w:r>
    </w:p>
    <w:p w14:paraId="61118D7F" w14:textId="55580537" w:rsidR="001606F1" w:rsidRPr="001606F1" w:rsidRDefault="001606F1" w:rsidP="001606F1">
      <w:r>
        <w:t>Les détails concernant les conditions d’accès aux lieux et les lieux proprement dit figurent dans le CCTPI de l’Accord-Cadre.</w:t>
      </w:r>
    </w:p>
    <w:p w14:paraId="29300655" w14:textId="2644E408" w:rsidR="004E1B4C" w:rsidRPr="00226EE4" w:rsidRDefault="004E1B4C" w:rsidP="009C475A">
      <w:pPr>
        <w:pStyle w:val="Titre2"/>
      </w:pPr>
      <w:bookmarkStart w:id="60" w:name="_Toc369873198"/>
      <w:bookmarkStart w:id="61" w:name="_Toc215675477"/>
      <w:bookmarkEnd w:id="39"/>
      <w:bookmarkEnd w:id="40"/>
      <w:bookmarkEnd w:id="41"/>
      <w:bookmarkEnd w:id="42"/>
      <w:bookmarkEnd w:id="43"/>
      <w:bookmarkEnd w:id="44"/>
      <w:bookmarkEnd w:id="58"/>
      <w:r w:rsidRPr="00226EE4">
        <w:t xml:space="preserve">Documents </w:t>
      </w:r>
      <w:r w:rsidR="00C842F6">
        <w:t xml:space="preserve">particuliers </w:t>
      </w:r>
      <w:r w:rsidRPr="00226EE4">
        <w:t>fournis par le Titulaire</w:t>
      </w:r>
      <w:bookmarkEnd w:id="60"/>
      <w:bookmarkEnd w:id="61"/>
    </w:p>
    <w:p w14:paraId="11EADCD7" w14:textId="77777777" w:rsidR="00C842F6" w:rsidRDefault="0089505F" w:rsidP="004E1B4C">
      <w:pPr>
        <w:spacing w:before="100" w:beforeAutospacing="1" w:after="100" w:afterAutospacing="1"/>
        <w:rPr>
          <w:rFonts w:cs="Arial"/>
        </w:rPr>
      </w:pPr>
      <w:r>
        <w:rPr>
          <w:rFonts w:cs="Arial"/>
        </w:rPr>
        <w:t xml:space="preserve">Le Titulaire s’engage </w:t>
      </w:r>
      <w:r w:rsidR="00C842F6">
        <w:rPr>
          <w:rFonts w:cs="Arial"/>
        </w:rPr>
        <w:t xml:space="preserve">à fournir les livrables listés à </w:t>
      </w:r>
      <w:r w:rsidR="00C842F6" w:rsidRPr="000C706D">
        <w:rPr>
          <w:rFonts w:cs="Arial"/>
          <w:b/>
          <w:i/>
          <w:color w:val="595959" w:themeColor="text1" w:themeTint="A6"/>
        </w:rPr>
        <w:t>l’article 5 du CCTPI de l’Accord-Cadre</w:t>
      </w:r>
      <w:r w:rsidR="00C842F6">
        <w:rPr>
          <w:rFonts w:cs="Arial"/>
        </w:rPr>
        <w:t>.</w:t>
      </w:r>
    </w:p>
    <w:p w14:paraId="702DF78F" w14:textId="5DE53FBC" w:rsidR="00535D21" w:rsidRDefault="000F5C12" w:rsidP="00BF0E36">
      <w:pPr>
        <w:pStyle w:val="Titre1"/>
      </w:pPr>
      <w:bookmarkStart w:id="62" w:name="_Ref406056499"/>
      <w:bookmarkStart w:id="63" w:name="_Toc215675478"/>
      <w:bookmarkEnd w:id="31"/>
      <w:bookmarkEnd w:id="32"/>
      <w:bookmarkEnd w:id="33"/>
      <w:r>
        <w:t>Modalités financières</w:t>
      </w:r>
      <w:bookmarkEnd w:id="62"/>
      <w:bookmarkEnd w:id="63"/>
    </w:p>
    <w:p w14:paraId="2E7F20FC" w14:textId="77777777" w:rsidR="00543C0A" w:rsidRDefault="00543C0A" w:rsidP="009C475A">
      <w:pPr>
        <w:pStyle w:val="Titre2"/>
      </w:pPr>
      <w:bookmarkStart w:id="64" w:name="_Toc333412633"/>
      <w:bookmarkStart w:id="65" w:name="_Ref453677235"/>
      <w:bookmarkStart w:id="66" w:name="_Toc215675479"/>
      <w:bookmarkStart w:id="67" w:name="_Toc330810348"/>
      <w:bookmarkStart w:id="68" w:name="_Ref329692297"/>
      <w:bookmarkStart w:id="69" w:name="_Ref329692471"/>
      <w:r>
        <w:t>Forme et contenu des prix</w:t>
      </w:r>
      <w:bookmarkEnd w:id="64"/>
      <w:bookmarkEnd w:id="65"/>
      <w:bookmarkEnd w:id="66"/>
    </w:p>
    <w:p w14:paraId="5E213D16" w14:textId="77777777" w:rsidR="00543C0A" w:rsidRPr="007F2844" w:rsidRDefault="00543C0A" w:rsidP="00543C0A">
      <w:r w:rsidRPr="007F2844">
        <w:t>Le présent Marché est conclu en Euros.</w:t>
      </w:r>
    </w:p>
    <w:p w14:paraId="3C315128" w14:textId="1421762E" w:rsidR="00240FD6" w:rsidRDefault="00240FD6" w:rsidP="00240FD6">
      <w:r>
        <w:t xml:space="preserve">Les Prestations </w:t>
      </w:r>
      <w:r w:rsidR="006D15B8">
        <w:t>mentionnées</w:t>
      </w:r>
      <w:r w:rsidR="0026269F">
        <w:t xml:space="preserve"> à </w:t>
      </w:r>
      <w:r w:rsidR="0026269F" w:rsidRPr="003B1A17">
        <w:rPr>
          <w:b/>
          <w:i/>
          <w:color w:val="595959" w:themeColor="text1" w:themeTint="A6"/>
        </w:rPr>
        <w:t xml:space="preserve">l’article </w:t>
      </w:r>
      <w:r w:rsidR="00982E45">
        <w:rPr>
          <w:b/>
          <w:i/>
          <w:color w:val="595959" w:themeColor="text1" w:themeTint="A6"/>
        </w:rPr>
        <w:fldChar w:fldCharType="begin"/>
      </w:r>
      <w:r w:rsidR="00982E45">
        <w:rPr>
          <w:b/>
          <w:i/>
          <w:color w:val="595959" w:themeColor="text1" w:themeTint="A6"/>
        </w:rPr>
        <w:instrText xml:space="preserve"> REF _Ref456091254 \r \h </w:instrText>
      </w:r>
      <w:r w:rsidR="00982E45">
        <w:rPr>
          <w:b/>
          <w:i/>
          <w:color w:val="595959" w:themeColor="text1" w:themeTint="A6"/>
        </w:rPr>
      </w:r>
      <w:r w:rsidR="00982E45">
        <w:rPr>
          <w:b/>
          <w:i/>
          <w:color w:val="595959" w:themeColor="text1" w:themeTint="A6"/>
        </w:rPr>
        <w:fldChar w:fldCharType="separate"/>
      </w:r>
      <w:r w:rsidR="001439D5">
        <w:rPr>
          <w:b/>
          <w:i/>
          <w:color w:val="595959" w:themeColor="text1" w:themeTint="A6"/>
        </w:rPr>
        <w:t>6.1</w:t>
      </w:r>
      <w:r w:rsidR="00982E45">
        <w:rPr>
          <w:b/>
          <w:i/>
          <w:color w:val="595959" w:themeColor="text1" w:themeTint="A6"/>
        </w:rPr>
        <w:fldChar w:fldCharType="end"/>
      </w:r>
      <w:r w:rsidR="003B1A17" w:rsidRPr="003B1A17">
        <w:rPr>
          <w:b/>
          <w:i/>
          <w:color w:val="595959" w:themeColor="text1" w:themeTint="A6"/>
        </w:rPr>
        <w:t xml:space="preserve"> du CCP</w:t>
      </w:r>
      <w:r w:rsidR="003B1A17">
        <w:t xml:space="preserve"> </w:t>
      </w:r>
      <w:r w:rsidR="0026269F">
        <w:t>et reprises dans le tableau de décomposition globale et forfaitaire</w:t>
      </w:r>
      <w:r>
        <w:t xml:space="preserve"> sont rémunérées sur la </w:t>
      </w:r>
      <w:r w:rsidRPr="0026269F">
        <w:t xml:space="preserve">base d’un </w:t>
      </w:r>
      <w:r w:rsidRPr="00BA45F2">
        <w:rPr>
          <w:b/>
        </w:rPr>
        <w:t>prix forfaitaire</w:t>
      </w:r>
      <w:r w:rsidR="006D15B8">
        <w:t xml:space="preserve"> (</w:t>
      </w:r>
      <w:r w:rsidR="006D15B8" w:rsidRPr="00C35004">
        <w:rPr>
          <w:b/>
          <w:i/>
          <w:color w:val="595959" w:themeColor="text1" w:themeTint="A6"/>
        </w:rPr>
        <w:t>Annexe 1 du CCP</w:t>
      </w:r>
      <w:r w:rsidR="00D0642B">
        <w:rPr>
          <w:b/>
          <w:i/>
          <w:color w:val="595959" w:themeColor="text1" w:themeTint="A6"/>
        </w:rPr>
        <w:t> :</w:t>
      </w:r>
      <w:r w:rsidR="006D15B8">
        <w:rPr>
          <w:b/>
          <w:i/>
          <w:color w:val="595959" w:themeColor="text1" w:themeTint="A6"/>
        </w:rPr>
        <w:t xml:space="preserve"> DPGF)</w:t>
      </w:r>
      <w:r w:rsidR="0026269F" w:rsidRPr="0026269F">
        <w:t>.</w:t>
      </w:r>
    </w:p>
    <w:p w14:paraId="4BF9F3C2" w14:textId="671FF5DB" w:rsidR="00BA45F2" w:rsidRDefault="00543C0A" w:rsidP="00543C0A">
      <w:r w:rsidRPr="007F2844">
        <w:t xml:space="preserve">Les Prestations </w:t>
      </w:r>
      <w:r w:rsidR="0026269F">
        <w:t>supplémentaires (hors forfait)</w:t>
      </w:r>
      <w:r w:rsidR="00E25D13">
        <w:t>,</w:t>
      </w:r>
      <w:r w:rsidR="0026269F">
        <w:t xml:space="preserve"> </w:t>
      </w:r>
      <w:r w:rsidR="00E25D13">
        <w:t>mentionnées à l’</w:t>
      </w:r>
      <w:r w:rsidR="00E25D13" w:rsidRPr="00E25D13">
        <w:rPr>
          <w:b/>
          <w:i/>
          <w:color w:val="595959" w:themeColor="text1" w:themeTint="A6"/>
        </w:rPr>
        <w:t xml:space="preserve">article </w:t>
      </w:r>
      <w:r w:rsidR="00E25D13" w:rsidRPr="00E25D13">
        <w:rPr>
          <w:b/>
          <w:i/>
          <w:color w:val="595959" w:themeColor="text1" w:themeTint="A6"/>
        </w:rPr>
        <w:fldChar w:fldCharType="begin"/>
      </w:r>
      <w:r w:rsidR="00E25D13" w:rsidRPr="00E25D13">
        <w:rPr>
          <w:b/>
          <w:i/>
          <w:color w:val="595959" w:themeColor="text1" w:themeTint="A6"/>
        </w:rPr>
        <w:instrText xml:space="preserve"> REF _Ref421029144 \r \h  \* MERGEFORMAT </w:instrText>
      </w:r>
      <w:r w:rsidR="00E25D13" w:rsidRPr="00E25D13">
        <w:rPr>
          <w:b/>
          <w:i/>
          <w:color w:val="595959" w:themeColor="text1" w:themeTint="A6"/>
        </w:rPr>
      </w:r>
      <w:r w:rsidR="00E25D13" w:rsidRPr="00E25D13">
        <w:rPr>
          <w:b/>
          <w:i/>
          <w:color w:val="595959" w:themeColor="text1" w:themeTint="A6"/>
        </w:rPr>
        <w:fldChar w:fldCharType="separate"/>
      </w:r>
      <w:r w:rsidR="001439D5">
        <w:rPr>
          <w:b/>
          <w:i/>
          <w:color w:val="595959" w:themeColor="text1" w:themeTint="A6"/>
        </w:rPr>
        <w:t>6.2</w:t>
      </w:r>
      <w:r w:rsidR="00E25D13" w:rsidRPr="00E25D13">
        <w:rPr>
          <w:b/>
          <w:i/>
          <w:color w:val="595959" w:themeColor="text1" w:themeTint="A6"/>
        </w:rPr>
        <w:fldChar w:fldCharType="end"/>
      </w:r>
      <w:r w:rsidR="00E25D13" w:rsidRPr="00E25D13">
        <w:rPr>
          <w:b/>
          <w:i/>
          <w:color w:val="595959" w:themeColor="text1" w:themeTint="A6"/>
        </w:rPr>
        <w:t xml:space="preserve"> du CCP</w:t>
      </w:r>
      <w:r w:rsidR="00E25D13">
        <w:rPr>
          <w:b/>
          <w:i/>
          <w:color w:val="595959" w:themeColor="text1" w:themeTint="A6"/>
        </w:rPr>
        <w:t>,</w:t>
      </w:r>
      <w:r w:rsidR="00E25D13">
        <w:t xml:space="preserve"> </w:t>
      </w:r>
      <w:r w:rsidRPr="0026269F">
        <w:t>seront rémunérées su</w:t>
      </w:r>
      <w:r w:rsidR="00D0642B">
        <w:t xml:space="preserve">r la base d’une </w:t>
      </w:r>
      <w:r w:rsidR="00D0642B" w:rsidRPr="00145CF1">
        <w:rPr>
          <w:b/>
        </w:rPr>
        <w:t>part à commande</w:t>
      </w:r>
      <w:r w:rsidR="00D0642B">
        <w:t xml:space="preserve">, </w:t>
      </w:r>
      <w:r w:rsidRPr="0026269F">
        <w:t>par application</w:t>
      </w:r>
      <w:r w:rsidR="00BA45F2">
        <w:t> :</w:t>
      </w:r>
    </w:p>
    <w:p w14:paraId="2D02DE95" w14:textId="77777777" w:rsidR="00BA45F2" w:rsidRDefault="00543C0A" w:rsidP="00BA45F2">
      <w:pPr>
        <w:pStyle w:val="Listepuces"/>
      </w:pPr>
      <w:proofErr w:type="gramStart"/>
      <w:r>
        <w:t>des</w:t>
      </w:r>
      <w:proofErr w:type="gramEnd"/>
      <w:r>
        <w:t xml:space="preserve"> prix unitaires </w:t>
      </w:r>
      <w:r w:rsidR="00C842F6">
        <w:t>du BPU de l’Accord-Cadre</w:t>
      </w:r>
      <w:r w:rsidRPr="007F2844">
        <w:t xml:space="preserve"> aux quantités réellement exé</w:t>
      </w:r>
      <w:r>
        <w:t>cutées</w:t>
      </w:r>
    </w:p>
    <w:p w14:paraId="543085B9" w14:textId="04C245FC" w:rsidR="00543C0A" w:rsidRDefault="003B1A17" w:rsidP="00B24918">
      <w:pPr>
        <w:pStyle w:val="Listepuces"/>
      </w:pPr>
      <w:proofErr w:type="gramStart"/>
      <w:r w:rsidRPr="003B1A17">
        <w:t>ou</w:t>
      </w:r>
      <w:proofErr w:type="gramEnd"/>
      <w:r w:rsidRPr="003B1A17">
        <w:t xml:space="preserve"> d’un devis du Titulaire</w:t>
      </w:r>
      <w:r>
        <w:t xml:space="preserve">, </w:t>
      </w:r>
      <w:r w:rsidR="00BA45F2" w:rsidRPr="00090E92">
        <w:t>si les Prestations/Fournitures concernés ne figurent pas dans le</w:t>
      </w:r>
      <w:r w:rsidR="00BA45F2">
        <w:t>dit</w:t>
      </w:r>
      <w:r w:rsidR="00BA45F2" w:rsidRPr="00090E92">
        <w:t xml:space="preserve"> BPU. Pour l’établissement de son devis le Titulaire devra être cohérent avec les prix unitaires mentionnés dans son mémoire chiffré </w:t>
      </w:r>
      <w:r w:rsidR="00BA45F2">
        <w:t xml:space="preserve">pour le Marché Subséquent </w:t>
      </w:r>
      <w:r w:rsidR="00BA45F2" w:rsidRPr="00090E92">
        <w:t>ou dans le BPU.</w:t>
      </w:r>
    </w:p>
    <w:p w14:paraId="21A82A6A" w14:textId="05ED5BAB" w:rsidR="00145CF1" w:rsidRDefault="00145CF1" w:rsidP="00145CF1">
      <w:r w:rsidRPr="00145CF1">
        <w:rPr>
          <w:u w:val="single"/>
        </w:rPr>
        <w:t>Les suppléments de prix au titre de la part à commande du Marché Subséquent sont strictement encadrés</w:t>
      </w:r>
      <w:r>
        <w:t xml:space="preserve"> : ils ne sont pris en compte que dans le cas de circonstances d'exécution de Prestations non décrites pour les Prestations de la part à prix forfaitaire ou d'exigences particulières définies expressément par le </w:t>
      </w:r>
      <w:proofErr w:type="spellStart"/>
      <w:r w:rsidR="008D034F">
        <w:t>Mucem</w:t>
      </w:r>
      <w:proofErr w:type="spellEnd"/>
      <w:r>
        <w:t>, mais non demandées dans le cadre de la part à prix forfaitaire.</w:t>
      </w:r>
    </w:p>
    <w:p w14:paraId="1FB5507F" w14:textId="200755FB" w:rsidR="00784619" w:rsidRDefault="00D10179" w:rsidP="009C475A">
      <w:pPr>
        <w:pStyle w:val="Titre2"/>
      </w:pPr>
      <w:bookmarkStart w:id="70" w:name="_Ref405905179"/>
      <w:bookmarkStart w:id="71" w:name="_Toc215675480"/>
      <w:r w:rsidRPr="00866023">
        <w:rPr>
          <w:caps/>
          <w:color w:val="FF0000"/>
          <w:sz w:val="36"/>
          <w:szCs w:val="36"/>
          <w:highlight w:val="lightGray"/>
        </w:rPr>
        <w:sym w:font="Wingdings" w:char="F046"/>
      </w:r>
      <w:r w:rsidR="00784619">
        <w:t xml:space="preserve">Montant </w:t>
      </w:r>
      <w:r w:rsidR="00791299">
        <w:t xml:space="preserve">forfaitaire </w:t>
      </w:r>
      <w:r w:rsidR="00784619">
        <w:t>du Marché</w:t>
      </w:r>
      <w:bookmarkEnd w:id="70"/>
      <w:r w:rsidR="0071727B">
        <w:t xml:space="preserve"> </w:t>
      </w:r>
      <w:r w:rsidR="003230F0">
        <w:t>Subséquent</w:t>
      </w:r>
      <w:bookmarkEnd w:id="71"/>
    </w:p>
    <w:p w14:paraId="20850D6B" w14:textId="547A37CD" w:rsidR="00784619" w:rsidRPr="00791299" w:rsidRDefault="00784619" w:rsidP="00784619">
      <w:r w:rsidRPr="00791299">
        <w:t xml:space="preserve">Le </w:t>
      </w:r>
      <w:r w:rsidRPr="00791299">
        <w:rPr>
          <w:b/>
        </w:rPr>
        <w:t xml:space="preserve">montant du Marché </w:t>
      </w:r>
      <w:r w:rsidR="003230F0">
        <w:rPr>
          <w:b/>
        </w:rPr>
        <w:t xml:space="preserve">Subséquent </w:t>
      </w:r>
      <w:r w:rsidRPr="00791299">
        <w:rPr>
          <w:b/>
        </w:rPr>
        <w:t>correspondant à la part forfaitaire</w:t>
      </w:r>
      <w:r w:rsidRPr="00791299">
        <w:t xml:space="preserve"> est fixé à la somme de :</w:t>
      </w:r>
    </w:p>
    <w:tbl>
      <w:tblPr>
        <w:tblStyle w:val="Grilledutableau"/>
        <w:tblW w:w="0" w:type="auto"/>
        <w:tblLook w:val="04A0" w:firstRow="1" w:lastRow="0" w:firstColumn="1" w:lastColumn="0" w:noHBand="0" w:noVBand="1"/>
      </w:tblPr>
      <w:tblGrid>
        <w:gridCol w:w="9628"/>
      </w:tblGrid>
      <w:tr w:rsidR="00831D85" w14:paraId="475B1DB4" w14:textId="77777777" w:rsidTr="00831D85">
        <w:tc>
          <w:tcPr>
            <w:tcW w:w="9778" w:type="dxa"/>
          </w:tcPr>
          <w:p w14:paraId="2B609664" w14:textId="77777777" w:rsidR="00831D85" w:rsidRPr="00866023" w:rsidRDefault="00831D85" w:rsidP="00831D85">
            <w:pPr>
              <w:rPr>
                <w:highlight w:val="lightGray"/>
              </w:rPr>
            </w:pPr>
            <w:r w:rsidRPr="00866023">
              <w:rPr>
                <w:highlight w:val="lightGray"/>
              </w:rPr>
              <w:t>[</w:t>
            </w:r>
            <w:proofErr w:type="gramStart"/>
            <w:r w:rsidRPr="00866023">
              <w:rPr>
                <w:highlight w:val="lightGray"/>
              </w:rPr>
              <w:t>à</w:t>
            </w:r>
            <w:proofErr w:type="gramEnd"/>
            <w:r w:rsidRPr="00866023">
              <w:rPr>
                <w:highlight w:val="lightGray"/>
              </w:rPr>
              <w:t xml:space="preserve"> compléter] </w:t>
            </w:r>
          </w:p>
          <w:p w14:paraId="3192D221" w14:textId="77777777" w:rsidR="00831D85" w:rsidRPr="00B50758" w:rsidRDefault="00831D85" w:rsidP="00831D85">
            <w:r w:rsidRPr="00866023">
              <w:rPr>
                <w:caps/>
                <w:color w:val="FF0000"/>
                <w:sz w:val="36"/>
                <w:szCs w:val="36"/>
                <w:highlight w:val="lightGray"/>
              </w:rPr>
              <w:sym w:font="Wingdings" w:char="F046"/>
            </w:r>
            <w:r w:rsidRPr="00B50758">
              <w:t>Montant hors T.</w:t>
            </w:r>
            <w:proofErr w:type="gramStart"/>
            <w:r w:rsidRPr="00B50758">
              <w:t>V.A</w:t>
            </w:r>
            <w:proofErr w:type="gramEnd"/>
            <w:r w:rsidRPr="00B50758">
              <w:tab/>
              <w:t>(en chiffres) :</w:t>
            </w:r>
          </w:p>
          <w:p w14:paraId="73032A91" w14:textId="4CFBAA1E" w:rsidR="000252A0" w:rsidRDefault="00831D85" w:rsidP="000252A0">
            <w:pPr>
              <w:pStyle w:val="rNormal"/>
              <w:spacing w:before="0" w:after="0"/>
            </w:pPr>
            <w:r w:rsidRPr="00866023">
              <w:rPr>
                <w:caps/>
                <w:color w:val="FF0000"/>
                <w:sz w:val="36"/>
                <w:szCs w:val="36"/>
                <w:highlight w:val="lightGray"/>
              </w:rPr>
              <w:sym w:font="Wingdings" w:char="F046"/>
            </w:r>
            <w:r w:rsidR="000252A0">
              <w:t xml:space="preserve"> Montant T.V.A. au taux de </w:t>
            </w:r>
            <w:r w:rsidR="000252A0" w:rsidRPr="00866023">
              <w:rPr>
                <w:highlight w:val="lightGray"/>
              </w:rPr>
              <w:t>__</w:t>
            </w:r>
            <w:r w:rsidR="000252A0">
              <w:t>% (en chiffres) :</w:t>
            </w:r>
          </w:p>
          <w:p w14:paraId="7A93C4EF" w14:textId="77777777" w:rsidR="000252A0" w:rsidRDefault="000252A0" w:rsidP="000252A0">
            <w:pPr>
              <w:pStyle w:val="rNormal"/>
              <w:spacing w:before="0" w:after="0"/>
            </w:pPr>
          </w:p>
          <w:p w14:paraId="11F9D001" w14:textId="77777777" w:rsidR="00831D85" w:rsidRPr="00B50758" w:rsidRDefault="00831D85" w:rsidP="00831D85">
            <w:r w:rsidRPr="00866023">
              <w:rPr>
                <w:caps/>
                <w:color w:val="FF0000"/>
                <w:sz w:val="36"/>
                <w:szCs w:val="36"/>
                <w:highlight w:val="lightGray"/>
              </w:rPr>
              <w:sym w:font="Wingdings" w:char="F046"/>
            </w:r>
            <w:r w:rsidRPr="00B50758">
              <w:t>Montant T.V.A. incluse</w:t>
            </w:r>
            <w:r w:rsidRPr="00B50758">
              <w:tab/>
              <w:t>(en chiffres) :</w:t>
            </w:r>
          </w:p>
          <w:p w14:paraId="04157CA3" w14:textId="41CCF87A" w:rsidR="00831D85" w:rsidRPr="00791299" w:rsidRDefault="00831D85" w:rsidP="006D15B8">
            <w:r w:rsidRPr="00B50758">
              <w:t>(...............................................................................</w:t>
            </w:r>
            <w:r>
              <w:t>............................TTC</w:t>
            </w:r>
            <w:r w:rsidRPr="00B50758">
              <w:t>) (en toutes lettres)</w:t>
            </w:r>
          </w:p>
        </w:tc>
      </w:tr>
    </w:tbl>
    <w:p w14:paraId="3E91D659" w14:textId="350EA648" w:rsidR="00ED03F1" w:rsidRDefault="00ED03F1" w:rsidP="00ED03F1">
      <w:pPr>
        <w:spacing w:before="100" w:beforeAutospacing="1" w:after="100" w:afterAutospacing="1"/>
        <w:rPr>
          <w:rFonts w:cs="Arial"/>
          <w:b/>
          <w:i/>
          <w:color w:val="595959"/>
        </w:rPr>
      </w:pPr>
      <w:r w:rsidRPr="00226EE4">
        <w:rPr>
          <w:rFonts w:cs="Arial"/>
        </w:rPr>
        <w:t xml:space="preserve">Le </w:t>
      </w:r>
      <w:r>
        <w:rPr>
          <w:rFonts w:cs="Arial"/>
        </w:rPr>
        <w:t>montant forfaitaire est</w:t>
      </w:r>
      <w:r w:rsidRPr="00226EE4">
        <w:rPr>
          <w:rFonts w:cs="Arial"/>
        </w:rPr>
        <w:t xml:space="preserve"> décomposé dans le document intitulé “ Décomposition du Prix Global et Forfaitaire ” </w:t>
      </w:r>
      <w:r>
        <w:rPr>
          <w:rFonts w:cs="Arial"/>
        </w:rPr>
        <w:t>(DPGF) (</w:t>
      </w:r>
      <w:r w:rsidR="00E25D13">
        <w:rPr>
          <w:rFonts w:cs="Arial"/>
          <w:b/>
          <w:i/>
          <w:color w:val="595959" w:themeColor="text1" w:themeTint="A6"/>
        </w:rPr>
        <w:t xml:space="preserve">annexe 1 </w:t>
      </w:r>
      <w:r w:rsidRPr="00ED03F1">
        <w:rPr>
          <w:rFonts w:cs="Arial"/>
          <w:b/>
          <w:i/>
          <w:color w:val="595959" w:themeColor="text1" w:themeTint="A6"/>
        </w:rPr>
        <w:t xml:space="preserve">du </w:t>
      </w:r>
      <w:r w:rsidR="00C842F6">
        <w:rPr>
          <w:rFonts w:cs="Arial"/>
          <w:b/>
          <w:i/>
          <w:color w:val="595959" w:themeColor="text1" w:themeTint="A6"/>
        </w:rPr>
        <w:t xml:space="preserve">présent </w:t>
      </w:r>
      <w:r w:rsidRPr="00ED03F1">
        <w:rPr>
          <w:rFonts w:cs="Arial"/>
          <w:b/>
          <w:i/>
          <w:color w:val="595959" w:themeColor="text1" w:themeTint="A6"/>
        </w:rPr>
        <w:t>CCP</w:t>
      </w:r>
      <w:r>
        <w:rPr>
          <w:rFonts w:cs="Arial"/>
        </w:rPr>
        <w:t>) et dans le mémoire chiffré du Titulaire</w:t>
      </w:r>
      <w:r w:rsidRPr="00226EE4">
        <w:rPr>
          <w:rFonts w:cs="Arial"/>
        </w:rPr>
        <w:t>. Ils sont établis sur la base du nombre, du volume e</w:t>
      </w:r>
      <w:r w:rsidRPr="000046AA">
        <w:rPr>
          <w:rFonts w:cs="Arial"/>
        </w:rPr>
        <w:t xml:space="preserve">t de la provenance des œuvres / objets dont le détail figure </w:t>
      </w:r>
      <w:r>
        <w:rPr>
          <w:rFonts w:cs="Arial"/>
          <w:b/>
          <w:i/>
          <w:color w:val="595959"/>
        </w:rPr>
        <w:t xml:space="preserve">en Annexe 2 </w:t>
      </w:r>
      <w:r w:rsidRPr="00D10179">
        <w:rPr>
          <w:rFonts w:cs="Arial"/>
          <w:b/>
          <w:i/>
          <w:color w:val="595959"/>
        </w:rPr>
        <w:t xml:space="preserve">du </w:t>
      </w:r>
      <w:r w:rsidR="00C842F6">
        <w:rPr>
          <w:rFonts w:cs="Arial"/>
          <w:b/>
          <w:i/>
          <w:color w:val="595959"/>
        </w:rPr>
        <w:t xml:space="preserve">présent </w:t>
      </w:r>
      <w:r w:rsidRPr="00D10179">
        <w:rPr>
          <w:rFonts w:cs="Arial"/>
          <w:b/>
          <w:i/>
          <w:color w:val="595959"/>
        </w:rPr>
        <w:t>CCP.</w:t>
      </w:r>
    </w:p>
    <w:p w14:paraId="53F6DB24" w14:textId="1A9FD8D5" w:rsidR="00462A3F" w:rsidRDefault="00D854A8" w:rsidP="00D854A8">
      <w:pPr>
        <w:spacing w:before="100" w:beforeAutospacing="1" w:after="100" w:afterAutospacing="1"/>
        <w:rPr>
          <w:rFonts w:cs="Arial"/>
          <w:u w:val="single"/>
        </w:rPr>
      </w:pPr>
      <w:r>
        <w:rPr>
          <w:rFonts w:cs="Arial"/>
        </w:rPr>
        <w:lastRenderedPageBreak/>
        <w:t>Ce montant</w:t>
      </w:r>
      <w:r w:rsidRPr="00226EE4">
        <w:rPr>
          <w:rFonts w:cs="Arial"/>
        </w:rPr>
        <w:t xml:space="preserve"> </w:t>
      </w:r>
      <w:r>
        <w:rPr>
          <w:rFonts w:cs="Arial"/>
        </w:rPr>
        <w:t xml:space="preserve">comprend toutes les dépenses nécessaires pour l’exécution des Prestations, </w:t>
      </w:r>
      <w:r w:rsidRPr="006426F9">
        <w:rPr>
          <w:rFonts w:cs="Arial"/>
          <w:u w:val="single"/>
        </w:rPr>
        <w:t xml:space="preserve">y compris </w:t>
      </w:r>
      <w:r w:rsidR="00462A3F">
        <w:rPr>
          <w:rFonts w:cs="Arial"/>
          <w:u w:val="single"/>
        </w:rPr>
        <w:t>les dépenses relevant :</w:t>
      </w:r>
    </w:p>
    <w:p w14:paraId="57066476" w14:textId="77777777" w:rsidR="00462A3F" w:rsidRDefault="00D854A8" w:rsidP="00462A3F">
      <w:pPr>
        <w:pStyle w:val="Listepuces"/>
      </w:pPr>
      <w:proofErr w:type="gramStart"/>
      <w:r w:rsidRPr="006426F9">
        <w:t>du</w:t>
      </w:r>
      <w:proofErr w:type="gramEnd"/>
      <w:r w:rsidRPr="006426F9">
        <w:t xml:space="preserve"> déballage et du remballage</w:t>
      </w:r>
      <w:r>
        <w:t>,</w:t>
      </w:r>
    </w:p>
    <w:p w14:paraId="55127A54" w14:textId="77777777" w:rsidR="00462A3F" w:rsidRDefault="00D854A8" w:rsidP="00462A3F">
      <w:pPr>
        <w:pStyle w:val="Listepuces"/>
      </w:pPr>
      <w:proofErr w:type="gramStart"/>
      <w:r w:rsidRPr="00226EE4">
        <w:t>les</w:t>
      </w:r>
      <w:proofErr w:type="gramEnd"/>
      <w:r w:rsidRPr="00226EE4">
        <w:t xml:space="preserve"> matériaux nécessaires à l’exécution des </w:t>
      </w:r>
      <w:r>
        <w:t>Prestations,</w:t>
      </w:r>
    </w:p>
    <w:p w14:paraId="5569D015" w14:textId="4260B662" w:rsidR="00462A3F" w:rsidRPr="00226EE4" w:rsidRDefault="00D854A8" w:rsidP="00462A3F">
      <w:pPr>
        <w:pStyle w:val="Listepuces"/>
      </w:pPr>
      <w:proofErr w:type="gramStart"/>
      <w:r w:rsidRPr="00226EE4">
        <w:t>tous</w:t>
      </w:r>
      <w:proofErr w:type="gramEnd"/>
      <w:r w:rsidRPr="00226EE4">
        <w:t xml:space="preserve"> les frais annexes et notamment ceux d’amené et de repli des matériels utilisés et de déplacement de personnes</w:t>
      </w:r>
      <w:r w:rsidR="00462A3F">
        <w:t>.</w:t>
      </w:r>
      <w:r w:rsidR="00462A3F" w:rsidRPr="00462A3F">
        <w:t xml:space="preserve"> </w:t>
      </w:r>
      <w:r w:rsidR="00462A3F" w:rsidRPr="00226EE4">
        <w:t xml:space="preserve">Le Titulaire est informé qu’il ne pourra prétendre à aucun remboursement de frais de taxi à quelque titre que ce soit, </w:t>
      </w:r>
      <w:proofErr w:type="gramStart"/>
      <w:r w:rsidR="00462A3F" w:rsidRPr="00226EE4">
        <w:t>ces frais restant</w:t>
      </w:r>
      <w:proofErr w:type="gramEnd"/>
      <w:r w:rsidR="00462A3F" w:rsidRPr="00226EE4">
        <w:t xml:space="preserve"> à sa charge.</w:t>
      </w:r>
    </w:p>
    <w:p w14:paraId="41F750FC" w14:textId="6EC97391" w:rsidR="00462A3F" w:rsidRDefault="00462A3F" w:rsidP="00462A3F">
      <w:pPr>
        <w:pStyle w:val="Listepuces"/>
      </w:pPr>
      <w:proofErr w:type="gramStart"/>
      <w:r w:rsidRPr="00462A3F">
        <w:t>l’éventuel</w:t>
      </w:r>
      <w:proofErr w:type="gramEnd"/>
      <w:r w:rsidRPr="00462A3F">
        <w:t xml:space="preserve"> stockage en entrepôt sécurisé avant livraison en cas d’arrivée </w:t>
      </w:r>
      <w:r>
        <w:t xml:space="preserve">des œuvres / objets </w:t>
      </w:r>
      <w:r w:rsidRPr="00462A3F">
        <w:t>en-dehors des horaires mentionnés à</w:t>
      </w:r>
      <w:r>
        <w:rPr>
          <w:b/>
        </w:rPr>
        <w:t xml:space="preserve"> </w:t>
      </w:r>
      <w:r w:rsidRPr="00462A3F">
        <w:rPr>
          <w:b/>
          <w:i/>
          <w:color w:val="595959" w:themeColor="text1" w:themeTint="A6"/>
        </w:rPr>
        <w:t xml:space="preserve">l’article </w:t>
      </w:r>
      <w:r w:rsidR="00C842F6">
        <w:rPr>
          <w:b/>
          <w:i/>
          <w:color w:val="595959" w:themeColor="text1" w:themeTint="A6"/>
        </w:rPr>
        <w:t xml:space="preserve">3.5 (horaires de livraison) </w:t>
      </w:r>
      <w:r w:rsidRPr="00462A3F">
        <w:rPr>
          <w:b/>
          <w:i/>
          <w:color w:val="595959" w:themeColor="text1" w:themeTint="A6"/>
        </w:rPr>
        <w:t>du CC</w:t>
      </w:r>
      <w:r w:rsidR="00C842F6">
        <w:rPr>
          <w:b/>
          <w:i/>
          <w:color w:val="595959" w:themeColor="text1" w:themeTint="A6"/>
        </w:rPr>
        <w:t>T</w:t>
      </w:r>
      <w:r w:rsidRPr="00462A3F">
        <w:rPr>
          <w:b/>
          <w:i/>
          <w:color w:val="595959" w:themeColor="text1" w:themeTint="A6"/>
        </w:rPr>
        <w:t>P</w:t>
      </w:r>
      <w:r w:rsidR="00C842F6">
        <w:rPr>
          <w:b/>
          <w:i/>
          <w:color w:val="595959" w:themeColor="text1" w:themeTint="A6"/>
        </w:rPr>
        <w:t>I de l’Accord-Cadre</w:t>
      </w:r>
      <w:r w:rsidRPr="00462A3F">
        <w:t>,</w:t>
      </w:r>
    </w:p>
    <w:p w14:paraId="76D8C894" w14:textId="124C7228" w:rsidR="00D854A8" w:rsidRPr="00226EE4" w:rsidRDefault="00D854A8" w:rsidP="00462A3F">
      <w:pPr>
        <w:pStyle w:val="Listepuces"/>
      </w:pPr>
      <w:proofErr w:type="gramStart"/>
      <w:r w:rsidRPr="00226EE4">
        <w:t>ainsi</w:t>
      </w:r>
      <w:proofErr w:type="gramEnd"/>
      <w:r w:rsidRPr="00226EE4">
        <w:t xml:space="preserve"> que toutes les sujétions particulières inhérentes au contenu même de l’exécution de la </w:t>
      </w:r>
      <w:r>
        <w:t>Prestation,</w:t>
      </w:r>
      <w:r w:rsidRPr="00226EE4">
        <w:t xml:space="preserve"> </w:t>
      </w:r>
      <w:r>
        <w:t xml:space="preserve">à savoir </w:t>
      </w:r>
      <w:r w:rsidRPr="00226EE4">
        <w:t xml:space="preserve">notamment : </w:t>
      </w:r>
    </w:p>
    <w:p w14:paraId="7593C8A1" w14:textId="680E6E31" w:rsidR="00D854A8" w:rsidRPr="00226EE4" w:rsidRDefault="00D854A8" w:rsidP="00462A3F">
      <w:pPr>
        <w:pStyle w:val="Listepuces2"/>
      </w:pPr>
      <w:proofErr w:type="gramStart"/>
      <w:r w:rsidRPr="00226EE4">
        <w:t>des</w:t>
      </w:r>
      <w:proofErr w:type="gramEnd"/>
      <w:r w:rsidRPr="00226EE4">
        <w:t xml:space="preserve"> conditions d’exploitation du </w:t>
      </w:r>
      <w:proofErr w:type="spellStart"/>
      <w:r w:rsidR="008D034F">
        <w:t>Mucem</w:t>
      </w:r>
      <w:proofErr w:type="spellEnd"/>
      <w:r w:rsidRPr="00226EE4">
        <w:t>, particulièrement : horaires d’ouverture, contraintes liées au bâtiment, à ses modalités d’accès aux espaces d’exposition et sujétions pouvant résulter de la présence simultanée d’activités et/ou de travau</w:t>
      </w:r>
      <w:r>
        <w:t xml:space="preserve">x se déroulant au </w:t>
      </w:r>
      <w:proofErr w:type="spellStart"/>
      <w:r w:rsidR="008D034F">
        <w:t>Mucem</w:t>
      </w:r>
      <w:proofErr w:type="spellEnd"/>
      <w:r w:rsidRPr="00226EE4">
        <w:t>,</w:t>
      </w:r>
    </w:p>
    <w:p w14:paraId="4184B3DC" w14:textId="77777777" w:rsidR="00D854A8" w:rsidRPr="00EF0D48" w:rsidRDefault="00D854A8" w:rsidP="00462A3F">
      <w:pPr>
        <w:pStyle w:val="Listepuces2"/>
        <w:rPr>
          <w:rFonts w:cs="Arial"/>
        </w:rPr>
      </w:pPr>
      <w:proofErr w:type="gramStart"/>
      <w:r w:rsidRPr="00226EE4">
        <w:t>des</w:t>
      </w:r>
      <w:proofErr w:type="gramEnd"/>
      <w:r w:rsidRPr="00226EE4">
        <w:t xml:space="preserve"> conditions d’exploitation et d’accès des différents lieux d’enlèvement des œuvres et/ou de livraison et des sujétions pouvant en résulter.</w:t>
      </w:r>
    </w:p>
    <w:p w14:paraId="1AF4E401" w14:textId="522AF2EF" w:rsidR="00D854A8" w:rsidRPr="00EF0D48" w:rsidRDefault="00D854A8" w:rsidP="00462A3F">
      <w:pPr>
        <w:pStyle w:val="Listepuces2"/>
        <w:rPr>
          <w:rFonts w:cs="Arial"/>
        </w:rPr>
      </w:pPr>
      <w:proofErr w:type="gramStart"/>
      <w:r w:rsidRPr="00226EE4">
        <w:t>des</w:t>
      </w:r>
      <w:proofErr w:type="gramEnd"/>
      <w:r w:rsidRPr="00226EE4">
        <w:t xml:space="preserve"> frais résultant des mesures réglementaires ou non en matière de sécurité et de protection de la santé des salariés de l’entreprise intervenant sur le site</w:t>
      </w:r>
    </w:p>
    <w:p w14:paraId="1829B6D6" w14:textId="77777777" w:rsidR="00543C0A" w:rsidRDefault="00543C0A" w:rsidP="009C475A">
      <w:pPr>
        <w:pStyle w:val="Titre2"/>
      </w:pPr>
      <w:bookmarkStart w:id="72" w:name="_Toc331518415"/>
      <w:bookmarkStart w:id="73" w:name="_Toc333412635"/>
      <w:bookmarkStart w:id="74" w:name="_Toc215675481"/>
      <w:r>
        <w:t>Garantie financière</w:t>
      </w:r>
      <w:bookmarkEnd w:id="72"/>
      <w:bookmarkEnd w:id="73"/>
      <w:bookmarkEnd w:id="74"/>
    </w:p>
    <w:p w14:paraId="1357EDA3" w14:textId="08E94746" w:rsidR="00543C0A" w:rsidRPr="00D10179" w:rsidRDefault="00543C0A" w:rsidP="00543C0A">
      <w:r w:rsidRPr="00D10179">
        <w:t xml:space="preserve">Aucune clause de garantie </w:t>
      </w:r>
      <w:r w:rsidR="00D10179" w:rsidRPr="00D10179">
        <w:t>financière n’est prévue pour le</w:t>
      </w:r>
      <w:r w:rsidRPr="00D10179">
        <w:t xml:space="preserve"> </w:t>
      </w:r>
      <w:r w:rsidR="0071727B">
        <w:t xml:space="preserve">présent </w:t>
      </w:r>
      <w:r w:rsidR="003638A8" w:rsidRPr="00D10179">
        <w:t>Marché</w:t>
      </w:r>
      <w:r w:rsidR="0071727B">
        <w:t xml:space="preserve"> Subséquent</w:t>
      </w:r>
      <w:r w:rsidRPr="00D10179">
        <w:t>.</w:t>
      </w:r>
    </w:p>
    <w:p w14:paraId="23D547B6" w14:textId="77777777" w:rsidR="00543C0A" w:rsidRPr="00D10179" w:rsidRDefault="00543C0A" w:rsidP="009C475A">
      <w:pPr>
        <w:pStyle w:val="Titre2"/>
      </w:pPr>
      <w:bookmarkStart w:id="75" w:name="_Ref329686042"/>
      <w:bookmarkStart w:id="76" w:name="_Toc330810349"/>
      <w:bookmarkStart w:id="77" w:name="_Toc333412636"/>
      <w:bookmarkStart w:id="78" w:name="_Toc215675482"/>
      <w:bookmarkEnd w:id="67"/>
      <w:r w:rsidRPr="00D10179">
        <w:t>Variation des prix</w:t>
      </w:r>
      <w:bookmarkEnd w:id="75"/>
      <w:bookmarkEnd w:id="76"/>
      <w:bookmarkEnd w:id="77"/>
      <w:bookmarkEnd w:id="78"/>
    </w:p>
    <w:p w14:paraId="4E200DE9" w14:textId="1BA9835E" w:rsidR="00E20682" w:rsidRDefault="00D10179" w:rsidP="00E20682">
      <w:r>
        <w:t>Les prix sont fermes et définitifs pendant toute la durée du Marché</w:t>
      </w:r>
      <w:r w:rsidR="0071727B">
        <w:t xml:space="preserve"> Subséquent.</w:t>
      </w:r>
    </w:p>
    <w:p w14:paraId="3EC27BD6" w14:textId="77777777" w:rsidR="00543C0A" w:rsidRDefault="00543C0A" w:rsidP="009C475A">
      <w:pPr>
        <w:pStyle w:val="Titre2"/>
      </w:pPr>
      <w:bookmarkStart w:id="79" w:name="_Ref399754270"/>
      <w:bookmarkStart w:id="80" w:name="_Toc215675483"/>
      <w:r>
        <w:t>Avance</w:t>
      </w:r>
      <w:bookmarkEnd w:id="79"/>
      <w:bookmarkEnd w:id="80"/>
    </w:p>
    <w:p w14:paraId="4816FDEF" w14:textId="20BF4C2E" w:rsidR="000A5DA8" w:rsidRDefault="000A5DA8" w:rsidP="000A5DA8">
      <w:r>
        <w:t>Sauf refus exprimé dans le présent CCP valant acte d'engagement (</w:t>
      </w:r>
      <w:r w:rsidR="00471C4B">
        <w:fldChar w:fldCharType="begin"/>
      </w:r>
      <w:r w:rsidR="00471C4B">
        <w:instrText xml:space="preserve"> REF _Ref400370216 \r \h  \* MERGEFORMAT </w:instrText>
      </w:r>
      <w:r w:rsidR="00471C4B">
        <w:fldChar w:fldCharType="separate"/>
      </w:r>
      <w:r w:rsidR="001439D5" w:rsidRPr="001439D5">
        <w:rPr>
          <w:b/>
          <w:i/>
          <w:color w:val="595959" w:themeColor="text1" w:themeTint="A6"/>
        </w:rPr>
        <w:t>Article 9</w:t>
      </w:r>
      <w:r w:rsidR="001439D5">
        <w:t xml:space="preserve">  </w:t>
      </w:r>
      <w:r w:rsidR="00471C4B">
        <w:fldChar w:fldCharType="end"/>
      </w:r>
      <w:r>
        <w:t xml:space="preserve">), </w:t>
      </w:r>
      <w:r w:rsidR="00D0642B">
        <w:t xml:space="preserve">une avance sera versée au Titulaire, </w:t>
      </w:r>
      <w:r w:rsidR="00D0642B" w:rsidRPr="000228D7">
        <w:t>dans les trente jours à compter de la notification du Marché</w:t>
      </w:r>
      <w:r w:rsidR="00D0642B">
        <w:t xml:space="preserve"> Subséquent, si le montant initial du forfait du Marché Subséquent dépasse 50 000 €HT</w:t>
      </w:r>
      <w:r w:rsidR="003E240F">
        <w:t>.</w:t>
      </w:r>
    </w:p>
    <w:p w14:paraId="3518A6FF" w14:textId="02C85C4E" w:rsidR="000A5DA8" w:rsidRDefault="000A5DA8" w:rsidP="000A5DA8">
      <w:pPr>
        <w:rPr>
          <w:b/>
        </w:rPr>
      </w:pPr>
      <w:r>
        <w:t>Cette avance est versée sans que l’entreprise n’ait à cons</w:t>
      </w:r>
      <w:r w:rsidR="00537D05">
        <w:t>tituer de garantie particulière et</w:t>
      </w:r>
      <w:r w:rsidRPr="0006712B">
        <w:rPr>
          <w:b/>
        </w:rPr>
        <w:t xml:space="preserve"> est </w:t>
      </w:r>
      <w:r w:rsidRPr="00D10179">
        <w:rPr>
          <w:b/>
        </w:rPr>
        <w:t xml:space="preserve">égale à </w:t>
      </w:r>
      <w:r w:rsidR="00D10179" w:rsidRPr="00D10179">
        <w:rPr>
          <w:b/>
        </w:rPr>
        <w:t>5</w:t>
      </w:r>
      <w:r w:rsidRPr="00D10179">
        <w:rPr>
          <w:b/>
        </w:rPr>
        <w:t>%</w:t>
      </w:r>
      <w:r w:rsidRPr="0006712B">
        <w:rPr>
          <w:b/>
        </w:rPr>
        <w:t xml:space="preserve"> du montant </w:t>
      </w:r>
      <w:r w:rsidR="00D10179">
        <w:rPr>
          <w:b/>
        </w:rPr>
        <w:t>forfaitaire</w:t>
      </w:r>
      <w:r>
        <w:rPr>
          <w:b/>
        </w:rPr>
        <w:t xml:space="preserve"> </w:t>
      </w:r>
      <w:r w:rsidRPr="0006712B">
        <w:rPr>
          <w:b/>
        </w:rPr>
        <w:t xml:space="preserve">du Marché </w:t>
      </w:r>
      <w:r w:rsidR="0071727B">
        <w:rPr>
          <w:b/>
        </w:rPr>
        <w:t xml:space="preserve">Subséquent </w:t>
      </w:r>
      <w:r w:rsidRPr="0006712B">
        <w:rPr>
          <w:b/>
        </w:rPr>
        <w:t>toutes taxes comprises</w:t>
      </w:r>
      <w:r w:rsidR="00D10179">
        <w:rPr>
          <w:b/>
        </w:rPr>
        <w:t xml:space="preserve"> figurant </w:t>
      </w:r>
      <w:r w:rsidR="00D10179" w:rsidRPr="00D10179">
        <w:rPr>
          <w:b/>
          <w:i/>
          <w:color w:val="595959" w:themeColor="text1" w:themeTint="A6"/>
        </w:rPr>
        <w:t xml:space="preserve">à l’article </w:t>
      </w:r>
      <w:r w:rsidR="00D10179" w:rsidRPr="00D10179">
        <w:rPr>
          <w:b/>
          <w:i/>
          <w:color w:val="595959" w:themeColor="text1" w:themeTint="A6"/>
        </w:rPr>
        <w:fldChar w:fldCharType="begin"/>
      </w:r>
      <w:r w:rsidR="00D10179" w:rsidRPr="00D10179">
        <w:rPr>
          <w:b/>
          <w:i/>
          <w:color w:val="595959" w:themeColor="text1" w:themeTint="A6"/>
        </w:rPr>
        <w:instrText xml:space="preserve"> REF _Ref405905179 \r \h  \* MERGEFORMAT </w:instrText>
      </w:r>
      <w:r w:rsidR="00D10179" w:rsidRPr="00D10179">
        <w:rPr>
          <w:b/>
          <w:i/>
          <w:color w:val="595959" w:themeColor="text1" w:themeTint="A6"/>
        </w:rPr>
      </w:r>
      <w:r w:rsidR="00D10179" w:rsidRPr="00D10179">
        <w:rPr>
          <w:b/>
          <w:i/>
          <w:color w:val="595959" w:themeColor="text1" w:themeTint="A6"/>
        </w:rPr>
        <w:fldChar w:fldCharType="separate"/>
      </w:r>
      <w:r w:rsidR="001439D5">
        <w:rPr>
          <w:b/>
          <w:i/>
          <w:color w:val="595959" w:themeColor="text1" w:themeTint="A6"/>
        </w:rPr>
        <w:t>7.2</w:t>
      </w:r>
      <w:r w:rsidR="00D10179" w:rsidRPr="00D10179">
        <w:rPr>
          <w:b/>
          <w:i/>
          <w:color w:val="595959" w:themeColor="text1" w:themeTint="A6"/>
        </w:rPr>
        <w:fldChar w:fldCharType="end"/>
      </w:r>
      <w:r w:rsidR="00D10179" w:rsidRPr="00D10179">
        <w:rPr>
          <w:b/>
          <w:i/>
          <w:color w:val="595959" w:themeColor="text1" w:themeTint="A6"/>
        </w:rPr>
        <w:t xml:space="preserve"> du </w:t>
      </w:r>
      <w:r w:rsidR="00C842F6">
        <w:rPr>
          <w:b/>
          <w:i/>
          <w:color w:val="595959" w:themeColor="text1" w:themeTint="A6"/>
        </w:rPr>
        <w:t xml:space="preserve">présent </w:t>
      </w:r>
      <w:r w:rsidR="00D10179" w:rsidRPr="00D10179">
        <w:rPr>
          <w:b/>
          <w:i/>
          <w:color w:val="595959" w:themeColor="text1" w:themeTint="A6"/>
        </w:rPr>
        <w:t>CCP</w:t>
      </w:r>
      <w:r>
        <w:rPr>
          <w:b/>
        </w:rPr>
        <w:t>.</w:t>
      </w:r>
      <w:r w:rsidRPr="000228D7">
        <w:t xml:space="preserve"> </w:t>
      </w:r>
    </w:p>
    <w:p w14:paraId="4BF1B724" w14:textId="537173A8" w:rsidR="00F221A5" w:rsidRDefault="00F221A5" w:rsidP="00F221A5">
      <w:r w:rsidRPr="0006712B">
        <w:t xml:space="preserve">L’assiette de l’avance est réduite du montant sous-traité en cas de sous-traitance déclarée dans </w:t>
      </w:r>
      <w:proofErr w:type="gramStart"/>
      <w:r w:rsidRPr="0006712B">
        <w:t>les conditions précisée</w:t>
      </w:r>
      <w:proofErr w:type="gramEnd"/>
      <w:r w:rsidRPr="0006712B">
        <w:t xml:space="preserve"> à l</w:t>
      </w:r>
      <w:r w:rsidRPr="00F221A5">
        <w:rPr>
          <w:b/>
          <w:i/>
          <w:color w:val="595959" w:themeColor="text1" w:themeTint="A6"/>
        </w:rPr>
        <w:t>’</w:t>
      </w:r>
      <w:r w:rsidR="00D10179">
        <w:fldChar w:fldCharType="begin"/>
      </w:r>
      <w:r w:rsidR="00D10179">
        <w:rPr>
          <w:b/>
          <w:i/>
          <w:color w:val="595959" w:themeColor="text1" w:themeTint="A6"/>
        </w:rPr>
        <w:instrText xml:space="preserve"> REF _Ref405905233 \r \h </w:instrText>
      </w:r>
      <w:r w:rsidR="00D10179">
        <w:fldChar w:fldCharType="separate"/>
      </w:r>
      <w:r w:rsidR="001439D5">
        <w:rPr>
          <w:b/>
          <w:i/>
          <w:color w:val="595959" w:themeColor="text1" w:themeTint="A6"/>
        </w:rPr>
        <w:t xml:space="preserve">Article 8  </w:t>
      </w:r>
      <w:r w:rsidR="00D10179">
        <w:fldChar w:fldCharType="end"/>
      </w:r>
      <w:r w:rsidR="00D10179">
        <w:rPr>
          <w:b/>
          <w:i/>
          <w:color w:val="595959" w:themeColor="text1" w:themeTint="A6"/>
        </w:rPr>
        <w:t>du présent CC</w:t>
      </w:r>
      <w:r w:rsidRPr="000228D7">
        <w:rPr>
          <w:b/>
          <w:i/>
          <w:color w:val="595959" w:themeColor="text1" w:themeTint="A6"/>
        </w:rPr>
        <w:t>P</w:t>
      </w:r>
      <w:r>
        <w:t>.</w:t>
      </w:r>
    </w:p>
    <w:p w14:paraId="130BC23D" w14:textId="39FDDBF2" w:rsidR="00F221A5" w:rsidRDefault="00F221A5" w:rsidP="00F221A5">
      <w:r>
        <w:t xml:space="preserve">Le remboursement de l’avance s’impute par précompte, sur les sommes dues au Titulaire au titre de ses demandes de paiement, effectuées suivant la périodicité déterminée à </w:t>
      </w:r>
      <w:r w:rsidRPr="00ED03F1">
        <w:rPr>
          <w:b/>
          <w:i/>
          <w:color w:val="595959" w:themeColor="text1" w:themeTint="A6"/>
        </w:rPr>
        <w:t xml:space="preserve">l’article </w:t>
      </w:r>
      <w:r w:rsidR="00E61F76">
        <w:rPr>
          <w:b/>
          <w:i/>
          <w:color w:val="595959" w:themeColor="text1" w:themeTint="A6"/>
        </w:rPr>
        <w:t xml:space="preserve">15.7 </w:t>
      </w:r>
      <w:r w:rsidR="00D10179" w:rsidRPr="00ED03F1">
        <w:rPr>
          <w:b/>
          <w:i/>
          <w:color w:val="595959" w:themeColor="text1" w:themeTint="A6"/>
        </w:rPr>
        <w:t>du CC</w:t>
      </w:r>
      <w:r w:rsidR="00E61F76">
        <w:rPr>
          <w:b/>
          <w:i/>
          <w:color w:val="595959" w:themeColor="text1" w:themeTint="A6"/>
        </w:rPr>
        <w:t>A</w:t>
      </w:r>
      <w:r w:rsidRPr="00ED03F1">
        <w:rPr>
          <w:b/>
          <w:i/>
          <w:color w:val="595959" w:themeColor="text1" w:themeTint="A6"/>
        </w:rPr>
        <w:t>P</w:t>
      </w:r>
      <w:r w:rsidR="00E61F76">
        <w:rPr>
          <w:b/>
          <w:i/>
          <w:color w:val="595959" w:themeColor="text1" w:themeTint="A6"/>
        </w:rPr>
        <w:t xml:space="preserve"> de l’Accord-Cadre</w:t>
      </w:r>
      <w:r>
        <w:t>, quand le montant des</w:t>
      </w:r>
      <w:r w:rsidR="00F87E21">
        <w:t xml:space="preserve"> Prestations exécutées atteint 65</w:t>
      </w:r>
      <w:r>
        <w:t xml:space="preserve"> % du montant total de l’assiette de l’avance.</w:t>
      </w:r>
    </w:p>
    <w:p w14:paraId="24BC7A53" w14:textId="77777777" w:rsidR="001432B3" w:rsidRDefault="001432B3" w:rsidP="00BF0E36">
      <w:pPr>
        <w:pStyle w:val="Titre1"/>
      </w:pPr>
      <w:bookmarkStart w:id="81" w:name="_Ref405905233"/>
      <w:bookmarkStart w:id="82" w:name="_Toc215675484"/>
      <w:bookmarkStart w:id="83" w:name="_Toc333412642"/>
      <w:r w:rsidRPr="00866023">
        <w:rPr>
          <w:color w:val="FF0000"/>
          <w:highlight w:val="lightGray"/>
        </w:rPr>
        <w:sym w:font="Wingdings" w:char="F046"/>
      </w:r>
      <w:r>
        <w:t>Sous-traitance</w:t>
      </w:r>
      <w:bookmarkEnd w:id="81"/>
      <w:bookmarkEnd w:id="82"/>
    </w:p>
    <w:p w14:paraId="6DAD91B9" w14:textId="24AB5EFF" w:rsidR="001432B3" w:rsidRDefault="001432B3" w:rsidP="001432B3">
      <w:r w:rsidRPr="00AF472A">
        <w:t xml:space="preserve">Le </w:t>
      </w:r>
      <w:r>
        <w:t>Titulaire</w:t>
      </w:r>
      <w:r w:rsidRPr="00AF472A">
        <w:t xml:space="preserve"> pourra sous-traiter une partie de l’exécution des </w:t>
      </w:r>
      <w:r>
        <w:t>Prestations,</w:t>
      </w:r>
      <w:r w:rsidRPr="00AF472A">
        <w:t xml:space="preserve"> dans les conditions prévues par la loi n° 75-1334 du 31 décembre 1975 relative à la s</w:t>
      </w:r>
      <w:r w:rsidR="00981A59">
        <w:t>ous-traitance</w:t>
      </w:r>
      <w:r>
        <w:t xml:space="preserve">, à savoir notamment </w:t>
      </w:r>
      <w:r w:rsidRPr="00AF472A">
        <w:t xml:space="preserve">à condition d'avoir obtenu </w:t>
      </w:r>
      <w:r w:rsidR="003230F0">
        <w:t xml:space="preserve">de la part du </w:t>
      </w:r>
      <w:proofErr w:type="spellStart"/>
      <w:r w:rsidR="008D034F">
        <w:t>Mucem</w:t>
      </w:r>
      <w:proofErr w:type="spellEnd"/>
      <w:r w:rsidR="003230F0">
        <w:t xml:space="preserve">, </w:t>
      </w:r>
      <w:r w:rsidRPr="00AF472A">
        <w:t>l'acceptation et l’agrément des conditions de paiement, conformément au modèle d’acte spécial de sous-traitance</w:t>
      </w:r>
      <w:r>
        <w:t xml:space="preserve"> (</w:t>
      </w:r>
      <w:r w:rsidR="000C706D" w:rsidRPr="000C706D">
        <w:rPr>
          <w:b/>
          <w:i/>
          <w:color w:val="595959" w:themeColor="text1" w:themeTint="A6"/>
        </w:rPr>
        <w:t xml:space="preserve">voir </w:t>
      </w:r>
      <w:r w:rsidR="000C706D">
        <w:rPr>
          <w:b/>
          <w:i/>
          <w:color w:val="595959" w:themeColor="text1" w:themeTint="A6"/>
        </w:rPr>
        <w:t xml:space="preserve">le </w:t>
      </w:r>
      <w:r w:rsidR="000C706D" w:rsidRPr="000C706D">
        <w:rPr>
          <w:b/>
          <w:i/>
          <w:color w:val="595959" w:themeColor="text1" w:themeTint="A6"/>
        </w:rPr>
        <w:t>modèle en annexe de l’accord-cadre</w:t>
      </w:r>
      <w:r>
        <w:t>)</w:t>
      </w:r>
      <w:r w:rsidRPr="00AF472A">
        <w:t xml:space="preserve">, que le </w:t>
      </w:r>
      <w:r>
        <w:t>Titulaire</w:t>
      </w:r>
      <w:r w:rsidRPr="00AF472A">
        <w:t xml:space="preserve"> doit remettre au </w:t>
      </w:r>
      <w:proofErr w:type="spellStart"/>
      <w:r w:rsidR="008D034F">
        <w:t>Mucem</w:t>
      </w:r>
      <w:proofErr w:type="spellEnd"/>
      <w:r w:rsidR="000C706D">
        <w:t xml:space="preserve"> avant le début des opérations.</w:t>
      </w:r>
    </w:p>
    <w:p w14:paraId="7421E25B" w14:textId="57E5F191" w:rsidR="001432B3" w:rsidRPr="00AF472A" w:rsidRDefault="001432B3" w:rsidP="001432B3">
      <w:r w:rsidRPr="00AF472A">
        <w:t xml:space="preserve">Les sous-traitants </w:t>
      </w:r>
      <w:r>
        <w:t>doivent</w:t>
      </w:r>
      <w:r w:rsidRPr="00AF472A">
        <w:t xml:space="preserve"> être présentés au </w:t>
      </w:r>
      <w:proofErr w:type="spellStart"/>
      <w:r w:rsidR="000C706D">
        <w:t>Mucem</w:t>
      </w:r>
      <w:proofErr w:type="spellEnd"/>
      <w:r w:rsidRPr="00AF472A">
        <w:t xml:space="preserve"> pour acceptation lors de la soumission </w:t>
      </w:r>
      <w:r>
        <w:t>au Marché</w:t>
      </w:r>
      <w:r w:rsidRPr="00AF472A">
        <w:t xml:space="preserve"> </w:t>
      </w:r>
      <w:r w:rsidR="003230F0">
        <w:t>Subséquent</w:t>
      </w:r>
      <w:r w:rsidR="003230F0" w:rsidRPr="00AF472A">
        <w:t xml:space="preserve"> </w:t>
      </w:r>
      <w:r w:rsidRPr="00AF472A">
        <w:t xml:space="preserve">ou lors de </w:t>
      </w:r>
      <w:r>
        <w:t>son exécution</w:t>
      </w:r>
      <w:r w:rsidRPr="00AF472A">
        <w:t>.</w:t>
      </w:r>
      <w:r>
        <w:t xml:space="preserve"> Les sous-traitants déclarés avant notification du Marché </w:t>
      </w:r>
      <w:r w:rsidR="003230F0">
        <w:t xml:space="preserve">Subséquent </w:t>
      </w:r>
      <w:r>
        <w:t xml:space="preserve">figurent le cas échéant </w:t>
      </w:r>
      <w:r w:rsidRPr="00BF34E5">
        <w:t xml:space="preserve">en </w:t>
      </w:r>
      <w:r w:rsidR="00D10179" w:rsidRPr="00BF34E5">
        <w:rPr>
          <w:b/>
          <w:i/>
          <w:color w:val="595959" w:themeColor="text1" w:themeTint="A6"/>
        </w:rPr>
        <w:t xml:space="preserve">Annexe </w:t>
      </w:r>
      <w:r w:rsidR="00E61F76" w:rsidRPr="00BF34E5">
        <w:rPr>
          <w:b/>
          <w:i/>
          <w:color w:val="595959" w:themeColor="text1" w:themeTint="A6"/>
        </w:rPr>
        <w:t>3</w:t>
      </w:r>
      <w:r w:rsidRPr="00BF34E5">
        <w:rPr>
          <w:b/>
          <w:i/>
          <w:color w:val="595959" w:themeColor="text1" w:themeTint="A6"/>
        </w:rPr>
        <w:t xml:space="preserve"> du</w:t>
      </w:r>
      <w:r w:rsidRPr="00D44C31">
        <w:rPr>
          <w:b/>
          <w:i/>
          <w:color w:val="595959" w:themeColor="text1" w:themeTint="A6"/>
        </w:rPr>
        <w:t xml:space="preserve"> </w:t>
      </w:r>
      <w:r w:rsidRPr="007629E9">
        <w:rPr>
          <w:b/>
          <w:i/>
          <w:color w:val="595959" w:themeColor="text1" w:themeTint="A6"/>
        </w:rPr>
        <w:t>présent CCP</w:t>
      </w:r>
      <w:r w:rsidRPr="007629E9">
        <w:t>.</w:t>
      </w:r>
    </w:p>
    <w:p w14:paraId="35C70367" w14:textId="77777777" w:rsidR="001432B3" w:rsidRDefault="001432B3" w:rsidP="001432B3"/>
    <w:p w14:paraId="2EDA692D" w14:textId="6CD58F6D" w:rsidR="001432B3" w:rsidRPr="000C4F73" w:rsidRDefault="001432B3" w:rsidP="001432B3">
      <w:r w:rsidRPr="000C4F73">
        <w:t xml:space="preserve">Les justifications concernant le(s) sous-traitant(s) sont identiques à celles exigées des candidats par </w:t>
      </w:r>
      <w:r>
        <w:t xml:space="preserve">le </w:t>
      </w:r>
      <w:proofErr w:type="spellStart"/>
      <w:r w:rsidR="00BE531A">
        <w:t>Mucem</w:t>
      </w:r>
      <w:proofErr w:type="spellEnd"/>
      <w:r w:rsidRPr="000C4F73">
        <w:t xml:space="preserve"> dans </w:t>
      </w:r>
      <w:r>
        <w:t>le règlement de la consultation</w:t>
      </w:r>
      <w:r w:rsidRPr="000C4F73">
        <w:t xml:space="preserve"> </w:t>
      </w:r>
      <w:r>
        <w:t>ayant conduit à la conclusion du présent</w:t>
      </w:r>
      <w:r w:rsidRPr="000C4F73">
        <w:t xml:space="preserve"> </w:t>
      </w:r>
      <w:r>
        <w:t>Marché</w:t>
      </w:r>
      <w:r w:rsidR="003230F0">
        <w:t xml:space="preserve"> Subséquent</w:t>
      </w:r>
      <w:r>
        <w:t>.</w:t>
      </w:r>
    </w:p>
    <w:p w14:paraId="0C01A643" w14:textId="081A206F" w:rsidR="001432B3" w:rsidRPr="000C4F73" w:rsidRDefault="001432B3" w:rsidP="001432B3">
      <w:r w:rsidRPr="000C4F73">
        <w:t xml:space="preserve">L’absence de l’une de ces pièces et/ou la non-conformité des documents remis par </w:t>
      </w:r>
      <w:r>
        <w:t>le Titulaire</w:t>
      </w:r>
      <w:r w:rsidRPr="000C4F73">
        <w:t xml:space="preserve"> fait obstacle à l’acceptation des sous-traitants par la personne représentant le </w:t>
      </w:r>
      <w:proofErr w:type="spellStart"/>
      <w:r w:rsidR="000C706D">
        <w:t>Mucem</w:t>
      </w:r>
      <w:proofErr w:type="spellEnd"/>
      <w:r w:rsidRPr="000C4F73">
        <w:t>.</w:t>
      </w:r>
    </w:p>
    <w:p w14:paraId="365413AF" w14:textId="77777777" w:rsidR="001432B3" w:rsidRDefault="001432B3" w:rsidP="001432B3">
      <w:pPr>
        <w:pStyle w:val="rNormal"/>
      </w:pPr>
      <w:r>
        <w:t xml:space="preserve">Toute demande doit indiquer </w:t>
      </w:r>
      <w:proofErr w:type="gramStart"/>
      <w:r>
        <w:t>notamment:</w:t>
      </w:r>
      <w:proofErr w:type="gramEnd"/>
    </w:p>
    <w:p w14:paraId="5283F505" w14:textId="1A286678" w:rsidR="001432B3" w:rsidRPr="005D259D" w:rsidRDefault="001432B3" w:rsidP="00C665D1">
      <w:pPr>
        <w:pStyle w:val="Listepuces"/>
      </w:pPr>
      <w:proofErr w:type="gramStart"/>
      <w:r w:rsidRPr="005D259D">
        <w:t>la</w:t>
      </w:r>
      <w:proofErr w:type="gramEnd"/>
      <w:r w:rsidRPr="005D259D">
        <w:t xml:space="preserve"> nature et le montant des </w:t>
      </w:r>
      <w:r>
        <w:t>Prestations</w:t>
      </w:r>
      <w:r w:rsidRPr="005D259D">
        <w:t xml:space="preserve"> que </w:t>
      </w:r>
      <w:r>
        <w:t>le Titulaire envisage</w:t>
      </w:r>
      <w:r w:rsidRPr="005D259D">
        <w:t xml:space="preserve"> de faire exécuter par un(des) sous-traitant</w:t>
      </w:r>
      <w:r>
        <w:t xml:space="preserve">(s) payé(s) directement par le </w:t>
      </w:r>
      <w:proofErr w:type="spellStart"/>
      <w:r w:rsidR="00BE531A">
        <w:t>Mucem</w:t>
      </w:r>
      <w:proofErr w:type="spellEnd"/>
      <w:r w:rsidRPr="005D259D">
        <w:t>,</w:t>
      </w:r>
    </w:p>
    <w:p w14:paraId="2B5B8F7E" w14:textId="77777777" w:rsidR="001432B3" w:rsidRPr="005D259D" w:rsidRDefault="001432B3" w:rsidP="00C665D1">
      <w:pPr>
        <w:pStyle w:val="Listepuces"/>
      </w:pPr>
      <w:proofErr w:type="gramStart"/>
      <w:r w:rsidRPr="005D259D">
        <w:t>le</w:t>
      </w:r>
      <w:proofErr w:type="gramEnd"/>
      <w:r w:rsidRPr="005D259D">
        <w:t>(s) nom(s) de ce(s) sous-traitant(s)</w:t>
      </w:r>
    </w:p>
    <w:p w14:paraId="729CA3F8" w14:textId="77777777" w:rsidR="001432B3" w:rsidRPr="005D259D" w:rsidRDefault="001432B3" w:rsidP="00C665D1">
      <w:pPr>
        <w:pStyle w:val="Listepuces"/>
      </w:pPr>
      <w:proofErr w:type="gramStart"/>
      <w:r w:rsidRPr="005D259D">
        <w:t>et</w:t>
      </w:r>
      <w:proofErr w:type="gramEnd"/>
      <w:r w:rsidRPr="005D259D">
        <w:t xml:space="preserve"> les conditions de paiement du(des) contrat(s) de sous-traitance</w:t>
      </w:r>
    </w:p>
    <w:p w14:paraId="7E4B6111" w14:textId="77777777" w:rsidR="001432B3" w:rsidRPr="007629E9" w:rsidRDefault="001432B3" w:rsidP="001432B3">
      <w:pPr>
        <w:rPr>
          <w:b/>
        </w:rPr>
      </w:pPr>
      <w:r w:rsidRPr="007629E9">
        <w:rPr>
          <w:b/>
        </w:rPr>
        <w:t>Le Titulaire demeure personnellement responsable de l’exécution de toutes les obligations résultant de celui-ci.</w:t>
      </w:r>
    </w:p>
    <w:tbl>
      <w:tblPr>
        <w:tblStyle w:val="Grilledutableau"/>
        <w:tblW w:w="0" w:type="auto"/>
        <w:tblLook w:val="04A0" w:firstRow="1" w:lastRow="0" w:firstColumn="1" w:lastColumn="0" w:noHBand="0" w:noVBand="1"/>
      </w:tblPr>
      <w:tblGrid>
        <w:gridCol w:w="9628"/>
      </w:tblGrid>
      <w:tr w:rsidR="001432B3" w14:paraId="38F5792F" w14:textId="77777777" w:rsidTr="005F7A14">
        <w:tc>
          <w:tcPr>
            <w:tcW w:w="9778" w:type="dxa"/>
          </w:tcPr>
          <w:p w14:paraId="2CD7D2AC" w14:textId="3C7C99DA" w:rsidR="001432B3" w:rsidRDefault="001432B3" w:rsidP="005F7A14">
            <w:pPr>
              <w:pStyle w:val="rNormal"/>
            </w:pPr>
            <w:r w:rsidRPr="00866023">
              <w:rPr>
                <w:color w:val="FF0000"/>
                <w:sz w:val="28"/>
                <w:highlight w:val="lightGray"/>
              </w:rPr>
              <w:sym w:font="Wingdings" w:char="F046"/>
            </w:r>
            <w:r w:rsidRPr="007629E9">
              <w:rPr>
                <w:u w:val="single"/>
              </w:rPr>
              <w:t xml:space="preserve">Le montant total des </w:t>
            </w:r>
            <w:r>
              <w:rPr>
                <w:u w:val="single"/>
              </w:rPr>
              <w:t>Prestations</w:t>
            </w:r>
            <w:r w:rsidRPr="007629E9">
              <w:rPr>
                <w:u w:val="single"/>
              </w:rPr>
              <w:t xml:space="preserve"> </w:t>
            </w:r>
            <w:r w:rsidR="00787A58">
              <w:rPr>
                <w:u w:val="single"/>
              </w:rPr>
              <w:t xml:space="preserve">forfaitaires </w:t>
            </w:r>
            <w:r w:rsidRPr="007629E9">
              <w:rPr>
                <w:u w:val="single"/>
              </w:rPr>
              <w:t>que le Titulaire envisage de sous</w:t>
            </w:r>
            <w:r w:rsidR="000252A0">
              <w:rPr>
                <w:u w:val="single"/>
              </w:rPr>
              <w:t>-</w:t>
            </w:r>
            <w:r w:rsidRPr="007629E9">
              <w:rPr>
                <w:u w:val="single"/>
              </w:rPr>
              <w:t>traiter est de </w:t>
            </w:r>
            <w:r>
              <w:t>:</w:t>
            </w:r>
          </w:p>
          <w:p w14:paraId="6EB9CFF2" w14:textId="2CB0821F" w:rsidR="001432B3" w:rsidRDefault="001432B3" w:rsidP="005F7A14">
            <w:pPr>
              <w:pStyle w:val="rNormal"/>
              <w:spacing w:before="0" w:after="0"/>
            </w:pPr>
            <w:r>
              <w:t>Montant hors T.</w:t>
            </w:r>
            <w:proofErr w:type="gramStart"/>
            <w:r>
              <w:t>V.A</w:t>
            </w:r>
            <w:proofErr w:type="gramEnd"/>
            <w:r>
              <w:tab/>
              <w:t>(en chiffres)</w:t>
            </w:r>
            <w:r w:rsidR="000252A0">
              <w:t> :</w:t>
            </w:r>
          </w:p>
          <w:p w14:paraId="696B7158" w14:textId="16E5BEBE" w:rsidR="001432B3" w:rsidRDefault="000252A0" w:rsidP="005F7A14">
            <w:pPr>
              <w:pStyle w:val="rNormal"/>
              <w:spacing w:before="0" w:after="0"/>
            </w:pPr>
            <w:r>
              <w:t xml:space="preserve">Montant </w:t>
            </w:r>
            <w:r w:rsidR="001432B3">
              <w:t xml:space="preserve">T.V.A. au taux de </w:t>
            </w:r>
            <w:r w:rsidR="00A15F13" w:rsidRPr="00866023">
              <w:rPr>
                <w:highlight w:val="lightGray"/>
              </w:rPr>
              <w:t>__</w:t>
            </w:r>
            <w:r>
              <w:t xml:space="preserve">% </w:t>
            </w:r>
            <w:r w:rsidR="001432B3">
              <w:t>(en chiffres)</w:t>
            </w:r>
            <w:r>
              <w:t> :</w:t>
            </w:r>
          </w:p>
          <w:p w14:paraId="59E835AD" w14:textId="70422940" w:rsidR="001432B3" w:rsidRDefault="001432B3" w:rsidP="005F7A14">
            <w:pPr>
              <w:pStyle w:val="rNormal"/>
              <w:spacing w:before="0" w:after="0"/>
            </w:pPr>
            <w:r>
              <w:t>Montant T.V.A. incluse</w:t>
            </w:r>
            <w:r>
              <w:tab/>
              <w:t>(en chiffres)</w:t>
            </w:r>
            <w:r w:rsidR="000252A0">
              <w:t> :</w:t>
            </w:r>
          </w:p>
          <w:p w14:paraId="3C601F97" w14:textId="77777777" w:rsidR="001432B3" w:rsidRDefault="001432B3" w:rsidP="005F7A14">
            <w:pPr>
              <w:pStyle w:val="rNormal"/>
              <w:spacing w:before="0" w:after="0"/>
            </w:pPr>
            <w:r>
              <w:t>(</w:t>
            </w:r>
            <w:r w:rsidRPr="00866023">
              <w:rPr>
                <w:highlight w:val="lightGray"/>
              </w:rPr>
              <w:t>...........................................................................................................</w:t>
            </w:r>
            <w:r>
              <w:t>) (</w:t>
            </w:r>
            <w:proofErr w:type="gramStart"/>
            <w:r>
              <w:t>en</w:t>
            </w:r>
            <w:proofErr w:type="gramEnd"/>
            <w:r>
              <w:t xml:space="preserve"> toutes lettres)</w:t>
            </w:r>
          </w:p>
          <w:p w14:paraId="4EA8B35B" w14:textId="77777777" w:rsidR="001432B3" w:rsidRDefault="001432B3" w:rsidP="005F7A14"/>
        </w:tc>
      </w:tr>
      <w:tr w:rsidR="001432B3" w14:paraId="25066146" w14:textId="77777777" w:rsidTr="005F7A14">
        <w:tc>
          <w:tcPr>
            <w:tcW w:w="9778" w:type="dxa"/>
          </w:tcPr>
          <w:p w14:paraId="3C36D2B8" w14:textId="401C553A" w:rsidR="001432B3" w:rsidRDefault="00A15F13" w:rsidP="005F7A14">
            <w:pPr>
              <w:pStyle w:val="rNormal"/>
              <w:spacing w:before="360"/>
              <w:rPr>
                <w:u w:val="single"/>
              </w:rPr>
            </w:pPr>
            <w:r w:rsidRPr="00866023">
              <w:rPr>
                <w:color w:val="FF0000"/>
                <w:sz w:val="28"/>
                <w:highlight w:val="lightGray"/>
              </w:rPr>
              <w:sym w:font="Wingdings" w:char="F046"/>
            </w:r>
            <w:r w:rsidR="001432B3">
              <w:rPr>
                <w:u w:val="single"/>
              </w:rPr>
              <w:t>Le montant maximal de la créance que le Titulaire pourra présenter en nantissement ou céder est ainsi de :</w:t>
            </w:r>
          </w:p>
          <w:p w14:paraId="1E3EC419" w14:textId="43F89CA1" w:rsidR="001432B3" w:rsidRDefault="001432B3" w:rsidP="005F7A14">
            <w:pPr>
              <w:pStyle w:val="rNormal"/>
              <w:spacing w:before="0" w:after="0"/>
            </w:pPr>
            <w:r>
              <w:t>Montant hors T.</w:t>
            </w:r>
            <w:proofErr w:type="gramStart"/>
            <w:r>
              <w:t>V.A</w:t>
            </w:r>
            <w:proofErr w:type="gramEnd"/>
            <w:r>
              <w:tab/>
              <w:t>(en chiffres)</w:t>
            </w:r>
            <w:r w:rsidR="000252A0">
              <w:t> :</w:t>
            </w:r>
          </w:p>
          <w:p w14:paraId="51F64582" w14:textId="6F1CEBFB" w:rsidR="000252A0" w:rsidRDefault="000252A0" w:rsidP="000252A0">
            <w:pPr>
              <w:pStyle w:val="rNormal"/>
              <w:spacing w:before="0" w:after="0"/>
            </w:pPr>
            <w:r>
              <w:t xml:space="preserve">Montant T.V.A. au taux de </w:t>
            </w:r>
            <w:r w:rsidRPr="00866023">
              <w:rPr>
                <w:highlight w:val="lightGray"/>
              </w:rPr>
              <w:t>__</w:t>
            </w:r>
            <w:r>
              <w:t>% (en chiffres) :</w:t>
            </w:r>
          </w:p>
          <w:p w14:paraId="34BE39B5" w14:textId="2E34E8D1" w:rsidR="001432B3" w:rsidRDefault="001432B3" w:rsidP="005F7A14">
            <w:pPr>
              <w:pStyle w:val="rNormal"/>
              <w:spacing w:before="0" w:after="0"/>
            </w:pPr>
            <w:r>
              <w:t>Montant T.V.A. incluse</w:t>
            </w:r>
            <w:r>
              <w:tab/>
              <w:t>(en chiffres)</w:t>
            </w:r>
            <w:r w:rsidR="000252A0">
              <w:t> :</w:t>
            </w:r>
          </w:p>
          <w:p w14:paraId="44DE739F" w14:textId="19FE5A87" w:rsidR="001432B3" w:rsidRDefault="001432B3" w:rsidP="000252A0">
            <w:r>
              <w:t>(</w:t>
            </w:r>
            <w:r w:rsidRPr="00866023">
              <w:rPr>
                <w:highlight w:val="lightGray"/>
              </w:rPr>
              <w:t>....................................................................................................................................................................</w:t>
            </w:r>
            <w:r>
              <w:t>) (</w:t>
            </w:r>
            <w:proofErr w:type="gramStart"/>
            <w:r>
              <w:t>en</w:t>
            </w:r>
            <w:proofErr w:type="gramEnd"/>
            <w:r>
              <w:t xml:space="preserve"> toutes lettres).</w:t>
            </w:r>
          </w:p>
        </w:tc>
      </w:tr>
    </w:tbl>
    <w:p w14:paraId="0D40DD1D" w14:textId="4AF2BE64" w:rsidR="00411D10" w:rsidRDefault="00166688" w:rsidP="00411D10">
      <w:pPr>
        <w:pStyle w:val="Titre1"/>
      </w:pPr>
      <w:bookmarkStart w:id="84" w:name="_Ref399754327"/>
      <w:bookmarkStart w:id="85" w:name="_Ref400370216"/>
      <w:bookmarkStart w:id="86" w:name="_Toc215675485"/>
      <w:bookmarkEnd w:id="68"/>
      <w:bookmarkEnd w:id="69"/>
      <w:bookmarkEnd w:id="83"/>
      <w:r w:rsidRPr="00866023">
        <w:rPr>
          <w:color w:val="FF0000"/>
          <w:highlight w:val="lightGray"/>
        </w:rPr>
        <w:sym w:font="Wingdings" w:char="F046"/>
      </w:r>
      <w:r w:rsidR="00411D10">
        <w:t xml:space="preserve">Signature des </w:t>
      </w:r>
      <w:bookmarkEnd w:id="84"/>
      <w:bookmarkEnd w:id="85"/>
      <w:r w:rsidR="009C475A">
        <w:t>parties</w:t>
      </w:r>
      <w:bookmarkEnd w:id="86"/>
    </w:p>
    <w:p w14:paraId="0C6F4B46" w14:textId="77777777" w:rsidR="00D17E99" w:rsidRPr="00C563EC" w:rsidRDefault="00D17E99" w:rsidP="00D17E99">
      <w:r w:rsidRPr="00866023">
        <w:rPr>
          <w:b/>
          <w:caps/>
          <w:color w:val="FF0000"/>
          <w:sz w:val="36"/>
          <w:szCs w:val="36"/>
          <w:highlight w:val="lightGray"/>
        </w:rPr>
        <w:sym w:font="Wingdings" w:char="F046"/>
      </w:r>
      <w:r w:rsidRPr="00C563EC">
        <w:t>L</w:t>
      </w:r>
      <w:r w:rsidRPr="00D434C2">
        <w:t>e Titulaire :</w:t>
      </w:r>
    </w:p>
    <w:p w14:paraId="24A77693" w14:textId="08EEC2A2" w:rsidR="00D17E99" w:rsidRDefault="001C51E6" w:rsidP="00C665D1">
      <w:pPr>
        <w:pStyle w:val="Listepuces"/>
      </w:pPr>
      <w:r w:rsidRPr="00AF472A">
        <w:rPr>
          <w:rFonts w:ascii="CGP" w:hAnsi="CGP"/>
        </w:rPr>
        <w:fldChar w:fldCharType="begin">
          <w:ffData>
            <w:name w:val="CaseACocher1"/>
            <w:enabled/>
            <w:calcOnExit w:val="0"/>
            <w:checkBox>
              <w:sizeAuto/>
              <w:default w:val="0"/>
            </w:checkBox>
          </w:ffData>
        </w:fldChar>
      </w:r>
      <w:r w:rsidR="00D17E99" w:rsidRPr="00AF472A">
        <w:rPr>
          <w:rFonts w:ascii="CGP" w:hAnsi="CGP"/>
        </w:rPr>
        <w:instrText xml:space="preserve"> FORMCHECKBOX </w:instrText>
      </w:r>
      <w:r w:rsidR="00F048AB">
        <w:rPr>
          <w:rFonts w:ascii="CGP" w:hAnsi="CGP"/>
        </w:rPr>
      </w:r>
      <w:r w:rsidR="00F048AB">
        <w:rPr>
          <w:rFonts w:ascii="CGP" w:hAnsi="CGP"/>
        </w:rPr>
        <w:fldChar w:fldCharType="separate"/>
      </w:r>
      <w:r w:rsidRPr="00AF472A">
        <w:rPr>
          <w:rFonts w:ascii="CGP" w:hAnsi="CGP"/>
        </w:rPr>
        <w:fldChar w:fldCharType="end"/>
      </w:r>
      <w:r w:rsidR="00D17E99">
        <w:rPr>
          <w:rFonts w:ascii="CGP" w:hAnsi="CGP"/>
        </w:rPr>
        <w:t xml:space="preserve"> </w:t>
      </w:r>
      <w:proofErr w:type="gramStart"/>
      <w:r w:rsidR="00D17E99">
        <w:t>renonce</w:t>
      </w:r>
      <w:proofErr w:type="gramEnd"/>
      <w:r w:rsidR="00D17E99">
        <w:t xml:space="preserve"> à l’avance prévue à </w:t>
      </w:r>
      <w:r w:rsidR="00D17E99" w:rsidRPr="00D10179">
        <w:rPr>
          <w:b/>
          <w:i/>
          <w:color w:val="595959" w:themeColor="text1" w:themeTint="A6"/>
        </w:rPr>
        <w:t xml:space="preserve">l’article </w:t>
      </w:r>
      <w:r w:rsidRPr="00D10179">
        <w:rPr>
          <w:b/>
          <w:i/>
          <w:color w:val="595959" w:themeColor="text1" w:themeTint="A6"/>
        </w:rPr>
        <w:fldChar w:fldCharType="begin"/>
      </w:r>
      <w:r w:rsidR="00D17E99" w:rsidRPr="00D10179">
        <w:rPr>
          <w:b/>
          <w:i/>
          <w:color w:val="595959" w:themeColor="text1" w:themeTint="A6"/>
        </w:rPr>
        <w:instrText xml:space="preserve"> REF _Ref399754270 \r \h </w:instrText>
      </w:r>
      <w:r w:rsidR="00D10179" w:rsidRPr="00D10179">
        <w:rPr>
          <w:b/>
          <w:i/>
          <w:color w:val="595959" w:themeColor="text1" w:themeTint="A6"/>
        </w:rPr>
        <w:instrText xml:space="preserve"> \* MERGEFORMAT </w:instrText>
      </w:r>
      <w:r w:rsidRPr="00D10179">
        <w:rPr>
          <w:b/>
          <w:i/>
          <w:color w:val="595959" w:themeColor="text1" w:themeTint="A6"/>
        </w:rPr>
      </w:r>
      <w:r w:rsidRPr="00D10179">
        <w:rPr>
          <w:b/>
          <w:i/>
          <w:color w:val="595959" w:themeColor="text1" w:themeTint="A6"/>
        </w:rPr>
        <w:fldChar w:fldCharType="separate"/>
      </w:r>
      <w:r w:rsidR="001439D5">
        <w:rPr>
          <w:b/>
          <w:i/>
          <w:color w:val="595959" w:themeColor="text1" w:themeTint="A6"/>
        </w:rPr>
        <w:t>7.5</w:t>
      </w:r>
      <w:r w:rsidRPr="00D10179">
        <w:rPr>
          <w:b/>
          <w:i/>
          <w:color w:val="595959" w:themeColor="text1" w:themeTint="A6"/>
        </w:rPr>
        <w:fldChar w:fldCharType="end"/>
      </w:r>
      <w:r w:rsidR="00D17E99" w:rsidRPr="00D10179">
        <w:rPr>
          <w:b/>
          <w:i/>
          <w:color w:val="595959" w:themeColor="text1" w:themeTint="A6"/>
        </w:rPr>
        <w:t xml:space="preserve"> du présent CCP</w:t>
      </w:r>
    </w:p>
    <w:p w14:paraId="18D843A7" w14:textId="1E6E4ADB" w:rsidR="00411D10" w:rsidRPr="00AF472A" w:rsidRDefault="000E71D3" w:rsidP="00A31663">
      <w:r w:rsidRPr="00866023">
        <w:rPr>
          <w:b/>
          <w:caps/>
          <w:color w:val="FF0000"/>
          <w:sz w:val="36"/>
          <w:szCs w:val="36"/>
          <w:highlight w:val="lightGray"/>
        </w:rPr>
        <w:sym w:font="Wingdings" w:char="F046"/>
      </w:r>
      <w:r w:rsidR="00166688">
        <w:t xml:space="preserve">Le </w:t>
      </w:r>
      <w:r w:rsidR="005F7A14">
        <w:t>présent CCP</w:t>
      </w:r>
      <w:r w:rsidR="00411D10" w:rsidRPr="00AF472A">
        <w:t xml:space="preserve"> comporte </w:t>
      </w:r>
      <w:r w:rsidR="00006987" w:rsidRPr="00866023">
        <w:rPr>
          <w:highlight w:val="lightGray"/>
        </w:rPr>
        <w:t>___</w:t>
      </w:r>
      <w:r w:rsidR="00411D10">
        <w:t xml:space="preserve"> annexes énumérées</w:t>
      </w:r>
      <w:r w:rsidR="00411D10" w:rsidRPr="00AF472A">
        <w:t xml:space="preserve"> ci-après</w:t>
      </w:r>
      <w:r w:rsidR="00411D10" w:rsidRPr="000E71D3">
        <w:rPr>
          <w:rStyle w:val="Appelnotedebasdep"/>
          <w:rFonts w:asciiTheme="minorHAnsi" w:hAnsiTheme="minorHAnsi" w:cstheme="minorHAnsi"/>
          <w:b/>
        </w:rPr>
        <w:footnoteReference w:id="12"/>
      </w:r>
      <w:r w:rsidR="00411D10" w:rsidRPr="00AF472A">
        <w:t> :</w:t>
      </w:r>
    </w:p>
    <w:p w14:paraId="3BA81198" w14:textId="76157ED7" w:rsidR="00A31663" w:rsidRDefault="001C51E6" w:rsidP="00C665D1">
      <w:pPr>
        <w:pStyle w:val="Listepuces"/>
      </w:pPr>
      <w:r w:rsidRPr="00AF472A">
        <w:rPr>
          <w:rFonts w:ascii="CGP" w:hAnsi="CGP"/>
          <w:b/>
        </w:rPr>
        <w:fldChar w:fldCharType="begin">
          <w:ffData>
            <w:name w:val="CaseACocher1"/>
            <w:enabled/>
            <w:calcOnExit w:val="0"/>
            <w:checkBox>
              <w:sizeAuto/>
              <w:default w:val="0"/>
            </w:checkBox>
          </w:ffData>
        </w:fldChar>
      </w:r>
      <w:r w:rsidR="00A31663" w:rsidRPr="00AF472A">
        <w:rPr>
          <w:rFonts w:ascii="CGP" w:hAnsi="CGP"/>
          <w:b/>
        </w:rPr>
        <w:instrText xml:space="preserve"> FORMCHECKBOX </w:instrText>
      </w:r>
      <w:r w:rsidR="00F048AB">
        <w:rPr>
          <w:rFonts w:ascii="CGP" w:hAnsi="CGP"/>
          <w:b/>
        </w:rPr>
      </w:r>
      <w:r w:rsidR="00F048AB">
        <w:rPr>
          <w:rFonts w:ascii="CGP" w:hAnsi="CGP"/>
          <w:b/>
        </w:rPr>
        <w:fldChar w:fldCharType="separate"/>
      </w:r>
      <w:r w:rsidRPr="00AF472A">
        <w:rPr>
          <w:rFonts w:ascii="CGP" w:hAnsi="CGP"/>
          <w:b/>
        </w:rPr>
        <w:fldChar w:fldCharType="end"/>
      </w:r>
      <w:r w:rsidR="00A31663">
        <w:rPr>
          <w:rFonts w:ascii="CGP" w:hAnsi="CGP"/>
          <w:b/>
        </w:rPr>
        <w:t xml:space="preserve"> </w:t>
      </w:r>
      <w:r w:rsidR="00131A45">
        <w:t>A</w:t>
      </w:r>
      <w:r w:rsidR="00A31663">
        <w:t xml:space="preserve">nnexe 1 : annexe financière </w:t>
      </w:r>
      <w:r w:rsidR="00A31663" w:rsidRPr="00D10179">
        <w:t>(</w:t>
      </w:r>
      <w:r w:rsidR="000A5DA8" w:rsidRPr="00D10179">
        <w:t xml:space="preserve">décomposition du prix global et forfaitaire </w:t>
      </w:r>
      <w:r w:rsidR="00D10179" w:rsidRPr="00D10179">
        <w:t>et</w:t>
      </w:r>
      <w:r w:rsidR="000A5DA8" w:rsidRPr="00D10179">
        <w:t xml:space="preserve"> </w:t>
      </w:r>
      <w:r w:rsidR="00A31663" w:rsidRPr="00D10179">
        <w:t>bordereau des prix unitaires)</w:t>
      </w:r>
    </w:p>
    <w:p w14:paraId="22006398" w14:textId="2CF160C7" w:rsidR="00131A45" w:rsidRPr="00131A45" w:rsidRDefault="00131A45" w:rsidP="00CA6394">
      <w:pPr>
        <w:pStyle w:val="Listepuces"/>
      </w:pPr>
      <w:r w:rsidRPr="00131A45">
        <w:rPr>
          <w:rFonts w:ascii="CGP" w:hAnsi="CGP"/>
          <w:b/>
        </w:rPr>
        <w:fldChar w:fldCharType="begin">
          <w:ffData>
            <w:name w:val="CaseACocher1"/>
            <w:enabled/>
            <w:calcOnExit w:val="0"/>
            <w:checkBox>
              <w:sizeAuto/>
              <w:default w:val="0"/>
            </w:checkBox>
          </w:ffData>
        </w:fldChar>
      </w:r>
      <w:r w:rsidRPr="00131A45">
        <w:rPr>
          <w:rFonts w:ascii="CGP" w:hAnsi="CGP"/>
          <w:b/>
        </w:rPr>
        <w:instrText xml:space="preserve"> FORMCHECKBOX </w:instrText>
      </w:r>
      <w:r w:rsidR="00F048AB">
        <w:rPr>
          <w:rFonts w:ascii="CGP" w:hAnsi="CGP"/>
          <w:b/>
        </w:rPr>
      </w:r>
      <w:r w:rsidR="00F048AB">
        <w:rPr>
          <w:rFonts w:ascii="CGP" w:hAnsi="CGP"/>
          <w:b/>
        </w:rPr>
        <w:fldChar w:fldCharType="separate"/>
      </w:r>
      <w:r w:rsidRPr="00131A45">
        <w:rPr>
          <w:rFonts w:ascii="CGP" w:hAnsi="CGP"/>
          <w:b/>
        </w:rPr>
        <w:fldChar w:fldCharType="end"/>
      </w:r>
      <w:r w:rsidRPr="00131A45">
        <w:rPr>
          <w:rFonts w:ascii="CGP" w:hAnsi="CGP"/>
          <w:b/>
        </w:rPr>
        <w:t xml:space="preserve"> </w:t>
      </w:r>
      <w:r w:rsidRPr="0017472F">
        <w:t>Annexe 2 : listes des œuvres et objets pour l’exposition au J4, R+2</w:t>
      </w:r>
    </w:p>
    <w:p w14:paraId="39B7C957" w14:textId="53E83E6A" w:rsidR="0041391A" w:rsidRPr="009D179F" w:rsidRDefault="001C51E6" w:rsidP="00C665D1">
      <w:pPr>
        <w:pStyle w:val="Listepuces"/>
      </w:pPr>
      <w:r w:rsidRPr="00AF472A">
        <w:rPr>
          <w:rFonts w:ascii="CGP" w:hAnsi="CGP"/>
          <w:b/>
        </w:rPr>
        <w:fldChar w:fldCharType="begin">
          <w:ffData>
            <w:name w:val="CaseACocher1"/>
            <w:enabled/>
            <w:calcOnExit w:val="0"/>
            <w:checkBox>
              <w:sizeAuto/>
              <w:default w:val="0"/>
            </w:checkBox>
          </w:ffData>
        </w:fldChar>
      </w:r>
      <w:r w:rsidR="00A31663" w:rsidRPr="00AF472A">
        <w:rPr>
          <w:rFonts w:ascii="CGP" w:hAnsi="CGP"/>
          <w:b/>
        </w:rPr>
        <w:instrText xml:space="preserve"> FORMCHECKBOX </w:instrText>
      </w:r>
      <w:r w:rsidR="00F048AB">
        <w:rPr>
          <w:rFonts w:ascii="CGP" w:hAnsi="CGP"/>
          <w:b/>
        </w:rPr>
      </w:r>
      <w:r w:rsidR="00F048AB">
        <w:rPr>
          <w:rFonts w:ascii="CGP" w:hAnsi="CGP"/>
          <w:b/>
        </w:rPr>
        <w:fldChar w:fldCharType="separate"/>
      </w:r>
      <w:r w:rsidRPr="00AF472A">
        <w:rPr>
          <w:rFonts w:ascii="CGP" w:hAnsi="CGP"/>
          <w:b/>
        </w:rPr>
        <w:fldChar w:fldCharType="end"/>
      </w:r>
      <w:r w:rsidR="00A31663">
        <w:rPr>
          <w:rFonts w:ascii="CGP" w:hAnsi="CGP"/>
          <w:b/>
        </w:rPr>
        <w:t xml:space="preserve"> </w:t>
      </w:r>
      <w:r w:rsidR="000C706D">
        <w:t>A</w:t>
      </w:r>
      <w:r w:rsidR="00D10179">
        <w:t xml:space="preserve">nnexe </w:t>
      </w:r>
      <w:r w:rsidR="00E61F76">
        <w:t>3</w:t>
      </w:r>
      <w:r w:rsidR="00A31663">
        <w:t xml:space="preserve"> : </w:t>
      </w:r>
      <w:r w:rsidR="0041391A">
        <w:t>demande</w:t>
      </w:r>
      <w:r w:rsidR="00787A58">
        <w:t>(s)</w:t>
      </w:r>
      <w:r w:rsidR="0041391A">
        <w:t xml:space="preserve"> d’acceptation de sous-traitance (DC4)</w:t>
      </w:r>
    </w:p>
    <w:p w14:paraId="5AB3CF44" w14:textId="6A454E4C" w:rsidR="00411D10" w:rsidRDefault="001C51E6" w:rsidP="00C665D1">
      <w:pPr>
        <w:pStyle w:val="Listepuces"/>
      </w:pPr>
      <w:r w:rsidRPr="0041391A">
        <w:fldChar w:fldCharType="begin">
          <w:ffData>
            <w:name w:val="CaseACocher1"/>
            <w:enabled/>
            <w:calcOnExit w:val="0"/>
            <w:checkBox>
              <w:sizeAuto/>
              <w:default w:val="0"/>
            </w:checkBox>
          </w:ffData>
        </w:fldChar>
      </w:r>
      <w:r w:rsidR="00A31663" w:rsidRPr="0041391A">
        <w:instrText xml:space="preserve"> FORMCHECKBOX </w:instrText>
      </w:r>
      <w:r w:rsidR="00F048AB">
        <w:fldChar w:fldCharType="separate"/>
      </w:r>
      <w:r w:rsidRPr="0041391A">
        <w:fldChar w:fldCharType="end"/>
      </w:r>
      <w:r w:rsidR="00A31663" w:rsidRPr="0041391A">
        <w:t xml:space="preserve"> </w:t>
      </w:r>
      <w:proofErr w:type="gramStart"/>
      <w:r w:rsidR="00D10179" w:rsidRPr="00866023">
        <w:rPr>
          <w:highlight w:val="lightGray"/>
        </w:rPr>
        <w:t>autre</w:t>
      </w:r>
      <w:proofErr w:type="gramEnd"/>
      <w:r w:rsidR="00D10179" w:rsidRPr="00866023">
        <w:rPr>
          <w:highlight w:val="lightGray"/>
        </w:rPr>
        <w:t xml:space="preserve"> annexe</w:t>
      </w:r>
      <w:r w:rsidR="00A31663" w:rsidRPr="00866023">
        <w:rPr>
          <w:highlight w:val="lightGray"/>
        </w:rPr>
        <w:t xml:space="preserve"> : </w:t>
      </w:r>
      <w:r w:rsidR="00D10179" w:rsidRPr="00866023">
        <w:rPr>
          <w:highlight w:val="lightGray"/>
        </w:rPr>
        <w:t>préciser</w:t>
      </w:r>
    </w:p>
    <w:p w14:paraId="3F235A8A" w14:textId="77777777" w:rsidR="00411D10" w:rsidRPr="00AF472A" w:rsidRDefault="00411D10" w:rsidP="00A31663">
      <w:r w:rsidRPr="00AF472A">
        <w:t>Fait en un seul original,</w:t>
      </w:r>
    </w:p>
    <w:tbl>
      <w:tblPr>
        <w:tblStyle w:val="Grilledutableau"/>
        <w:tblW w:w="0" w:type="auto"/>
        <w:tblLook w:val="04A0" w:firstRow="1" w:lastRow="0" w:firstColumn="1" w:lastColumn="0" w:noHBand="0" w:noVBand="1"/>
      </w:tblPr>
      <w:tblGrid>
        <w:gridCol w:w="9628"/>
      </w:tblGrid>
      <w:tr w:rsidR="000E71D3" w14:paraId="6904880C" w14:textId="77777777" w:rsidTr="008F7047">
        <w:trPr>
          <w:trHeight w:val="1674"/>
        </w:trPr>
        <w:tc>
          <w:tcPr>
            <w:tcW w:w="9778" w:type="dxa"/>
          </w:tcPr>
          <w:p w14:paraId="4A553D1E" w14:textId="77777777" w:rsidR="000E71D3" w:rsidRPr="000E71D3" w:rsidRDefault="000E71D3" w:rsidP="0037029E">
            <w:r w:rsidRPr="00866023">
              <w:rPr>
                <w:b/>
                <w:caps/>
                <w:sz w:val="36"/>
                <w:szCs w:val="36"/>
                <w:highlight w:val="lightGray"/>
              </w:rPr>
              <w:lastRenderedPageBreak/>
              <w:sym w:font="Wingdings" w:char="F046"/>
            </w:r>
            <w:r>
              <w:rPr>
                <w:b/>
                <w:caps/>
                <w:sz w:val="36"/>
                <w:szCs w:val="36"/>
              </w:rPr>
              <w:t xml:space="preserve"> </w:t>
            </w:r>
            <w:r w:rsidRPr="000E71D3">
              <w:t>À ……………………………………………</w:t>
            </w:r>
            <w:proofErr w:type="gramStart"/>
            <w:r w:rsidRPr="000E71D3">
              <w:t>…….</w:t>
            </w:r>
            <w:proofErr w:type="gramEnd"/>
            <w:r w:rsidRPr="000E71D3">
              <w:t xml:space="preserve">., le </w:t>
            </w:r>
          </w:p>
          <w:p w14:paraId="431691B3" w14:textId="47018291" w:rsidR="000E71D3" w:rsidRPr="000E71D3" w:rsidRDefault="000E71D3" w:rsidP="0037029E">
            <w:pPr>
              <w:rPr>
                <w:b/>
              </w:rPr>
            </w:pPr>
            <w:r w:rsidRPr="000E71D3">
              <w:rPr>
                <w:b/>
              </w:rPr>
              <w:t xml:space="preserve">Signature </w:t>
            </w:r>
            <w:r w:rsidR="00CA6394">
              <w:rPr>
                <w:b/>
              </w:rPr>
              <w:t xml:space="preserve">et cachet </w:t>
            </w:r>
            <w:r w:rsidRPr="000E71D3">
              <w:rPr>
                <w:b/>
              </w:rPr>
              <w:t>de l'entreprise</w:t>
            </w:r>
          </w:p>
          <w:p w14:paraId="53E045C9" w14:textId="77777777" w:rsidR="000E71D3" w:rsidRPr="000E71D3" w:rsidRDefault="000E71D3" w:rsidP="0037029E">
            <w:r w:rsidRPr="000E71D3">
              <w:t>Nom et qualité du signataire : ……………………………………</w:t>
            </w:r>
          </w:p>
          <w:p w14:paraId="45DA7698" w14:textId="77777777" w:rsidR="000E71D3" w:rsidRPr="000E71D3" w:rsidRDefault="000E71D3" w:rsidP="00CA6394"/>
        </w:tc>
      </w:tr>
    </w:tbl>
    <w:p w14:paraId="6DE42499" w14:textId="2270DCE9" w:rsidR="000E71D3" w:rsidRPr="00982E45" w:rsidRDefault="001C70DE" w:rsidP="0037029E">
      <w:pPr>
        <w:rPr>
          <w:color w:val="FF0000"/>
        </w:rPr>
      </w:pPr>
      <w:r w:rsidRPr="00982E45">
        <w:rPr>
          <w:color w:val="FF0000"/>
        </w:rPr>
        <w:t>ATTENTION : Si le présent Marché</w:t>
      </w:r>
      <w:r w:rsidR="000E71D3" w:rsidRPr="00982E45">
        <w:rPr>
          <w:color w:val="FF0000"/>
        </w:rPr>
        <w:t xml:space="preserve"> </w:t>
      </w:r>
      <w:r w:rsidR="00E61F76" w:rsidRPr="00982E45">
        <w:rPr>
          <w:color w:val="FF0000"/>
        </w:rPr>
        <w:t xml:space="preserve">Subséquent </w:t>
      </w:r>
      <w:r w:rsidR="000E71D3" w:rsidRPr="00982E45">
        <w:rPr>
          <w:color w:val="FF0000"/>
        </w:rPr>
        <w:t>n’est pas signé par le représentant légal du candidat, le signataire doit obligatoirement produire avec l</w:t>
      </w:r>
      <w:r w:rsidRPr="00982E45">
        <w:rPr>
          <w:color w:val="FF0000"/>
        </w:rPr>
        <w:t>e présent document</w:t>
      </w:r>
      <w:r w:rsidR="000E71D3" w:rsidRPr="00982E45">
        <w:rPr>
          <w:color w:val="FF0000"/>
        </w:rPr>
        <w:t>, un pouvoir daté et signé en original par le représentant légal l’autorisant à signer tous les documents relatifs à l’offre.</w:t>
      </w:r>
    </w:p>
    <w:p w14:paraId="645D0587" w14:textId="77777777" w:rsidR="00D17E99" w:rsidRDefault="00D17E99" w:rsidP="00D17E99">
      <w:r w:rsidRPr="00AF472A">
        <w:t xml:space="preserve">L’offre présentée ne lie </w:t>
      </w:r>
      <w:r>
        <w:t xml:space="preserve">le Titulaire </w:t>
      </w:r>
      <w:r w:rsidRPr="00AF472A">
        <w:t xml:space="preserve">que si son </w:t>
      </w:r>
      <w:r w:rsidRPr="00D10179">
        <w:t xml:space="preserve">acceptation lui est notifiée dans </w:t>
      </w:r>
      <w:proofErr w:type="gramStart"/>
      <w:r w:rsidRPr="00D10179">
        <w:t>un délai de 180 jours calendaires</w:t>
      </w:r>
      <w:proofErr w:type="gramEnd"/>
      <w:r w:rsidRPr="00D10179">
        <w:t xml:space="preserve"> à compter de la date limite de remise des offres.</w:t>
      </w:r>
    </w:p>
    <w:tbl>
      <w:tblPr>
        <w:tblStyle w:val="Grilledutableau"/>
        <w:tblW w:w="0" w:type="auto"/>
        <w:tblLook w:val="04A0" w:firstRow="1" w:lastRow="0" w:firstColumn="1" w:lastColumn="0" w:noHBand="0" w:noVBand="1"/>
      </w:tblPr>
      <w:tblGrid>
        <w:gridCol w:w="9628"/>
      </w:tblGrid>
      <w:tr w:rsidR="000E71D3" w:rsidRPr="000E71D3" w14:paraId="6D3C608D" w14:textId="77777777" w:rsidTr="000E71D3">
        <w:tc>
          <w:tcPr>
            <w:tcW w:w="9778" w:type="dxa"/>
            <w:shd w:val="clear" w:color="auto" w:fill="D9D9D9" w:themeFill="background1" w:themeFillShade="D9"/>
            <w:vAlign w:val="center"/>
          </w:tcPr>
          <w:p w14:paraId="18E6E719" w14:textId="7C200E87" w:rsidR="000E71D3" w:rsidRPr="000E71D3" w:rsidRDefault="000E71D3" w:rsidP="000E71D3">
            <w:pPr>
              <w:jc w:val="center"/>
              <w:rPr>
                <w:b/>
                <w:sz w:val="22"/>
              </w:rPr>
            </w:pPr>
            <w:r w:rsidRPr="000E71D3">
              <w:rPr>
                <w:b/>
                <w:sz w:val="22"/>
              </w:rPr>
              <w:t xml:space="preserve">Partie à compléter par le </w:t>
            </w:r>
            <w:proofErr w:type="spellStart"/>
            <w:r w:rsidR="008D034F">
              <w:rPr>
                <w:b/>
                <w:sz w:val="22"/>
              </w:rPr>
              <w:t>Mucem</w:t>
            </w:r>
            <w:proofErr w:type="spellEnd"/>
          </w:p>
        </w:tc>
      </w:tr>
      <w:tr w:rsidR="000E71D3" w14:paraId="4C0EF5D1" w14:textId="77777777" w:rsidTr="00064D33">
        <w:trPr>
          <w:trHeight w:val="2770"/>
        </w:trPr>
        <w:tc>
          <w:tcPr>
            <w:tcW w:w="9778" w:type="dxa"/>
          </w:tcPr>
          <w:p w14:paraId="361FE198" w14:textId="77777777" w:rsidR="00064D33" w:rsidRPr="000E71D3" w:rsidRDefault="00064D33" w:rsidP="00064D33">
            <w:pPr>
              <w:tabs>
                <w:tab w:val="left" w:pos="5785"/>
              </w:tabs>
              <w:rPr>
                <w:color w:val="000000"/>
              </w:rPr>
            </w:pPr>
            <w:r w:rsidRPr="00B255E9">
              <w:rPr>
                <w:color w:val="000000"/>
              </w:rPr>
              <w:t>Pas de nécessité de passage en CCAO, ni de visa CBR</w:t>
            </w:r>
          </w:p>
          <w:p w14:paraId="3CE4AA85" w14:textId="514F936C" w:rsidR="00643B0C" w:rsidRPr="00D10179" w:rsidRDefault="00643B0C" w:rsidP="00D10179">
            <w:r w:rsidRPr="00D10179">
              <w:t>Est accepté le présent document valant acte d’engagement et CCP</w:t>
            </w:r>
          </w:p>
          <w:p w14:paraId="4C6BDE8C" w14:textId="77777777" w:rsidR="000E71D3" w:rsidRPr="000E71D3" w:rsidRDefault="000E71D3" w:rsidP="00643B0C">
            <w:r w:rsidRPr="000E71D3">
              <w:t xml:space="preserve">À </w:t>
            </w:r>
            <w:r w:rsidR="00643B0C">
              <w:t>Marseille</w:t>
            </w:r>
            <w:r w:rsidRPr="000E71D3">
              <w:t xml:space="preserve">, le </w:t>
            </w:r>
          </w:p>
          <w:p w14:paraId="17A91172" w14:textId="2BAB4E9E" w:rsidR="000E71D3" w:rsidRDefault="000E71D3" w:rsidP="00446530">
            <w:pPr>
              <w:tabs>
                <w:tab w:val="left" w:pos="6240"/>
              </w:tabs>
            </w:pPr>
            <w:r w:rsidRPr="000E71D3">
              <w:rPr>
                <w:color w:val="000000"/>
              </w:rPr>
              <w:t>Le</w:t>
            </w:r>
            <w:r w:rsidR="00643B0C">
              <w:rPr>
                <w:color w:val="000000"/>
              </w:rPr>
              <w:t xml:space="preserve"> représentant </w:t>
            </w:r>
            <w:r w:rsidRPr="000E71D3">
              <w:rPr>
                <w:color w:val="000000"/>
              </w:rPr>
              <w:t xml:space="preserve">du </w:t>
            </w:r>
            <w:proofErr w:type="spellStart"/>
            <w:r w:rsidR="00446530">
              <w:rPr>
                <w:color w:val="000000"/>
              </w:rPr>
              <w:t>Mucem</w:t>
            </w:r>
            <w:proofErr w:type="spellEnd"/>
            <w:r w:rsidR="009C475A">
              <w:rPr>
                <w:color w:val="000000"/>
              </w:rPr>
              <w:t> :</w:t>
            </w:r>
            <w:r w:rsidR="00064D33">
              <w:rPr>
                <w:color w:val="000000"/>
              </w:rPr>
              <w:t xml:space="preserve"> Véronique Haché, administratrice générale</w:t>
            </w:r>
          </w:p>
        </w:tc>
      </w:tr>
    </w:tbl>
    <w:p w14:paraId="5FFC0830" w14:textId="77777777" w:rsidR="004C72C3" w:rsidRDefault="004C72C3">
      <w:pPr>
        <w:overflowPunct/>
        <w:autoSpaceDE/>
        <w:autoSpaceDN/>
        <w:adjustRightInd/>
        <w:spacing w:after="200" w:line="276" w:lineRule="auto"/>
        <w:jc w:val="left"/>
        <w:textAlignment w:val="auto"/>
      </w:pPr>
    </w:p>
    <w:sectPr w:rsidR="004C72C3" w:rsidSect="00BC488C">
      <w:headerReference w:type="default" r:id="rId8"/>
      <w:footerReference w:type="default" r:id="rId9"/>
      <w:pgSz w:w="11906" w:h="16838" w:code="9"/>
      <w:pgMar w:top="967" w:right="1134" w:bottom="1134" w:left="1134" w:header="425" w:footer="52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1453BD" w14:textId="77777777" w:rsidR="00F048AB" w:rsidRDefault="00F048AB">
      <w:r>
        <w:separator/>
      </w:r>
    </w:p>
    <w:p w14:paraId="1DDD7272" w14:textId="77777777" w:rsidR="00F048AB" w:rsidRDefault="00F048AB"/>
  </w:endnote>
  <w:endnote w:type="continuationSeparator" w:id="0">
    <w:p w14:paraId="63597137" w14:textId="77777777" w:rsidR="00F048AB" w:rsidRDefault="00F048AB">
      <w:r>
        <w:continuationSeparator/>
      </w:r>
    </w:p>
    <w:p w14:paraId="795940D7" w14:textId="77777777" w:rsidR="00F048AB" w:rsidRDefault="00F048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al Gras">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NeueHaasGroteskText Pro">
    <w:panose1 w:val="020B0504020202020204"/>
    <w:charset w:val="00"/>
    <w:family w:val="swiss"/>
    <w:notTrueType/>
    <w:pitch w:val="variable"/>
    <w:sig w:usb0="00000007" w:usb1="00000000" w:usb2="00000000" w:usb3="00000000" w:csb0="00000093" w:csb1="00000000"/>
  </w:font>
  <w:font w:name="CGP">
    <w:altName w:val="MS Goth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30615"/>
      <w:docPartObj>
        <w:docPartGallery w:val="Page Numbers (Bottom of Page)"/>
        <w:docPartUnique/>
      </w:docPartObj>
    </w:sdtPr>
    <w:sdtEndPr/>
    <w:sdtContent>
      <w:sdt>
        <w:sdtPr>
          <w:id w:val="123787560"/>
          <w:docPartObj>
            <w:docPartGallery w:val="Page Numbers (Top of Page)"/>
            <w:docPartUnique/>
          </w:docPartObj>
        </w:sdtPr>
        <w:sdtEndPr/>
        <w:sdtContent>
          <w:p w14:paraId="53642591" w14:textId="5635CD21" w:rsidR="003655B5" w:rsidRDefault="003655B5" w:rsidP="00BD6D63">
            <w:pPr>
              <w:pStyle w:val="Pieddepage"/>
              <w:jc w:val="center"/>
            </w:pPr>
            <w:r>
              <w:t xml:space="preserve">Page </w:t>
            </w:r>
            <w:r>
              <w:rPr>
                <w:b/>
                <w:sz w:val="24"/>
                <w:szCs w:val="24"/>
              </w:rPr>
              <w:fldChar w:fldCharType="begin"/>
            </w:r>
            <w:r>
              <w:rPr>
                <w:b/>
              </w:rPr>
              <w:instrText>PAGE</w:instrText>
            </w:r>
            <w:r>
              <w:rPr>
                <w:b/>
                <w:sz w:val="24"/>
                <w:szCs w:val="24"/>
              </w:rPr>
              <w:fldChar w:fldCharType="separate"/>
            </w:r>
            <w:r>
              <w:rPr>
                <w:b/>
                <w:noProof/>
              </w:rPr>
              <w:t>13</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Pr>
                <w:b/>
                <w:noProof/>
              </w:rPr>
              <w:t>13</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6DCFDF" w14:textId="77777777" w:rsidR="00F048AB" w:rsidRDefault="00F048AB">
      <w:r>
        <w:separator/>
      </w:r>
    </w:p>
    <w:p w14:paraId="77CC44E5" w14:textId="77777777" w:rsidR="00F048AB" w:rsidRDefault="00F048AB"/>
  </w:footnote>
  <w:footnote w:type="continuationSeparator" w:id="0">
    <w:p w14:paraId="1C77538A" w14:textId="77777777" w:rsidR="00F048AB" w:rsidRDefault="00F048AB">
      <w:r>
        <w:continuationSeparator/>
      </w:r>
    </w:p>
    <w:p w14:paraId="28CC98CB" w14:textId="77777777" w:rsidR="00F048AB" w:rsidRDefault="00F048AB"/>
  </w:footnote>
  <w:footnote w:id="1">
    <w:p w14:paraId="58DE1ECC" w14:textId="77777777" w:rsidR="003655B5" w:rsidRPr="00D46347" w:rsidRDefault="003655B5" w:rsidP="003559AE">
      <w:pPr>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Le candidat doit cocher la </w:t>
      </w:r>
      <w:r>
        <w:rPr>
          <w:rFonts w:asciiTheme="minorHAnsi" w:hAnsiTheme="minorHAnsi" w:cstheme="minorHAnsi"/>
          <w:i/>
        </w:rPr>
        <w:t xml:space="preserve">case ou la </w:t>
      </w:r>
      <w:r w:rsidRPr="00D46347">
        <w:rPr>
          <w:rFonts w:asciiTheme="minorHAnsi" w:hAnsiTheme="minorHAnsi" w:cstheme="minorHAnsi"/>
          <w:i/>
        </w:rPr>
        <w:t>situation concernée.</w:t>
      </w:r>
    </w:p>
  </w:footnote>
  <w:footnote w:id="2">
    <w:p w14:paraId="5C50643B" w14:textId="77777777" w:rsidR="003655B5" w:rsidRPr="00D46347" w:rsidRDefault="003655B5" w:rsidP="00066D41">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La personne physique représentant le candidat doit cocher la situation concernée</w:t>
      </w:r>
    </w:p>
  </w:footnote>
  <w:footnote w:id="3">
    <w:p w14:paraId="13220966" w14:textId="77777777" w:rsidR="003655B5" w:rsidRPr="00D46347" w:rsidRDefault="003655B5" w:rsidP="00066D41">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Le candidat doit cocher la situation concernée.</w:t>
      </w:r>
    </w:p>
  </w:footnote>
  <w:footnote w:id="4">
    <w:p w14:paraId="1BCF38FE" w14:textId="77777777" w:rsidR="003655B5" w:rsidRPr="00795C89" w:rsidRDefault="003655B5" w:rsidP="00066D41">
      <w:pPr>
        <w:pStyle w:val="Notedebasdepage"/>
        <w:rPr>
          <w:rFonts w:ascii="Arial" w:hAnsi="Arial" w:cs="Arial"/>
          <w:i/>
          <w:sz w:val="18"/>
        </w:rPr>
      </w:pPr>
      <w:r w:rsidRPr="00795C89">
        <w:rPr>
          <w:rStyle w:val="Appelnotedebasdep"/>
          <w:rFonts w:ascii="Arial" w:hAnsi="Arial" w:cs="Arial"/>
          <w:i/>
          <w:sz w:val="16"/>
          <w:szCs w:val="20"/>
        </w:rPr>
        <w:footnoteRef/>
      </w:r>
      <w:r w:rsidRPr="00795C89">
        <w:rPr>
          <w:rFonts w:ascii="Arial" w:hAnsi="Arial" w:cs="Arial"/>
          <w:i/>
          <w:sz w:val="16"/>
        </w:rPr>
        <w:t xml:space="preserve"> Ce numéro doit comporter le même numéro SIREN que celui du siège indiqué ci-dessus. </w:t>
      </w:r>
    </w:p>
  </w:footnote>
  <w:footnote w:id="5">
    <w:p w14:paraId="40C0B85A" w14:textId="77777777" w:rsidR="003655B5" w:rsidRPr="00795C89" w:rsidRDefault="003655B5" w:rsidP="00F5484E">
      <w:pPr>
        <w:pStyle w:val="Notedebasdepage"/>
        <w:rPr>
          <w:rFonts w:ascii="Arial" w:hAnsi="Arial" w:cs="Arial"/>
          <w:i/>
          <w:sz w:val="18"/>
        </w:rPr>
      </w:pPr>
      <w:r w:rsidRPr="00795C89">
        <w:rPr>
          <w:rStyle w:val="Appelnotedebasdep"/>
          <w:rFonts w:ascii="Arial" w:hAnsi="Arial" w:cs="Arial"/>
          <w:i/>
          <w:szCs w:val="20"/>
        </w:rPr>
        <w:footnoteRef/>
      </w:r>
      <w:r w:rsidRPr="00795C89">
        <w:rPr>
          <w:rFonts w:ascii="Arial" w:hAnsi="Arial" w:cs="Arial"/>
          <w:i/>
          <w:sz w:val="18"/>
        </w:rPr>
        <w:t xml:space="preserve"> Le candidat doit cocher la situation concernée.</w:t>
      </w:r>
    </w:p>
  </w:footnote>
  <w:footnote w:id="6">
    <w:p w14:paraId="3C6D211F" w14:textId="77777777" w:rsidR="003655B5" w:rsidRPr="00795C89" w:rsidRDefault="003655B5" w:rsidP="00F5484E">
      <w:pPr>
        <w:rPr>
          <w:rFonts w:cs="Arial"/>
          <w:i/>
          <w:sz w:val="18"/>
        </w:rPr>
      </w:pPr>
      <w:r w:rsidRPr="00795C89">
        <w:rPr>
          <w:rStyle w:val="Appelnotedebasdep"/>
          <w:rFonts w:cs="Arial"/>
          <w:i/>
          <w:szCs w:val="20"/>
        </w:rPr>
        <w:footnoteRef/>
      </w:r>
      <w:r w:rsidRPr="00795C89">
        <w:rPr>
          <w:rFonts w:cs="Arial"/>
          <w:i/>
          <w:sz w:val="18"/>
        </w:rPr>
        <w:t xml:space="preserve"> La personne physique représentant l’attributaire doit cocher la situation concernée</w:t>
      </w:r>
    </w:p>
  </w:footnote>
  <w:footnote w:id="7">
    <w:p w14:paraId="419C8697" w14:textId="77777777" w:rsidR="003655B5" w:rsidRPr="00795C89" w:rsidRDefault="003655B5" w:rsidP="00F5484E">
      <w:pPr>
        <w:rPr>
          <w:rFonts w:cs="Arial"/>
          <w:i/>
          <w:sz w:val="18"/>
        </w:rPr>
      </w:pPr>
      <w:r w:rsidRPr="00795C89">
        <w:rPr>
          <w:rStyle w:val="Appelnotedebasdep"/>
          <w:rFonts w:cs="Arial"/>
          <w:i/>
          <w:szCs w:val="20"/>
        </w:rPr>
        <w:footnoteRef/>
      </w:r>
      <w:r w:rsidRPr="00795C89">
        <w:rPr>
          <w:rFonts w:cs="Arial"/>
          <w:i/>
          <w:sz w:val="18"/>
        </w:rPr>
        <w:t xml:space="preserve"> Le candidat doit cocher la situation concernée. </w:t>
      </w:r>
    </w:p>
  </w:footnote>
  <w:footnote w:id="8">
    <w:p w14:paraId="2CE43103" w14:textId="77777777" w:rsidR="003655B5" w:rsidRPr="00D46347" w:rsidRDefault="003655B5" w:rsidP="00F5484E">
      <w:pPr>
        <w:rPr>
          <w:i/>
        </w:rPr>
      </w:pPr>
      <w:r w:rsidRPr="00795C89">
        <w:rPr>
          <w:rStyle w:val="Appelnotedebasdep"/>
          <w:rFonts w:cs="Arial"/>
          <w:i/>
          <w:szCs w:val="20"/>
        </w:rPr>
        <w:footnoteRef/>
      </w:r>
      <w:r w:rsidRPr="00795C89">
        <w:rPr>
          <w:rFonts w:cs="Arial"/>
          <w:i/>
          <w:sz w:val="18"/>
        </w:rPr>
        <w:t xml:space="preserve"> Ce numéro doit comporter le même numéro SIREN que celui du siège indiqué ci-dessus.</w:t>
      </w:r>
      <w:r w:rsidRPr="00795C89">
        <w:rPr>
          <w:i/>
          <w:sz w:val="18"/>
        </w:rPr>
        <w:t xml:space="preserve"> </w:t>
      </w:r>
    </w:p>
  </w:footnote>
  <w:footnote w:id="9">
    <w:p w14:paraId="493917FB" w14:textId="77777777" w:rsidR="003655B5" w:rsidRPr="00B602F9" w:rsidRDefault="003655B5" w:rsidP="00F5484E">
      <w:pPr>
        <w:pStyle w:val="Notedebasdepage"/>
        <w:rPr>
          <w:rStyle w:val="Appelnotedebasdep"/>
          <w:rFonts w:ascii="Arial" w:hAnsi="Arial" w:cs="Arial"/>
          <w:i/>
        </w:rPr>
      </w:pPr>
      <w:r w:rsidRPr="00B602F9">
        <w:rPr>
          <w:rStyle w:val="Appelnotedebasdep"/>
          <w:rFonts w:ascii="Arial" w:hAnsi="Arial" w:cs="Arial"/>
          <w:i/>
        </w:rPr>
        <w:footnoteRef/>
      </w:r>
      <w:r w:rsidRPr="00B602F9">
        <w:rPr>
          <w:rStyle w:val="Appelnotedebasdep"/>
          <w:rFonts w:ascii="Arial" w:hAnsi="Arial" w:cs="Arial"/>
          <w:i/>
        </w:rPr>
        <w:t xml:space="preserve"> La personne physique représentant le candidat doit cocher la situation concernée</w:t>
      </w:r>
    </w:p>
  </w:footnote>
  <w:footnote w:id="10">
    <w:p w14:paraId="2E59D47F" w14:textId="77777777" w:rsidR="003655B5" w:rsidRPr="00B602F9" w:rsidRDefault="003655B5" w:rsidP="00F5484E">
      <w:pPr>
        <w:pStyle w:val="Notedebasdepage"/>
        <w:rPr>
          <w:rStyle w:val="Appelnotedebasdep"/>
          <w:rFonts w:ascii="Arial" w:hAnsi="Arial" w:cs="Arial"/>
          <w:i/>
        </w:rPr>
      </w:pPr>
      <w:r w:rsidRPr="00B602F9">
        <w:rPr>
          <w:rStyle w:val="Appelnotedebasdep"/>
          <w:rFonts w:ascii="Arial" w:hAnsi="Arial" w:cs="Arial"/>
          <w:i/>
        </w:rPr>
        <w:footnoteRef/>
      </w:r>
      <w:r w:rsidRPr="00B602F9">
        <w:rPr>
          <w:rStyle w:val="Appelnotedebasdep"/>
          <w:rFonts w:ascii="Arial" w:hAnsi="Arial" w:cs="Arial"/>
          <w:i/>
        </w:rPr>
        <w:t xml:space="preserve"> Le candidat doit cocher la situation concernée. </w:t>
      </w:r>
    </w:p>
  </w:footnote>
  <w:footnote w:id="11">
    <w:p w14:paraId="4739DD95" w14:textId="77777777" w:rsidR="003655B5" w:rsidRPr="00B602F9" w:rsidRDefault="003655B5" w:rsidP="00F5484E">
      <w:pPr>
        <w:pStyle w:val="Notedebasdepage"/>
        <w:rPr>
          <w:rFonts w:ascii="Arial" w:hAnsi="Arial" w:cs="Arial"/>
          <w:i/>
        </w:rPr>
      </w:pPr>
      <w:r w:rsidRPr="00B602F9">
        <w:rPr>
          <w:rStyle w:val="Appelnotedebasdep"/>
          <w:rFonts w:ascii="Arial" w:hAnsi="Arial" w:cs="Arial"/>
          <w:i/>
          <w:sz w:val="16"/>
        </w:rPr>
        <w:footnoteRef/>
      </w:r>
      <w:r w:rsidRPr="00B602F9">
        <w:rPr>
          <w:rFonts w:ascii="Arial" w:hAnsi="Arial" w:cs="Arial"/>
          <w:i/>
          <w:sz w:val="18"/>
        </w:rPr>
        <w:t xml:space="preserve"> Ce numéro doit comporter le même numéro SIREN que celui du siège indiqué ci-dessus. </w:t>
      </w:r>
    </w:p>
  </w:footnote>
  <w:footnote w:id="12">
    <w:p w14:paraId="7D6C2535" w14:textId="4F17B904" w:rsidR="003655B5" w:rsidRPr="000E71D3" w:rsidRDefault="003655B5" w:rsidP="000E71D3">
      <w:pPr>
        <w:rPr>
          <w:i/>
        </w:rPr>
      </w:pPr>
      <w:r w:rsidRPr="00C52A93">
        <w:rPr>
          <w:rStyle w:val="Appelnotedebasdep"/>
          <w:rFonts w:ascii="CGP" w:hAnsi="CGP"/>
        </w:rPr>
        <w:footnoteRef/>
      </w:r>
      <w:r w:rsidRPr="00C52A93">
        <w:t xml:space="preserve"> </w:t>
      </w:r>
      <w:r>
        <w:rPr>
          <w:i/>
        </w:rPr>
        <w:t>L’attributaire</w:t>
      </w:r>
      <w:r w:rsidRPr="000E71D3">
        <w:rPr>
          <w:i/>
        </w:rPr>
        <w:t xml:space="preserve"> doit indiquer ici cocher ou compléter pour confirmer le nombre et l’intitulé des annexes faisant partie du </w:t>
      </w:r>
      <w:r>
        <w:rPr>
          <w:i/>
        </w:rPr>
        <w:t>Marché Subséquent</w:t>
      </w:r>
      <w:r w:rsidRPr="000E71D3">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F82311" w14:textId="0A6A2B50" w:rsidR="003655B5" w:rsidRDefault="003655B5" w:rsidP="002F6D57">
    <w:pPr>
      <w:pStyle w:val="En-tte"/>
      <w:jc w:val="left"/>
    </w:pPr>
    <w:proofErr w:type="spellStart"/>
    <w:r>
      <w:t>Mucem</w:t>
    </w:r>
    <w:proofErr w:type="spellEnd"/>
    <w:r>
      <w:t xml:space="preserve"> – Marché subséquent – </w:t>
    </w:r>
    <w:r w:rsidRPr="004A0748">
      <w:t xml:space="preserve">CCP &amp; AE – </w:t>
    </w:r>
    <w:r w:rsidRPr="004A0748">
      <w:rPr>
        <w:b/>
      </w:rPr>
      <w:t>Logistique</w:t>
    </w:r>
    <w:r>
      <w:rPr>
        <w:b/>
      </w:rPr>
      <w:t xml:space="preserve"> d’objets et œuvres d’art de l’exposition « </w:t>
    </w:r>
    <w:r w:rsidRPr="00B61E77">
      <w:rPr>
        <w:b/>
      </w:rPr>
      <w:t>Mayotte</w:t>
    </w: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5469D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2A228B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52A91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17EDF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066D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6F65C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78175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64012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7846D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14874A2"/>
    <w:lvl w:ilvl="0">
      <w:start w:val="1"/>
      <w:numFmt w:val="bullet"/>
      <w:pStyle w:val="Listepuces"/>
      <w:lvlText w:val=""/>
      <w:lvlJc w:val="left"/>
      <w:pPr>
        <w:tabs>
          <w:tab w:val="num" w:pos="1211"/>
        </w:tabs>
        <w:ind w:left="1211" w:hanging="360"/>
      </w:pPr>
      <w:rPr>
        <w:rFonts w:ascii="Symbol" w:hAnsi="Symbol" w:hint="default"/>
      </w:rPr>
    </w:lvl>
  </w:abstractNum>
  <w:abstractNum w:abstractNumId="10" w15:restartNumberingAfterBreak="0">
    <w:nsid w:val="05DD2E91"/>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11"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A837DE4"/>
    <w:multiLevelType w:val="hybridMultilevel"/>
    <w:tmpl w:val="875AFB9A"/>
    <w:lvl w:ilvl="0" w:tplc="B184883A">
      <w:start w:val="1"/>
      <w:numFmt w:val="bullet"/>
      <w:pStyle w:val="Marchliste"/>
      <w:lvlText w:val="o"/>
      <w:lvlJc w:val="left"/>
      <w:pPr>
        <w:tabs>
          <w:tab w:val="num" w:pos="720"/>
        </w:tabs>
        <w:ind w:left="720" w:hanging="360"/>
      </w:pPr>
      <w:rPr>
        <w:rFonts w:ascii="Courier New" w:hAnsi="Courier New" w:cs="Courier New"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0B184C33"/>
    <w:multiLevelType w:val="hybridMultilevel"/>
    <w:tmpl w:val="AAF2708E"/>
    <w:lvl w:ilvl="0" w:tplc="AE8A94A2">
      <w:start w:val="2"/>
      <w:numFmt w:val="bullet"/>
      <w:lvlText w:val=""/>
      <w:lvlJc w:val="left"/>
      <w:pPr>
        <w:ind w:left="1080" w:hanging="360"/>
      </w:pPr>
      <w:rPr>
        <w:rFonts w:ascii="Wingdings" w:eastAsia="Calibri" w:hAnsi="Wingdings"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15" w15:restartNumberingAfterBreak="0">
    <w:nsid w:val="1ADD3D9B"/>
    <w:multiLevelType w:val="hybridMultilevel"/>
    <w:tmpl w:val="4B3235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EDB78B5"/>
    <w:multiLevelType w:val="hybridMultilevel"/>
    <w:tmpl w:val="77927FD8"/>
    <w:lvl w:ilvl="0" w:tplc="FFFFFFFF">
      <w:start w:val="1"/>
      <w:numFmt w:val="bullet"/>
      <w:lvlText w:val=""/>
      <w:lvlJc w:val="left"/>
      <w:pPr>
        <w:tabs>
          <w:tab w:val="num" w:pos="720"/>
        </w:tabs>
        <w:ind w:left="720" w:hanging="360"/>
      </w:pPr>
      <w:rPr>
        <w:rFonts w:ascii="Symbol" w:hAnsi="Symbol" w:hint="default"/>
      </w:rPr>
    </w:lvl>
    <w:lvl w:ilvl="1" w:tplc="FFFFFFFF">
      <w:start w:val="7"/>
      <w:numFmt w:val="bullet"/>
      <w:lvlText w:val="-"/>
      <w:lvlJc w:val="left"/>
      <w:pPr>
        <w:tabs>
          <w:tab w:val="num" w:pos="1440"/>
        </w:tabs>
        <w:ind w:left="1440" w:hanging="360"/>
      </w:pPr>
      <w:rPr>
        <w:rFonts w:ascii="Arial" w:eastAsia="Arial Unicode MS"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18"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20796A4B"/>
    <w:multiLevelType w:val="hybridMultilevel"/>
    <w:tmpl w:val="B144F62A"/>
    <w:lvl w:ilvl="0" w:tplc="2CFE9006">
      <w:numFmt w:val="bullet"/>
      <w:pStyle w:val="Listepuces2"/>
      <w:lvlText w:val="-"/>
      <w:lvlJc w:val="left"/>
      <w:pPr>
        <w:ind w:left="643" w:hanging="360"/>
      </w:pPr>
      <w:rPr>
        <w:rFonts w:ascii="Arial" w:eastAsia="Times New Roman" w:hAnsi="Arial" w:cs="Arial" w:hint="default"/>
      </w:rPr>
    </w:lvl>
    <w:lvl w:ilvl="1" w:tplc="040C0003">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0" w15:restartNumberingAfterBreak="0">
    <w:nsid w:val="31CC1916"/>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1" w15:restartNumberingAfterBreak="0">
    <w:nsid w:val="348C1175"/>
    <w:multiLevelType w:val="hybridMultilevel"/>
    <w:tmpl w:val="E2B0337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42B318FF"/>
    <w:multiLevelType w:val="hybridMultilevel"/>
    <w:tmpl w:val="103AD1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9175C5"/>
    <w:multiLevelType w:val="hybridMultilevel"/>
    <w:tmpl w:val="ADF06126"/>
    <w:lvl w:ilvl="0" w:tplc="B9D822C4">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52182D1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F3B15C5"/>
    <w:multiLevelType w:val="hybridMultilevel"/>
    <w:tmpl w:val="BD96B590"/>
    <w:lvl w:ilvl="0" w:tplc="040C0001">
      <w:start w:val="1"/>
      <w:numFmt w:val="bullet"/>
      <w:lvlText w:val=""/>
      <w:lvlJc w:val="left"/>
      <w:pPr>
        <w:ind w:left="2064" w:hanging="360"/>
      </w:pPr>
      <w:rPr>
        <w:rFonts w:ascii="Symbol" w:hAnsi="Symbol" w:hint="default"/>
      </w:rPr>
    </w:lvl>
    <w:lvl w:ilvl="1" w:tplc="040C0003" w:tentative="1">
      <w:start w:val="1"/>
      <w:numFmt w:val="bullet"/>
      <w:lvlText w:val="o"/>
      <w:lvlJc w:val="left"/>
      <w:pPr>
        <w:ind w:left="2784" w:hanging="360"/>
      </w:pPr>
      <w:rPr>
        <w:rFonts w:ascii="Courier New" w:hAnsi="Courier New" w:cs="Courier New" w:hint="default"/>
      </w:rPr>
    </w:lvl>
    <w:lvl w:ilvl="2" w:tplc="040C0005" w:tentative="1">
      <w:start w:val="1"/>
      <w:numFmt w:val="bullet"/>
      <w:lvlText w:val=""/>
      <w:lvlJc w:val="left"/>
      <w:pPr>
        <w:ind w:left="3504" w:hanging="360"/>
      </w:pPr>
      <w:rPr>
        <w:rFonts w:ascii="Wingdings" w:hAnsi="Wingdings" w:hint="default"/>
      </w:rPr>
    </w:lvl>
    <w:lvl w:ilvl="3" w:tplc="040C0001" w:tentative="1">
      <w:start w:val="1"/>
      <w:numFmt w:val="bullet"/>
      <w:lvlText w:val=""/>
      <w:lvlJc w:val="left"/>
      <w:pPr>
        <w:ind w:left="4224" w:hanging="360"/>
      </w:pPr>
      <w:rPr>
        <w:rFonts w:ascii="Symbol" w:hAnsi="Symbol" w:hint="default"/>
      </w:rPr>
    </w:lvl>
    <w:lvl w:ilvl="4" w:tplc="040C0003" w:tentative="1">
      <w:start w:val="1"/>
      <w:numFmt w:val="bullet"/>
      <w:lvlText w:val="o"/>
      <w:lvlJc w:val="left"/>
      <w:pPr>
        <w:ind w:left="4944" w:hanging="360"/>
      </w:pPr>
      <w:rPr>
        <w:rFonts w:ascii="Courier New" w:hAnsi="Courier New" w:cs="Courier New" w:hint="default"/>
      </w:rPr>
    </w:lvl>
    <w:lvl w:ilvl="5" w:tplc="040C0005" w:tentative="1">
      <w:start w:val="1"/>
      <w:numFmt w:val="bullet"/>
      <w:lvlText w:val=""/>
      <w:lvlJc w:val="left"/>
      <w:pPr>
        <w:ind w:left="5664" w:hanging="360"/>
      </w:pPr>
      <w:rPr>
        <w:rFonts w:ascii="Wingdings" w:hAnsi="Wingdings" w:hint="default"/>
      </w:rPr>
    </w:lvl>
    <w:lvl w:ilvl="6" w:tplc="040C0001" w:tentative="1">
      <w:start w:val="1"/>
      <w:numFmt w:val="bullet"/>
      <w:lvlText w:val=""/>
      <w:lvlJc w:val="left"/>
      <w:pPr>
        <w:ind w:left="6384" w:hanging="360"/>
      </w:pPr>
      <w:rPr>
        <w:rFonts w:ascii="Symbol" w:hAnsi="Symbol" w:hint="default"/>
      </w:rPr>
    </w:lvl>
    <w:lvl w:ilvl="7" w:tplc="040C0003" w:tentative="1">
      <w:start w:val="1"/>
      <w:numFmt w:val="bullet"/>
      <w:lvlText w:val="o"/>
      <w:lvlJc w:val="left"/>
      <w:pPr>
        <w:ind w:left="7104" w:hanging="360"/>
      </w:pPr>
      <w:rPr>
        <w:rFonts w:ascii="Courier New" w:hAnsi="Courier New" w:cs="Courier New" w:hint="default"/>
      </w:rPr>
    </w:lvl>
    <w:lvl w:ilvl="8" w:tplc="040C0005" w:tentative="1">
      <w:start w:val="1"/>
      <w:numFmt w:val="bullet"/>
      <w:lvlText w:val=""/>
      <w:lvlJc w:val="left"/>
      <w:pPr>
        <w:ind w:left="7824" w:hanging="360"/>
      </w:pPr>
      <w:rPr>
        <w:rFonts w:ascii="Wingdings" w:hAnsi="Wingdings" w:hint="default"/>
      </w:rPr>
    </w:lvl>
  </w:abstractNum>
  <w:abstractNum w:abstractNumId="26" w15:restartNumberingAfterBreak="0">
    <w:nsid w:val="647A76DA"/>
    <w:multiLevelType w:val="hybridMultilevel"/>
    <w:tmpl w:val="AF1AEA5A"/>
    <w:lvl w:ilvl="0" w:tplc="040C0001">
      <w:start w:val="1"/>
      <w:numFmt w:val="bullet"/>
      <w:lvlText w:val=""/>
      <w:lvlJc w:val="left"/>
      <w:pPr>
        <w:ind w:left="1485" w:hanging="360"/>
      </w:pPr>
      <w:rPr>
        <w:rFonts w:ascii="Symbol" w:hAnsi="Symbol"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27" w15:restartNumberingAfterBreak="0">
    <w:nsid w:val="65053488"/>
    <w:multiLevelType w:val="hybridMultilevel"/>
    <w:tmpl w:val="BF8E48B2"/>
    <w:lvl w:ilvl="0" w:tplc="D18446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57B7C9C"/>
    <w:multiLevelType w:val="hybridMultilevel"/>
    <w:tmpl w:val="83BAD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97C17E6"/>
    <w:multiLevelType w:val="hybridMultilevel"/>
    <w:tmpl w:val="F0F0ED5E"/>
    <w:lvl w:ilvl="0" w:tplc="B240B6AA">
      <w:start w:val="1"/>
      <w:numFmt w:val="bullet"/>
      <w:lvlText w:val="-"/>
      <w:lvlJc w:val="left"/>
      <w:pPr>
        <w:tabs>
          <w:tab w:val="num" w:pos="720"/>
        </w:tabs>
        <w:ind w:left="720" w:hanging="360"/>
      </w:pPr>
      <w:rPr>
        <w:rFonts w:ascii="Times New Roman" w:hAnsi="Times New Roman" w:hint="default"/>
      </w:rPr>
    </w:lvl>
    <w:lvl w:ilvl="1" w:tplc="1CCE4A36" w:tentative="1">
      <w:start w:val="1"/>
      <w:numFmt w:val="bullet"/>
      <w:lvlText w:val="-"/>
      <w:lvlJc w:val="left"/>
      <w:pPr>
        <w:tabs>
          <w:tab w:val="num" w:pos="1440"/>
        </w:tabs>
        <w:ind w:left="1440" w:hanging="360"/>
      </w:pPr>
      <w:rPr>
        <w:rFonts w:ascii="Times New Roman" w:hAnsi="Times New Roman" w:hint="default"/>
      </w:rPr>
    </w:lvl>
    <w:lvl w:ilvl="2" w:tplc="5D7AAD38" w:tentative="1">
      <w:start w:val="1"/>
      <w:numFmt w:val="bullet"/>
      <w:lvlText w:val="-"/>
      <w:lvlJc w:val="left"/>
      <w:pPr>
        <w:tabs>
          <w:tab w:val="num" w:pos="2160"/>
        </w:tabs>
        <w:ind w:left="2160" w:hanging="360"/>
      </w:pPr>
      <w:rPr>
        <w:rFonts w:ascii="Times New Roman" w:hAnsi="Times New Roman" w:hint="default"/>
      </w:rPr>
    </w:lvl>
    <w:lvl w:ilvl="3" w:tplc="D6A8671A" w:tentative="1">
      <w:start w:val="1"/>
      <w:numFmt w:val="bullet"/>
      <w:lvlText w:val="-"/>
      <w:lvlJc w:val="left"/>
      <w:pPr>
        <w:tabs>
          <w:tab w:val="num" w:pos="2880"/>
        </w:tabs>
        <w:ind w:left="2880" w:hanging="360"/>
      </w:pPr>
      <w:rPr>
        <w:rFonts w:ascii="Times New Roman" w:hAnsi="Times New Roman" w:hint="default"/>
      </w:rPr>
    </w:lvl>
    <w:lvl w:ilvl="4" w:tplc="ACDA95DC" w:tentative="1">
      <w:start w:val="1"/>
      <w:numFmt w:val="bullet"/>
      <w:lvlText w:val="-"/>
      <w:lvlJc w:val="left"/>
      <w:pPr>
        <w:tabs>
          <w:tab w:val="num" w:pos="3600"/>
        </w:tabs>
        <w:ind w:left="3600" w:hanging="360"/>
      </w:pPr>
      <w:rPr>
        <w:rFonts w:ascii="Times New Roman" w:hAnsi="Times New Roman" w:hint="default"/>
      </w:rPr>
    </w:lvl>
    <w:lvl w:ilvl="5" w:tplc="B1A0E1FE" w:tentative="1">
      <w:start w:val="1"/>
      <w:numFmt w:val="bullet"/>
      <w:lvlText w:val="-"/>
      <w:lvlJc w:val="left"/>
      <w:pPr>
        <w:tabs>
          <w:tab w:val="num" w:pos="4320"/>
        </w:tabs>
        <w:ind w:left="4320" w:hanging="360"/>
      </w:pPr>
      <w:rPr>
        <w:rFonts w:ascii="Times New Roman" w:hAnsi="Times New Roman" w:hint="default"/>
      </w:rPr>
    </w:lvl>
    <w:lvl w:ilvl="6" w:tplc="8E283C0A" w:tentative="1">
      <w:start w:val="1"/>
      <w:numFmt w:val="bullet"/>
      <w:lvlText w:val="-"/>
      <w:lvlJc w:val="left"/>
      <w:pPr>
        <w:tabs>
          <w:tab w:val="num" w:pos="5040"/>
        </w:tabs>
        <w:ind w:left="5040" w:hanging="360"/>
      </w:pPr>
      <w:rPr>
        <w:rFonts w:ascii="Times New Roman" w:hAnsi="Times New Roman" w:hint="default"/>
      </w:rPr>
    </w:lvl>
    <w:lvl w:ilvl="7" w:tplc="A6A69CBE" w:tentative="1">
      <w:start w:val="1"/>
      <w:numFmt w:val="bullet"/>
      <w:lvlText w:val="-"/>
      <w:lvlJc w:val="left"/>
      <w:pPr>
        <w:tabs>
          <w:tab w:val="num" w:pos="5760"/>
        </w:tabs>
        <w:ind w:left="5760" w:hanging="360"/>
      </w:pPr>
      <w:rPr>
        <w:rFonts w:ascii="Times New Roman" w:hAnsi="Times New Roman" w:hint="default"/>
      </w:rPr>
    </w:lvl>
    <w:lvl w:ilvl="8" w:tplc="B2C8116E"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6B99125B"/>
    <w:multiLevelType w:val="hybridMultilevel"/>
    <w:tmpl w:val="D3FC0C46"/>
    <w:lvl w:ilvl="0" w:tplc="2E6403D4">
      <w:start w:val="1"/>
      <w:numFmt w:val="ordinalText"/>
      <w:pStyle w:val="TITRE"/>
      <w:lvlText w:val="TITRE %1."/>
      <w:lvlJc w:val="left"/>
      <w:pPr>
        <w:ind w:left="36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C210E7E"/>
    <w:multiLevelType w:val="multilevel"/>
    <w:tmpl w:val="FF54F710"/>
    <w:lvl w:ilvl="0">
      <w:start w:val="1"/>
      <w:numFmt w:val="decimal"/>
      <w:pStyle w:val="Titre1"/>
      <w:suff w:val="space"/>
      <w:lvlText w:val="Article %1  "/>
      <w:lvlJc w:val="left"/>
      <w:pPr>
        <w:ind w:left="9498" w:firstLine="0"/>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2978"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1277" w:firstLine="0"/>
      </w:pPr>
      <w:rPr>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993" w:firstLine="0"/>
      </w:pPr>
      <w:rPr>
        <w:rFonts w:hint="default"/>
      </w:rPr>
    </w:lvl>
    <w:lvl w:ilvl="4">
      <w:start w:val="1"/>
      <w:numFmt w:val="decimal"/>
      <w:lvlText w:val="%1.%2.%3.%4.%5."/>
      <w:lvlJc w:val="left"/>
      <w:pPr>
        <w:tabs>
          <w:tab w:val="num" w:pos="993"/>
        </w:tabs>
        <w:ind w:left="4533" w:hanging="708"/>
      </w:pPr>
      <w:rPr>
        <w:rFonts w:hint="default"/>
      </w:rPr>
    </w:lvl>
    <w:lvl w:ilvl="5">
      <w:start w:val="1"/>
      <w:numFmt w:val="decimal"/>
      <w:lvlText w:val="%1.%2.%3.%4.%5.%6."/>
      <w:lvlJc w:val="left"/>
      <w:pPr>
        <w:tabs>
          <w:tab w:val="num" w:pos="993"/>
        </w:tabs>
        <w:ind w:left="5241" w:hanging="708"/>
      </w:pPr>
      <w:rPr>
        <w:rFonts w:hint="default"/>
      </w:rPr>
    </w:lvl>
    <w:lvl w:ilvl="6">
      <w:start w:val="1"/>
      <w:numFmt w:val="decimal"/>
      <w:lvlText w:val="%1.%2.%3.%4.%5.%6.%7."/>
      <w:lvlJc w:val="left"/>
      <w:pPr>
        <w:tabs>
          <w:tab w:val="num" w:pos="993"/>
        </w:tabs>
        <w:ind w:left="5949" w:hanging="708"/>
      </w:pPr>
      <w:rPr>
        <w:rFonts w:hint="default"/>
      </w:rPr>
    </w:lvl>
    <w:lvl w:ilvl="7">
      <w:start w:val="1"/>
      <w:numFmt w:val="decimal"/>
      <w:lvlText w:val="%1.%2.%3.%4.%5.%6.%7.%8."/>
      <w:lvlJc w:val="left"/>
      <w:pPr>
        <w:tabs>
          <w:tab w:val="num" w:pos="993"/>
        </w:tabs>
        <w:ind w:left="6657" w:hanging="708"/>
      </w:pPr>
      <w:rPr>
        <w:rFonts w:hint="default"/>
      </w:rPr>
    </w:lvl>
    <w:lvl w:ilvl="8">
      <w:start w:val="1"/>
      <w:numFmt w:val="decimal"/>
      <w:lvlText w:val="%1.%2.%3.%4.%5.%6.%7.%8.%9."/>
      <w:lvlJc w:val="left"/>
      <w:pPr>
        <w:tabs>
          <w:tab w:val="num" w:pos="993"/>
        </w:tabs>
        <w:ind w:left="7365" w:hanging="708"/>
      </w:pPr>
      <w:rPr>
        <w:rFonts w:hint="default"/>
      </w:rPr>
    </w:lvl>
  </w:abstractNum>
  <w:abstractNum w:abstractNumId="32" w15:restartNumberingAfterBreak="0">
    <w:nsid w:val="6DE246A0"/>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33" w15:restartNumberingAfterBreak="0">
    <w:nsid w:val="743E4DAC"/>
    <w:multiLevelType w:val="hybridMultilevel"/>
    <w:tmpl w:val="FFE8F5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87E4A74"/>
    <w:multiLevelType w:val="hybridMultilevel"/>
    <w:tmpl w:val="C818BF0C"/>
    <w:lvl w:ilvl="0" w:tplc="FFFFFFFF">
      <w:start w:val="1"/>
      <w:numFmt w:val="bullet"/>
      <w:lvlText w:val="-"/>
      <w:lvlJc w:val="left"/>
      <w:pPr>
        <w:tabs>
          <w:tab w:val="num" w:pos="720"/>
        </w:tabs>
        <w:ind w:left="720" w:hanging="360"/>
      </w:pPr>
      <w:rPr>
        <w:rFonts w:ascii="Arial Narrow" w:eastAsia="Times New Roman" w:hAnsi="Arial Narro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3"/>
  </w:num>
  <w:num w:numId="3">
    <w:abstractNumId w:val="14"/>
  </w:num>
  <w:num w:numId="4">
    <w:abstractNumId w:val="31"/>
  </w:num>
  <w:num w:numId="5">
    <w:abstractNumId w:val="17"/>
  </w:num>
  <w:num w:numId="6">
    <w:abstractNumId w:val="9"/>
  </w:num>
  <w:num w:numId="7">
    <w:abstractNumId w:val="19"/>
  </w:num>
  <w:num w:numId="8">
    <w:abstractNumId w:val="10"/>
  </w:num>
  <w:num w:numId="9">
    <w:abstractNumId w:val="18"/>
  </w:num>
  <w:num w:numId="10">
    <w:abstractNumId w:val="20"/>
  </w:num>
  <w:num w:numId="11">
    <w:abstractNumId w:val="32"/>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33"/>
  </w:num>
  <w:num w:numId="15">
    <w:abstractNumId w:val="16"/>
  </w:num>
  <w:num w:numId="16">
    <w:abstractNumId w:val="24"/>
  </w:num>
  <w:num w:numId="17">
    <w:abstractNumId w:val="30"/>
  </w:num>
  <w:num w:numId="18">
    <w:abstractNumId w:val="8"/>
  </w:num>
  <w:num w:numId="19">
    <w:abstractNumId w:val="3"/>
  </w:num>
  <w:num w:numId="20">
    <w:abstractNumId w:val="2"/>
  </w:num>
  <w:num w:numId="21">
    <w:abstractNumId w:val="1"/>
  </w:num>
  <w:num w:numId="22">
    <w:abstractNumId w:val="0"/>
  </w:num>
  <w:num w:numId="23">
    <w:abstractNumId w:val="6"/>
  </w:num>
  <w:num w:numId="24">
    <w:abstractNumId w:val="5"/>
  </w:num>
  <w:num w:numId="25">
    <w:abstractNumId w:val="4"/>
  </w:num>
  <w:num w:numId="26">
    <w:abstractNumId w:val="11"/>
  </w:num>
  <w:num w:numId="27">
    <w:abstractNumId w:val="27"/>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21"/>
  </w:num>
  <w:num w:numId="36">
    <w:abstractNumId w:val="26"/>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13"/>
  </w:num>
  <w:num w:numId="41">
    <w:abstractNumId w:val="15"/>
  </w:num>
  <w:num w:numId="42">
    <w:abstractNumId w:val="25"/>
  </w:num>
  <w:num w:numId="43">
    <w:abstractNumId w:val="9"/>
  </w:num>
  <w:num w:numId="44">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9B9"/>
    <w:rsid w:val="00001073"/>
    <w:rsid w:val="000029C5"/>
    <w:rsid w:val="000041B7"/>
    <w:rsid w:val="00005B43"/>
    <w:rsid w:val="00006987"/>
    <w:rsid w:val="00007BAE"/>
    <w:rsid w:val="00010CEB"/>
    <w:rsid w:val="000113A7"/>
    <w:rsid w:val="00014FE2"/>
    <w:rsid w:val="00016257"/>
    <w:rsid w:val="0001715E"/>
    <w:rsid w:val="000252A0"/>
    <w:rsid w:val="00026108"/>
    <w:rsid w:val="000313C1"/>
    <w:rsid w:val="00040917"/>
    <w:rsid w:val="00041B96"/>
    <w:rsid w:val="00047F14"/>
    <w:rsid w:val="00050B2B"/>
    <w:rsid w:val="000557AD"/>
    <w:rsid w:val="00057B75"/>
    <w:rsid w:val="000608FB"/>
    <w:rsid w:val="000622DA"/>
    <w:rsid w:val="00062D32"/>
    <w:rsid w:val="00064D33"/>
    <w:rsid w:val="00066D41"/>
    <w:rsid w:val="000716D4"/>
    <w:rsid w:val="00074F22"/>
    <w:rsid w:val="00076EEF"/>
    <w:rsid w:val="000802C6"/>
    <w:rsid w:val="0008101F"/>
    <w:rsid w:val="000817ED"/>
    <w:rsid w:val="00084514"/>
    <w:rsid w:val="000862E0"/>
    <w:rsid w:val="00087019"/>
    <w:rsid w:val="00087613"/>
    <w:rsid w:val="00090E92"/>
    <w:rsid w:val="000912CB"/>
    <w:rsid w:val="00096B30"/>
    <w:rsid w:val="000A1794"/>
    <w:rsid w:val="000A311F"/>
    <w:rsid w:val="000A5DA8"/>
    <w:rsid w:val="000A6E71"/>
    <w:rsid w:val="000A7911"/>
    <w:rsid w:val="000C105E"/>
    <w:rsid w:val="000C446A"/>
    <w:rsid w:val="000C5A7A"/>
    <w:rsid w:val="000C706D"/>
    <w:rsid w:val="000D1870"/>
    <w:rsid w:val="000D1D25"/>
    <w:rsid w:val="000D2945"/>
    <w:rsid w:val="000D2B8D"/>
    <w:rsid w:val="000D4DD0"/>
    <w:rsid w:val="000D52B8"/>
    <w:rsid w:val="000D587B"/>
    <w:rsid w:val="000E0627"/>
    <w:rsid w:val="000E0817"/>
    <w:rsid w:val="000E2D67"/>
    <w:rsid w:val="000E3A72"/>
    <w:rsid w:val="000E4E97"/>
    <w:rsid w:val="000E5B80"/>
    <w:rsid w:val="000E5ED8"/>
    <w:rsid w:val="000E6A79"/>
    <w:rsid w:val="000E6F68"/>
    <w:rsid w:val="000E71D3"/>
    <w:rsid w:val="000F00B0"/>
    <w:rsid w:val="000F0A29"/>
    <w:rsid w:val="000F23DA"/>
    <w:rsid w:val="000F2D4A"/>
    <w:rsid w:val="000F3F22"/>
    <w:rsid w:val="000F438E"/>
    <w:rsid w:val="000F533A"/>
    <w:rsid w:val="000F5C12"/>
    <w:rsid w:val="000F5FDA"/>
    <w:rsid w:val="00103A82"/>
    <w:rsid w:val="0011062E"/>
    <w:rsid w:val="001114F4"/>
    <w:rsid w:val="00112923"/>
    <w:rsid w:val="00113A7B"/>
    <w:rsid w:val="00117D46"/>
    <w:rsid w:val="00120309"/>
    <w:rsid w:val="0012048C"/>
    <w:rsid w:val="001213ED"/>
    <w:rsid w:val="00125A75"/>
    <w:rsid w:val="00127D83"/>
    <w:rsid w:val="0013031E"/>
    <w:rsid w:val="001306AC"/>
    <w:rsid w:val="00131A45"/>
    <w:rsid w:val="001330E1"/>
    <w:rsid w:val="00133E85"/>
    <w:rsid w:val="001347D2"/>
    <w:rsid w:val="00135BB7"/>
    <w:rsid w:val="00137872"/>
    <w:rsid w:val="0014206D"/>
    <w:rsid w:val="00142A8D"/>
    <w:rsid w:val="001432A8"/>
    <w:rsid w:val="001432B3"/>
    <w:rsid w:val="001439D5"/>
    <w:rsid w:val="00145CE8"/>
    <w:rsid w:val="00145CF1"/>
    <w:rsid w:val="00146D6E"/>
    <w:rsid w:val="00150916"/>
    <w:rsid w:val="00155BCA"/>
    <w:rsid w:val="0015799C"/>
    <w:rsid w:val="001606F1"/>
    <w:rsid w:val="00163260"/>
    <w:rsid w:val="00166688"/>
    <w:rsid w:val="00167BCA"/>
    <w:rsid w:val="001711A2"/>
    <w:rsid w:val="00173EFC"/>
    <w:rsid w:val="0017472F"/>
    <w:rsid w:val="001762AA"/>
    <w:rsid w:val="00182425"/>
    <w:rsid w:val="001824A9"/>
    <w:rsid w:val="00184C8E"/>
    <w:rsid w:val="00185499"/>
    <w:rsid w:val="00185792"/>
    <w:rsid w:val="001873F2"/>
    <w:rsid w:val="001916DA"/>
    <w:rsid w:val="00191748"/>
    <w:rsid w:val="00192238"/>
    <w:rsid w:val="0019475A"/>
    <w:rsid w:val="00197D0E"/>
    <w:rsid w:val="001A4816"/>
    <w:rsid w:val="001A5DF7"/>
    <w:rsid w:val="001A6E19"/>
    <w:rsid w:val="001B39FF"/>
    <w:rsid w:val="001B3BE2"/>
    <w:rsid w:val="001B4BF9"/>
    <w:rsid w:val="001B5315"/>
    <w:rsid w:val="001B639B"/>
    <w:rsid w:val="001C51E6"/>
    <w:rsid w:val="001C5449"/>
    <w:rsid w:val="001C70DE"/>
    <w:rsid w:val="001D0750"/>
    <w:rsid w:val="001D1E19"/>
    <w:rsid w:val="001D31A4"/>
    <w:rsid w:val="001D394C"/>
    <w:rsid w:val="001D4CA9"/>
    <w:rsid w:val="001D4CF8"/>
    <w:rsid w:val="001D4FB7"/>
    <w:rsid w:val="001D53C0"/>
    <w:rsid w:val="001E24B1"/>
    <w:rsid w:val="001E4E42"/>
    <w:rsid w:val="001E500B"/>
    <w:rsid w:val="001E5360"/>
    <w:rsid w:val="001E67F4"/>
    <w:rsid w:val="001F0507"/>
    <w:rsid w:val="001F09E5"/>
    <w:rsid w:val="001F2233"/>
    <w:rsid w:val="001F46DB"/>
    <w:rsid w:val="001F759A"/>
    <w:rsid w:val="001F77C4"/>
    <w:rsid w:val="00202F2D"/>
    <w:rsid w:val="002038EE"/>
    <w:rsid w:val="002054F0"/>
    <w:rsid w:val="002169FC"/>
    <w:rsid w:val="00217BD4"/>
    <w:rsid w:val="00222613"/>
    <w:rsid w:val="00224122"/>
    <w:rsid w:val="0022413E"/>
    <w:rsid w:val="0022567C"/>
    <w:rsid w:val="00226A2B"/>
    <w:rsid w:val="002271E8"/>
    <w:rsid w:val="002331F5"/>
    <w:rsid w:val="00235123"/>
    <w:rsid w:val="00240FD6"/>
    <w:rsid w:val="0024327D"/>
    <w:rsid w:val="0024484C"/>
    <w:rsid w:val="00244D5C"/>
    <w:rsid w:val="00245E2D"/>
    <w:rsid w:val="00250A70"/>
    <w:rsid w:val="00251026"/>
    <w:rsid w:val="00253662"/>
    <w:rsid w:val="00254443"/>
    <w:rsid w:val="002547FA"/>
    <w:rsid w:val="00255921"/>
    <w:rsid w:val="00260A3B"/>
    <w:rsid w:val="00260FB6"/>
    <w:rsid w:val="00261408"/>
    <w:rsid w:val="0026269F"/>
    <w:rsid w:val="00262A46"/>
    <w:rsid w:val="0027307C"/>
    <w:rsid w:val="00276205"/>
    <w:rsid w:val="00276AB5"/>
    <w:rsid w:val="00280547"/>
    <w:rsid w:val="0028167E"/>
    <w:rsid w:val="00284AD2"/>
    <w:rsid w:val="00285759"/>
    <w:rsid w:val="00286B4A"/>
    <w:rsid w:val="002916BC"/>
    <w:rsid w:val="0029361A"/>
    <w:rsid w:val="00293F65"/>
    <w:rsid w:val="0029480D"/>
    <w:rsid w:val="00295573"/>
    <w:rsid w:val="002958E7"/>
    <w:rsid w:val="002961D4"/>
    <w:rsid w:val="002A0D3F"/>
    <w:rsid w:val="002A308C"/>
    <w:rsid w:val="002A41EE"/>
    <w:rsid w:val="002A42DF"/>
    <w:rsid w:val="002A51FF"/>
    <w:rsid w:val="002A70EB"/>
    <w:rsid w:val="002A7BB0"/>
    <w:rsid w:val="002B0058"/>
    <w:rsid w:val="002B627E"/>
    <w:rsid w:val="002B6286"/>
    <w:rsid w:val="002B6FCC"/>
    <w:rsid w:val="002B7E46"/>
    <w:rsid w:val="002C6AB2"/>
    <w:rsid w:val="002D0136"/>
    <w:rsid w:val="002D0EE0"/>
    <w:rsid w:val="002E06E3"/>
    <w:rsid w:val="002E4AC5"/>
    <w:rsid w:val="002F3FFE"/>
    <w:rsid w:val="002F5C7B"/>
    <w:rsid w:val="002F6398"/>
    <w:rsid w:val="002F6D57"/>
    <w:rsid w:val="003000D8"/>
    <w:rsid w:val="00302A82"/>
    <w:rsid w:val="0030440A"/>
    <w:rsid w:val="003047E4"/>
    <w:rsid w:val="00304E7C"/>
    <w:rsid w:val="00305976"/>
    <w:rsid w:val="00307CBE"/>
    <w:rsid w:val="00310F21"/>
    <w:rsid w:val="00311705"/>
    <w:rsid w:val="003127CF"/>
    <w:rsid w:val="00320744"/>
    <w:rsid w:val="003230F0"/>
    <w:rsid w:val="00325F60"/>
    <w:rsid w:val="003265CB"/>
    <w:rsid w:val="0033005F"/>
    <w:rsid w:val="00335008"/>
    <w:rsid w:val="00340D1E"/>
    <w:rsid w:val="00341C7C"/>
    <w:rsid w:val="003435AF"/>
    <w:rsid w:val="003436DF"/>
    <w:rsid w:val="003452FF"/>
    <w:rsid w:val="00346AD6"/>
    <w:rsid w:val="00346D11"/>
    <w:rsid w:val="003502EE"/>
    <w:rsid w:val="003510A8"/>
    <w:rsid w:val="00352727"/>
    <w:rsid w:val="003559AE"/>
    <w:rsid w:val="003638A8"/>
    <w:rsid w:val="00364BFF"/>
    <w:rsid w:val="003655B5"/>
    <w:rsid w:val="0036609B"/>
    <w:rsid w:val="0037029E"/>
    <w:rsid w:val="003706B6"/>
    <w:rsid w:val="003728D6"/>
    <w:rsid w:val="00372EF0"/>
    <w:rsid w:val="00373141"/>
    <w:rsid w:val="003747FA"/>
    <w:rsid w:val="0037521A"/>
    <w:rsid w:val="00376488"/>
    <w:rsid w:val="00380D2D"/>
    <w:rsid w:val="00382074"/>
    <w:rsid w:val="00384F8E"/>
    <w:rsid w:val="0038650A"/>
    <w:rsid w:val="00390F62"/>
    <w:rsid w:val="00391C33"/>
    <w:rsid w:val="0039269D"/>
    <w:rsid w:val="00392FC7"/>
    <w:rsid w:val="003930AE"/>
    <w:rsid w:val="003930C6"/>
    <w:rsid w:val="00394FA0"/>
    <w:rsid w:val="003A0A9D"/>
    <w:rsid w:val="003A2847"/>
    <w:rsid w:val="003A3013"/>
    <w:rsid w:val="003A48DE"/>
    <w:rsid w:val="003A7979"/>
    <w:rsid w:val="003B036D"/>
    <w:rsid w:val="003B1A17"/>
    <w:rsid w:val="003B1A76"/>
    <w:rsid w:val="003B6DDF"/>
    <w:rsid w:val="003B7288"/>
    <w:rsid w:val="003C0A2B"/>
    <w:rsid w:val="003C11B1"/>
    <w:rsid w:val="003C1A21"/>
    <w:rsid w:val="003C33B5"/>
    <w:rsid w:val="003C6C9C"/>
    <w:rsid w:val="003D2824"/>
    <w:rsid w:val="003D3FC3"/>
    <w:rsid w:val="003D47CD"/>
    <w:rsid w:val="003D4F1D"/>
    <w:rsid w:val="003D713F"/>
    <w:rsid w:val="003E060A"/>
    <w:rsid w:val="003E165A"/>
    <w:rsid w:val="003E240F"/>
    <w:rsid w:val="003E267C"/>
    <w:rsid w:val="003E28F6"/>
    <w:rsid w:val="003E4CBC"/>
    <w:rsid w:val="003F2A17"/>
    <w:rsid w:val="003F3207"/>
    <w:rsid w:val="003F3C6F"/>
    <w:rsid w:val="003F7CBD"/>
    <w:rsid w:val="004017A1"/>
    <w:rsid w:val="00402763"/>
    <w:rsid w:val="004038FF"/>
    <w:rsid w:val="004052BC"/>
    <w:rsid w:val="00407C3E"/>
    <w:rsid w:val="00411C93"/>
    <w:rsid w:val="00411D10"/>
    <w:rsid w:val="00412DA3"/>
    <w:rsid w:val="00413008"/>
    <w:rsid w:val="0041391A"/>
    <w:rsid w:val="00414A1E"/>
    <w:rsid w:val="004205B8"/>
    <w:rsid w:val="00420AA6"/>
    <w:rsid w:val="00420FCB"/>
    <w:rsid w:val="00421A6D"/>
    <w:rsid w:val="0042271A"/>
    <w:rsid w:val="00422D2B"/>
    <w:rsid w:val="00422E7A"/>
    <w:rsid w:val="004256AD"/>
    <w:rsid w:val="00427FEB"/>
    <w:rsid w:val="004345E3"/>
    <w:rsid w:val="00434C4F"/>
    <w:rsid w:val="004370CE"/>
    <w:rsid w:val="00442AD4"/>
    <w:rsid w:val="00442FCC"/>
    <w:rsid w:val="004439A8"/>
    <w:rsid w:val="00444BEE"/>
    <w:rsid w:val="004452FB"/>
    <w:rsid w:val="00446530"/>
    <w:rsid w:val="004472F6"/>
    <w:rsid w:val="00451167"/>
    <w:rsid w:val="004538CF"/>
    <w:rsid w:val="004573D4"/>
    <w:rsid w:val="004601C2"/>
    <w:rsid w:val="00460CE0"/>
    <w:rsid w:val="0046164E"/>
    <w:rsid w:val="00461E86"/>
    <w:rsid w:val="00462A3F"/>
    <w:rsid w:val="004651F9"/>
    <w:rsid w:val="004671E9"/>
    <w:rsid w:val="00470317"/>
    <w:rsid w:val="00471C4B"/>
    <w:rsid w:val="00477484"/>
    <w:rsid w:val="00480D1C"/>
    <w:rsid w:val="00481258"/>
    <w:rsid w:val="00481820"/>
    <w:rsid w:val="004853A0"/>
    <w:rsid w:val="00490280"/>
    <w:rsid w:val="00494AB1"/>
    <w:rsid w:val="004A0748"/>
    <w:rsid w:val="004A15BC"/>
    <w:rsid w:val="004A3C54"/>
    <w:rsid w:val="004A427F"/>
    <w:rsid w:val="004B34E4"/>
    <w:rsid w:val="004B3962"/>
    <w:rsid w:val="004B6BB4"/>
    <w:rsid w:val="004B7CF3"/>
    <w:rsid w:val="004C2EEA"/>
    <w:rsid w:val="004C3D5E"/>
    <w:rsid w:val="004C5FA4"/>
    <w:rsid w:val="004C6891"/>
    <w:rsid w:val="004C6EEC"/>
    <w:rsid w:val="004C72C3"/>
    <w:rsid w:val="004D0C8D"/>
    <w:rsid w:val="004D3CB4"/>
    <w:rsid w:val="004D53F4"/>
    <w:rsid w:val="004D6DFD"/>
    <w:rsid w:val="004D7F5D"/>
    <w:rsid w:val="004E1B4C"/>
    <w:rsid w:val="004E1D53"/>
    <w:rsid w:val="004E44C2"/>
    <w:rsid w:val="004E50AC"/>
    <w:rsid w:val="004E578F"/>
    <w:rsid w:val="004E63F7"/>
    <w:rsid w:val="004E665B"/>
    <w:rsid w:val="004E676A"/>
    <w:rsid w:val="004E6F4E"/>
    <w:rsid w:val="004E7AE5"/>
    <w:rsid w:val="004F0873"/>
    <w:rsid w:val="004F0D33"/>
    <w:rsid w:val="004F1095"/>
    <w:rsid w:val="004F42A0"/>
    <w:rsid w:val="004F5EAD"/>
    <w:rsid w:val="005006D3"/>
    <w:rsid w:val="00502D28"/>
    <w:rsid w:val="00503508"/>
    <w:rsid w:val="00505193"/>
    <w:rsid w:val="00505625"/>
    <w:rsid w:val="00510FB1"/>
    <w:rsid w:val="005117A8"/>
    <w:rsid w:val="00511AFE"/>
    <w:rsid w:val="005140C5"/>
    <w:rsid w:val="00514697"/>
    <w:rsid w:val="005146DD"/>
    <w:rsid w:val="00516458"/>
    <w:rsid w:val="0051659E"/>
    <w:rsid w:val="00520B8A"/>
    <w:rsid w:val="00523872"/>
    <w:rsid w:val="005239C6"/>
    <w:rsid w:val="005246F3"/>
    <w:rsid w:val="00525AAF"/>
    <w:rsid w:val="00526335"/>
    <w:rsid w:val="005263F8"/>
    <w:rsid w:val="00531EB4"/>
    <w:rsid w:val="005356B3"/>
    <w:rsid w:val="00535D21"/>
    <w:rsid w:val="0053781D"/>
    <w:rsid w:val="00537D05"/>
    <w:rsid w:val="00537D4B"/>
    <w:rsid w:val="0054317D"/>
    <w:rsid w:val="00543AE0"/>
    <w:rsid w:val="00543C0A"/>
    <w:rsid w:val="005454D8"/>
    <w:rsid w:val="00546E33"/>
    <w:rsid w:val="005470BB"/>
    <w:rsid w:val="00547B0E"/>
    <w:rsid w:val="005513E7"/>
    <w:rsid w:val="005552A6"/>
    <w:rsid w:val="00560E17"/>
    <w:rsid w:val="005614D8"/>
    <w:rsid w:val="00562989"/>
    <w:rsid w:val="005638F1"/>
    <w:rsid w:val="00563B29"/>
    <w:rsid w:val="00563DCB"/>
    <w:rsid w:val="00566713"/>
    <w:rsid w:val="0057224A"/>
    <w:rsid w:val="00573D02"/>
    <w:rsid w:val="00576CD6"/>
    <w:rsid w:val="00576EAF"/>
    <w:rsid w:val="005815CF"/>
    <w:rsid w:val="00584DCD"/>
    <w:rsid w:val="00585D89"/>
    <w:rsid w:val="00586CAC"/>
    <w:rsid w:val="00587046"/>
    <w:rsid w:val="0059141E"/>
    <w:rsid w:val="00591BEF"/>
    <w:rsid w:val="00593ABF"/>
    <w:rsid w:val="00593C3A"/>
    <w:rsid w:val="00595053"/>
    <w:rsid w:val="0059540B"/>
    <w:rsid w:val="005A1754"/>
    <w:rsid w:val="005A4997"/>
    <w:rsid w:val="005A78C7"/>
    <w:rsid w:val="005B1BF3"/>
    <w:rsid w:val="005B21B8"/>
    <w:rsid w:val="005B2D65"/>
    <w:rsid w:val="005B3A64"/>
    <w:rsid w:val="005B4E1A"/>
    <w:rsid w:val="005B527A"/>
    <w:rsid w:val="005B6E3B"/>
    <w:rsid w:val="005B72BF"/>
    <w:rsid w:val="005B7874"/>
    <w:rsid w:val="005B7A87"/>
    <w:rsid w:val="005C0FC4"/>
    <w:rsid w:val="005C2796"/>
    <w:rsid w:val="005C47B8"/>
    <w:rsid w:val="005C5BDB"/>
    <w:rsid w:val="005C772D"/>
    <w:rsid w:val="005C791F"/>
    <w:rsid w:val="005D0A2E"/>
    <w:rsid w:val="005D1B48"/>
    <w:rsid w:val="005D4EFD"/>
    <w:rsid w:val="005D516E"/>
    <w:rsid w:val="005D598D"/>
    <w:rsid w:val="005D5D60"/>
    <w:rsid w:val="005D7740"/>
    <w:rsid w:val="005D7D72"/>
    <w:rsid w:val="005E18C5"/>
    <w:rsid w:val="005E2018"/>
    <w:rsid w:val="005F00A4"/>
    <w:rsid w:val="005F17A4"/>
    <w:rsid w:val="005F1B91"/>
    <w:rsid w:val="005F21AE"/>
    <w:rsid w:val="005F2E86"/>
    <w:rsid w:val="005F6340"/>
    <w:rsid w:val="005F7A14"/>
    <w:rsid w:val="005F7E53"/>
    <w:rsid w:val="0060172F"/>
    <w:rsid w:val="00604401"/>
    <w:rsid w:val="00606973"/>
    <w:rsid w:val="00607719"/>
    <w:rsid w:val="00607E1D"/>
    <w:rsid w:val="0061098E"/>
    <w:rsid w:val="0061189E"/>
    <w:rsid w:val="00614C3E"/>
    <w:rsid w:val="00615360"/>
    <w:rsid w:val="006210D6"/>
    <w:rsid w:val="00624B1C"/>
    <w:rsid w:val="00624C97"/>
    <w:rsid w:val="00624FFB"/>
    <w:rsid w:val="00626A7A"/>
    <w:rsid w:val="00627387"/>
    <w:rsid w:val="00631C84"/>
    <w:rsid w:val="00632CB5"/>
    <w:rsid w:val="00633304"/>
    <w:rsid w:val="006379E6"/>
    <w:rsid w:val="00641B55"/>
    <w:rsid w:val="00643B0C"/>
    <w:rsid w:val="00644DED"/>
    <w:rsid w:val="00645063"/>
    <w:rsid w:val="00652294"/>
    <w:rsid w:val="00652E1A"/>
    <w:rsid w:val="00653435"/>
    <w:rsid w:val="00660BFA"/>
    <w:rsid w:val="006629B9"/>
    <w:rsid w:val="00664089"/>
    <w:rsid w:val="006647F4"/>
    <w:rsid w:val="0067172E"/>
    <w:rsid w:val="00676BD7"/>
    <w:rsid w:val="0068051F"/>
    <w:rsid w:val="0068511D"/>
    <w:rsid w:val="0069033E"/>
    <w:rsid w:val="00691508"/>
    <w:rsid w:val="00692A9C"/>
    <w:rsid w:val="00692F09"/>
    <w:rsid w:val="0069733A"/>
    <w:rsid w:val="006A293C"/>
    <w:rsid w:val="006A3802"/>
    <w:rsid w:val="006A53B2"/>
    <w:rsid w:val="006A62CC"/>
    <w:rsid w:val="006A65DF"/>
    <w:rsid w:val="006A78AC"/>
    <w:rsid w:val="006A7DB2"/>
    <w:rsid w:val="006B0708"/>
    <w:rsid w:val="006B33A3"/>
    <w:rsid w:val="006C48ED"/>
    <w:rsid w:val="006C4CD1"/>
    <w:rsid w:val="006D1441"/>
    <w:rsid w:val="006D15B8"/>
    <w:rsid w:val="006D287A"/>
    <w:rsid w:val="006D469F"/>
    <w:rsid w:val="006D648B"/>
    <w:rsid w:val="006D6F40"/>
    <w:rsid w:val="006D79CC"/>
    <w:rsid w:val="006E19C9"/>
    <w:rsid w:val="006E2AAF"/>
    <w:rsid w:val="006E42F3"/>
    <w:rsid w:val="006E4585"/>
    <w:rsid w:val="006E77A4"/>
    <w:rsid w:val="006E78BA"/>
    <w:rsid w:val="006E79B2"/>
    <w:rsid w:val="006F0769"/>
    <w:rsid w:val="006F3EA5"/>
    <w:rsid w:val="00703DAA"/>
    <w:rsid w:val="00704015"/>
    <w:rsid w:val="00704381"/>
    <w:rsid w:val="00706094"/>
    <w:rsid w:val="00710CE0"/>
    <w:rsid w:val="00716938"/>
    <w:rsid w:val="00716C30"/>
    <w:rsid w:val="0071727B"/>
    <w:rsid w:val="0071773C"/>
    <w:rsid w:val="00721C55"/>
    <w:rsid w:val="00722798"/>
    <w:rsid w:val="00725166"/>
    <w:rsid w:val="0072661D"/>
    <w:rsid w:val="0072735A"/>
    <w:rsid w:val="007305CD"/>
    <w:rsid w:val="0073211E"/>
    <w:rsid w:val="0073501A"/>
    <w:rsid w:val="00735702"/>
    <w:rsid w:val="007378DF"/>
    <w:rsid w:val="0074201E"/>
    <w:rsid w:val="00742B5F"/>
    <w:rsid w:val="007433ED"/>
    <w:rsid w:val="0074391D"/>
    <w:rsid w:val="00743E71"/>
    <w:rsid w:val="00746D6C"/>
    <w:rsid w:val="00750130"/>
    <w:rsid w:val="007504EB"/>
    <w:rsid w:val="0075591D"/>
    <w:rsid w:val="00755B28"/>
    <w:rsid w:val="00760C60"/>
    <w:rsid w:val="007633F0"/>
    <w:rsid w:val="00763E70"/>
    <w:rsid w:val="00767232"/>
    <w:rsid w:val="007676F6"/>
    <w:rsid w:val="00767B96"/>
    <w:rsid w:val="0077298C"/>
    <w:rsid w:val="00776081"/>
    <w:rsid w:val="0078019B"/>
    <w:rsid w:val="00781386"/>
    <w:rsid w:val="0078277D"/>
    <w:rsid w:val="00783E8A"/>
    <w:rsid w:val="00784619"/>
    <w:rsid w:val="00784AEB"/>
    <w:rsid w:val="00784E34"/>
    <w:rsid w:val="00787936"/>
    <w:rsid w:val="00787A58"/>
    <w:rsid w:val="00791299"/>
    <w:rsid w:val="00791D7C"/>
    <w:rsid w:val="00795C89"/>
    <w:rsid w:val="00795FCC"/>
    <w:rsid w:val="00796588"/>
    <w:rsid w:val="00796A0E"/>
    <w:rsid w:val="007A1635"/>
    <w:rsid w:val="007A3493"/>
    <w:rsid w:val="007A67DA"/>
    <w:rsid w:val="007B2068"/>
    <w:rsid w:val="007B2725"/>
    <w:rsid w:val="007B2DB3"/>
    <w:rsid w:val="007B4E50"/>
    <w:rsid w:val="007B78E7"/>
    <w:rsid w:val="007B7FF3"/>
    <w:rsid w:val="007C04BC"/>
    <w:rsid w:val="007C189D"/>
    <w:rsid w:val="007C2D7B"/>
    <w:rsid w:val="007C4FBF"/>
    <w:rsid w:val="007C502E"/>
    <w:rsid w:val="007C6314"/>
    <w:rsid w:val="007C7226"/>
    <w:rsid w:val="007C75F2"/>
    <w:rsid w:val="007E32FB"/>
    <w:rsid w:val="007E556E"/>
    <w:rsid w:val="007E6678"/>
    <w:rsid w:val="007E6EE0"/>
    <w:rsid w:val="007F1EB6"/>
    <w:rsid w:val="007F28F8"/>
    <w:rsid w:val="007F2A9E"/>
    <w:rsid w:val="007F5E4B"/>
    <w:rsid w:val="008037B1"/>
    <w:rsid w:val="00803839"/>
    <w:rsid w:val="00803896"/>
    <w:rsid w:val="00803A17"/>
    <w:rsid w:val="008060D6"/>
    <w:rsid w:val="00806797"/>
    <w:rsid w:val="00807654"/>
    <w:rsid w:val="0081442F"/>
    <w:rsid w:val="008151D0"/>
    <w:rsid w:val="008158A6"/>
    <w:rsid w:val="00816D60"/>
    <w:rsid w:val="008172EA"/>
    <w:rsid w:val="0082029E"/>
    <w:rsid w:val="0082189E"/>
    <w:rsid w:val="00821B53"/>
    <w:rsid w:val="0082236D"/>
    <w:rsid w:val="00827850"/>
    <w:rsid w:val="00831D85"/>
    <w:rsid w:val="008355CE"/>
    <w:rsid w:val="00837C09"/>
    <w:rsid w:val="00841DBB"/>
    <w:rsid w:val="00841E81"/>
    <w:rsid w:val="0084230A"/>
    <w:rsid w:val="00842B56"/>
    <w:rsid w:val="008431F3"/>
    <w:rsid w:val="00846C57"/>
    <w:rsid w:val="00847668"/>
    <w:rsid w:val="00847F1E"/>
    <w:rsid w:val="008520BB"/>
    <w:rsid w:val="00853876"/>
    <w:rsid w:val="00854DE0"/>
    <w:rsid w:val="0085524B"/>
    <w:rsid w:val="00856224"/>
    <w:rsid w:val="00860656"/>
    <w:rsid w:val="008613C5"/>
    <w:rsid w:val="0086242C"/>
    <w:rsid w:val="00866023"/>
    <w:rsid w:val="0086705A"/>
    <w:rsid w:val="00870616"/>
    <w:rsid w:val="00870B82"/>
    <w:rsid w:val="00872065"/>
    <w:rsid w:val="00872F7C"/>
    <w:rsid w:val="00874EDD"/>
    <w:rsid w:val="008750ED"/>
    <w:rsid w:val="00876FFF"/>
    <w:rsid w:val="008800A7"/>
    <w:rsid w:val="0089174F"/>
    <w:rsid w:val="00892FEF"/>
    <w:rsid w:val="008931A3"/>
    <w:rsid w:val="008941D5"/>
    <w:rsid w:val="0089505F"/>
    <w:rsid w:val="008969A4"/>
    <w:rsid w:val="008A497E"/>
    <w:rsid w:val="008A51C2"/>
    <w:rsid w:val="008B07A1"/>
    <w:rsid w:val="008B10CD"/>
    <w:rsid w:val="008B1F51"/>
    <w:rsid w:val="008B2FF4"/>
    <w:rsid w:val="008B5F9F"/>
    <w:rsid w:val="008C1BF1"/>
    <w:rsid w:val="008C5BD0"/>
    <w:rsid w:val="008C5C16"/>
    <w:rsid w:val="008C5DFE"/>
    <w:rsid w:val="008D0088"/>
    <w:rsid w:val="008D034F"/>
    <w:rsid w:val="008D2B96"/>
    <w:rsid w:val="008D2FDF"/>
    <w:rsid w:val="008D535A"/>
    <w:rsid w:val="008E174E"/>
    <w:rsid w:val="008E1C8D"/>
    <w:rsid w:val="008E2066"/>
    <w:rsid w:val="008E3FFE"/>
    <w:rsid w:val="008E56D9"/>
    <w:rsid w:val="008F4BB8"/>
    <w:rsid w:val="008F4E20"/>
    <w:rsid w:val="008F5612"/>
    <w:rsid w:val="008F7047"/>
    <w:rsid w:val="008F72F6"/>
    <w:rsid w:val="00900AEE"/>
    <w:rsid w:val="00900B83"/>
    <w:rsid w:val="00900C50"/>
    <w:rsid w:val="00900D85"/>
    <w:rsid w:val="00901C96"/>
    <w:rsid w:val="00901DA1"/>
    <w:rsid w:val="00904018"/>
    <w:rsid w:val="00904857"/>
    <w:rsid w:val="00904C75"/>
    <w:rsid w:val="00906C87"/>
    <w:rsid w:val="00906DE9"/>
    <w:rsid w:val="00907F9E"/>
    <w:rsid w:val="00910884"/>
    <w:rsid w:val="00910ABF"/>
    <w:rsid w:val="00910F43"/>
    <w:rsid w:val="0091129C"/>
    <w:rsid w:val="00912857"/>
    <w:rsid w:val="00912A1C"/>
    <w:rsid w:val="0091304E"/>
    <w:rsid w:val="00914AAB"/>
    <w:rsid w:val="00916A50"/>
    <w:rsid w:val="009170E3"/>
    <w:rsid w:val="009219EB"/>
    <w:rsid w:val="00922326"/>
    <w:rsid w:val="0092240E"/>
    <w:rsid w:val="009232C7"/>
    <w:rsid w:val="00927C8A"/>
    <w:rsid w:val="009326BF"/>
    <w:rsid w:val="00933632"/>
    <w:rsid w:val="0093586E"/>
    <w:rsid w:val="009360AD"/>
    <w:rsid w:val="00936FB6"/>
    <w:rsid w:val="009405BE"/>
    <w:rsid w:val="00941806"/>
    <w:rsid w:val="00943DC0"/>
    <w:rsid w:val="0094565D"/>
    <w:rsid w:val="00947A42"/>
    <w:rsid w:val="0095319C"/>
    <w:rsid w:val="0095443B"/>
    <w:rsid w:val="009552F3"/>
    <w:rsid w:val="009556F7"/>
    <w:rsid w:val="0095668F"/>
    <w:rsid w:val="0095717E"/>
    <w:rsid w:val="009620B3"/>
    <w:rsid w:val="00964FB5"/>
    <w:rsid w:val="00965120"/>
    <w:rsid w:val="009677DD"/>
    <w:rsid w:val="00970357"/>
    <w:rsid w:val="0097150C"/>
    <w:rsid w:val="009728EF"/>
    <w:rsid w:val="009735A9"/>
    <w:rsid w:val="009739ED"/>
    <w:rsid w:val="00975A77"/>
    <w:rsid w:val="00975C8C"/>
    <w:rsid w:val="0097794C"/>
    <w:rsid w:val="00981A59"/>
    <w:rsid w:val="00982E45"/>
    <w:rsid w:val="0098632F"/>
    <w:rsid w:val="00990CAF"/>
    <w:rsid w:val="0099194D"/>
    <w:rsid w:val="00992B83"/>
    <w:rsid w:val="00992C44"/>
    <w:rsid w:val="00997D00"/>
    <w:rsid w:val="009A0343"/>
    <w:rsid w:val="009A1D0E"/>
    <w:rsid w:val="009A48DF"/>
    <w:rsid w:val="009A4B46"/>
    <w:rsid w:val="009A5FF9"/>
    <w:rsid w:val="009A7886"/>
    <w:rsid w:val="009A7F85"/>
    <w:rsid w:val="009B768B"/>
    <w:rsid w:val="009C0242"/>
    <w:rsid w:val="009C475A"/>
    <w:rsid w:val="009C4BE8"/>
    <w:rsid w:val="009D1445"/>
    <w:rsid w:val="009D179F"/>
    <w:rsid w:val="009D306B"/>
    <w:rsid w:val="009D3691"/>
    <w:rsid w:val="009D4355"/>
    <w:rsid w:val="009D7BC3"/>
    <w:rsid w:val="009E0A6B"/>
    <w:rsid w:val="009E1755"/>
    <w:rsid w:val="009E1EF7"/>
    <w:rsid w:val="009E445E"/>
    <w:rsid w:val="009E4E9D"/>
    <w:rsid w:val="009E5693"/>
    <w:rsid w:val="009F1729"/>
    <w:rsid w:val="009F3B65"/>
    <w:rsid w:val="009F41B4"/>
    <w:rsid w:val="009F49E0"/>
    <w:rsid w:val="009F4DC8"/>
    <w:rsid w:val="009F7084"/>
    <w:rsid w:val="009F73AE"/>
    <w:rsid w:val="00A00216"/>
    <w:rsid w:val="00A03835"/>
    <w:rsid w:val="00A046A7"/>
    <w:rsid w:val="00A05FFE"/>
    <w:rsid w:val="00A060EA"/>
    <w:rsid w:val="00A07016"/>
    <w:rsid w:val="00A10E22"/>
    <w:rsid w:val="00A12694"/>
    <w:rsid w:val="00A129AC"/>
    <w:rsid w:val="00A12B15"/>
    <w:rsid w:val="00A1386C"/>
    <w:rsid w:val="00A13BE3"/>
    <w:rsid w:val="00A155B9"/>
    <w:rsid w:val="00A15D98"/>
    <w:rsid w:val="00A15F13"/>
    <w:rsid w:val="00A26B6D"/>
    <w:rsid w:val="00A27C7B"/>
    <w:rsid w:val="00A31663"/>
    <w:rsid w:val="00A3550B"/>
    <w:rsid w:val="00A3618E"/>
    <w:rsid w:val="00A4100A"/>
    <w:rsid w:val="00A44175"/>
    <w:rsid w:val="00A44CD7"/>
    <w:rsid w:val="00A47324"/>
    <w:rsid w:val="00A47427"/>
    <w:rsid w:val="00A47AF9"/>
    <w:rsid w:val="00A50B97"/>
    <w:rsid w:val="00A50E6B"/>
    <w:rsid w:val="00A51115"/>
    <w:rsid w:val="00A54733"/>
    <w:rsid w:val="00A57885"/>
    <w:rsid w:val="00A57FD7"/>
    <w:rsid w:val="00A6187F"/>
    <w:rsid w:val="00A625AD"/>
    <w:rsid w:val="00A63C1E"/>
    <w:rsid w:val="00A63D81"/>
    <w:rsid w:val="00A64848"/>
    <w:rsid w:val="00A64B13"/>
    <w:rsid w:val="00A72BA2"/>
    <w:rsid w:val="00A72DA9"/>
    <w:rsid w:val="00A738B0"/>
    <w:rsid w:val="00A74A5F"/>
    <w:rsid w:val="00A7590F"/>
    <w:rsid w:val="00A81438"/>
    <w:rsid w:val="00A819BE"/>
    <w:rsid w:val="00A81DE0"/>
    <w:rsid w:val="00A82863"/>
    <w:rsid w:val="00A8416E"/>
    <w:rsid w:val="00A90E10"/>
    <w:rsid w:val="00A91685"/>
    <w:rsid w:val="00A91F97"/>
    <w:rsid w:val="00A92CFC"/>
    <w:rsid w:val="00A9540F"/>
    <w:rsid w:val="00AA1285"/>
    <w:rsid w:val="00AA2818"/>
    <w:rsid w:val="00AA41F2"/>
    <w:rsid w:val="00AA55ED"/>
    <w:rsid w:val="00AA778A"/>
    <w:rsid w:val="00AB327B"/>
    <w:rsid w:val="00AB7C02"/>
    <w:rsid w:val="00AC2636"/>
    <w:rsid w:val="00AC3212"/>
    <w:rsid w:val="00AC3C51"/>
    <w:rsid w:val="00AC58D5"/>
    <w:rsid w:val="00AD110B"/>
    <w:rsid w:val="00AD3C13"/>
    <w:rsid w:val="00AD6502"/>
    <w:rsid w:val="00AD7AF8"/>
    <w:rsid w:val="00AE21A9"/>
    <w:rsid w:val="00AE2414"/>
    <w:rsid w:val="00AE2D37"/>
    <w:rsid w:val="00AE3170"/>
    <w:rsid w:val="00AE70BC"/>
    <w:rsid w:val="00AF1808"/>
    <w:rsid w:val="00AF2BDF"/>
    <w:rsid w:val="00AF5319"/>
    <w:rsid w:val="00AF70A6"/>
    <w:rsid w:val="00AF77A5"/>
    <w:rsid w:val="00B015B3"/>
    <w:rsid w:val="00B04C0B"/>
    <w:rsid w:val="00B04DF1"/>
    <w:rsid w:val="00B054AA"/>
    <w:rsid w:val="00B06EE8"/>
    <w:rsid w:val="00B0733B"/>
    <w:rsid w:val="00B120BB"/>
    <w:rsid w:val="00B138B5"/>
    <w:rsid w:val="00B1535D"/>
    <w:rsid w:val="00B21B4E"/>
    <w:rsid w:val="00B220B3"/>
    <w:rsid w:val="00B24918"/>
    <w:rsid w:val="00B255E9"/>
    <w:rsid w:val="00B25793"/>
    <w:rsid w:val="00B26227"/>
    <w:rsid w:val="00B26449"/>
    <w:rsid w:val="00B277F6"/>
    <w:rsid w:val="00B278D3"/>
    <w:rsid w:val="00B33AF0"/>
    <w:rsid w:val="00B3558A"/>
    <w:rsid w:val="00B355A6"/>
    <w:rsid w:val="00B35937"/>
    <w:rsid w:val="00B4453D"/>
    <w:rsid w:val="00B44996"/>
    <w:rsid w:val="00B459B6"/>
    <w:rsid w:val="00B471AF"/>
    <w:rsid w:val="00B5122C"/>
    <w:rsid w:val="00B57C6A"/>
    <w:rsid w:val="00B60442"/>
    <w:rsid w:val="00B608A9"/>
    <w:rsid w:val="00B60C2A"/>
    <w:rsid w:val="00B61E77"/>
    <w:rsid w:val="00B62068"/>
    <w:rsid w:val="00B63A7E"/>
    <w:rsid w:val="00B65C0E"/>
    <w:rsid w:val="00B70647"/>
    <w:rsid w:val="00B75D79"/>
    <w:rsid w:val="00B76B7D"/>
    <w:rsid w:val="00B833EB"/>
    <w:rsid w:val="00B854DA"/>
    <w:rsid w:val="00B9142E"/>
    <w:rsid w:val="00B933A4"/>
    <w:rsid w:val="00B9604A"/>
    <w:rsid w:val="00B97774"/>
    <w:rsid w:val="00BA4238"/>
    <w:rsid w:val="00BA45F2"/>
    <w:rsid w:val="00BA75A5"/>
    <w:rsid w:val="00BB0F92"/>
    <w:rsid w:val="00BB213D"/>
    <w:rsid w:val="00BB2608"/>
    <w:rsid w:val="00BB2FE6"/>
    <w:rsid w:val="00BB4481"/>
    <w:rsid w:val="00BC1089"/>
    <w:rsid w:val="00BC18AB"/>
    <w:rsid w:val="00BC488C"/>
    <w:rsid w:val="00BD1409"/>
    <w:rsid w:val="00BD276D"/>
    <w:rsid w:val="00BD6D63"/>
    <w:rsid w:val="00BE1D1B"/>
    <w:rsid w:val="00BE2AC7"/>
    <w:rsid w:val="00BE531A"/>
    <w:rsid w:val="00BE71AE"/>
    <w:rsid w:val="00BF08ED"/>
    <w:rsid w:val="00BF0E36"/>
    <w:rsid w:val="00BF32C6"/>
    <w:rsid w:val="00BF34E5"/>
    <w:rsid w:val="00BF3E5C"/>
    <w:rsid w:val="00BF5897"/>
    <w:rsid w:val="00BF5CB0"/>
    <w:rsid w:val="00BF69E1"/>
    <w:rsid w:val="00C02A50"/>
    <w:rsid w:val="00C03671"/>
    <w:rsid w:val="00C07DCF"/>
    <w:rsid w:val="00C108B4"/>
    <w:rsid w:val="00C109C3"/>
    <w:rsid w:val="00C10CBC"/>
    <w:rsid w:val="00C121C8"/>
    <w:rsid w:val="00C1227E"/>
    <w:rsid w:val="00C12407"/>
    <w:rsid w:val="00C1576D"/>
    <w:rsid w:val="00C16830"/>
    <w:rsid w:val="00C1707A"/>
    <w:rsid w:val="00C171C6"/>
    <w:rsid w:val="00C174AB"/>
    <w:rsid w:val="00C210A2"/>
    <w:rsid w:val="00C217A0"/>
    <w:rsid w:val="00C21B27"/>
    <w:rsid w:val="00C21B45"/>
    <w:rsid w:val="00C2349C"/>
    <w:rsid w:val="00C30A46"/>
    <w:rsid w:val="00C34C30"/>
    <w:rsid w:val="00C35004"/>
    <w:rsid w:val="00C35521"/>
    <w:rsid w:val="00C40119"/>
    <w:rsid w:val="00C40573"/>
    <w:rsid w:val="00C41B14"/>
    <w:rsid w:val="00C433EF"/>
    <w:rsid w:val="00C440DC"/>
    <w:rsid w:val="00C4494C"/>
    <w:rsid w:val="00C44A19"/>
    <w:rsid w:val="00C46E5D"/>
    <w:rsid w:val="00C50DAC"/>
    <w:rsid w:val="00C53D9A"/>
    <w:rsid w:val="00C60C4B"/>
    <w:rsid w:val="00C619BE"/>
    <w:rsid w:val="00C61E26"/>
    <w:rsid w:val="00C665D1"/>
    <w:rsid w:val="00C677F0"/>
    <w:rsid w:val="00C7072F"/>
    <w:rsid w:val="00C74A11"/>
    <w:rsid w:val="00C75CCA"/>
    <w:rsid w:val="00C77C3E"/>
    <w:rsid w:val="00C80B9B"/>
    <w:rsid w:val="00C81E31"/>
    <w:rsid w:val="00C82037"/>
    <w:rsid w:val="00C838C8"/>
    <w:rsid w:val="00C841BE"/>
    <w:rsid w:val="00C842F6"/>
    <w:rsid w:val="00C865E7"/>
    <w:rsid w:val="00C867B2"/>
    <w:rsid w:val="00C8752F"/>
    <w:rsid w:val="00C90094"/>
    <w:rsid w:val="00C903A8"/>
    <w:rsid w:val="00CA1993"/>
    <w:rsid w:val="00CA6394"/>
    <w:rsid w:val="00CB006B"/>
    <w:rsid w:val="00CB01C7"/>
    <w:rsid w:val="00CB1AEA"/>
    <w:rsid w:val="00CB3A3E"/>
    <w:rsid w:val="00CB547B"/>
    <w:rsid w:val="00CB64F6"/>
    <w:rsid w:val="00CB7AEC"/>
    <w:rsid w:val="00CC31F8"/>
    <w:rsid w:val="00CC7DDC"/>
    <w:rsid w:val="00CD747D"/>
    <w:rsid w:val="00CE102A"/>
    <w:rsid w:val="00CE2307"/>
    <w:rsid w:val="00CE7727"/>
    <w:rsid w:val="00CE7C7D"/>
    <w:rsid w:val="00CF27F7"/>
    <w:rsid w:val="00CF3A30"/>
    <w:rsid w:val="00CF49CA"/>
    <w:rsid w:val="00CF6698"/>
    <w:rsid w:val="00CF66D2"/>
    <w:rsid w:val="00D01F74"/>
    <w:rsid w:val="00D0417B"/>
    <w:rsid w:val="00D0557E"/>
    <w:rsid w:val="00D0642B"/>
    <w:rsid w:val="00D076A7"/>
    <w:rsid w:val="00D10179"/>
    <w:rsid w:val="00D10F45"/>
    <w:rsid w:val="00D123CA"/>
    <w:rsid w:val="00D1299A"/>
    <w:rsid w:val="00D14B92"/>
    <w:rsid w:val="00D1536F"/>
    <w:rsid w:val="00D16CE4"/>
    <w:rsid w:val="00D1781F"/>
    <w:rsid w:val="00D17E99"/>
    <w:rsid w:val="00D217C5"/>
    <w:rsid w:val="00D22AFC"/>
    <w:rsid w:val="00D249AD"/>
    <w:rsid w:val="00D269B4"/>
    <w:rsid w:val="00D30864"/>
    <w:rsid w:val="00D329C8"/>
    <w:rsid w:val="00D37AB4"/>
    <w:rsid w:val="00D40DA3"/>
    <w:rsid w:val="00D41D3B"/>
    <w:rsid w:val="00D41E77"/>
    <w:rsid w:val="00D44C31"/>
    <w:rsid w:val="00D46347"/>
    <w:rsid w:val="00D534F8"/>
    <w:rsid w:val="00D53DB2"/>
    <w:rsid w:val="00D53ED9"/>
    <w:rsid w:val="00D55B84"/>
    <w:rsid w:val="00D628C4"/>
    <w:rsid w:val="00D6650C"/>
    <w:rsid w:val="00D70FDE"/>
    <w:rsid w:val="00D72596"/>
    <w:rsid w:val="00D76905"/>
    <w:rsid w:val="00D76E56"/>
    <w:rsid w:val="00D772D3"/>
    <w:rsid w:val="00D81349"/>
    <w:rsid w:val="00D83EAC"/>
    <w:rsid w:val="00D84AB7"/>
    <w:rsid w:val="00D84C96"/>
    <w:rsid w:val="00D854A8"/>
    <w:rsid w:val="00D8748C"/>
    <w:rsid w:val="00D879D0"/>
    <w:rsid w:val="00D9142A"/>
    <w:rsid w:val="00D944EC"/>
    <w:rsid w:val="00D94DD2"/>
    <w:rsid w:val="00D95192"/>
    <w:rsid w:val="00D95305"/>
    <w:rsid w:val="00D95703"/>
    <w:rsid w:val="00D97679"/>
    <w:rsid w:val="00D97F29"/>
    <w:rsid w:val="00DA1CDC"/>
    <w:rsid w:val="00DA3A2A"/>
    <w:rsid w:val="00DA4C1C"/>
    <w:rsid w:val="00DA4DF0"/>
    <w:rsid w:val="00DA799F"/>
    <w:rsid w:val="00DB110A"/>
    <w:rsid w:val="00DB313D"/>
    <w:rsid w:val="00DB376D"/>
    <w:rsid w:val="00DB476D"/>
    <w:rsid w:val="00DB58C6"/>
    <w:rsid w:val="00DC451D"/>
    <w:rsid w:val="00DC74AB"/>
    <w:rsid w:val="00DC7D8F"/>
    <w:rsid w:val="00DD1090"/>
    <w:rsid w:val="00DD4906"/>
    <w:rsid w:val="00DD5B18"/>
    <w:rsid w:val="00DD776B"/>
    <w:rsid w:val="00DD7CFF"/>
    <w:rsid w:val="00DE05FE"/>
    <w:rsid w:val="00DE10FD"/>
    <w:rsid w:val="00DE2F0C"/>
    <w:rsid w:val="00DE40A8"/>
    <w:rsid w:val="00DE5C91"/>
    <w:rsid w:val="00DE6050"/>
    <w:rsid w:val="00DE60A7"/>
    <w:rsid w:val="00DE6E90"/>
    <w:rsid w:val="00DE791F"/>
    <w:rsid w:val="00DE7D7D"/>
    <w:rsid w:val="00DF5B90"/>
    <w:rsid w:val="00DF5D24"/>
    <w:rsid w:val="00DF67EE"/>
    <w:rsid w:val="00E00E35"/>
    <w:rsid w:val="00E01126"/>
    <w:rsid w:val="00E03819"/>
    <w:rsid w:val="00E0640E"/>
    <w:rsid w:val="00E064E2"/>
    <w:rsid w:val="00E124B5"/>
    <w:rsid w:val="00E13570"/>
    <w:rsid w:val="00E14F56"/>
    <w:rsid w:val="00E1567A"/>
    <w:rsid w:val="00E20682"/>
    <w:rsid w:val="00E21455"/>
    <w:rsid w:val="00E22FCF"/>
    <w:rsid w:val="00E2572D"/>
    <w:rsid w:val="00E25D13"/>
    <w:rsid w:val="00E2765D"/>
    <w:rsid w:val="00E306B4"/>
    <w:rsid w:val="00E30CDD"/>
    <w:rsid w:val="00E311A2"/>
    <w:rsid w:val="00E34D8B"/>
    <w:rsid w:val="00E365EB"/>
    <w:rsid w:val="00E40868"/>
    <w:rsid w:val="00E44BBA"/>
    <w:rsid w:val="00E508AC"/>
    <w:rsid w:val="00E5095E"/>
    <w:rsid w:val="00E52767"/>
    <w:rsid w:val="00E540CA"/>
    <w:rsid w:val="00E54D4A"/>
    <w:rsid w:val="00E55FE7"/>
    <w:rsid w:val="00E603A1"/>
    <w:rsid w:val="00E61F76"/>
    <w:rsid w:val="00E630F9"/>
    <w:rsid w:val="00E65DC5"/>
    <w:rsid w:val="00E66266"/>
    <w:rsid w:val="00E7185E"/>
    <w:rsid w:val="00E72026"/>
    <w:rsid w:val="00E72922"/>
    <w:rsid w:val="00E72EBC"/>
    <w:rsid w:val="00E767F9"/>
    <w:rsid w:val="00E816D0"/>
    <w:rsid w:val="00E81771"/>
    <w:rsid w:val="00E81EE8"/>
    <w:rsid w:val="00E9083A"/>
    <w:rsid w:val="00E90A5C"/>
    <w:rsid w:val="00E91D54"/>
    <w:rsid w:val="00E91F44"/>
    <w:rsid w:val="00E92650"/>
    <w:rsid w:val="00E93211"/>
    <w:rsid w:val="00E93C81"/>
    <w:rsid w:val="00E942B0"/>
    <w:rsid w:val="00E95518"/>
    <w:rsid w:val="00E961F8"/>
    <w:rsid w:val="00E97722"/>
    <w:rsid w:val="00E97ED4"/>
    <w:rsid w:val="00EA07D9"/>
    <w:rsid w:val="00EA0BA9"/>
    <w:rsid w:val="00EA3569"/>
    <w:rsid w:val="00EA3A94"/>
    <w:rsid w:val="00EA4347"/>
    <w:rsid w:val="00EA5CEA"/>
    <w:rsid w:val="00EA7224"/>
    <w:rsid w:val="00EB1F47"/>
    <w:rsid w:val="00EB23DA"/>
    <w:rsid w:val="00EB7914"/>
    <w:rsid w:val="00EC0807"/>
    <w:rsid w:val="00EC4050"/>
    <w:rsid w:val="00EC48C8"/>
    <w:rsid w:val="00EC7852"/>
    <w:rsid w:val="00ED03F1"/>
    <w:rsid w:val="00ED214D"/>
    <w:rsid w:val="00EE061D"/>
    <w:rsid w:val="00EE6A79"/>
    <w:rsid w:val="00EF0ADF"/>
    <w:rsid w:val="00EF5F4F"/>
    <w:rsid w:val="00EF7527"/>
    <w:rsid w:val="00EF7845"/>
    <w:rsid w:val="00F02205"/>
    <w:rsid w:val="00F048AB"/>
    <w:rsid w:val="00F06987"/>
    <w:rsid w:val="00F07F6E"/>
    <w:rsid w:val="00F111FF"/>
    <w:rsid w:val="00F11A5F"/>
    <w:rsid w:val="00F1360C"/>
    <w:rsid w:val="00F15A8C"/>
    <w:rsid w:val="00F179A2"/>
    <w:rsid w:val="00F20682"/>
    <w:rsid w:val="00F20C60"/>
    <w:rsid w:val="00F221A5"/>
    <w:rsid w:val="00F276E7"/>
    <w:rsid w:val="00F309E0"/>
    <w:rsid w:val="00F31385"/>
    <w:rsid w:val="00F3412E"/>
    <w:rsid w:val="00F359E9"/>
    <w:rsid w:val="00F36B9C"/>
    <w:rsid w:val="00F42160"/>
    <w:rsid w:val="00F42DA2"/>
    <w:rsid w:val="00F458B3"/>
    <w:rsid w:val="00F47BC3"/>
    <w:rsid w:val="00F5011A"/>
    <w:rsid w:val="00F511A1"/>
    <w:rsid w:val="00F5332F"/>
    <w:rsid w:val="00F5484E"/>
    <w:rsid w:val="00F555D6"/>
    <w:rsid w:val="00F602FE"/>
    <w:rsid w:val="00F60B2C"/>
    <w:rsid w:val="00F61BD0"/>
    <w:rsid w:val="00F64873"/>
    <w:rsid w:val="00F64AD7"/>
    <w:rsid w:val="00F656CE"/>
    <w:rsid w:val="00F659E7"/>
    <w:rsid w:val="00F66B75"/>
    <w:rsid w:val="00F71143"/>
    <w:rsid w:val="00F7775B"/>
    <w:rsid w:val="00F83579"/>
    <w:rsid w:val="00F8711F"/>
    <w:rsid w:val="00F87E21"/>
    <w:rsid w:val="00F90EFE"/>
    <w:rsid w:val="00F943C3"/>
    <w:rsid w:val="00FA36FF"/>
    <w:rsid w:val="00FA68B9"/>
    <w:rsid w:val="00FB2A88"/>
    <w:rsid w:val="00FB4267"/>
    <w:rsid w:val="00FB4A1A"/>
    <w:rsid w:val="00FB6EE6"/>
    <w:rsid w:val="00FB7396"/>
    <w:rsid w:val="00FC6B7F"/>
    <w:rsid w:val="00FC719B"/>
    <w:rsid w:val="00FC7E94"/>
    <w:rsid w:val="00FD3981"/>
    <w:rsid w:val="00FD4DC4"/>
    <w:rsid w:val="00FD5299"/>
    <w:rsid w:val="00FD5D80"/>
    <w:rsid w:val="00FD73FC"/>
    <w:rsid w:val="00FD770C"/>
    <w:rsid w:val="00FD7E41"/>
    <w:rsid w:val="00FE63CA"/>
    <w:rsid w:val="00FE6C0A"/>
    <w:rsid w:val="00FF0594"/>
    <w:rsid w:val="00FF50A7"/>
    <w:rsid w:val="00FF56E8"/>
    <w:rsid w:val="00FF6610"/>
    <w:rsid w:val="00FF6B3C"/>
    <w:rsid w:val="00FF6BAB"/>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432CD9"/>
  <w15:docId w15:val="{EB3C0854-B959-4339-A451-686CDFE3E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4B46"/>
    <w:pPr>
      <w:overflowPunct w:val="0"/>
      <w:autoSpaceDE w:val="0"/>
      <w:autoSpaceDN w:val="0"/>
      <w:adjustRightInd w:val="0"/>
      <w:spacing w:after="120" w:line="240" w:lineRule="auto"/>
      <w:jc w:val="both"/>
      <w:textAlignment w:val="baseline"/>
    </w:pPr>
    <w:rPr>
      <w:rFonts w:ascii="Arial" w:hAnsi="Arial"/>
      <w:sz w:val="20"/>
      <w:szCs w:val="20"/>
    </w:rPr>
  </w:style>
  <w:style w:type="paragraph" w:styleId="Titre1">
    <w:name w:val="heading 1"/>
    <w:basedOn w:val="Normal"/>
    <w:next w:val="Normal"/>
    <w:link w:val="Titre1Car"/>
    <w:qFormat/>
    <w:rsid w:val="004452FB"/>
    <w:pPr>
      <w:keepNext/>
      <w:numPr>
        <w:numId w:val="4"/>
      </w:numPr>
      <w:pBdr>
        <w:bottom w:val="single" w:sz="4" w:space="1" w:color="auto"/>
      </w:pBdr>
      <w:spacing w:before="240" w:after="240"/>
      <w:ind w:left="0"/>
      <w:outlineLvl w:val="0"/>
    </w:pPr>
    <w:rPr>
      <w:rFonts w:ascii="Arial Gras" w:hAnsi="Arial Gras" w:cs="Arial"/>
      <w:b/>
      <w:bCs/>
      <w:smallCaps/>
      <w:sz w:val="24"/>
    </w:rPr>
  </w:style>
  <w:style w:type="paragraph" w:styleId="Titre2">
    <w:name w:val="heading 2"/>
    <w:basedOn w:val="Normal"/>
    <w:next w:val="Normal"/>
    <w:link w:val="Titre2Car"/>
    <w:qFormat/>
    <w:rsid w:val="009C475A"/>
    <w:pPr>
      <w:keepNext/>
      <w:numPr>
        <w:ilvl w:val="1"/>
        <w:numId w:val="4"/>
      </w:numPr>
      <w:pBdr>
        <w:bottom w:val="single" w:sz="4" w:space="1" w:color="auto"/>
      </w:pBdr>
      <w:tabs>
        <w:tab w:val="left" w:pos="567"/>
      </w:tabs>
      <w:spacing w:before="240" w:line="360" w:lineRule="auto"/>
      <w:ind w:left="0"/>
      <w:outlineLvl w:val="1"/>
    </w:pPr>
    <w:rPr>
      <w:rFonts w:ascii="Arial Gras" w:hAnsi="Arial Gras" w:cs="Arial"/>
      <w:b/>
      <w:bCs/>
      <w:smallCaps/>
    </w:rPr>
  </w:style>
  <w:style w:type="paragraph" w:styleId="Titre3">
    <w:name w:val="heading 3"/>
    <w:basedOn w:val="Normal"/>
    <w:next w:val="Normal"/>
    <w:link w:val="Titre3Car"/>
    <w:qFormat/>
    <w:rsid w:val="00C433EF"/>
    <w:pPr>
      <w:keepNext/>
      <w:numPr>
        <w:ilvl w:val="2"/>
        <w:numId w:val="4"/>
      </w:numPr>
      <w:tabs>
        <w:tab w:val="left" w:pos="1134"/>
      </w:tabs>
      <w:spacing w:before="240"/>
      <w:ind w:left="1134"/>
      <w:outlineLvl w:val="2"/>
    </w:pPr>
    <w:rPr>
      <w:rFonts w:cs="Arial"/>
      <w:color w:val="244061" w:themeColor="accent1" w:themeShade="80"/>
      <w:szCs w:val="24"/>
      <w:u w:val="single"/>
    </w:rPr>
  </w:style>
  <w:style w:type="paragraph" w:styleId="Titre4">
    <w:name w:val="heading 4"/>
    <w:basedOn w:val="Normal"/>
    <w:next w:val="Normal"/>
    <w:link w:val="Titre4Car"/>
    <w:qFormat/>
    <w:rsid w:val="00C210A2"/>
    <w:pPr>
      <w:keepNext/>
      <w:spacing w:before="240" w:after="60"/>
      <w:outlineLvl w:val="3"/>
    </w:pPr>
    <w:rPr>
      <w:rFonts w:cs="Arial"/>
      <w:b/>
      <w:bCs/>
      <w:sz w:val="24"/>
      <w:szCs w:val="24"/>
    </w:rPr>
  </w:style>
  <w:style w:type="paragraph" w:styleId="Titre5">
    <w:name w:val="heading 5"/>
    <w:basedOn w:val="Normal"/>
    <w:next w:val="Normal"/>
    <w:link w:val="Titre5Car"/>
    <w:uiPriority w:val="99"/>
    <w:qFormat/>
    <w:rsid w:val="00C210A2"/>
    <w:pPr>
      <w:spacing w:before="240" w:after="60"/>
      <w:outlineLvl w:val="4"/>
    </w:pPr>
    <w:rPr>
      <w:rFonts w:cs="Arial"/>
      <w:szCs w:val="22"/>
    </w:rPr>
  </w:style>
  <w:style w:type="paragraph" w:styleId="Titre6">
    <w:name w:val="heading 6"/>
    <w:basedOn w:val="Normal"/>
    <w:next w:val="Normal"/>
    <w:link w:val="Titre6Car"/>
    <w:uiPriority w:val="99"/>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452FB"/>
    <w:rPr>
      <w:rFonts w:ascii="Arial Gras" w:hAnsi="Arial Gras" w:cs="Arial"/>
      <w:b/>
      <w:bCs/>
      <w:smallCaps/>
      <w:sz w:val="24"/>
      <w:szCs w:val="20"/>
    </w:rPr>
  </w:style>
  <w:style w:type="character" w:customStyle="1" w:styleId="Titre2Car">
    <w:name w:val="Titre 2 Car"/>
    <w:basedOn w:val="Policepardfaut"/>
    <w:link w:val="Titre2"/>
    <w:rsid w:val="009C475A"/>
    <w:rPr>
      <w:rFonts w:ascii="Arial Gras" w:hAnsi="Arial Gras" w:cs="Arial"/>
      <w:b/>
      <w:bCs/>
      <w:smallCaps/>
      <w:sz w:val="20"/>
      <w:szCs w:val="20"/>
    </w:rPr>
  </w:style>
  <w:style w:type="character" w:customStyle="1" w:styleId="Titre3Car">
    <w:name w:val="Titre 3 Car"/>
    <w:basedOn w:val="Policepardfaut"/>
    <w:link w:val="Titre3"/>
    <w:rsid w:val="00C433EF"/>
    <w:rPr>
      <w:rFonts w:ascii="Arial" w:hAnsi="Arial" w:cs="Arial"/>
      <w:color w:val="244061" w:themeColor="accent1" w:themeShade="80"/>
      <w:sz w:val="20"/>
      <w:szCs w:val="24"/>
      <w:u w:val="single"/>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4452FB"/>
    <w:pPr>
      <w:spacing w:before="120" w:after="0"/>
    </w:pPr>
    <w:rPr>
      <w:rFonts w:cstheme="minorHAnsi"/>
      <w:b/>
      <w:bCs/>
      <w:iCs/>
      <w:szCs w:val="24"/>
    </w:rPr>
  </w:style>
  <w:style w:type="paragraph" w:styleId="TM2">
    <w:name w:val="toc 2"/>
    <w:basedOn w:val="TM1"/>
    <w:next w:val="Normal"/>
    <w:autoRedefine/>
    <w:uiPriority w:val="39"/>
    <w:rsid w:val="00EA4347"/>
    <w:pPr>
      <w:ind w:left="220"/>
    </w:pPr>
    <w:rPr>
      <w:b w:val="0"/>
      <w:iCs w:val="0"/>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uiPriority w:val="99"/>
    <w:rsid w:val="002E4AC5"/>
    <w:pPr>
      <w:pBdr>
        <w:bottom w:val="single" w:sz="4" w:space="1" w:color="auto"/>
      </w:pBdr>
      <w:jc w:val="center"/>
    </w:pPr>
    <w:rPr>
      <w:i/>
      <w:sz w:val="18"/>
    </w:rPr>
  </w:style>
  <w:style w:type="character" w:customStyle="1" w:styleId="En-tteCar">
    <w:name w:val="En-tête Car"/>
    <w:basedOn w:val="Policepardfaut"/>
    <w:link w:val="En-tte"/>
    <w:uiPriority w:val="99"/>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uiPriority w:val="99"/>
    <w:semiHidden/>
    <w:rsid w:val="00FB2A88"/>
    <w:pPr>
      <w:widowControl w:val="0"/>
    </w:pPr>
    <w:rPr>
      <w:rFonts w:ascii="Tahoma" w:hAnsi="Tahoma" w:cs="Tahoma"/>
    </w:rPr>
  </w:style>
  <w:style w:type="character" w:customStyle="1" w:styleId="NotedebasdepageCar">
    <w:name w:val="Note de bas de page Car"/>
    <w:basedOn w:val="Policepardfaut"/>
    <w:link w:val="Notedebasdepage"/>
    <w:uiPriority w:val="99"/>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semiHidden/>
    <w:rsid w:val="0029361A"/>
    <w:rPr>
      <w:sz w:val="16"/>
      <w:szCs w:val="16"/>
    </w:rPr>
  </w:style>
  <w:style w:type="paragraph" w:styleId="Commentaire">
    <w:name w:val="annotation text"/>
    <w:basedOn w:val="Normal"/>
    <w:link w:val="CommentaireCar"/>
    <w:uiPriority w:val="99"/>
    <w:semiHidden/>
    <w:rsid w:val="0029361A"/>
  </w:style>
  <w:style w:type="character" w:customStyle="1" w:styleId="CommentaireCar">
    <w:name w:val="Commentaire Car"/>
    <w:basedOn w:val="Policepardfaut"/>
    <w:link w:val="Commentaire"/>
    <w:uiPriority w:val="99"/>
    <w:semiHidden/>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spacing w:after="0"/>
      <w:ind w:left="440"/>
    </w:pPr>
    <w:rPr>
      <w:rFonts w:cstheme="minorHAnsi"/>
      <w:i/>
      <w:color w:val="244061" w:themeColor="accent1" w:themeShade="80"/>
    </w:rPr>
  </w:style>
  <w:style w:type="paragraph" w:styleId="NormalWeb">
    <w:name w:val="Normal (Web)"/>
    <w:basedOn w:val="Normal"/>
    <w:uiPriority w:val="99"/>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uiPriority w:val="99"/>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17"/>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481820"/>
    <w:pPr>
      <w:numPr>
        <w:numId w:val="6"/>
      </w:numPr>
      <w:tabs>
        <w:tab w:val="clear" w:pos="1211"/>
        <w:tab w:val="num" w:pos="360"/>
      </w:tabs>
      <w:spacing w:before="120" w:line="360" w:lineRule="auto"/>
      <w:ind w:left="360"/>
    </w:pPr>
  </w:style>
  <w:style w:type="paragraph" w:styleId="Listepuces2">
    <w:name w:val="List Bullet 2"/>
    <w:basedOn w:val="Normal"/>
    <w:uiPriority w:val="99"/>
    <w:unhideWhenUsed/>
    <w:rsid w:val="00DD4906"/>
    <w:pPr>
      <w:numPr>
        <w:numId w:val="7"/>
      </w:numPr>
      <w:spacing w:before="120" w:line="276" w:lineRule="auto"/>
      <w:contextualSpacing/>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4C72C3"/>
    <w:pPr>
      <w:pageBreakBefore/>
      <w:numPr>
        <w:numId w:val="26"/>
      </w:numPr>
      <w:ind w:left="0" w:firstLine="0"/>
      <w:jc w:val="center"/>
    </w:pPr>
    <w:rPr>
      <w:rFonts w:asciiTheme="minorHAnsi" w:hAnsiTheme="minorHAnsi" w:cs="Arial"/>
      <w:b/>
      <w:bCs/>
      <w:caps/>
      <w:color w:val="244061" w:themeColor="accent1" w:themeShade="80"/>
      <w:sz w:val="24"/>
      <w:szCs w:val="20"/>
      <w:u w:val="single"/>
    </w:rPr>
  </w:style>
  <w:style w:type="paragraph" w:customStyle="1" w:styleId="rNormal">
    <w:name w:val="rNormal"/>
    <w:basedOn w:val="Normal"/>
    <w:rsid w:val="006D469F"/>
    <w:pPr>
      <w:overflowPunct/>
      <w:autoSpaceDE/>
      <w:autoSpaceDN/>
      <w:adjustRightInd/>
      <w:spacing w:before="120"/>
      <w:textAlignment w:val="auto"/>
    </w:pPr>
  </w:style>
  <w:style w:type="paragraph" w:customStyle="1" w:styleId="textepagedegarde">
    <w:name w:val="texte page de garde"/>
    <w:basedOn w:val="Normal"/>
    <w:qFormat/>
    <w:rsid w:val="00A3550B"/>
    <w:pPr>
      <w:framePr w:hSpace="141" w:wrap="around" w:vAnchor="page" w:hAnchor="margin" w:xAlign="center" w:y="1169"/>
      <w:spacing w:line="276" w:lineRule="auto"/>
      <w:jc w:val="center"/>
    </w:pPr>
    <w:rPr>
      <w:b/>
      <w:color w:val="365F91" w:themeColor="accent1" w:themeShade="BF"/>
      <w:sz w:val="44"/>
    </w:rPr>
  </w:style>
  <w:style w:type="paragraph" w:styleId="Explorateurdedocuments">
    <w:name w:val="Document Map"/>
    <w:basedOn w:val="Normal"/>
    <w:link w:val="ExplorateurdedocumentsCar"/>
    <w:uiPriority w:val="99"/>
    <w:semiHidden/>
    <w:unhideWhenUsed/>
    <w:rsid w:val="00A92CFC"/>
    <w:pPr>
      <w:spacing w:after="0"/>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92CFC"/>
    <w:rPr>
      <w:rFonts w:ascii="Tahoma" w:hAnsi="Tahoma" w:cs="Tahoma"/>
      <w:sz w:val="16"/>
      <w:szCs w:val="16"/>
    </w:rPr>
  </w:style>
  <w:style w:type="paragraph" w:customStyle="1" w:styleId="w">
    <w:name w:val="w"/>
    <w:rsid w:val="00831D85"/>
    <w:pPr>
      <w:suppressAutoHyphens/>
      <w:spacing w:after="0" w:line="240" w:lineRule="auto"/>
    </w:pPr>
    <w:rPr>
      <w:rFonts w:ascii="Times" w:eastAsia="Arial" w:hAnsi="Times"/>
      <w:sz w:val="24"/>
      <w:szCs w:val="20"/>
      <w:lang w:eastAsia="ar-SA"/>
    </w:rPr>
  </w:style>
  <w:style w:type="paragraph" w:styleId="Listenumros">
    <w:name w:val="List Number"/>
    <w:basedOn w:val="Corpsdetexte"/>
    <w:autoRedefine/>
    <w:rsid w:val="00D97679"/>
    <w:pPr>
      <w:keepLines/>
      <w:tabs>
        <w:tab w:val="right" w:pos="851"/>
      </w:tabs>
      <w:suppressAutoHyphens/>
      <w:overflowPunct/>
      <w:autoSpaceDE/>
      <w:autoSpaceDN/>
      <w:adjustRightInd/>
      <w:spacing w:before="60" w:after="0" w:line="360" w:lineRule="auto"/>
      <w:ind w:left="924" w:hanging="357"/>
      <w:textAlignment w:val="auto"/>
    </w:pPr>
    <w:rPr>
      <w:iCs/>
      <w:caps/>
      <w:spacing w:val="20"/>
      <w:kern w:val="28"/>
      <w:szCs w:val="20"/>
    </w:rPr>
  </w:style>
  <w:style w:type="paragraph" w:styleId="Listenumros4">
    <w:name w:val="List Number 4"/>
    <w:basedOn w:val="Corpsdetexte"/>
    <w:autoRedefine/>
    <w:rsid w:val="00D97679"/>
    <w:pPr>
      <w:keepLines/>
      <w:tabs>
        <w:tab w:val="num" w:pos="2381"/>
        <w:tab w:val="right" w:pos="7088"/>
      </w:tabs>
      <w:suppressAutoHyphens/>
      <w:overflowPunct/>
      <w:autoSpaceDE/>
      <w:autoSpaceDN/>
      <w:adjustRightInd/>
      <w:spacing w:before="60" w:after="60" w:line="360" w:lineRule="auto"/>
      <w:ind w:left="2381" w:hanging="1814"/>
      <w:textAlignment w:val="auto"/>
    </w:pPr>
    <w:rPr>
      <w:iCs/>
      <w:caps/>
      <w:spacing w:val="20"/>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770724">
      <w:bodyDiv w:val="1"/>
      <w:marLeft w:val="0"/>
      <w:marRight w:val="0"/>
      <w:marTop w:val="0"/>
      <w:marBottom w:val="0"/>
      <w:divBdr>
        <w:top w:val="none" w:sz="0" w:space="0" w:color="auto"/>
        <w:left w:val="none" w:sz="0" w:space="0" w:color="auto"/>
        <w:bottom w:val="none" w:sz="0" w:space="0" w:color="auto"/>
        <w:right w:val="none" w:sz="0" w:space="0" w:color="auto"/>
      </w:divBdr>
    </w:div>
    <w:div w:id="187186944">
      <w:bodyDiv w:val="1"/>
      <w:marLeft w:val="0"/>
      <w:marRight w:val="0"/>
      <w:marTop w:val="0"/>
      <w:marBottom w:val="0"/>
      <w:divBdr>
        <w:top w:val="none" w:sz="0" w:space="0" w:color="auto"/>
        <w:left w:val="none" w:sz="0" w:space="0" w:color="auto"/>
        <w:bottom w:val="none" w:sz="0" w:space="0" w:color="auto"/>
        <w:right w:val="none" w:sz="0" w:space="0" w:color="auto"/>
      </w:divBdr>
    </w:div>
    <w:div w:id="216864372">
      <w:bodyDiv w:val="1"/>
      <w:marLeft w:val="0"/>
      <w:marRight w:val="0"/>
      <w:marTop w:val="0"/>
      <w:marBottom w:val="0"/>
      <w:divBdr>
        <w:top w:val="none" w:sz="0" w:space="0" w:color="auto"/>
        <w:left w:val="none" w:sz="0" w:space="0" w:color="auto"/>
        <w:bottom w:val="none" w:sz="0" w:space="0" w:color="auto"/>
        <w:right w:val="none" w:sz="0" w:space="0" w:color="auto"/>
      </w:divBdr>
    </w:div>
    <w:div w:id="401172885">
      <w:bodyDiv w:val="1"/>
      <w:marLeft w:val="0"/>
      <w:marRight w:val="0"/>
      <w:marTop w:val="0"/>
      <w:marBottom w:val="0"/>
      <w:divBdr>
        <w:top w:val="none" w:sz="0" w:space="0" w:color="auto"/>
        <w:left w:val="none" w:sz="0" w:space="0" w:color="auto"/>
        <w:bottom w:val="none" w:sz="0" w:space="0" w:color="auto"/>
        <w:right w:val="none" w:sz="0" w:space="0" w:color="auto"/>
      </w:divBdr>
    </w:div>
    <w:div w:id="804156218">
      <w:bodyDiv w:val="1"/>
      <w:marLeft w:val="0"/>
      <w:marRight w:val="0"/>
      <w:marTop w:val="0"/>
      <w:marBottom w:val="0"/>
      <w:divBdr>
        <w:top w:val="none" w:sz="0" w:space="0" w:color="auto"/>
        <w:left w:val="none" w:sz="0" w:space="0" w:color="auto"/>
        <w:bottom w:val="none" w:sz="0" w:space="0" w:color="auto"/>
        <w:right w:val="none" w:sz="0" w:space="0" w:color="auto"/>
      </w:divBdr>
    </w:div>
    <w:div w:id="891502281">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160190311">
      <w:bodyDiv w:val="1"/>
      <w:marLeft w:val="0"/>
      <w:marRight w:val="0"/>
      <w:marTop w:val="0"/>
      <w:marBottom w:val="0"/>
      <w:divBdr>
        <w:top w:val="none" w:sz="0" w:space="0" w:color="auto"/>
        <w:left w:val="none" w:sz="0" w:space="0" w:color="auto"/>
        <w:bottom w:val="none" w:sz="0" w:space="0" w:color="auto"/>
        <w:right w:val="none" w:sz="0" w:space="0" w:color="auto"/>
      </w:divBdr>
    </w:div>
    <w:div w:id="1238203953">
      <w:bodyDiv w:val="1"/>
      <w:marLeft w:val="0"/>
      <w:marRight w:val="0"/>
      <w:marTop w:val="0"/>
      <w:marBottom w:val="0"/>
      <w:divBdr>
        <w:top w:val="none" w:sz="0" w:space="0" w:color="auto"/>
        <w:left w:val="none" w:sz="0" w:space="0" w:color="auto"/>
        <w:bottom w:val="none" w:sz="0" w:space="0" w:color="auto"/>
        <w:right w:val="none" w:sz="0" w:space="0" w:color="auto"/>
      </w:divBdr>
    </w:div>
    <w:div w:id="1320616558">
      <w:bodyDiv w:val="1"/>
      <w:marLeft w:val="0"/>
      <w:marRight w:val="0"/>
      <w:marTop w:val="0"/>
      <w:marBottom w:val="0"/>
      <w:divBdr>
        <w:top w:val="none" w:sz="0" w:space="0" w:color="auto"/>
        <w:left w:val="none" w:sz="0" w:space="0" w:color="auto"/>
        <w:bottom w:val="none" w:sz="0" w:space="0" w:color="auto"/>
        <w:right w:val="none" w:sz="0" w:space="0" w:color="auto"/>
      </w:divBdr>
    </w:div>
    <w:div w:id="1473062439">
      <w:bodyDiv w:val="1"/>
      <w:marLeft w:val="0"/>
      <w:marRight w:val="0"/>
      <w:marTop w:val="0"/>
      <w:marBottom w:val="0"/>
      <w:divBdr>
        <w:top w:val="none" w:sz="0" w:space="0" w:color="auto"/>
        <w:left w:val="none" w:sz="0" w:space="0" w:color="auto"/>
        <w:bottom w:val="none" w:sz="0" w:space="0" w:color="auto"/>
        <w:right w:val="none" w:sz="0" w:space="0" w:color="auto"/>
      </w:divBdr>
    </w:div>
    <w:div w:id="1491556964">
      <w:bodyDiv w:val="1"/>
      <w:marLeft w:val="0"/>
      <w:marRight w:val="0"/>
      <w:marTop w:val="0"/>
      <w:marBottom w:val="0"/>
      <w:divBdr>
        <w:top w:val="none" w:sz="0" w:space="0" w:color="auto"/>
        <w:left w:val="none" w:sz="0" w:space="0" w:color="auto"/>
        <w:bottom w:val="none" w:sz="0" w:space="0" w:color="auto"/>
        <w:right w:val="none" w:sz="0" w:space="0" w:color="auto"/>
      </w:divBdr>
      <w:divsChild>
        <w:div w:id="115757735">
          <w:marLeft w:val="144"/>
          <w:marRight w:val="0"/>
          <w:marTop w:val="40"/>
          <w:marBottom w:val="40"/>
          <w:divBdr>
            <w:top w:val="none" w:sz="0" w:space="0" w:color="auto"/>
            <w:left w:val="none" w:sz="0" w:space="0" w:color="auto"/>
            <w:bottom w:val="none" w:sz="0" w:space="0" w:color="auto"/>
            <w:right w:val="none" w:sz="0" w:space="0" w:color="auto"/>
          </w:divBdr>
        </w:div>
        <w:div w:id="1759328636">
          <w:marLeft w:val="144"/>
          <w:marRight w:val="0"/>
          <w:marTop w:val="40"/>
          <w:marBottom w:val="40"/>
          <w:divBdr>
            <w:top w:val="none" w:sz="0" w:space="0" w:color="auto"/>
            <w:left w:val="none" w:sz="0" w:space="0" w:color="auto"/>
            <w:bottom w:val="none" w:sz="0" w:space="0" w:color="auto"/>
            <w:right w:val="none" w:sz="0" w:space="0" w:color="auto"/>
          </w:divBdr>
        </w:div>
      </w:divsChild>
    </w:div>
    <w:div w:id="1591625749">
      <w:bodyDiv w:val="1"/>
      <w:marLeft w:val="0"/>
      <w:marRight w:val="0"/>
      <w:marTop w:val="0"/>
      <w:marBottom w:val="0"/>
      <w:divBdr>
        <w:top w:val="none" w:sz="0" w:space="0" w:color="auto"/>
        <w:left w:val="none" w:sz="0" w:space="0" w:color="auto"/>
        <w:bottom w:val="none" w:sz="0" w:space="0" w:color="auto"/>
        <w:right w:val="none" w:sz="0" w:space="0" w:color="auto"/>
      </w:divBdr>
    </w:div>
    <w:div w:id="1659728288">
      <w:bodyDiv w:val="1"/>
      <w:marLeft w:val="0"/>
      <w:marRight w:val="0"/>
      <w:marTop w:val="0"/>
      <w:marBottom w:val="0"/>
      <w:divBdr>
        <w:top w:val="none" w:sz="0" w:space="0" w:color="auto"/>
        <w:left w:val="none" w:sz="0" w:space="0" w:color="auto"/>
        <w:bottom w:val="none" w:sz="0" w:space="0" w:color="auto"/>
        <w:right w:val="none" w:sz="0" w:space="0" w:color="auto"/>
      </w:divBdr>
    </w:div>
    <w:div w:id="1764951400">
      <w:bodyDiv w:val="1"/>
      <w:marLeft w:val="0"/>
      <w:marRight w:val="0"/>
      <w:marTop w:val="0"/>
      <w:marBottom w:val="0"/>
      <w:divBdr>
        <w:top w:val="none" w:sz="0" w:space="0" w:color="auto"/>
        <w:left w:val="none" w:sz="0" w:space="0" w:color="auto"/>
        <w:bottom w:val="none" w:sz="0" w:space="0" w:color="auto"/>
        <w:right w:val="none" w:sz="0" w:space="0" w:color="auto"/>
      </w:divBdr>
    </w:div>
    <w:div w:id="1869098207">
      <w:bodyDiv w:val="1"/>
      <w:marLeft w:val="0"/>
      <w:marRight w:val="0"/>
      <w:marTop w:val="0"/>
      <w:marBottom w:val="0"/>
      <w:divBdr>
        <w:top w:val="none" w:sz="0" w:space="0" w:color="auto"/>
        <w:left w:val="none" w:sz="0" w:space="0" w:color="auto"/>
        <w:bottom w:val="none" w:sz="0" w:space="0" w:color="auto"/>
        <w:right w:val="none" w:sz="0" w:space="0" w:color="auto"/>
      </w:divBdr>
    </w:div>
    <w:div w:id="190167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1DB45-F2C4-4E68-BCE1-7E600DB7A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15</Pages>
  <Words>5615</Words>
  <Characters>30887</Characters>
  <Application>Microsoft Office Word</Application>
  <DocSecurity>0</DocSecurity>
  <Lines>257</Lines>
  <Paragraphs>72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Cécile Richet</dc:creator>
  <cp:lastModifiedBy>Stephane MARIANI</cp:lastModifiedBy>
  <cp:revision>5</cp:revision>
  <cp:lastPrinted>2025-11-17T13:35:00Z</cp:lastPrinted>
  <dcterms:created xsi:type="dcterms:W3CDTF">2026-02-23T09:57:00Z</dcterms:created>
  <dcterms:modified xsi:type="dcterms:W3CDTF">2026-02-23T14:24:00Z</dcterms:modified>
</cp:coreProperties>
</file>