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Pr="004A1BFA" w:rsidRDefault="00FF387C" w:rsidP="00EE36F5">
                            <w:pPr>
                              <w:jc w:val="center"/>
                              <w:rPr>
                                <w:rFonts w:ascii="Avenir Book" w:hAnsi="Avenir Book"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7D7EB549" w:rsidR="009C223B" w:rsidRPr="004A1BFA" w:rsidRDefault="009C223B" w:rsidP="00E940AF">
                            <w:pPr>
                              <w:rPr>
                                <w:rFonts w:ascii="Avenir Book" w:eastAsia="Times" w:hAnsi="Avenir Boo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219794482"/>
                            <w:bookmarkStart w:id="1" w:name="_Hlk141360971"/>
                            <w:bookmarkStart w:id="2" w:name="_Hlk141360972"/>
                            <w:bookmarkStart w:id="3" w:name="_Hlk141360973"/>
                            <w:bookmarkStart w:id="4" w:name="_Hlk141360974"/>
                            <w:r w:rsidRPr="004A1BFA">
                              <w:rPr>
                                <w:rFonts w:ascii="Avenir Book" w:eastAsia="Times" w:hAnsi="Avenir Book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MARCHE PUBLIC DE SERVICES </w:t>
                            </w:r>
                          </w:p>
                          <w:bookmarkEnd w:id="0"/>
                          <w:p w14:paraId="456BE4F9" w14:textId="77777777" w:rsidR="009C223B" w:rsidRPr="004A1BFA" w:rsidRDefault="009C223B" w:rsidP="00E940AF">
                            <w:pP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Pr="004A1BFA" w:rsidRDefault="009C223B" w:rsidP="00E940AF">
                            <w:pP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2450DE4A" w:rsidR="00E13AE5" w:rsidRPr="004A1BFA" w:rsidRDefault="00842276" w:rsidP="00E940AF">
                            <w:pPr>
                              <w:rPr>
                                <w:rFonts w:ascii="Avenir Book" w:hAnsi="Avenir Book"/>
                                <w:b/>
                                <w:bCs/>
                                <w:noProof/>
                              </w:rPr>
                            </w:pPr>
                            <w:bookmarkStart w:id="5" w:name="_Hlk221289400"/>
                            <w:r>
                              <w:rPr>
                                <w:rFonts w:ascii="Avenir Book" w:eastAsia="Times" w:hAnsi="Avenir Book"/>
                                <w:b/>
                                <w:bCs/>
                                <w:color w:val="E36C0A"/>
                                <w:sz w:val="28"/>
                                <w:szCs w:val="28"/>
                              </w:rPr>
                              <w:t>Accompagnement de la m</w:t>
                            </w:r>
                            <w:r w:rsidR="00E24F8D" w:rsidRPr="004A1BFA">
                              <w:rPr>
                                <w:rFonts w:ascii="Avenir Book" w:eastAsia="Times" w:hAnsi="Avenir Book"/>
                                <w:b/>
                                <w:bCs/>
                                <w:color w:val="E36C0A"/>
                                <w:sz w:val="28"/>
                                <w:szCs w:val="28"/>
                              </w:rPr>
                              <w:t>ission d’audit sur les programmes de rénovation urbaine confiés à l’ANRU et sur le fonctionnement interne de l’ANRU</w:t>
                            </w:r>
                            <w:r>
                              <w:rPr>
                                <w:rFonts w:ascii="Avenir Book" w:eastAsia="Times" w:hAnsi="Avenir Book"/>
                                <w:b/>
                                <w:bCs/>
                                <w:color w:val="E36C0A"/>
                                <w:sz w:val="28"/>
                                <w:szCs w:val="28"/>
                              </w:rPr>
                              <w:t xml:space="preserve"> siège</w:t>
                            </w:r>
                          </w:p>
                          <w:bookmarkEnd w:id="5"/>
                          <w:p w14:paraId="00BC546E" w14:textId="77777777" w:rsidR="009C223B" w:rsidRPr="004A1BFA" w:rsidRDefault="009C223B" w:rsidP="00D10F9F">
                            <w:pPr>
                              <w:jc w:val="left"/>
                              <w:rPr>
                                <w:rFonts w:ascii="Avenir Book" w:hAnsi="Avenir Book"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Pr="004A1BFA" w:rsidRDefault="009C223B" w:rsidP="00D10F9F">
                            <w:pPr>
                              <w:jc w:val="left"/>
                              <w:rPr>
                                <w:rFonts w:ascii="Avenir Book" w:hAnsi="Avenir Book"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Pr="004A1BFA" w:rsidRDefault="009C223B" w:rsidP="00D10F9F">
                            <w:pPr>
                              <w:jc w:val="left"/>
                              <w:rPr>
                                <w:rFonts w:ascii="Avenir Book" w:hAnsi="Avenir Book"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Pr="004A1BFA" w:rsidRDefault="00887F2C" w:rsidP="00D10F9F">
                            <w:pPr>
                              <w:jc w:val="left"/>
                              <w:rPr>
                                <w:rFonts w:ascii="Avenir Book" w:hAnsi="Avenir Book" w:cs="Arial"/>
                                <w:b/>
                                <w:color w:val="004494"/>
                                <w:sz w:val="40"/>
                              </w:rPr>
                            </w:pPr>
                            <w:bookmarkStart w:id="6" w:name="_Hlk221289416"/>
                            <w:r w:rsidRPr="004A1BFA">
                              <w:rPr>
                                <w:rFonts w:ascii="Avenir Book" w:hAnsi="Avenir Book"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Pr="004A1BFA" w:rsidRDefault="00AE73AD" w:rsidP="00A82EEC">
                            <w:pPr>
                              <w:rPr>
                                <w:rFonts w:ascii="Avenir Book" w:eastAsia="Times" w:hAnsi="Avenir Book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7" w:name="_Hlk527729332"/>
                            <w:bookmarkEnd w:id="6"/>
                          </w:p>
                          <w:p w14:paraId="45ACF774" w14:textId="66D8F778" w:rsidR="00FF387C" w:rsidRPr="004A1BFA" w:rsidRDefault="00D46544" w:rsidP="00D10F9F">
                            <w:pPr>
                              <w:rPr>
                                <w:rFonts w:ascii="Avenir Book" w:eastAsia="Times" w:hAnsi="Avenir Book"/>
                                <w:sz w:val="28"/>
                                <w:szCs w:val="28"/>
                              </w:rPr>
                            </w:pPr>
                            <w:bookmarkStart w:id="8" w:name="_Hlk221289444"/>
                            <w:bookmarkStart w:id="9" w:name="_Hlk221289445"/>
                            <w:bookmarkEnd w:id="7"/>
                            <w:r w:rsidRPr="004A1BFA">
                              <w:rPr>
                                <w:rFonts w:ascii="Avenir Book" w:eastAsia="Times" w:hAnsi="Avenir Book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E24F8D" w:rsidRPr="004A1BFA">
                              <w:rPr>
                                <w:rFonts w:ascii="Avenir Book" w:eastAsia="Times" w:hAnsi="Avenir Book"/>
                                <w:sz w:val="28"/>
                                <w:szCs w:val="28"/>
                              </w:rPr>
                              <w:t>2026-01</w:t>
                            </w:r>
                            <w:bookmarkEnd w:id="8"/>
                            <w:bookmarkEnd w:id="9"/>
                          </w:p>
                          <w:bookmarkEnd w:id="1"/>
                          <w:bookmarkEnd w:id="2"/>
                          <w:bookmarkEnd w:id="3"/>
                          <w:bookmarkEnd w:id="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Pr="004A1BFA" w:rsidRDefault="00FF387C" w:rsidP="00EE36F5">
                      <w:pPr>
                        <w:jc w:val="center"/>
                        <w:rPr>
                          <w:rFonts w:ascii="Avenir Book" w:hAnsi="Avenir Book"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7D7EB549" w:rsidR="009C223B" w:rsidRPr="004A1BFA" w:rsidRDefault="009C223B" w:rsidP="00E940AF">
                      <w:pPr>
                        <w:rPr>
                          <w:rFonts w:ascii="Avenir Book" w:eastAsia="Times" w:hAnsi="Avenir Book"/>
                          <w:b/>
                          <w:bCs/>
                          <w:sz w:val="28"/>
                          <w:szCs w:val="28"/>
                        </w:rPr>
                      </w:pPr>
                      <w:bookmarkStart w:id="10" w:name="_Hlk219794482"/>
                      <w:bookmarkStart w:id="11" w:name="_Hlk141360971"/>
                      <w:bookmarkStart w:id="12" w:name="_Hlk141360972"/>
                      <w:bookmarkStart w:id="13" w:name="_Hlk141360973"/>
                      <w:bookmarkStart w:id="14" w:name="_Hlk141360974"/>
                      <w:r w:rsidRPr="004A1BFA">
                        <w:rPr>
                          <w:rFonts w:ascii="Avenir Book" w:eastAsia="Times" w:hAnsi="Avenir Book"/>
                          <w:b/>
                          <w:bCs/>
                          <w:sz w:val="28"/>
                          <w:szCs w:val="28"/>
                        </w:rPr>
                        <w:t xml:space="preserve">MARCHE PUBLIC DE SERVICES </w:t>
                      </w:r>
                    </w:p>
                    <w:bookmarkEnd w:id="10"/>
                    <w:p w14:paraId="456BE4F9" w14:textId="77777777" w:rsidR="009C223B" w:rsidRPr="004A1BFA" w:rsidRDefault="009C223B" w:rsidP="00E940AF">
                      <w:pP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Pr="004A1BFA" w:rsidRDefault="009C223B" w:rsidP="00E940AF">
                      <w:pP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2450DE4A" w:rsidR="00E13AE5" w:rsidRPr="004A1BFA" w:rsidRDefault="00842276" w:rsidP="00E940AF">
                      <w:pPr>
                        <w:rPr>
                          <w:rFonts w:ascii="Avenir Book" w:hAnsi="Avenir Book"/>
                          <w:b/>
                          <w:bCs/>
                          <w:noProof/>
                        </w:rPr>
                      </w:pPr>
                      <w:bookmarkStart w:id="15" w:name="_Hlk221289400"/>
                      <w:r>
                        <w:rPr>
                          <w:rFonts w:ascii="Avenir Book" w:eastAsia="Times" w:hAnsi="Avenir Book"/>
                          <w:b/>
                          <w:bCs/>
                          <w:color w:val="E36C0A"/>
                          <w:sz w:val="28"/>
                          <w:szCs w:val="28"/>
                        </w:rPr>
                        <w:t>Accompagnement de la m</w:t>
                      </w:r>
                      <w:r w:rsidR="00E24F8D" w:rsidRPr="004A1BFA">
                        <w:rPr>
                          <w:rFonts w:ascii="Avenir Book" w:eastAsia="Times" w:hAnsi="Avenir Book"/>
                          <w:b/>
                          <w:bCs/>
                          <w:color w:val="E36C0A"/>
                          <w:sz w:val="28"/>
                          <w:szCs w:val="28"/>
                        </w:rPr>
                        <w:t>ission d’audit sur les programmes de rénovation urbaine confiés à l’ANRU et sur le fonctionnement interne de l’ANRU</w:t>
                      </w:r>
                      <w:r>
                        <w:rPr>
                          <w:rFonts w:ascii="Avenir Book" w:eastAsia="Times" w:hAnsi="Avenir Book"/>
                          <w:b/>
                          <w:bCs/>
                          <w:color w:val="E36C0A"/>
                          <w:sz w:val="28"/>
                          <w:szCs w:val="28"/>
                        </w:rPr>
                        <w:t xml:space="preserve"> siège</w:t>
                      </w:r>
                    </w:p>
                    <w:bookmarkEnd w:id="15"/>
                    <w:p w14:paraId="00BC546E" w14:textId="77777777" w:rsidR="009C223B" w:rsidRPr="004A1BFA" w:rsidRDefault="009C223B" w:rsidP="00D10F9F">
                      <w:pPr>
                        <w:jc w:val="left"/>
                        <w:rPr>
                          <w:rFonts w:ascii="Avenir Book" w:hAnsi="Avenir Book"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Pr="004A1BFA" w:rsidRDefault="009C223B" w:rsidP="00D10F9F">
                      <w:pPr>
                        <w:jc w:val="left"/>
                        <w:rPr>
                          <w:rFonts w:ascii="Avenir Book" w:hAnsi="Avenir Book"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Pr="004A1BFA" w:rsidRDefault="009C223B" w:rsidP="00D10F9F">
                      <w:pPr>
                        <w:jc w:val="left"/>
                        <w:rPr>
                          <w:rFonts w:ascii="Avenir Book" w:hAnsi="Avenir Book"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Pr="004A1BFA" w:rsidRDefault="00887F2C" w:rsidP="00D10F9F">
                      <w:pPr>
                        <w:jc w:val="left"/>
                        <w:rPr>
                          <w:rFonts w:ascii="Avenir Book" w:hAnsi="Avenir Book" w:cs="Arial"/>
                          <w:b/>
                          <w:color w:val="004494"/>
                          <w:sz w:val="40"/>
                        </w:rPr>
                      </w:pPr>
                      <w:bookmarkStart w:id="16" w:name="_Hlk221289416"/>
                      <w:r w:rsidRPr="004A1BFA">
                        <w:rPr>
                          <w:rFonts w:ascii="Avenir Book" w:hAnsi="Avenir Book"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Pr="004A1BFA" w:rsidRDefault="00AE73AD" w:rsidP="00A82EEC">
                      <w:pPr>
                        <w:rPr>
                          <w:rFonts w:ascii="Avenir Book" w:eastAsia="Times" w:hAnsi="Avenir Book"/>
                          <w:color w:val="E36C0A"/>
                          <w:sz w:val="28"/>
                          <w:szCs w:val="28"/>
                        </w:rPr>
                      </w:pPr>
                      <w:bookmarkStart w:id="17" w:name="_Hlk527729332"/>
                      <w:bookmarkEnd w:id="16"/>
                    </w:p>
                    <w:p w14:paraId="45ACF774" w14:textId="66D8F778" w:rsidR="00FF387C" w:rsidRPr="004A1BFA" w:rsidRDefault="00D46544" w:rsidP="00D10F9F">
                      <w:pPr>
                        <w:rPr>
                          <w:rFonts w:ascii="Avenir Book" w:eastAsia="Times" w:hAnsi="Avenir Book"/>
                          <w:sz w:val="28"/>
                          <w:szCs w:val="28"/>
                        </w:rPr>
                      </w:pPr>
                      <w:bookmarkStart w:id="18" w:name="_Hlk221289444"/>
                      <w:bookmarkStart w:id="19" w:name="_Hlk221289445"/>
                      <w:bookmarkEnd w:id="17"/>
                      <w:r w:rsidRPr="004A1BFA">
                        <w:rPr>
                          <w:rFonts w:ascii="Avenir Book" w:eastAsia="Times" w:hAnsi="Avenir Book"/>
                          <w:sz w:val="28"/>
                          <w:szCs w:val="28"/>
                        </w:rPr>
                        <w:t xml:space="preserve">Référence du marché : </w:t>
                      </w:r>
                      <w:r w:rsidR="00E24F8D" w:rsidRPr="004A1BFA">
                        <w:rPr>
                          <w:rFonts w:ascii="Avenir Book" w:eastAsia="Times" w:hAnsi="Avenir Book"/>
                          <w:sz w:val="28"/>
                          <w:szCs w:val="28"/>
                        </w:rPr>
                        <w:t>2026-01</w:t>
                      </w:r>
                      <w:bookmarkEnd w:id="18"/>
                      <w:bookmarkEnd w:id="19"/>
                    </w:p>
                    <w:bookmarkEnd w:id="11"/>
                    <w:bookmarkEnd w:id="12"/>
                    <w:bookmarkEnd w:id="13"/>
                    <w:bookmarkEnd w:id="14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11A94F1C" w:rsidR="00E9417F" w:rsidRDefault="00E9417F" w:rsidP="00A70462"/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</w:t>
      </w:r>
      <w:r w:rsidRPr="00E24F8D">
        <w:rPr>
          <w:i/>
          <w:iCs/>
        </w:rPr>
        <w:t>articles R. 2191-59 à R. 2191-62 du Code de la commande publique</w:t>
      </w:r>
      <w:r>
        <w:t xml:space="preserve">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4C4436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4C4436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 xml:space="preserve">Adresse </w:t>
            </w:r>
            <w:proofErr w:type="gramStart"/>
            <w:r w:rsidRPr="00061BAD">
              <w:rPr>
                <w:rFonts w:cs="Arial"/>
                <w:color w:val="C0504D" w:themeColor="accent2"/>
              </w:rPr>
              <w:t>e-mail</w:t>
            </w:r>
            <w:proofErr w:type="gramEnd"/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 xml:space="preserve">Adresse </w:t>
            </w:r>
            <w:proofErr w:type="gramStart"/>
            <w:r w:rsidRPr="00061BAD">
              <w:rPr>
                <w:rFonts w:cs="Arial"/>
                <w:color w:val="C0504D" w:themeColor="accent2"/>
              </w:rPr>
              <w:t>e-mail</w:t>
            </w:r>
            <w:proofErr w:type="gramEnd"/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7180A555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 xml:space="preserve">Objet </w:t>
      </w:r>
      <w:r w:rsidR="00D25639">
        <w:t xml:space="preserve">du marché </w:t>
      </w:r>
      <w:r w:rsidR="00E24F8D">
        <w:t>public</w:t>
      </w:r>
    </w:p>
    <w:p w14:paraId="46EC27FC" w14:textId="1A4D26D4" w:rsidR="007D693C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20" w:name="_Hlk102379509"/>
      <w:r>
        <w:rPr>
          <w:rFonts w:cs="Arial"/>
          <w:lang w:eastAsia="ar-SA"/>
        </w:rPr>
        <w:t xml:space="preserve">Le présent </w:t>
      </w:r>
      <w:r w:rsidR="00D25639" w:rsidRPr="00E24F8D">
        <w:rPr>
          <w:rFonts w:cs="Arial"/>
          <w:lang w:eastAsia="ar-SA"/>
        </w:rPr>
        <w:t xml:space="preserve">marché </w:t>
      </w:r>
      <w:r w:rsidR="00E24F8D">
        <w:rPr>
          <w:rFonts w:cs="Arial"/>
          <w:lang w:eastAsia="ar-SA"/>
        </w:rPr>
        <w:t>public</w:t>
      </w:r>
      <w:r w:rsidRPr="00E13AE5">
        <w:rPr>
          <w:rFonts w:cs="Arial"/>
          <w:lang w:eastAsia="ar-SA"/>
        </w:rPr>
        <w:t xml:space="preserve"> a pour objet</w:t>
      </w:r>
      <w:r w:rsidR="00A50288">
        <w:rPr>
          <w:rFonts w:cs="Arial"/>
          <w:lang w:eastAsia="ar-SA"/>
        </w:rPr>
        <w:t xml:space="preserve"> un accompagnement de</w:t>
      </w:r>
      <w:r w:rsidRPr="00E13AE5">
        <w:rPr>
          <w:rFonts w:cs="Arial"/>
          <w:lang w:eastAsia="ar-SA"/>
        </w:rPr>
        <w:t xml:space="preserve"> </w:t>
      </w:r>
      <w:r w:rsidR="00E24F8D">
        <w:rPr>
          <w:rFonts w:cs="Arial"/>
          <w:lang w:eastAsia="ar-SA"/>
        </w:rPr>
        <w:t>l</w:t>
      </w:r>
      <w:r w:rsidR="00A50288">
        <w:rPr>
          <w:rFonts w:cs="Arial"/>
          <w:lang w:eastAsia="ar-SA"/>
        </w:rPr>
        <w:t>a</w:t>
      </w:r>
      <w:r w:rsidR="00E24F8D">
        <w:rPr>
          <w:rFonts w:cs="Arial"/>
          <w:lang w:eastAsia="ar-SA"/>
        </w:rPr>
        <w:t xml:space="preserve"> mission d’audit sur les programmes de rénovation urbaine confiés à l’ANRU et sur le fonctionnement interne de l’ANRU</w:t>
      </w:r>
      <w:r w:rsidR="00A50288">
        <w:rPr>
          <w:rFonts w:cs="Arial"/>
          <w:lang w:eastAsia="ar-SA"/>
        </w:rPr>
        <w:t xml:space="preserve"> siège</w:t>
      </w:r>
      <w:r>
        <w:rPr>
          <w:rFonts w:cs="Arial"/>
          <w:lang w:eastAsia="ar-SA"/>
        </w:rPr>
        <w:t>.</w:t>
      </w:r>
    </w:p>
    <w:p w14:paraId="696AB8F4" w14:textId="77777777" w:rsidR="00F764BF" w:rsidRDefault="00F764BF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1FB2BC75" w14:textId="4009330C" w:rsidR="00E24F8D" w:rsidRDefault="00E24F8D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842276">
        <w:rPr>
          <w:rFonts w:cs="Arial"/>
          <w:lang w:eastAsia="ar-SA"/>
        </w:rPr>
        <w:t xml:space="preserve">Pour le surplus, se référer </w:t>
      </w:r>
      <w:r w:rsidR="00A50288">
        <w:rPr>
          <w:rFonts w:cs="Arial"/>
          <w:lang w:eastAsia="ar-SA"/>
        </w:rPr>
        <w:t>aux</w:t>
      </w:r>
      <w:r w:rsidR="003D6637" w:rsidRPr="00842276">
        <w:rPr>
          <w:rFonts w:cs="Arial"/>
          <w:lang w:eastAsia="ar-SA"/>
        </w:rPr>
        <w:t xml:space="preserve"> </w:t>
      </w:r>
      <w:r w:rsidR="003D6637" w:rsidRPr="00842276">
        <w:rPr>
          <w:rFonts w:cs="Arial"/>
          <w:i/>
          <w:iCs/>
          <w:lang w:eastAsia="ar-SA"/>
        </w:rPr>
        <w:t>article</w:t>
      </w:r>
      <w:r w:rsidR="00A50288">
        <w:rPr>
          <w:rFonts w:cs="Arial"/>
          <w:i/>
          <w:iCs/>
          <w:lang w:eastAsia="ar-SA"/>
        </w:rPr>
        <w:t>s</w:t>
      </w:r>
      <w:r w:rsidR="003D6637" w:rsidRPr="00842276">
        <w:rPr>
          <w:rFonts w:cs="Arial"/>
          <w:i/>
          <w:iCs/>
          <w:lang w:eastAsia="ar-SA"/>
        </w:rPr>
        <w:t xml:space="preserve"> </w:t>
      </w:r>
      <w:r w:rsidR="00842276" w:rsidRPr="00842276">
        <w:rPr>
          <w:rFonts w:cs="Arial"/>
          <w:i/>
          <w:iCs/>
          <w:lang w:eastAsia="ar-SA"/>
        </w:rPr>
        <w:t>1 « Présentation de l’ANRU et de la fonction d’audit »</w:t>
      </w:r>
      <w:r w:rsidR="00A50288">
        <w:rPr>
          <w:rFonts w:cs="Arial"/>
          <w:i/>
          <w:iCs/>
          <w:lang w:eastAsia="ar-SA"/>
        </w:rPr>
        <w:t>, 2 « Champ d’intervention » et 3 « Descriptif des prestations »</w:t>
      </w:r>
      <w:r w:rsidR="003D6637" w:rsidRPr="00842276">
        <w:rPr>
          <w:rFonts w:cs="Arial"/>
          <w:lang w:eastAsia="ar-SA"/>
        </w:rPr>
        <w:t xml:space="preserve"> du CCTP.</w:t>
      </w:r>
    </w:p>
    <w:p w14:paraId="69B32844" w14:textId="77777777" w:rsidR="00E13AE5" w:rsidRPr="00125863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bookmarkEnd w:id="20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052115B0" w:rsidR="00D25639" w:rsidRDefault="00D25639" w:rsidP="00D25639">
      <w:r>
        <w:t>La consultation est lancée sous la forme d’u</w:t>
      </w:r>
      <w:r w:rsidR="00F764BF">
        <w:t>n appel d’offres ouvert</w:t>
      </w:r>
      <w:r>
        <w:t xml:space="preserve"> conformément aux </w:t>
      </w:r>
      <w:r w:rsidRPr="00E24F8D">
        <w:rPr>
          <w:i/>
          <w:iCs/>
        </w:rPr>
        <w:t>articles L2124-2 et R. 212</w:t>
      </w:r>
      <w:r w:rsidR="00F764BF">
        <w:rPr>
          <w:i/>
          <w:iCs/>
        </w:rPr>
        <w:t>4</w:t>
      </w:r>
      <w:r w:rsidRPr="00E24F8D">
        <w:rPr>
          <w:i/>
          <w:iCs/>
        </w:rPr>
        <w:t>-1 à R.2124-</w:t>
      </w:r>
      <w:r w:rsidR="00F764BF">
        <w:rPr>
          <w:i/>
          <w:iCs/>
        </w:rPr>
        <w:t>6</w:t>
      </w:r>
      <w:r w:rsidRPr="00E24F8D">
        <w:rPr>
          <w:i/>
          <w:iCs/>
        </w:rPr>
        <w:t xml:space="preserve"> du Code de la commande publique</w:t>
      </w:r>
      <w:r>
        <w:t xml:space="preserve">. </w:t>
      </w:r>
    </w:p>
    <w:p w14:paraId="1858BE94" w14:textId="4D2843C4" w:rsidR="00E940AF" w:rsidRPr="00E940AF" w:rsidRDefault="00E940AF" w:rsidP="00E940AF">
      <w:pPr>
        <w:rPr>
          <w:rFonts w:cs="Arial"/>
        </w:rPr>
      </w:pPr>
    </w:p>
    <w:p w14:paraId="0890E1E6" w14:textId="77777777" w:rsidR="00E940AF" w:rsidRPr="00E940AF" w:rsidRDefault="00E940AF" w:rsidP="00E940AF">
      <w:pPr>
        <w:rPr>
          <w:rFonts w:cs="Arial"/>
        </w:rPr>
      </w:pPr>
    </w:p>
    <w:p w14:paraId="277ADAA5" w14:textId="3B6E860A" w:rsidR="00E940AF" w:rsidRDefault="00E13AE5" w:rsidP="00E940AF">
      <w:pPr>
        <w:rPr>
          <w:rFonts w:cs="Arial"/>
        </w:rPr>
      </w:pPr>
      <w:r w:rsidRPr="00E13AE5">
        <w:rPr>
          <w:rFonts w:cs="Arial"/>
        </w:rPr>
        <w:t xml:space="preserve">Conformément aux dispositions de </w:t>
      </w:r>
      <w:r w:rsidRPr="00E24F8D">
        <w:rPr>
          <w:rFonts w:cs="Arial"/>
          <w:i/>
          <w:iCs/>
        </w:rPr>
        <w:t>l’article L2113-11 du code de la commande publique</w:t>
      </w:r>
      <w:r w:rsidRPr="00E13AE5">
        <w:rPr>
          <w:rFonts w:cs="Arial"/>
        </w:rPr>
        <w:t xml:space="preserve">, il est précisé que le présent </w:t>
      </w:r>
      <w:r w:rsidR="00D25639" w:rsidRPr="00F764BF">
        <w:rPr>
          <w:rFonts w:cs="Arial"/>
        </w:rPr>
        <w:t>marché</w:t>
      </w:r>
      <w:r w:rsidRPr="00E13AE5">
        <w:rPr>
          <w:rFonts w:cs="Arial"/>
        </w:rPr>
        <w:t xml:space="preserve"> n’est pas alloti dans la mesure où le présent marché ne permet pas l’identification de prestations distinctes.</w:t>
      </w:r>
    </w:p>
    <w:p w14:paraId="05E4A787" w14:textId="77777777" w:rsidR="00E13AE5" w:rsidRDefault="00E13AE5" w:rsidP="00E940AF">
      <w:pPr>
        <w:rPr>
          <w:rFonts w:cs="Arial"/>
        </w:rPr>
      </w:pPr>
    </w:p>
    <w:p w14:paraId="72A5A4CB" w14:textId="35C17863" w:rsidR="00274ED7" w:rsidRPr="00274ED7" w:rsidRDefault="00274ED7" w:rsidP="00E940AF">
      <w:pPr>
        <w:rPr>
          <w:rFonts w:cs="Arial"/>
          <w:i/>
          <w:iCs/>
          <w:color w:val="0070C0"/>
          <w:u w:val="single"/>
        </w:rPr>
      </w:pPr>
    </w:p>
    <w:p w14:paraId="514D9AA5" w14:textId="1B786302" w:rsidR="00E13AE5" w:rsidRPr="00F764BF" w:rsidRDefault="00274ED7" w:rsidP="00E13AE5">
      <w:pPr>
        <w:rPr>
          <w:rFonts w:cs="Arial"/>
        </w:rPr>
      </w:pPr>
      <w:bookmarkStart w:id="21" w:name="_Hlk143094512"/>
      <w:bookmarkStart w:id="22" w:name="_Hlk133227881"/>
      <w:r>
        <w:rPr>
          <w:rFonts w:cs="Arial"/>
        </w:rPr>
        <w:t>Il s’agit d’un accord-cadre à bons de commandes</w:t>
      </w:r>
      <w:bookmarkEnd w:id="21"/>
      <w:r w:rsidR="00F764BF">
        <w:rPr>
          <w:rFonts w:cs="Arial"/>
        </w:rPr>
        <w:t>,</w:t>
      </w:r>
      <w:r w:rsidR="00E13AE5" w:rsidRPr="00E13AE5">
        <w:rPr>
          <w:rFonts w:cs="Arial"/>
        </w:rPr>
        <w:t xml:space="preserve"> mono-attributaire</w:t>
      </w:r>
      <w:bookmarkEnd w:id="22"/>
      <w:r w:rsidR="00D25639">
        <w:rPr>
          <w:rFonts w:cs="Arial"/>
        </w:rPr>
        <w:t>.</w:t>
      </w:r>
    </w:p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0C71C2C0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8C2555">
        <w:rPr>
          <w:bCs/>
        </w:rPr>
        <w:t xml:space="preserve"> et ses </w:t>
      </w:r>
      <w:proofErr w:type="gramStart"/>
      <w:r w:rsidR="008C2555">
        <w:rPr>
          <w:bCs/>
        </w:rPr>
        <w:t xml:space="preserve">annexes 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  <w:proofErr w:type="gramEnd"/>
    </w:p>
    <w:p w14:paraId="6EC49748" w14:textId="148F0C2A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  <w:r w:rsidR="00613444">
        <w:rPr>
          <w:bCs/>
        </w:rPr>
        <w:t> ;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1BD8CFDD" w14:textId="5D74F5F0" w:rsidR="000F2CBD" w:rsidRPr="00613444" w:rsidRDefault="000F2CBD" w:rsidP="00613444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 ;</w:t>
      </w:r>
    </w:p>
    <w:p w14:paraId="609AC079" w14:textId="31CAA1C4" w:rsidR="00CD384C" w:rsidRPr="000F2CBD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427DF1">
        <w:rPr>
          <w:bCs/>
        </w:rPr>
        <w:t xml:space="preserve"> – pièce non jointe mais réputée connue du Titulaire dans l’ensemble de ses clauses</w:t>
      </w:r>
      <w:r w:rsidR="009C2F5A">
        <w:rPr>
          <w:bCs/>
        </w:rPr>
        <w:t>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14:paraId="1B72FD04" w14:textId="77777777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</w:t>
      </w:r>
      <w:r w:rsidRPr="009C2F5A">
        <w:rPr>
          <w:i/>
          <w:iCs/>
        </w:rPr>
        <w:t>l’article R. 2112-4 du Code de la commande publique</w:t>
      </w:r>
      <w:r w:rsidRPr="00EE5E93">
        <w:t xml:space="preserve">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BA4E0C" w14:textId="49F8C461" w:rsidR="00806C75" w:rsidRDefault="00806C75" w:rsidP="00806C75">
      <w:pPr>
        <w:rPr>
          <w:b/>
          <w:bCs/>
        </w:rPr>
      </w:pPr>
    </w:p>
    <w:p w14:paraId="00A60A51" w14:textId="77777777" w:rsidR="009C2F5A" w:rsidRDefault="009C2F5A" w:rsidP="00806C75"/>
    <w:p w14:paraId="5599F970" w14:textId="0AE70E7B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97995">
        <w:t>Prix</w:t>
      </w:r>
      <w:r w:rsidR="000F2CBD">
        <w:t xml:space="preserve"> / Montant </w:t>
      </w:r>
      <w:r w:rsidR="00927C9C" w:rsidRPr="00424CCC">
        <w:t>de l’accord-cadre</w:t>
      </w:r>
      <w:bookmarkStart w:id="23" w:name="_Hlk97642280"/>
    </w:p>
    <w:p w14:paraId="5788DB9A" w14:textId="0B122493" w:rsidR="000F2CBD" w:rsidRDefault="000F2CBD" w:rsidP="000F2CBD">
      <w:r>
        <w:t>L’ANRU peut émettre des bons de commande pour toute prestation entrant dans le périmètre du présent accord-cadre. L’émission des bons de commande se fait sur la base des prix unitaires indiqués par le titulaire</w:t>
      </w:r>
      <w:r w:rsidR="001D6E4D">
        <w:t>, dans sa pièce financière</w:t>
      </w:r>
      <w:r>
        <w:t xml:space="preserve">. </w:t>
      </w:r>
    </w:p>
    <w:p w14:paraId="385D99A2" w14:textId="77777777" w:rsidR="000F2CBD" w:rsidRDefault="000F2CBD" w:rsidP="000F2CBD"/>
    <w:p w14:paraId="79DBAAE6" w14:textId="7731B876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</w:t>
      </w:r>
      <w:r w:rsidR="009C2F5A">
        <w:t>avec un</w:t>
      </w:r>
      <w:r>
        <w:t xml:space="preserve"> montant</w:t>
      </w:r>
      <w:r w:rsidRPr="00614E0E">
        <w:t xml:space="preserve"> minimum </w:t>
      </w:r>
      <w:r w:rsidR="009C2F5A">
        <w:t>et</w:t>
      </w:r>
      <w:r w:rsidRPr="00614E0E">
        <w:t xml:space="preserve">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34ED51BE" w14:textId="77777777" w:rsidR="000F2CBD" w:rsidRPr="00E33092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</w:tc>
        <w:tc>
          <w:tcPr>
            <w:tcW w:w="5097" w:type="dxa"/>
          </w:tcPr>
          <w:p w14:paraId="0F65B2AE" w14:textId="77777777" w:rsidR="000F2CBD" w:rsidRPr="00E33092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3623CC2E" w14:textId="7F7A36F2" w:rsidR="000F2CBD" w:rsidRPr="00E33092" w:rsidRDefault="003D6637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300.000 € HT</w:t>
            </w:r>
            <w:r w:rsidRPr="00E33092">
              <w:rPr>
                <w:color w:val="C0504D" w:themeColor="accent2"/>
              </w:rPr>
              <w:t xml:space="preserve"> </w:t>
            </w: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62A7B79E" w:rsidR="000F2CBD" w:rsidRPr="00E33092" w:rsidRDefault="004B22F2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6</w:t>
            </w:r>
            <w:r w:rsidR="003D6637">
              <w:rPr>
                <w:color w:val="C0504D" w:themeColor="accent2"/>
              </w:rPr>
              <w:t>00.000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3F63B876" w14:textId="6A83E376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bookmarkEnd w:id="23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69FDA3D9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</w:t>
      </w:r>
      <w:r w:rsidR="001D6E4D">
        <w:rPr>
          <w:szCs w:val="18"/>
        </w:rPr>
        <w:t xml:space="preserve">à </w:t>
      </w:r>
      <w:r w:rsidR="001D6E4D" w:rsidRPr="001D6E4D">
        <w:rPr>
          <w:i/>
          <w:iCs/>
          <w:szCs w:val="18"/>
        </w:rPr>
        <w:t>l’article 15.1 « Avance »</w:t>
      </w:r>
      <w:r w:rsidR="001D6E4D">
        <w:rPr>
          <w:szCs w:val="18"/>
        </w:rPr>
        <w:t xml:space="preserve"> du</w:t>
      </w:r>
      <w:r w:rsidRPr="00157356">
        <w:rPr>
          <w:szCs w:val="18"/>
        </w:rPr>
        <w:t xml:space="preserve">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0A19F92F" w14:textId="350CC1F1" w:rsidR="009C2F5A" w:rsidRDefault="009C2F5A" w:rsidP="00E238CA"/>
    <w:p w14:paraId="420BF646" w14:textId="77777777" w:rsidR="009C2F5A" w:rsidRPr="00E238CA" w:rsidRDefault="009C2F5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 w:rsidRPr="001D6E4D">
              <w:rPr>
                <w:i/>
                <w:iCs/>
              </w:rPr>
              <w:t xml:space="preserve">articles </w:t>
            </w:r>
            <w:r w:rsidR="0030426C" w:rsidRPr="001D6E4D">
              <w:rPr>
                <w:i/>
                <w:iCs/>
              </w:rPr>
              <w:t>L</w:t>
            </w:r>
            <w:r w:rsidR="00ED0EE5" w:rsidRPr="001D6E4D">
              <w:rPr>
                <w:i/>
                <w:iCs/>
              </w:rPr>
              <w:t>2141-1 et suivants</w:t>
            </w:r>
            <w:r w:rsidR="00ED0EE5">
              <w:t xml:space="preserve">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3D752EDD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</w:t>
            </w:r>
            <w:r w:rsidR="001D6E4D">
              <w:rPr>
                <w:rFonts w:cs="Arial"/>
              </w:rPr>
              <w:t>8</w:t>
            </w:r>
            <w:r w:rsidRPr="008C7322">
              <w:rPr>
                <w:rFonts w:cs="Arial"/>
              </w:rPr>
              <w:t xml:space="preserve">0 (cent </w:t>
            </w:r>
            <w:proofErr w:type="gramStart"/>
            <w:r w:rsidR="001D6E4D">
              <w:rPr>
                <w:rFonts w:cs="Arial"/>
              </w:rPr>
              <w:t>quatre-vingt</w:t>
            </w:r>
            <w:proofErr w:type="gramEnd"/>
            <w:r w:rsidR="001D6E4D">
              <w:rPr>
                <w:rFonts w:cs="Arial"/>
              </w:rPr>
              <w:t>)</w:t>
            </w:r>
            <w:r w:rsidRPr="008C7322">
              <w:rPr>
                <w:rFonts w:cs="Arial"/>
              </w:rPr>
              <w:t xml:space="preserve">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870CC" w14:textId="77777777" w:rsidR="004C4436" w:rsidRDefault="004C4436">
      <w:r>
        <w:separator/>
      </w:r>
    </w:p>
  </w:endnote>
  <w:endnote w:type="continuationSeparator" w:id="0">
    <w:p w14:paraId="55765070" w14:textId="77777777" w:rsidR="004C4436" w:rsidRDefault="004C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1C738184" w:rsidR="00FF387C" w:rsidRPr="003D6637" w:rsidRDefault="00842276" w:rsidP="008037E7">
    <w:pPr>
      <w:pStyle w:val="Pieddepage"/>
      <w:ind w:right="360"/>
      <w:jc w:val="center"/>
      <w:rPr>
        <w:rFonts w:ascii="Avenir Book" w:hAnsi="Avenir Book"/>
        <w:color w:val="DE6422"/>
        <w:sz w:val="18"/>
        <w:szCs w:val="18"/>
      </w:rPr>
    </w:pPr>
    <w:bookmarkStart w:id="24" w:name="_Hlk221289591"/>
    <w:bookmarkStart w:id="25" w:name="_Hlk221289592"/>
    <w:r>
      <w:rPr>
        <w:rFonts w:ascii="Avenir Book" w:hAnsi="Avenir Book"/>
        <w:color w:val="DE6422"/>
        <w:sz w:val="18"/>
        <w:szCs w:val="18"/>
      </w:rPr>
      <w:t>Accompagnement de la m</w:t>
    </w:r>
    <w:r w:rsidR="003D6637" w:rsidRPr="003D6637">
      <w:rPr>
        <w:rFonts w:ascii="Avenir Book" w:hAnsi="Avenir Book"/>
        <w:color w:val="DE6422"/>
        <w:sz w:val="18"/>
        <w:szCs w:val="18"/>
      </w:rPr>
      <w:t>ission d’audit sur les programmes de rénovation urbaine confiés à l’ANRU et sur le fonctionnement interne de l’ANRU</w:t>
    </w:r>
    <w:r>
      <w:rPr>
        <w:rFonts w:ascii="Avenir Book" w:hAnsi="Avenir Book"/>
        <w:color w:val="DE6422"/>
        <w:sz w:val="18"/>
        <w:szCs w:val="18"/>
      </w:rPr>
      <w:t xml:space="preserve"> siège</w:t>
    </w:r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B05B1" w14:textId="77777777" w:rsidR="004C4436" w:rsidRDefault="004C4436">
      <w:r>
        <w:separator/>
      </w:r>
    </w:p>
  </w:footnote>
  <w:footnote w:type="continuationSeparator" w:id="0">
    <w:p w14:paraId="649B38D0" w14:textId="77777777" w:rsidR="004C4436" w:rsidRDefault="004C4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0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6"/>
  </w:num>
  <w:num w:numId="2" w16cid:durableId="1701970628">
    <w:abstractNumId w:val="13"/>
  </w:num>
  <w:num w:numId="3" w16cid:durableId="866675451">
    <w:abstractNumId w:val="9"/>
  </w:num>
  <w:num w:numId="4" w16cid:durableId="668560695">
    <w:abstractNumId w:val="0"/>
  </w:num>
  <w:num w:numId="5" w16cid:durableId="433523344">
    <w:abstractNumId w:val="11"/>
  </w:num>
  <w:num w:numId="6" w16cid:durableId="1150900936">
    <w:abstractNumId w:val="7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8"/>
  </w:num>
  <w:num w:numId="11" w16cid:durableId="794442360">
    <w:abstractNumId w:val="14"/>
  </w:num>
  <w:num w:numId="12" w16cid:durableId="1271284330">
    <w:abstractNumId w:val="3"/>
  </w:num>
  <w:num w:numId="13" w16cid:durableId="728923244">
    <w:abstractNumId w:val="10"/>
  </w:num>
  <w:num w:numId="14" w16cid:durableId="1092047553">
    <w:abstractNumId w:val="5"/>
  </w:num>
  <w:num w:numId="15" w16cid:durableId="196589086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327"/>
    <w:rsid w:val="001D16D4"/>
    <w:rsid w:val="001D2DB7"/>
    <w:rsid w:val="001D3A64"/>
    <w:rsid w:val="001D3EEC"/>
    <w:rsid w:val="001D4BBF"/>
    <w:rsid w:val="001D6E4D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75A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637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2846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27DF1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1BFA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2F2"/>
    <w:rsid w:val="004B2BEC"/>
    <w:rsid w:val="004B3AA8"/>
    <w:rsid w:val="004B4CF9"/>
    <w:rsid w:val="004B55BE"/>
    <w:rsid w:val="004B5E2C"/>
    <w:rsid w:val="004B7ABD"/>
    <w:rsid w:val="004C04EE"/>
    <w:rsid w:val="004C0507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436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444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8B7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09E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538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2276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15A8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555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3089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2F5A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0288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4D3C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6A57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533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6D70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3149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17551"/>
    <w:rsid w:val="00E204A4"/>
    <w:rsid w:val="00E20B9C"/>
    <w:rsid w:val="00E21C44"/>
    <w:rsid w:val="00E23074"/>
    <w:rsid w:val="00E238CA"/>
    <w:rsid w:val="00E24C3F"/>
    <w:rsid w:val="00E24F8D"/>
    <w:rsid w:val="00E25936"/>
    <w:rsid w:val="00E2698C"/>
    <w:rsid w:val="00E27A34"/>
    <w:rsid w:val="00E3002C"/>
    <w:rsid w:val="00E301F2"/>
    <w:rsid w:val="00E327FC"/>
    <w:rsid w:val="00E32A3D"/>
    <w:rsid w:val="00E32D2C"/>
    <w:rsid w:val="00E350AC"/>
    <w:rsid w:val="00E352E4"/>
    <w:rsid w:val="00E3684B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3DE4"/>
    <w:rsid w:val="00E73E39"/>
    <w:rsid w:val="00E76B20"/>
    <w:rsid w:val="00E8039D"/>
    <w:rsid w:val="00E80676"/>
    <w:rsid w:val="00E82C28"/>
    <w:rsid w:val="00E83C66"/>
    <w:rsid w:val="00E83DE2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0DF9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2793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BB9"/>
    <w:rsid w:val="00F72079"/>
    <w:rsid w:val="00F721D2"/>
    <w:rsid w:val="00F722E0"/>
    <w:rsid w:val="00F72709"/>
    <w:rsid w:val="00F75057"/>
    <w:rsid w:val="00F7565D"/>
    <w:rsid w:val="00F764BF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4BFB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e6422,#5b1868,#004286"/>
    </o:shapedefaults>
    <o:shapelayout v:ext="edit">
      <o:idmap v:ext="edit" data="2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5</Pages>
  <Words>1030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Véronique Degenne</cp:lastModifiedBy>
  <cp:revision>21</cp:revision>
  <cp:lastPrinted>2023-07-27T12:36:00Z</cp:lastPrinted>
  <dcterms:created xsi:type="dcterms:W3CDTF">2023-08-16T13:46:00Z</dcterms:created>
  <dcterms:modified xsi:type="dcterms:W3CDTF">2026-02-19T15:58:00Z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