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F8EA" w14:textId="77777777" w:rsidR="00F64641" w:rsidRPr="00DF29C7" w:rsidRDefault="00F64641" w:rsidP="00DF29C7">
      <w:pPr>
        <w:pStyle w:val="OBJEXIGENCE"/>
        <w:spacing w:before="0"/>
        <w:jc w:val="center"/>
        <w:rPr>
          <w:rFonts w:ascii="Arial" w:hAnsi="Arial" w:cs="Arial"/>
          <w:sz w:val="20"/>
          <w:szCs w:val="20"/>
        </w:rPr>
      </w:pPr>
    </w:p>
    <w:p w14:paraId="6E6F7579" w14:textId="77777777" w:rsid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p>
    <w:p w14:paraId="726E010C" w14:textId="6FD2F84B" w:rsidR="00F64641" w:rsidRDefault="00242C10"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r w:rsidRPr="00AE55F5">
        <w:rPr>
          <w:rFonts w:ascii="Arial" w:hAnsi="Arial" w:cs="Arial"/>
          <w:b/>
          <w:sz w:val="28"/>
          <w:szCs w:val="28"/>
          <w:u w:val="single"/>
        </w:rPr>
        <w:t>A</w:t>
      </w:r>
      <w:r w:rsidR="003F30A4" w:rsidRPr="00AE55F5">
        <w:rPr>
          <w:rFonts w:ascii="Arial" w:hAnsi="Arial" w:cs="Arial"/>
          <w:b/>
          <w:sz w:val="28"/>
          <w:szCs w:val="28"/>
          <w:u w:val="single"/>
        </w:rPr>
        <w:t>VIS D’APPEL PUBLIC A</w:t>
      </w:r>
      <w:r w:rsidR="00B14C48">
        <w:rPr>
          <w:rFonts w:ascii="Arial" w:hAnsi="Arial" w:cs="Arial"/>
          <w:b/>
          <w:sz w:val="28"/>
          <w:szCs w:val="28"/>
          <w:u w:val="single"/>
        </w:rPr>
        <w:t xml:space="preserve"> LA</w:t>
      </w:r>
      <w:r w:rsidR="003F30A4" w:rsidRPr="00AE55F5">
        <w:rPr>
          <w:rFonts w:ascii="Arial" w:hAnsi="Arial" w:cs="Arial"/>
          <w:b/>
          <w:sz w:val="28"/>
          <w:szCs w:val="28"/>
          <w:u w:val="single"/>
        </w:rPr>
        <w:t xml:space="preserve"> CONCURRENCE</w:t>
      </w:r>
    </w:p>
    <w:p w14:paraId="5C020848" w14:textId="77777777" w:rsidR="00AE55F5" w:rsidRP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p>
    <w:p w14:paraId="012B139D" w14:textId="77777777" w:rsidR="00F64641" w:rsidRPr="00DF29C7" w:rsidRDefault="00F64641" w:rsidP="00DF29C7">
      <w:pPr>
        <w:spacing w:after="0" w:line="240" w:lineRule="auto"/>
        <w:rPr>
          <w:rFonts w:ascii="Arial" w:hAnsi="Arial" w:cs="Arial"/>
          <w:sz w:val="20"/>
          <w:szCs w:val="20"/>
        </w:rPr>
      </w:pPr>
    </w:p>
    <w:p w14:paraId="0765680E" w14:textId="39F0EED7" w:rsidR="003F30A4" w:rsidRDefault="003F30A4" w:rsidP="00DF29C7">
      <w:pPr>
        <w:spacing w:after="0" w:line="240" w:lineRule="auto"/>
        <w:rPr>
          <w:rFonts w:ascii="Arial" w:hAnsi="Arial" w:cs="Arial"/>
          <w:b/>
          <w:sz w:val="20"/>
          <w:szCs w:val="20"/>
          <w:u w:val="single"/>
        </w:rPr>
      </w:pPr>
    </w:p>
    <w:p w14:paraId="19509399" w14:textId="121E3C37" w:rsidR="003F30A4" w:rsidRPr="00B14C48" w:rsidRDefault="003F30A4" w:rsidP="003F30A4">
      <w:pPr>
        <w:pStyle w:val="OBJEXIGENCE"/>
        <w:spacing w:before="0"/>
        <w:ind w:left="0"/>
        <w:jc w:val="center"/>
        <w:rPr>
          <w:rFonts w:ascii="Arial" w:hAnsi="Arial" w:cs="Arial"/>
          <w:b/>
          <w:caps/>
          <w:color w:val="00B050"/>
          <w:u w:val="single"/>
        </w:rPr>
      </w:pPr>
      <w:r w:rsidRPr="00B14C48">
        <w:rPr>
          <w:rFonts w:ascii="Arial" w:hAnsi="Arial" w:cs="Arial"/>
          <w:b/>
          <w:u w:val="single"/>
        </w:rPr>
        <w:t>Consultation n°</w:t>
      </w:r>
      <w:r w:rsidR="00722720">
        <w:rPr>
          <w:rFonts w:ascii="Arial" w:hAnsi="Arial" w:cs="Arial"/>
          <w:b/>
          <w:u w:val="single"/>
        </w:rPr>
        <w:t xml:space="preserve"> </w:t>
      </w:r>
      <w:r w:rsidR="00722720" w:rsidRPr="00722720">
        <w:rPr>
          <w:rFonts w:ascii="Arial" w:hAnsi="Arial" w:cs="Arial"/>
          <w:b/>
          <w:caps/>
          <w:color w:val="000000" w:themeColor="text1"/>
          <w:u w:val="single"/>
        </w:rPr>
        <w:t>8939</w:t>
      </w:r>
      <w:r w:rsidRPr="00B14C48">
        <w:rPr>
          <w:rFonts w:ascii="Arial" w:hAnsi="Arial" w:cs="Arial"/>
          <w:b/>
          <w:u w:val="single"/>
        </w:rPr>
        <w:t xml:space="preserve"> – </w:t>
      </w:r>
      <w:r w:rsidR="00722720">
        <w:rPr>
          <w:rFonts w:ascii="Arial" w:hAnsi="Arial" w:cs="Arial"/>
          <w:b/>
          <w:u w:val="single"/>
        </w:rPr>
        <w:t xml:space="preserve">Base navale de Brest - </w:t>
      </w:r>
      <w:r w:rsidRPr="00B14C48">
        <w:rPr>
          <w:rFonts w:ascii="Arial" w:hAnsi="Arial" w:cs="Arial"/>
          <w:b/>
          <w:u w:val="single"/>
          <w:lang w:val="en-US"/>
        </w:rPr>
        <w:t xml:space="preserve">Accord-cadre à bons de commande relatif </w:t>
      </w:r>
      <w:r w:rsidR="00722720">
        <w:rPr>
          <w:rFonts w:ascii="Arial" w:hAnsi="Arial" w:cs="Arial"/>
          <w:b/>
          <w:u w:val="single"/>
          <w:lang w:val="en-US"/>
        </w:rPr>
        <w:t>relatif au désencombrement des fonds marins et diagnostics pyrotechniques subaquatiques</w:t>
      </w:r>
    </w:p>
    <w:p w14:paraId="60DC7F7E" w14:textId="0613FA1D" w:rsidR="00B14C48" w:rsidRDefault="00B14C48" w:rsidP="003F30A4">
      <w:pPr>
        <w:pStyle w:val="OBJEXIGENCE"/>
        <w:spacing w:before="0"/>
        <w:ind w:left="0"/>
        <w:jc w:val="center"/>
        <w:rPr>
          <w:rFonts w:ascii="Arial" w:hAnsi="Arial" w:cs="Arial"/>
          <w:b/>
          <w:caps/>
          <w:color w:val="00B050"/>
          <w:sz w:val="20"/>
          <w:szCs w:val="20"/>
          <w:u w:val="single"/>
        </w:rPr>
      </w:pPr>
    </w:p>
    <w:p w14:paraId="476EEF3F" w14:textId="77777777" w:rsidR="00B14C48" w:rsidRPr="003F30A4" w:rsidRDefault="00B14C48" w:rsidP="003F30A4">
      <w:pPr>
        <w:pStyle w:val="OBJEXIGENCE"/>
        <w:spacing w:before="0"/>
        <w:ind w:left="0"/>
        <w:jc w:val="center"/>
        <w:rPr>
          <w:rFonts w:ascii="Arial" w:hAnsi="Arial" w:cs="Arial"/>
          <w:b/>
          <w:sz w:val="20"/>
          <w:szCs w:val="20"/>
          <w:u w:val="single"/>
          <w:lang w:val="en-US"/>
        </w:rPr>
      </w:pPr>
    </w:p>
    <w:p w14:paraId="6B077CED" w14:textId="77777777" w:rsidR="003F30A4" w:rsidRDefault="003F30A4" w:rsidP="00DF29C7">
      <w:pPr>
        <w:spacing w:after="0" w:line="240" w:lineRule="auto"/>
        <w:rPr>
          <w:rFonts w:ascii="Arial" w:hAnsi="Arial" w:cs="Arial"/>
          <w:b/>
          <w:sz w:val="20"/>
          <w:szCs w:val="20"/>
          <w:u w:val="single"/>
        </w:rPr>
      </w:pPr>
    </w:p>
    <w:p w14:paraId="1AF447F8" w14:textId="1A3CD78E" w:rsidR="00B14C48" w:rsidRPr="00B14C48" w:rsidRDefault="00B14C48" w:rsidP="00B14C48">
      <w:pPr>
        <w:pStyle w:val="Paragraphedeliste"/>
        <w:numPr>
          <w:ilvl w:val="0"/>
          <w:numId w:val="16"/>
        </w:numPr>
        <w:spacing w:after="0" w:line="240" w:lineRule="auto"/>
        <w:jc w:val="both"/>
        <w:rPr>
          <w:rFonts w:ascii="Arial" w:hAnsi="Arial" w:cs="Arial"/>
          <w:b/>
          <w:sz w:val="20"/>
          <w:szCs w:val="20"/>
          <w:u w:val="single"/>
        </w:rPr>
      </w:pPr>
      <w:r>
        <w:rPr>
          <w:rFonts w:ascii="Arial" w:hAnsi="Arial" w:cs="Arial"/>
          <w:b/>
          <w:sz w:val="20"/>
          <w:szCs w:val="20"/>
          <w:u w:val="single"/>
        </w:rPr>
        <w:t>Identification de l’acheteur</w:t>
      </w:r>
    </w:p>
    <w:p w14:paraId="65A73031" w14:textId="3A805991" w:rsidR="003F30A4" w:rsidRDefault="003F30A4" w:rsidP="00DF29C7">
      <w:pPr>
        <w:spacing w:after="0" w:line="240" w:lineRule="auto"/>
        <w:rPr>
          <w:rFonts w:ascii="Arial" w:hAnsi="Arial" w:cs="Arial"/>
          <w:b/>
          <w:sz w:val="20"/>
          <w:szCs w:val="20"/>
          <w:u w:val="single"/>
        </w:rPr>
      </w:pPr>
    </w:p>
    <w:p w14:paraId="58124EE8" w14:textId="06CCA04B" w:rsidR="00B14C48" w:rsidRDefault="00B14C48" w:rsidP="00B14C48">
      <w:pPr>
        <w:spacing w:after="0" w:line="240" w:lineRule="auto"/>
        <w:rPr>
          <w:rFonts w:ascii="Arial" w:hAnsi="Arial" w:cs="Arial"/>
          <w:sz w:val="20"/>
          <w:szCs w:val="20"/>
        </w:rPr>
      </w:pPr>
      <w:r>
        <w:rPr>
          <w:rFonts w:ascii="Arial" w:hAnsi="Arial" w:cs="Arial"/>
          <w:sz w:val="20"/>
          <w:szCs w:val="20"/>
        </w:rPr>
        <w:t>SID Atlantique</w:t>
      </w:r>
    </w:p>
    <w:p w14:paraId="516A0D85" w14:textId="732E075A" w:rsidR="00B14C48" w:rsidRDefault="00064C84" w:rsidP="00B14C48">
      <w:pPr>
        <w:spacing w:after="0" w:line="240" w:lineRule="auto"/>
        <w:rPr>
          <w:rFonts w:ascii="Arial" w:hAnsi="Arial" w:cs="Arial"/>
          <w:sz w:val="20"/>
          <w:szCs w:val="20"/>
        </w:rPr>
      </w:pPr>
      <w:r w:rsidRPr="0066744A">
        <w:rPr>
          <w:rFonts w:ascii="Arial" w:hAnsi="Arial" w:cs="Arial"/>
          <w:b/>
          <w:noProof/>
          <w:sz w:val="16"/>
          <w:lang w:eastAsia="fr-FR"/>
        </w:rPr>
        <w:drawing>
          <wp:anchor distT="0" distB="0" distL="114300" distR="114300" simplePos="0" relativeHeight="251659264" behindDoc="0" locked="0" layoutInCell="1" allowOverlap="1" wp14:anchorId="374479DA" wp14:editId="5DA1AC12">
            <wp:simplePos x="0" y="0"/>
            <wp:positionH relativeFrom="margin">
              <wp:align>right</wp:align>
            </wp:positionH>
            <wp:positionV relativeFrom="paragraph">
              <wp:posOffset>10217</wp:posOffset>
            </wp:positionV>
            <wp:extent cx="1702247" cy="832513"/>
            <wp:effectExtent l="0" t="0" r="0" b="5715"/>
            <wp:wrapNone/>
            <wp:docPr id="1" name="Image 1" descr="C:\Users\j.henry1\Desktop\SID_2024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nry1\Desktop\SID_2024_logo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2247" cy="832513"/>
                    </a:xfrm>
                    <a:prstGeom prst="rect">
                      <a:avLst/>
                    </a:prstGeom>
                    <a:noFill/>
                    <a:ln>
                      <a:noFill/>
                    </a:ln>
                  </pic:spPr>
                </pic:pic>
              </a:graphicData>
            </a:graphic>
            <wp14:sizeRelH relativeFrom="page">
              <wp14:pctWidth>0</wp14:pctWidth>
            </wp14:sizeRelH>
            <wp14:sizeRelV relativeFrom="page">
              <wp14:pctHeight>0</wp14:pctHeight>
            </wp14:sizeRelV>
          </wp:anchor>
        </w:drawing>
      </w:r>
      <w:r w:rsidR="00B14C48">
        <w:rPr>
          <w:rFonts w:ascii="Arial" w:hAnsi="Arial" w:cs="Arial"/>
          <w:sz w:val="20"/>
          <w:szCs w:val="20"/>
        </w:rPr>
        <w:t xml:space="preserve">BCRM de Brest </w:t>
      </w:r>
    </w:p>
    <w:p w14:paraId="6C958F17" w14:textId="0E18AEC2" w:rsidR="00B14C48" w:rsidRDefault="00B14C48" w:rsidP="00B14C48">
      <w:pPr>
        <w:spacing w:after="0" w:line="240" w:lineRule="auto"/>
        <w:rPr>
          <w:rFonts w:ascii="Arial" w:hAnsi="Arial" w:cs="Arial"/>
          <w:sz w:val="20"/>
          <w:szCs w:val="20"/>
        </w:rPr>
      </w:pPr>
      <w:r>
        <w:rPr>
          <w:rFonts w:ascii="Arial" w:hAnsi="Arial" w:cs="Arial"/>
          <w:sz w:val="20"/>
          <w:szCs w:val="20"/>
        </w:rPr>
        <w:t>CC16</w:t>
      </w:r>
    </w:p>
    <w:p w14:paraId="409F5526" w14:textId="781F75B1" w:rsidR="00B14C48" w:rsidRDefault="00B14C48" w:rsidP="00B14C48">
      <w:pPr>
        <w:spacing w:after="0" w:line="240" w:lineRule="auto"/>
        <w:rPr>
          <w:rFonts w:ascii="Arial" w:hAnsi="Arial" w:cs="Arial"/>
          <w:sz w:val="20"/>
          <w:szCs w:val="20"/>
        </w:rPr>
      </w:pPr>
      <w:r>
        <w:rPr>
          <w:rFonts w:ascii="Arial" w:hAnsi="Arial" w:cs="Arial"/>
          <w:sz w:val="20"/>
          <w:szCs w:val="20"/>
        </w:rPr>
        <w:t>Brest cedex 9</w:t>
      </w:r>
    </w:p>
    <w:p w14:paraId="76086D3F" w14:textId="77777777" w:rsidR="00DA41BF" w:rsidRDefault="00DA41BF" w:rsidP="00B14C48">
      <w:pPr>
        <w:spacing w:after="0" w:line="240" w:lineRule="auto"/>
        <w:rPr>
          <w:rFonts w:ascii="Arial" w:hAnsi="Arial" w:cs="Arial"/>
          <w:sz w:val="20"/>
          <w:szCs w:val="20"/>
        </w:rPr>
      </w:pPr>
    </w:p>
    <w:p w14:paraId="3B926CF2" w14:textId="3D60C9C0" w:rsidR="00B14C48" w:rsidRDefault="00B14C48" w:rsidP="00B14C48">
      <w:pPr>
        <w:spacing w:after="0" w:line="240" w:lineRule="auto"/>
        <w:rPr>
          <w:rFonts w:ascii="Arial" w:hAnsi="Arial" w:cs="Arial"/>
          <w:sz w:val="20"/>
          <w:szCs w:val="20"/>
        </w:rPr>
      </w:pPr>
      <w:r>
        <w:rPr>
          <w:rFonts w:ascii="Arial" w:hAnsi="Arial" w:cs="Arial"/>
          <w:sz w:val="20"/>
          <w:szCs w:val="20"/>
        </w:rPr>
        <w:t xml:space="preserve">Mail : </w:t>
      </w:r>
      <w:hyperlink r:id="rId7" w:history="1">
        <w:r w:rsidR="00020ED3" w:rsidRPr="003C42C0">
          <w:rPr>
            <w:rStyle w:val="Lienhypertexte"/>
            <w:rFonts w:ascii="Arial" w:hAnsi="Arial" w:cs="Arial"/>
            <w:sz w:val="20"/>
            <w:szCs w:val="20"/>
          </w:rPr>
          <w:t>sid-atlantique-sd-ac-bam-sect-maint.contact.fct@intradef.gouv.fr</w:t>
        </w:r>
      </w:hyperlink>
    </w:p>
    <w:p w14:paraId="7C95C2CF" w14:textId="763326D8" w:rsidR="00DA41BF" w:rsidRDefault="00DA41BF" w:rsidP="00B14C48">
      <w:pPr>
        <w:spacing w:after="0" w:line="240" w:lineRule="auto"/>
        <w:rPr>
          <w:rFonts w:ascii="Arial" w:hAnsi="Arial" w:cs="Arial"/>
          <w:sz w:val="20"/>
          <w:szCs w:val="20"/>
        </w:rPr>
      </w:pPr>
    </w:p>
    <w:p w14:paraId="1617343E" w14:textId="2A965EA9" w:rsidR="00B14C48" w:rsidRDefault="00C52BBC" w:rsidP="00DF29C7">
      <w:pPr>
        <w:spacing w:after="0" w:line="240" w:lineRule="auto"/>
        <w:rPr>
          <w:rFonts w:ascii="Arial" w:hAnsi="Arial" w:cs="Arial"/>
          <w:sz w:val="20"/>
          <w:szCs w:val="20"/>
        </w:rPr>
      </w:pPr>
      <w:r w:rsidRPr="00064C84">
        <w:rPr>
          <w:rFonts w:ascii="Arial" w:hAnsi="Arial" w:cs="Arial"/>
          <w:color w:val="000000"/>
          <w:sz w:val="20"/>
          <w:szCs w:val="20"/>
        </w:rPr>
        <w:t>N° d’enregistrement (SIRET)</w:t>
      </w:r>
      <w:r w:rsidR="00DA41BF">
        <w:rPr>
          <w:rFonts w:ascii="Arial" w:hAnsi="Arial" w:cs="Arial"/>
          <w:sz w:val="20"/>
          <w:szCs w:val="20"/>
        </w:rPr>
        <w:t xml:space="preserve">: </w:t>
      </w:r>
      <w:r w:rsidR="00DA41BF" w:rsidRPr="00DA41BF">
        <w:rPr>
          <w:rFonts w:ascii="Arial" w:hAnsi="Arial" w:cs="Arial"/>
          <w:sz w:val="20"/>
          <w:szCs w:val="20"/>
        </w:rPr>
        <w:t>13000190200308</w:t>
      </w:r>
    </w:p>
    <w:p w14:paraId="65BA3F3A" w14:textId="35187900" w:rsidR="00C52BBC" w:rsidRDefault="00C52BBC" w:rsidP="00DF29C7">
      <w:pPr>
        <w:spacing w:after="0" w:line="240" w:lineRule="auto"/>
        <w:rPr>
          <w:rFonts w:ascii="Arial" w:hAnsi="Arial" w:cs="Arial"/>
          <w:sz w:val="20"/>
          <w:szCs w:val="20"/>
        </w:rPr>
      </w:pPr>
    </w:p>
    <w:p w14:paraId="06E6C22E" w14:textId="576302CA" w:rsidR="00C52BBC" w:rsidRPr="00DA41BF" w:rsidRDefault="00C52BBC" w:rsidP="00DF29C7">
      <w:pPr>
        <w:spacing w:after="0" w:line="240" w:lineRule="auto"/>
        <w:rPr>
          <w:rFonts w:ascii="Arial" w:hAnsi="Arial" w:cs="Arial"/>
          <w:sz w:val="20"/>
          <w:szCs w:val="20"/>
        </w:rPr>
      </w:pPr>
      <w:r>
        <w:rPr>
          <w:rFonts w:ascii="Arial" w:hAnsi="Arial" w:cs="Arial"/>
          <w:sz w:val="20"/>
          <w:szCs w:val="20"/>
        </w:rPr>
        <w:t>Le pouvoir adjudicateur n’agit pas pour le compte d’autres pouvoirs adjudicateurs.</w:t>
      </w:r>
    </w:p>
    <w:p w14:paraId="004A98AF" w14:textId="77777777" w:rsidR="003F30A4" w:rsidRDefault="003F30A4" w:rsidP="00DF29C7">
      <w:pPr>
        <w:spacing w:after="0" w:line="240" w:lineRule="auto"/>
        <w:rPr>
          <w:rFonts w:ascii="Arial" w:hAnsi="Arial" w:cs="Arial"/>
          <w:b/>
          <w:sz w:val="20"/>
          <w:szCs w:val="20"/>
          <w:u w:val="single"/>
        </w:rPr>
      </w:pPr>
    </w:p>
    <w:p w14:paraId="4DF3E689" w14:textId="7673369F" w:rsidR="00391074" w:rsidRPr="00B14C48" w:rsidRDefault="00391074" w:rsidP="00B14C48">
      <w:pPr>
        <w:pStyle w:val="Paragraphedeliste"/>
        <w:numPr>
          <w:ilvl w:val="0"/>
          <w:numId w:val="16"/>
        </w:numPr>
        <w:spacing w:after="0" w:line="240" w:lineRule="auto"/>
        <w:jc w:val="both"/>
        <w:rPr>
          <w:rFonts w:ascii="Arial" w:hAnsi="Arial" w:cs="Arial"/>
          <w:b/>
          <w:sz w:val="20"/>
          <w:szCs w:val="20"/>
          <w:u w:val="single"/>
        </w:rPr>
      </w:pPr>
      <w:r w:rsidRPr="00B14C48">
        <w:rPr>
          <w:rFonts w:ascii="Arial" w:hAnsi="Arial" w:cs="Arial"/>
          <w:b/>
          <w:sz w:val="20"/>
          <w:szCs w:val="20"/>
          <w:u w:val="single"/>
        </w:rPr>
        <w:t xml:space="preserve">Présentation de l’accord-cadre </w:t>
      </w:r>
    </w:p>
    <w:p w14:paraId="20DFEABE" w14:textId="77777777" w:rsidR="00391074" w:rsidRDefault="00391074" w:rsidP="00391074">
      <w:pPr>
        <w:spacing w:after="0" w:line="240" w:lineRule="auto"/>
        <w:jc w:val="both"/>
        <w:rPr>
          <w:rFonts w:ascii="Arial" w:hAnsi="Arial" w:cs="Arial"/>
          <w:sz w:val="20"/>
          <w:szCs w:val="20"/>
        </w:rPr>
      </w:pPr>
    </w:p>
    <w:p w14:paraId="67300DE0" w14:textId="77777777" w:rsidR="00391074" w:rsidRDefault="00391074" w:rsidP="00391074">
      <w:pPr>
        <w:spacing w:after="0" w:line="240" w:lineRule="auto"/>
        <w:jc w:val="both"/>
        <w:rPr>
          <w:rFonts w:ascii="Arial" w:hAnsi="Arial" w:cs="Arial"/>
          <w:sz w:val="20"/>
          <w:szCs w:val="20"/>
        </w:rPr>
      </w:pPr>
    </w:p>
    <w:p w14:paraId="1194333B" w14:textId="3F94FDDA" w:rsidR="00391074" w:rsidRPr="001E1097" w:rsidRDefault="00391074" w:rsidP="001E1097">
      <w:pPr>
        <w:pStyle w:val="Paragraphedeliste"/>
        <w:numPr>
          <w:ilvl w:val="1"/>
          <w:numId w:val="19"/>
        </w:numPr>
        <w:spacing w:after="0" w:line="240" w:lineRule="auto"/>
        <w:jc w:val="both"/>
        <w:rPr>
          <w:rFonts w:ascii="Arial" w:hAnsi="Arial" w:cs="Arial"/>
          <w:b/>
          <w:sz w:val="20"/>
          <w:szCs w:val="20"/>
          <w:u w:val="single"/>
        </w:rPr>
      </w:pPr>
      <w:r w:rsidRPr="001E1097">
        <w:rPr>
          <w:rFonts w:ascii="Arial" w:hAnsi="Arial" w:cs="Arial"/>
          <w:b/>
          <w:sz w:val="20"/>
          <w:szCs w:val="20"/>
          <w:u w:val="single"/>
        </w:rPr>
        <w:t>Caractéristiques principales</w:t>
      </w:r>
    </w:p>
    <w:p w14:paraId="04E29E55" w14:textId="529F8A04" w:rsidR="00391074" w:rsidRDefault="00391074" w:rsidP="00391074">
      <w:pPr>
        <w:spacing w:after="0" w:line="240" w:lineRule="auto"/>
        <w:jc w:val="both"/>
        <w:rPr>
          <w:rFonts w:ascii="Arial" w:hAnsi="Arial" w:cs="Arial"/>
          <w:sz w:val="20"/>
          <w:szCs w:val="20"/>
        </w:rPr>
      </w:pPr>
    </w:p>
    <w:p w14:paraId="7371B17C" w14:textId="7C555EFC" w:rsidR="00DA41BF" w:rsidRPr="004B760E" w:rsidRDefault="00DA41BF" w:rsidP="004B760E">
      <w:pPr>
        <w:pStyle w:val="Paragraphedeliste"/>
        <w:numPr>
          <w:ilvl w:val="0"/>
          <w:numId w:val="22"/>
        </w:numPr>
        <w:spacing w:after="0" w:line="240" w:lineRule="auto"/>
        <w:jc w:val="both"/>
        <w:rPr>
          <w:rFonts w:ascii="Arial" w:hAnsi="Arial" w:cs="Arial"/>
          <w:b/>
          <w:color w:val="00B050"/>
          <w:sz w:val="20"/>
          <w:szCs w:val="20"/>
        </w:rPr>
      </w:pPr>
      <w:r w:rsidRPr="004B760E">
        <w:rPr>
          <w:rFonts w:ascii="Arial" w:hAnsi="Arial" w:cs="Arial"/>
          <w:sz w:val="20"/>
          <w:szCs w:val="20"/>
        </w:rPr>
        <w:t xml:space="preserve">Type de marché : </w:t>
      </w:r>
      <w:r w:rsidRPr="0039349D">
        <w:rPr>
          <w:rFonts w:ascii="Arial" w:hAnsi="Arial" w:cs="Arial"/>
          <w:b/>
          <w:color w:val="000000" w:themeColor="text1"/>
          <w:sz w:val="20"/>
          <w:szCs w:val="20"/>
        </w:rPr>
        <w:t>Prestations intellectuelles</w:t>
      </w:r>
    </w:p>
    <w:p w14:paraId="43D5B8F2" w14:textId="7924F2C1" w:rsidR="00DA41BF" w:rsidRDefault="00DA41BF" w:rsidP="00391074">
      <w:pPr>
        <w:spacing w:after="0" w:line="240" w:lineRule="auto"/>
        <w:jc w:val="both"/>
        <w:rPr>
          <w:rFonts w:ascii="Arial" w:hAnsi="Arial" w:cs="Arial"/>
          <w:b/>
          <w:color w:val="00B050"/>
          <w:sz w:val="20"/>
          <w:szCs w:val="20"/>
        </w:rPr>
      </w:pPr>
    </w:p>
    <w:p w14:paraId="224772EF" w14:textId="06B6C05E" w:rsidR="00DA41BF" w:rsidRPr="004B760E" w:rsidRDefault="00DA41BF" w:rsidP="004B760E">
      <w:pPr>
        <w:pStyle w:val="Paragraphedeliste"/>
        <w:numPr>
          <w:ilvl w:val="0"/>
          <w:numId w:val="22"/>
        </w:numPr>
        <w:spacing w:after="0" w:line="240" w:lineRule="auto"/>
        <w:jc w:val="both"/>
        <w:rPr>
          <w:rFonts w:ascii="Arial" w:hAnsi="Arial" w:cs="Arial"/>
          <w:color w:val="00B050"/>
          <w:sz w:val="20"/>
          <w:szCs w:val="20"/>
        </w:rPr>
      </w:pPr>
      <w:r w:rsidRPr="004B760E">
        <w:rPr>
          <w:rFonts w:ascii="Arial" w:hAnsi="Arial" w:cs="Arial"/>
          <w:sz w:val="20"/>
          <w:szCs w:val="20"/>
        </w:rPr>
        <w:t xml:space="preserve">Le présent accord-cadre est </w:t>
      </w:r>
      <w:r w:rsidRPr="0039349D">
        <w:rPr>
          <w:rFonts w:ascii="Arial" w:hAnsi="Arial" w:cs="Arial"/>
          <w:b/>
          <w:color w:val="000000" w:themeColor="text1"/>
          <w:sz w:val="20"/>
          <w:szCs w:val="20"/>
        </w:rPr>
        <w:t>mono-attributaire</w:t>
      </w:r>
      <w:r w:rsidRPr="0039349D">
        <w:rPr>
          <w:rFonts w:ascii="Arial" w:hAnsi="Arial" w:cs="Arial"/>
          <w:color w:val="000000" w:themeColor="text1"/>
          <w:sz w:val="20"/>
          <w:szCs w:val="20"/>
        </w:rPr>
        <w:t>.</w:t>
      </w:r>
    </w:p>
    <w:p w14:paraId="463D1E6A" w14:textId="77777777" w:rsidR="00DA41BF" w:rsidRDefault="00DA41BF" w:rsidP="00391074">
      <w:pPr>
        <w:spacing w:after="0" w:line="240" w:lineRule="auto"/>
        <w:jc w:val="both"/>
        <w:rPr>
          <w:rFonts w:ascii="Arial" w:hAnsi="Arial" w:cs="Arial"/>
          <w:sz w:val="20"/>
          <w:szCs w:val="20"/>
        </w:rPr>
      </w:pPr>
    </w:p>
    <w:p w14:paraId="2F5F0BDB" w14:textId="40D078D6" w:rsidR="00391074" w:rsidRDefault="00391074" w:rsidP="00391074">
      <w:pPr>
        <w:spacing w:after="0" w:line="240" w:lineRule="auto"/>
        <w:jc w:val="both"/>
        <w:rPr>
          <w:rFonts w:ascii="Arial" w:hAnsi="Arial" w:cs="Arial"/>
          <w:sz w:val="20"/>
          <w:szCs w:val="20"/>
        </w:rPr>
      </w:pPr>
      <w:r w:rsidRPr="00242C10">
        <w:rPr>
          <w:rFonts w:ascii="Arial" w:hAnsi="Arial" w:cs="Arial"/>
          <w:sz w:val="20"/>
          <w:szCs w:val="20"/>
        </w:rPr>
        <w:t>Le présent accor</w:t>
      </w:r>
      <w:r w:rsidR="00004374">
        <w:rPr>
          <w:rFonts w:ascii="Arial" w:hAnsi="Arial" w:cs="Arial"/>
          <w:sz w:val="20"/>
          <w:szCs w:val="20"/>
        </w:rPr>
        <w:t>d-</w:t>
      </w:r>
      <w:r w:rsidRPr="00242C10">
        <w:rPr>
          <w:rFonts w:ascii="Arial" w:hAnsi="Arial" w:cs="Arial"/>
          <w:sz w:val="20"/>
          <w:szCs w:val="20"/>
        </w:rPr>
        <w:t>cadre à bons de commande concerne</w:t>
      </w:r>
      <w:r w:rsidR="00287330">
        <w:rPr>
          <w:rFonts w:ascii="Arial" w:hAnsi="Arial" w:cs="Arial"/>
          <w:sz w:val="20"/>
          <w:szCs w:val="20"/>
        </w:rPr>
        <w:t xml:space="preserve"> les prestations suivantes :</w:t>
      </w:r>
    </w:p>
    <w:p w14:paraId="18B87220" w14:textId="6B00B01B" w:rsidR="00287330" w:rsidRDefault="00A169EF"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Levé</w:t>
      </w:r>
      <w:r w:rsidR="00287330">
        <w:rPr>
          <w:rFonts w:ascii="Arial" w:hAnsi="Arial" w:cs="Arial"/>
          <w:sz w:val="20"/>
          <w:szCs w:val="20"/>
        </w:rPr>
        <w:t>s bathymétriques ;</w:t>
      </w:r>
    </w:p>
    <w:p w14:paraId="6EF5FCFD" w14:textId="3210CE41" w:rsidR="00287330" w:rsidRDefault="00287330"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Passes au sonar à balayage latéral ;</w:t>
      </w:r>
    </w:p>
    <w:p w14:paraId="49C567FB" w14:textId="27920394" w:rsidR="00287330" w:rsidRDefault="00287330"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Désencombrement des macro-déchets ;</w:t>
      </w:r>
    </w:p>
    <w:p w14:paraId="27A004D5" w14:textId="2ED9D4CC" w:rsidR="00287330" w:rsidRDefault="00287330"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Pénétrateurs de sédiments ;</w:t>
      </w:r>
    </w:p>
    <w:p w14:paraId="75C55665" w14:textId="5950EF4C" w:rsidR="00287330" w:rsidRDefault="00287330"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Diagnostics pyrotechniques ;</w:t>
      </w:r>
    </w:p>
    <w:p w14:paraId="10F91EB0" w14:textId="4B0E2D08" w:rsidR="00287330" w:rsidRDefault="00A169EF" w:rsidP="00287330">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Levé</w:t>
      </w:r>
      <w:r w:rsidR="00EF6256">
        <w:rPr>
          <w:rFonts w:ascii="Arial" w:hAnsi="Arial" w:cs="Arial"/>
          <w:sz w:val="20"/>
          <w:szCs w:val="20"/>
        </w:rPr>
        <w:t>s</w:t>
      </w:r>
      <w:r w:rsidR="00287330">
        <w:rPr>
          <w:rFonts w:ascii="Arial" w:hAnsi="Arial" w:cs="Arial"/>
          <w:sz w:val="20"/>
          <w:szCs w:val="20"/>
        </w:rPr>
        <w:t xml:space="preserve"> de doute ;</w:t>
      </w:r>
    </w:p>
    <w:p w14:paraId="649C7FD7" w14:textId="7F207F9A" w:rsidR="00E352B1" w:rsidRPr="00287330" w:rsidRDefault="00287330" w:rsidP="00391074">
      <w:pPr>
        <w:pStyle w:val="Paragraphedeliste"/>
        <w:numPr>
          <w:ilvl w:val="0"/>
          <w:numId w:val="27"/>
        </w:numPr>
        <w:spacing w:after="0" w:line="240" w:lineRule="auto"/>
        <w:jc w:val="both"/>
        <w:rPr>
          <w:rFonts w:ascii="Arial" w:hAnsi="Arial" w:cs="Arial"/>
          <w:sz w:val="20"/>
          <w:szCs w:val="20"/>
        </w:rPr>
      </w:pPr>
      <w:r>
        <w:rPr>
          <w:rFonts w:ascii="Arial" w:hAnsi="Arial" w:cs="Arial"/>
          <w:sz w:val="20"/>
          <w:szCs w:val="20"/>
        </w:rPr>
        <w:t>Lançages à la lance à eau.</w:t>
      </w:r>
    </w:p>
    <w:p w14:paraId="41DF068A" w14:textId="240AB214" w:rsidR="00E61113" w:rsidRDefault="00E61113" w:rsidP="00391074">
      <w:pPr>
        <w:spacing w:after="0" w:line="240" w:lineRule="auto"/>
        <w:jc w:val="both"/>
        <w:rPr>
          <w:rFonts w:ascii="Arial" w:hAnsi="Arial" w:cs="Arial"/>
          <w:b/>
          <w:color w:val="FF0000"/>
          <w:sz w:val="20"/>
          <w:szCs w:val="20"/>
          <w:u w:val="single"/>
        </w:rPr>
      </w:pPr>
    </w:p>
    <w:p w14:paraId="495E69DB" w14:textId="71C7AABC" w:rsidR="00E61113" w:rsidRDefault="00E61113" w:rsidP="00391074">
      <w:pPr>
        <w:spacing w:after="0" w:line="240" w:lineRule="auto"/>
        <w:jc w:val="both"/>
        <w:rPr>
          <w:rFonts w:ascii="Arial" w:hAnsi="Arial" w:cs="Arial"/>
          <w:b/>
          <w:color w:val="FF0000"/>
          <w:sz w:val="20"/>
          <w:szCs w:val="20"/>
          <w:u w:val="single"/>
        </w:rPr>
      </w:pPr>
      <w:r w:rsidRPr="00E61113">
        <w:rPr>
          <w:rFonts w:ascii="Arial" w:hAnsi="Arial" w:cs="Arial"/>
          <w:sz w:val="20"/>
          <w:szCs w:val="20"/>
        </w:rPr>
        <w:t xml:space="preserve">Il ne comporte </w:t>
      </w:r>
      <w:r w:rsidRPr="0039349D">
        <w:rPr>
          <w:rFonts w:ascii="Arial" w:hAnsi="Arial" w:cs="Arial"/>
          <w:b/>
          <w:sz w:val="20"/>
          <w:szCs w:val="20"/>
        </w:rPr>
        <w:t>qu’un seul lot</w:t>
      </w:r>
      <w:r w:rsidRPr="00E61113">
        <w:rPr>
          <w:rFonts w:ascii="Arial" w:hAnsi="Arial" w:cs="Arial"/>
          <w:sz w:val="20"/>
          <w:szCs w:val="20"/>
        </w:rPr>
        <w:t>.</w:t>
      </w:r>
    </w:p>
    <w:p w14:paraId="50530513" w14:textId="0156467B" w:rsidR="00391074" w:rsidRDefault="00391074" w:rsidP="00391074">
      <w:pPr>
        <w:spacing w:after="0" w:line="240" w:lineRule="auto"/>
        <w:jc w:val="both"/>
        <w:rPr>
          <w:rFonts w:ascii="Arial" w:hAnsi="Arial" w:cs="Arial"/>
          <w:b/>
          <w:color w:val="FF0000"/>
          <w:sz w:val="20"/>
          <w:szCs w:val="20"/>
          <w:u w:val="single"/>
        </w:rPr>
      </w:pPr>
    </w:p>
    <w:tbl>
      <w:tblPr>
        <w:tblStyle w:val="Grilledutableau"/>
        <w:tblW w:w="0" w:type="auto"/>
        <w:jc w:val="center"/>
        <w:tblLook w:val="04A0" w:firstRow="1" w:lastRow="0" w:firstColumn="1" w:lastColumn="0" w:noHBand="0" w:noVBand="1"/>
      </w:tblPr>
      <w:tblGrid>
        <w:gridCol w:w="2547"/>
        <w:gridCol w:w="2888"/>
        <w:gridCol w:w="1949"/>
        <w:gridCol w:w="1613"/>
      </w:tblGrid>
      <w:tr w:rsidR="00160853" w14:paraId="05B20AC2" w14:textId="585458D4" w:rsidTr="00160853">
        <w:trPr>
          <w:jc w:val="center"/>
        </w:trPr>
        <w:tc>
          <w:tcPr>
            <w:tcW w:w="2547" w:type="dxa"/>
          </w:tcPr>
          <w:p w14:paraId="5E144012" w14:textId="1E3E00B8" w:rsidR="00160853" w:rsidRDefault="00160853" w:rsidP="00160853">
            <w:pPr>
              <w:jc w:val="both"/>
              <w:rPr>
                <w:rFonts w:ascii="Arial" w:hAnsi="Arial" w:cs="Arial"/>
                <w:sz w:val="20"/>
                <w:szCs w:val="20"/>
              </w:rPr>
            </w:pPr>
            <w:r w:rsidRPr="00AE55F5">
              <w:rPr>
                <w:rFonts w:ascii="Arial" w:hAnsi="Arial" w:cs="Arial"/>
                <w:b/>
                <w:sz w:val="20"/>
                <w:szCs w:val="20"/>
              </w:rPr>
              <w:t>Codes CPV</w:t>
            </w:r>
            <w:r>
              <w:rPr>
                <w:rFonts w:ascii="Arial" w:hAnsi="Arial" w:cs="Arial"/>
                <w:sz w:val="20"/>
                <w:szCs w:val="20"/>
              </w:rPr>
              <w:t xml:space="preserve"> </w:t>
            </w:r>
          </w:p>
        </w:tc>
        <w:tc>
          <w:tcPr>
            <w:tcW w:w="2888" w:type="dxa"/>
          </w:tcPr>
          <w:p w14:paraId="49EACEA0" w14:textId="77777777" w:rsidR="00160853" w:rsidRPr="00AE55F5" w:rsidRDefault="00160853" w:rsidP="00DC7553">
            <w:pPr>
              <w:jc w:val="both"/>
              <w:rPr>
                <w:rFonts w:ascii="Arial" w:hAnsi="Arial" w:cs="Arial"/>
                <w:b/>
                <w:sz w:val="20"/>
                <w:szCs w:val="20"/>
              </w:rPr>
            </w:pPr>
            <w:r w:rsidRPr="00AE55F5">
              <w:rPr>
                <w:rFonts w:ascii="Arial" w:hAnsi="Arial" w:cs="Arial"/>
                <w:b/>
                <w:sz w:val="20"/>
                <w:szCs w:val="20"/>
              </w:rPr>
              <w:t>Lieu d’exécution et/ou de livraison</w:t>
            </w:r>
          </w:p>
        </w:tc>
        <w:tc>
          <w:tcPr>
            <w:tcW w:w="1949" w:type="dxa"/>
          </w:tcPr>
          <w:p w14:paraId="5005B308" w14:textId="77777777" w:rsidR="00160853" w:rsidRPr="00AE55F5" w:rsidRDefault="00160853" w:rsidP="00DC7553">
            <w:pPr>
              <w:jc w:val="both"/>
              <w:rPr>
                <w:rFonts w:ascii="Arial" w:hAnsi="Arial" w:cs="Arial"/>
                <w:b/>
                <w:sz w:val="20"/>
                <w:szCs w:val="20"/>
              </w:rPr>
            </w:pPr>
            <w:r w:rsidRPr="00AE55F5">
              <w:rPr>
                <w:rFonts w:ascii="Arial" w:hAnsi="Arial" w:cs="Arial"/>
                <w:b/>
                <w:sz w:val="20"/>
                <w:szCs w:val="20"/>
              </w:rPr>
              <w:t>Installations concernées</w:t>
            </w:r>
          </w:p>
        </w:tc>
        <w:tc>
          <w:tcPr>
            <w:tcW w:w="1613" w:type="dxa"/>
          </w:tcPr>
          <w:p w14:paraId="36E0B547" w14:textId="33BC1643" w:rsidR="00160853" w:rsidRPr="00AE55F5" w:rsidRDefault="00160853" w:rsidP="00DC7553">
            <w:pPr>
              <w:jc w:val="both"/>
              <w:rPr>
                <w:rFonts w:ascii="Arial" w:hAnsi="Arial" w:cs="Arial"/>
                <w:b/>
                <w:sz w:val="20"/>
                <w:szCs w:val="20"/>
              </w:rPr>
            </w:pPr>
            <w:r w:rsidRPr="00AE55F5">
              <w:rPr>
                <w:rFonts w:ascii="Arial" w:hAnsi="Arial" w:cs="Arial"/>
                <w:b/>
                <w:sz w:val="20"/>
                <w:szCs w:val="20"/>
              </w:rPr>
              <w:t>Variantes autorisées</w:t>
            </w:r>
          </w:p>
        </w:tc>
      </w:tr>
      <w:tr w:rsidR="00160853" w14:paraId="649B240E" w14:textId="65972CB9" w:rsidTr="00160853">
        <w:trPr>
          <w:jc w:val="center"/>
        </w:trPr>
        <w:tc>
          <w:tcPr>
            <w:tcW w:w="2547" w:type="dxa"/>
          </w:tcPr>
          <w:p w14:paraId="226EA385" w14:textId="77777777" w:rsidR="00160853" w:rsidRDefault="00160853" w:rsidP="00160853">
            <w:pPr>
              <w:rPr>
                <w:rFonts w:ascii="Arial" w:hAnsi="Arial" w:cs="Arial"/>
                <w:sz w:val="20"/>
                <w:szCs w:val="20"/>
              </w:rPr>
            </w:pPr>
            <w:r w:rsidRPr="00160853">
              <w:rPr>
                <w:rFonts w:ascii="Arial" w:hAnsi="Arial" w:cs="Arial"/>
                <w:b/>
                <w:sz w:val="20"/>
                <w:szCs w:val="20"/>
              </w:rPr>
              <w:t>71351924-2</w:t>
            </w:r>
            <w:r>
              <w:rPr>
                <w:rFonts w:ascii="Arial" w:hAnsi="Arial" w:cs="Arial"/>
                <w:sz w:val="20"/>
                <w:szCs w:val="20"/>
              </w:rPr>
              <w:t> : Services d’exploration sous-marine</w:t>
            </w:r>
          </w:p>
          <w:p w14:paraId="221AF5AE" w14:textId="77777777" w:rsidR="00160853" w:rsidRDefault="00160853" w:rsidP="00160853">
            <w:pPr>
              <w:rPr>
                <w:rFonts w:ascii="Arial" w:hAnsi="Arial" w:cs="Arial"/>
                <w:sz w:val="20"/>
                <w:szCs w:val="20"/>
              </w:rPr>
            </w:pPr>
          </w:p>
          <w:p w14:paraId="0CB96DF6" w14:textId="62B9FC98" w:rsidR="00160853" w:rsidRDefault="00160853" w:rsidP="00160853">
            <w:pPr>
              <w:rPr>
                <w:rFonts w:ascii="Arial" w:hAnsi="Arial" w:cs="Arial"/>
                <w:sz w:val="20"/>
                <w:szCs w:val="20"/>
              </w:rPr>
            </w:pPr>
            <w:r w:rsidRPr="00160853">
              <w:rPr>
                <w:rFonts w:ascii="Arial" w:hAnsi="Arial" w:cs="Arial"/>
                <w:b/>
                <w:sz w:val="20"/>
                <w:szCs w:val="20"/>
              </w:rPr>
              <w:t>92360000-2</w:t>
            </w:r>
            <w:r>
              <w:rPr>
                <w:rFonts w:ascii="Arial" w:hAnsi="Arial" w:cs="Arial"/>
                <w:sz w:val="20"/>
                <w:szCs w:val="20"/>
              </w:rPr>
              <w:t> : Services pyrotechniques</w:t>
            </w:r>
          </w:p>
        </w:tc>
        <w:tc>
          <w:tcPr>
            <w:tcW w:w="2888" w:type="dxa"/>
          </w:tcPr>
          <w:p w14:paraId="40BC3E00" w14:textId="28290570" w:rsidR="00160853" w:rsidRDefault="00160853" w:rsidP="00332B15">
            <w:pPr>
              <w:jc w:val="both"/>
              <w:rPr>
                <w:rFonts w:ascii="Arial" w:hAnsi="Arial" w:cs="Arial"/>
                <w:sz w:val="20"/>
                <w:szCs w:val="20"/>
              </w:rPr>
            </w:pPr>
            <w:r>
              <w:rPr>
                <w:rFonts w:ascii="Arial" w:hAnsi="Arial" w:cs="Arial"/>
                <w:sz w:val="20"/>
                <w:szCs w:val="20"/>
              </w:rPr>
              <w:t xml:space="preserve">Base navale de Brest </w:t>
            </w:r>
          </w:p>
        </w:tc>
        <w:tc>
          <w:tcPr>
            <w:tcW w:w="1949" w:type="dxa"/>
          </w:tcPr>
          <w:p w14:paraId="10A3525B" w14:textId="71EB5097" w:rsidR="00160853" w:rsidRDefault="00332B15" w:rsidP="00DC7553">
            <w:pPr>
              <w:jc w:val="both"/>
              <w:rPr>
                <w:rFonts w:ascii="Arial" w:hAnsi="Arial" w:cs="Arial"/>
                <w:sz w:val="20"/>
                <w:szCs w:val="20"/>
              </w:rPr>
            </w:pPr>
            <w:r>
              <w:rPr>
                <w:rFonts w:ascii="Arial" w:hAnsi="Arial" w:cs="Arial"/>
                <w:sz w:val="20"/>
                <w:szCs w:val="20"/>
              </w:rPr>
              <w:t xml:space="preserve">Rade abri et </w:t>
            </w:r>
            <w:proofErr w:type="spellStart"/>
            <w:r>
              <w:rPr>
                <w:rFonts w:ascii="Arial" w:hAnsi="Arial" w:cs="Arial"/>
                <w:sz w:val="20"/>
                <w:szCs w:val="20"/>
              </w:rPr>
              <w:t>Penfeld</w:t>
            </w:r>
            <w:proofErr w:type="spellEnd"/>
          </w:p>
        </w:tc>
        <w:tc>
          <w:tcPr>
            <w:tcW w:w="1613" w:type="dxa"/>
          </w:tcPr>
          <w:p w14:paraId="739B9D6E" w14:textId="6AC96986" w:rsidR="00160853" w:rsidRDefault="00160853" w:rsidP="00DC7553">
            <w:pPr>
              <w:jc w:val="both"/>
              <w:rPr>
                <w:rFonts w:ascii="Arial" w:hAnsi="Arial" w:cs="Arial"/>
                <w:sz w:val="20"/>
                <w:szCs w:val="20"/>
              </w:rPr>
            </w:pPr>
            <w:r>
              <w:rPr>
                <w:rFonts w:ascii="Arial" w:hAnsi="Arial" w:cs="Arial"/>
                <w:sz w:val="20"/>
                <w:szCs w:val="20"/>
              </w:rPr>
              <w:t>Non</w:t>
            </w:r>
          </w:p>
        </w:tc>
      </w:tr>
    </w:tbl>
    <w:p w14:paraId="47194453" w14:textId="1CCC416A" w:rsidR="00391074" w:rsidRDefault="00391074" w:rsidP="00391074">
      <w:pPr>
        <w:spacing w:after="0" w:line="240" w:lineRule="auto"/>
        <w:jc w:val="both"/>
        <w:rPr>
          <w:rFonts w:ascii="Arial" w:hAnsi="Arial" w:cs="Arial"/>
          <w:sz w:val="20"/>
          <w:szCs w:val="20"/>
        </w:rPr>
      </w:pPr>
    </w:p>
    <w:p w14:paraId="4AC3EB82" w14:textId="63D0236F" w:rsidR="00BB71DE" w:rsidRDefault="00614969" w:rsidP="00391074">
      <w:pPr>
        <w:spacing w:after="0" w:line="240" w:lineRule="auto"/>
        <w:jc w:val="both"/>
        <w:rPr>
          <w:rFonts w:ascii="Arial" w:hAnsi="Arial" w:cs="Arial"/>
          <w:color w:val="000000" w:themeColor="text1"/>
          <w:sz w:val="20"/>
          <w:szCs w:val="20"/>
        </w:rPr>
      </w:pPr>
      <w:r>
        <w:rPr>
          <w:rFonts w:ascii="Arial" w:hAnsi="Arial" w:cs="Arial"/>
          <w:sz w:val="20"/>
          <w:szCs w:val="20"/>
        </w:rPr>
        <w:t xml:space="preserve">L’accord-cadre </w:t>
      </w:r>
      <w:r w:rsidR="00287330" w:rsidRPr="0039349D">
        <w:rPr>
          <w:rFonts w:ascii="Arial" w:hAnsi="Arial" w:cs="Arial"/>
          <w:b/>
          <w:color w:val="000000" w:themeColor="text1"/>
          <w:sz w:val="20"/>
          <w:szCs w:val="20"/>
        </w:rPr>
        <w:t>ne comporte pas de tranches</w:t>
      </w:r>
      <w:r w:rsidR="00287330" w:rsidRPr="00287330">
        <w:rPr>
          <w:rFonts w:ascii="Arial" w:hAnsi="Arial" w:cs="Arial"/>
          <w:color w:val="000000" w:themeColor="text1"/>
          <w:sz w:val="20"/>
          <w:szCs w:val="20"/>
        </w:rPr>
        <w:t>.</w:t>
      </w:r>
    </w:p>
    <w:p w14:paraId="6F0C89DD" w14:textId="4F11D600" w:rsidR="00BB71DE" w:rsidRDefault="00BB71DE" w:rsidP="00391074">
      <w:pPr>
        <w:spacing w:after="0" w:line="240" w:lineRule="auto"/>
        <w:jc w:val="both"/>
        <w:rPr>
          <w:rFonts w:ascii="Arial" w:hAnsi="Arial" w:cs="Arial"/>
          <w:color w:val="000000" w:themeColor="text1"/>
          <w:sz w:val="20"/>
          <w:szCs w:val="20"/>
        </w:rPr>
      </w:pPr>
    </w:p>
    <w:p w14:paraId="7A4B9B6F" w14:textId="4196DE92" w:rsidR="00BB71DE" w:rsidRDefault="00BB71DE" w:rsidP="00391074">
      <w:pPr>
        <w:spacing w:after="0" w:line="240" w:lineRule="auto"/>
        <w:jc w:val="both"/>
        <w:rPr>
          <w:rFonts w:ascii="Arial" w:hAnsi="Arial" w:cs="Arial"/>
          <w:color w:val="000000" w:themeColor="text1"/>
          <w:sz w:val="20"/>
          <w:szCs w:val="20"/>
        </w:rPr>
      </w:pPr>
    </w:p>
    <w:p w14:paraId="53E55A95" w14:textId="20D0F447" w:rsidR="00BB71DE" w:rsidRDefault="00BB71DE" w:rsidP="00391074">
      <w:pPr>
        <w:spacing w:after="0" w:line="240" w:lineRule="auto"/>
        <w:jc w:val="both"/>
        <w:rPr>
          <w:rFonts w:ascii="Arial" w:hAnsi="Arial" w:cs="Arial"/>
          <w:color w:val="000000" w:themeColor="text1"/>
          <w:sz w:val="20"/>
          <w:szCs w:val="20"/>
        </w:rPr>
      </w:pPr>
    </w:p>
    <w:p w14:paraId="0B37FBB9" w14:textId="77777777" w:rsidR="00BB71DE" w:rsidRDefault="00BB71DE" w:rsidP="00391074">
      <w:pPr>
        <w:spacing w:after="0" w:line="240" w:lineRule="auto"/>
        <w:jc w:val="both"/>
        <w:rPr>
          <w:rFonts w:ascii="Arial" w:hAnsi="Arial" w:cs="Arial"/>
          <w:sz w:val="20"/>
          <w:szCs w:val="20"/>
        </w:rPr>
      </w:pPr>
    </w:p>
    <w:p w14:paraId="6DB0E99C" w14:textId="77777777" w:rsidR="00614969" w:rsidRPr="00391074" w:rsidRDefault="00614969" w:rsidP="00391074">
      <w:pPr>
        <w:spacing w:after="0" w:line="240" w:lineRule="auto"/>
        <w:jc w:val="both"/>
        <w:rPr>
          <w:rFonts w:ascii="Arial" w:hAnsi="Arial" w:cs="Arial"/>
          <w:sz w:val="20"/>
          <w:szCs w:val="20"/>
        </w:rPr>
      </w:pPr>
    </w:p>
    <w:p w14:paraId="6F716DBB" w14:textId="4EBB7474" w:rsidR="00391074" w:rsidRPr="001E1097" w:rsidRDefault="00391074" w:rsidP="001E1097">
      <w:pPr>
        <w:pStyle w:val="Paragraphedeliste"/>
        <w:numPr>
          <w:ilvl w:val="1"/>
          <w:numId w:val="19"/>
        </w:numPr>
        <w:spacing w:after="0" w:line="240" w:lineRule="auto"/>
        <w:jc w:val="both"/>
        <w:rPr>
          <w:rFonts w:ascii="Arial" w:hAnsi="Arial" w:cs="Arial"/>
          <w:b/>
          <w:sz w:val="20"/>
          <w:szCs w:val="20"/>
          <w:u w:val="single"/>
        </w:rPr>
      </w:pPr>
      <w:r w:rsidRPr="001E1097">
        <w:rPr>
          <w:rFonts w:ascii="Arial" w:hAnsi="Arial" w:cs="Arial"/>
          <w:b/>
          <w:sz w:val="20"/>
          <w:szCs w:val="20"/>
          <w:u w:val="single"/>
        </w:rPr>
        <w:lastRenderedPageBreak/>
        <w:t>Durée de l’accord-cadre</w:t>
      </w:r>
    </w:p>
    <w:p w14:paraId="19D1A0A9" w14:textId="5443E9E3" w:rsidR="00391074" w:rsidRDefault="00391074" w:rsidP="00391074">
      <w:pPr>
        <w:spacing w:after="0" w:line="240" w:lineRule="auto"/>
        <w:jc w:val="both"/>
        <w:rPr>
          <w:rFonts w:ascii="Arial" w:hAnsi="Arial" w:cs="Arial"/>
          <w:sz w:val="20"/>
          <w:szCs w:val="20"/>
        </w:rPr>
      </w:pPr>
    </w:p>
    <w:p w14:paraId="0B20F335" w14:textId="4C1C8734" w:rsidR="00391074" w:rsidRPr="009917F6" w:rsidRDefault="00391074" w:rsidP="00391074">
      <w:pPr>
        <w:spacing w:after="0" w:line="240" w:lineRule="auto"/>
        <w:jc w:val="both"/>
        <w:rPr>
          <w:rFonts w:ascii="Arial" w:hAnsi="Arial" w:cs="Arial"/>
          <w:color w:val="000000" w:themeColor="text1"/>
          <w:sz w:val="20"/>
          <w:szCs w:val="20"/>
        </w:rPr>
      </w:pPr>
      <w:r w:rsidRPr="009917F6">
        <w:rPr>
          <w:rFonts w:ascii="Arial" w:hAnsi="Arial" w:cs="Arial"/>
          <w:color w:val="000000" w:themeColor="text1"/>
          <w:sz w:val="20"/>
          <w:szCs w:val="20"/>
        </w:rPr>
        <w:t>La durée initiale est de</w:t>
      </w:r>
      <w:r w:rsidR="0039349D">
        <w:rPr>
          <w:rFonts w:ascii="Arial" w:hAnsi="Arial" w:cs="Arial"/>
          <w:color w:val="000000" w:themeColor="text1"/>
          <w:sz w:val="20"/>
          <w:szCs w:val="20"/>
        </w:rPr>
        <w:t xml:space="preserve"> </w:t>
      </w:r>
      <w:r w:rsidR="0039349D" w:rsidRPr="0039349D">
        <w:rPr>
          <w:rFonts w:ascii="Arial" w:hAnsi="Arial" w:cs="Arial"/>
          <w:b/>
          <w:color w:val="000000" w:themeColor="text1"/>
          <w:sz w:val="20"/>
          <w:szCs w:val="20"/>
        </w:rPr>
        <w:t>vingt-quatre (</w:t>
      </w:r>
      <w:r w:rsidR="00287330" w:rsidRPr="0039349D">
        <w:rPr>
          <w:rFonts w:ascii="Arial" w:hAnsi="Arial" w:cs="Arial"/>
          <w:b/>
          <w:caps/>
          <w:color w:val="000000" w:themeColor="text1"/>
          <w:sz w:val="20"/>
          <w:szCs w:val="20"/>
        </w:rPr>
        <w:t>24</w:t>
      </w:r>
      <w:r w:rsidR="0039349D" w:rsidRPr="0039349D">
        <w:rPr>
          <w:rFonts w:ascii="Arial" w:hAnsi="Arial" w:cs="Arial"/>
          <w:b/>
          <w:caps/>
          <w:color w:val="000000" w:themeColor="text1"/>
          <w:sz w:val="20"/>
          <w:szCs w:val="20"/>
        </w:rPr>
        <w:t>)</w:t>
      </w:r>
      <w:r w:rsidRPr="0039349D">
        <w:rPr>
          <w:rFonts w:ascii="Arial" w:hAnsi="Arial" w:cs="Arial"/>
          <w:b/>
          <w:color w:val="000000" w:themeColor="text1"/>
          <w:sz w:val="20"/>
          <w:szCs w:val="20"/>
        </w:rPr>
        <w:t xml:space="preserve"> mois</w:t>
      </w:r>
      <w:r w:rsidRPr="009917F6">
        <w:rPr>
          <w:rFonts w:ascii="Arial" w:hAnsi="Arial" w:cs="Arial"/>
          <w:color w:val="000000" w:themeColor="text1"/>
          <w:sz w:val="20"/>
          <w:szCs w:val="20"/>
        </w:rPr>
        <w:t xml:space="preserve">, reconductible </w:t>
      </w:r>
      <w:r w:rsidR="0039349D" w:rsidRPr="0039349D">
        <w:rPr>
          <w:rFonts w:ascii="Arial" w:hAnsi="Arial" w:cs="Arial"/>
          <w:b/>
          <w:color w:val="000000" w:themeColor="text1"/>
          <w:sz w:val="20"/>
          <w:szCs w:val="20"/>
        </w:rPr>
        <w:t>cinq (</w:t>
      </w:r>
      <w:r w:rsidR="00287330" w:rsidRPr="0039349D">
        <w:rPr>
          <w:rFonts w:ascii="Arial" w:hAnsi="Arial" w:cs="Arial"/>
          <w:b/>
          <w:caps/>
          <w:color w:val="000000" w:themeColor="text1"/>
          <w:sz w:val="20"/>
          <w:szCs w:val="20"/>
        </w:rPr>
        <w:t>5</w:t>
      </w:r>
      <w:r w:rsidR="0039349D" w:rsidRPr="0039349D">
        <w:rPr>
          <w:rFonts w:ascii="Arial" w:hAnsi="Arial" w:cs="Arial"/>
          <w:b/>
          <w:caps/>
          <w:color w:val="000000" w:themeColor="text1"/>
          <w:sz w:val="20"/>
          <w:szCs w:val="20"/>
        </w:rPr>
        <w:t>)</w:t>
      </w:r>
      <w:r w:rsidRPr="0039349D">
        <w:rPr>
          <w:rFonts w:ascii="Arial" w:hAnsi="Arial" w:cs="Arial"/>
          <w:b/>
          <w:color w:val="000000" w:themeColor="text1"/>
          <w:sz w:val="20"/>
          <w:szCs w:val="20"/>
        </w:rPr>
        <w:t xml:space="preserve"> fois</w:t>
      </w:r>
      <w:r w:rsidRPr="009917F6">
        <w:rPr>
          <w:rFonts w:ascii="Arial" w:hAnsi="Arial" w:cs="Arial"/>
          <w:color w:val="000000" w:themeColor="text1"/>
          <w:sz w:val="20"/>
          <w:szCs w:val="20"/>
        </w:rPr>
        <w:t xml:space="preserve"> par tacite reconduction. Chaque reconduction ayant une durée de </w:t>
      </w:r>
      <w:r w:rsidR="0039349D">
        <w:rPr>
          <w:rFonts w:ascii="Arial" w:hAnsi="Arial" w:cs="Arial"/>
          <w:color w:val="000000" w:themeColor="text1"/>
          <w:sz w:val="20"/>
          <w:szCs w:val="20"/>
        </w:rPr>
        <w:t>douze (</w:t>
      </w:r>
      <w:r w:rsidR="00287330" w:rsidRPr="009917F6">
        <w:rPr>
          <w:rFonts w:ascii="Arial" w:hAnsi="Arial" w:cs="Arial"/>
          <w:caps/>
          <w:color w:val="000000" w:themeColor="text1"/>
          <w:sz w:val="20"/>
          <w:szCs w:val="20"/>
        </w:rPr>
        <w:t>12</w:t>
      </w:r>
      <w:r w:rsidR="0039349D">
        <w:rPr>
          <w:rFonts w:ascii="Arial" w:hAnsi="Arial" w:cs="Arial"/>
          <w:caps/>
          <w:color w:val="000000" w:themeColor="text1"/>
          <w:sz w:val="20"/>
          <w:szCs w:val="20"/>
        </w:rPr>
        <w:t>)</w:t>
      </w:r>
      <w:r w:rsidRPr="009917F6">
        <w:rPr>
          <w:rFonts w:ascii="Arial" w:hAnsi="Arial" w:cs="Arial"/>
          <w:color w:val="000000" w:themeColor="text1"/>
          <w:sz w:val="20"/>
          <w:szCs w:val="20"/>
        </w:rPr>
        <w:t xml:space="preserve"> mois. La durée maximale du marché ne pouvant excéder </w:t>
      </w:r>
      <w:r w:rsidR="00287330" w:rsidRPr="009917F6">
        <w:rPr>
          <w:rFonts w:ascii="Arial" w:hAnsi="Arial" w:cs="Arial"/>
          <w:caps/>
          <w:color w:val="000000" w:themeColor="text1"/>
          <w:sz w:val="20"/>
          <w:szCs w:val="20"/>
        </w:rPr>
        <w:t>84</w:t>
      </w:r>
      <w:r w:rsidRPr="009917F6">
        <w:rPr>
          <w:rFonts w:ascii="Arial" w:hAnsi="Arial" w:cs="Arial"/>
          <w:color w:val="000000" w:themeColor="text1"/>
          <w:sz w:val="20"/>
          <w:szCs w:val="20"/>
        </w:rPr>
        <w:t xml:space="preserve"> mois.</w:t>
      </w:r>
    </w:p>
    <w:p w14:paraId="7BED4CEC" w14:textId="77777777" w:rsidR="00391074" w:rsidRPr="00DF29C7" w:rsidRDefault="00391074" w:rsidP="00391074">
      <w:pPr>
        <w:spacing w:after="0" w:line="240" w:lineRule="auto"/>
        <w:jc w:val="both"/>
        <w:rPr>
          <w:rFonts w:ascii="Arial" w:hAnsi="Arial" w:cs="Arial"/>
          <w:sz w:val="20"/>
          <w:szCs w:val="20"/>
        </w:rPr>
      </w:pPr>
    </w:p>
    <w:p w14:paraId="68581AA8" w14:textId="70772740" w:rsidR="00391074" w:rsidRPr="00391074" w:rsidRDefault="00391074" w:rsidP="001E1097">
      <w:pPr>
        <w:pStyle w:val="Paragraphedeliste"/>
        <w:numPr>
          <w:ilvl w:val="1"/>
          <w:numId w:val="19"/>
        </w:numPr>
        <w:spacing w:after="0" w:line="240" w:lineRule="auto"/>
        <w:jc w:val="both"/>
        <w:rPr>
          <w:rFonts w:ascii="Arial" w:hAnsi="Arial" w:cs="Arial"/>
          <w:b/>
          <w:sz w:val="20"/>
          <w:szCs w:val="20"/>
          <w:u w:val="single"/>
        </w:rPr>
      </w:pPr>
      <w:r>
        <w:rPr>
          <w:rFonts w:ascii="Arial" w:hAnsi="Arial" w:cs="Arial"/>
          <w:b/>
          <w:sz w:val="20"/>
          <w:szCs w:val="20"/>
          <w:u w:val="single"/>
        </w:rPr>
        <w:t>Montants de l’accord-cadre</w:t>
      </w:r>
    </w:p>
    <w:p w14:paraId="4C708002" w14:textId="60CE31D4" w:rsidR="00391074" w:rsidRDefault="00391074" w:rsidP="00391074">
      <w:pPr>
        <w:spacing w:after="0" w:line="240" w:lineRule="auto"/>
        <w:jc w:val="both"/>
        <w:rPr>
          <w:rFonts w:ascii="Arial" w:hAnsi="Arial" w:cs="Arial"/>
          <w:sz w:val="20"/>
          <w:szCs w:val="20"/>
        </w:rPr>
      </w:pPr>
    </w:p>
    <w:tbl>
      <w:tblPr>
        <w:tblStyle w:val="Grilledutableau"/>
        <w:tblW w:w="0" w:type="auto"/>
        <w:jc w:val="center"/>
        <w:tblLook w:val="04A0" w:firstRow="1" w:lastRow="0" w:firstColumn="1" w:lastColumn="0" w:noHBand="0" w:noVBand="1"/>
      </w:tblPr>
      <w:tblGrid>
        <w:gridCol w:w="2265"/>
        <w:gridCol w:w="2408"/>
      </w:tblGrid>
      <w:tr w:rsidR="00287330" w14:paraId="1E305A52" w14:textId="77777777" w:rsidTr="0039349D">
        <w:trPr>
          <w:jc w:val="center"/>
        </w:trPr>
        <w:tc>
          <w:tcPr>
            <w:tcW w:w="2265" w:type="dxa"/>
            <w:vAlign w:val="center"/>
          </w:tcPr>
          <w:p w14:paraId="5526C018" w14:textId="1D62D4AD" w:rsidR="00287330" w:rsidRPr="00E61113" w:rsidRDefault="00287330" w:rsidP="00AE55F5">
            <w:pPr>
              <w:jc w:val="center"/>
              <w:rPr>
                <w:rFonts w:ascii="Arial" w:hAnsi="Arial" w:cs="Arial"/>
                <w:b/>
                <w:sz w:val="20"/>
                <w:szCs w:val="20"/>
              </w:rPr>
            </w:pPr>
            <w:r w:rsidRPr="00E61113">
              <w:rPr>
                <w:rFonts w:ascii="Arial" w:hAnsi="Arial" w:cs="Arial"/>
                <w:b/>
                <w:sz w:val="20"/>
                <w:szCs w:val="20"/>
              </w:rPr>
              <w:t>Montant minimum</w:t>
            </w:r>
          </w:p>
        </w:tc>
        <w:tc>
          <w:tcPr>
            <w:tcW w:w="2408" w:type="dxa"/>
            <w:vAlign w:val="center"/>
          </w:tcPr>
          <w:p w14:paraId="4AA42B97" w14:textId="0D3B144F" w:rsidR="00287330" w:rsidRPr="00E61113" w:rsidRDefault="00287330" w:rsidP="00696DAF">
            <w:pPr>
              <w:jc w:val="center"/>
              <w:rPr>
                <w:rFonts w:ascii="Arial" w:hAnsi="Arial" w:cs="Arial"/>
                <w:b/>
                <w:sz w:val="20"/>
                <w:szCs w:val="20"/>
              </w:rPr>
            </w:pPr>
            <w:r w:rsidRPr="00E61113">
              <w:rPr>
                <w:rFonts w:ascii="Arial" w:hAnsi="Arial" w:cs="Arial"/>
                <w:b/>
                <w:sz w:val="20"/>
                <w:szCs w:val="20"/>
              </w:rPr>
              <w:t>Montant maximum</w:t>
            </w:r>
            <w:r>
              <w:rPr>
                <w:rFonts w:ascii="Arial" w:hAnsi="Arial" w:cs="Arial"/>
                <w:b/>
                <w:sz w:val="20"/>
                <w:szCs w:val="20"/>
              </w:rPr>
              <w:t xml:space="preserve"> sur la durée maximale de l’accord-cadre </w:t>
            </w:r>
            <w:r w:rsidRPr="0039349D">
              <w:rPr>
                <w:rFonts w:ascii="Arial" w:hAnsi="Arial" w:cs="Arial"/>
                <w:b/>
                <w:color w:val="000000" w:themeColor="text1"/>
                <w:sz w:val="20"/>
                <w:szCs w:val="20"/>
              </w:rPr>
              <w:t>(7 ans)</w:t>
            </w:r>
          </w:p>
        </w:tc>
      </w:tr>
      <w:tr w:rsidR="00287330" w14:paraId="0ED0A24B" w14:textId="77777777" w:rsidTr="0039349D">
        <w:trPr>
          <w:jc w:val="center"/>
        </w:trPr>
        <w:tc>
          <w:tcPr>
            <w:tcW w:w="2265" w:type="dxa"/>
          </w:tcPr>
          <w:p w14:paraId="4A8D03D0" w14:textId="151BD4AF" w:rsidR="00287330" w:rsidRPr="00E61113" w:rsidRDefault="00287330" w:rsidP="00287330">
            <w:pPr>
              <w:jc w:val="center"/>
              <w:rPr>
                <w:rFonts w:ascii="Arial" w:hAnsi="Arial" w:cs="Arial"/>
                <w:sz w:val="20"/>
                <w:szCs w:val="20"/>
              </w:rPr>
            </w:pPr>
            <w:r>
              <w:rPr>
                <w:rFonts w:ascii="Arial" w:hAnsi="Arial" w:cs="Arial"/>
                <w:sz w:val="20"/>
                <w:szCs w:val="20"/>
              </w:rPr>
              <w:t>Sans minimum</w:t>
            </w:r>
          </w:p>
        </w:tc>
        <w:tc>
          <w:tcPr>
            <w:tcW w:w="2408" w:type="dxa"/>
          </w:tcPr>
          <w:p w14:paraId="6B8B7917" w14:textId="57247C0D" w:rsidR="00287330" w:rsidRPr="00D601F7" w:rsidRDefault="00C54059" w:rsidP="004B572D">
            <w:pPr>
              <w:jc w:val="center"/>
              <w:rPr>
                <w:rFonts w:ascii="Arial" w:hAnsi="Arial" w:cs="Arial"/>
                <w:sz w:val="20"/>
                <w:szCs w:val="20"/>
              </w:rPr>
            </w:pPr>
            <w:r w:rsidRPr="00D601F7">
              <w:rPr>
                <w:rFonts w:ascii="Arial" w:hAnsi="Arial" w:cs="Arial"/>
                <w:sz w:val="20"/>
                <w:szCs w:val="20"/>
              </w:rPr>
              <w:t>2 500</w:t>
            </w:r>
            <w:r w:rsidR="00287330" w:rsidRPr="00D601F7">
              <w:rPr>
                <w:rFonts w:ascii="Arial" w:hAnsi="Arial" w:cs="Arial"/>
                <w:sz w:val="20"/>
                <w:szCs w:val="20"/>
              </w:rPr>
              <w:t> 000 € H.T</w:t>
            </w:r>
          </w:p>
        </w:tc>
      </w:tr>
    </w:tbl>
    <w:p w14:paraId="615A82C8" w14:textId="77777777" w:rsidR="00391074" w:rsidRDefault="00391074" w:rsidP="00391074">
      <w:pPr>
        <w:spacing w:after="0" w:line="240" w:lineRule="auto"/>
        <w:jc w:val="both"/>
        <w:rPr>
          <w:rFonts w:ascii="Arial" w:hAnsi="Arial" w:cs="Arial"/>
          <w:sz w:val="20"/>
          <w:szCs w:val="20"/>
        </w:rPr>
      </w:pPr>
    </w:p>
    <w:p w14:paraId="743407ED" w14:textId="3D7BD597" w:rsidR="00391074" w:rsidRDefault="00E61113" w:rsidP="00391074">
      <w:pPr>
        <w:spacing w:after="0" w:line="240" w:lineRule="auto"/>
        <w:jc w:val="both"/>
        <w:rPr>
          <w:rFonts w:ascii="Arial" w:hAnsi="Arial" w:cs="Arial"/>
          <w:sz w:val="20"/>
          <w:szCs w:val="20"/>
        </w:rPr>
      </w:pPr>
      <w:r w:rsidRPr="00DF29C7">
        <w:rPr>
          <w:rFonts w:ascii="Arial" w:hAnsi="Arial" w:cs="Arial"/>
          <w:sz w:val="20"/>
          <w:szCs w:val="20"/>
        </w:rPr>
        <w:t xml:space="preserve">Une fois le montant maximum atteint, l’accord-cadre n’est plus valide et la notification des bons de commande cessera. </w:t>
      </w:r>
    </w:p>
    <w:p w14:paraId="32A04883" w14:textId="77777777" w:rsidR="00E61113" w:rsidRPr="00391074" w:rsidRDefault="00E61113" w:rsidP="00391074">
      <w:pPr>
        <w:spacing w:after="0" w:line="240" w:lineRule="auto"/>
        <w:jc w:val="both"/>
        <w:rPr>
          <w:rFonts w:ascii="Arial" w:hAnsi="Arial" w:cs="Arial"/>
          <w:sz w:val="20"/>
          <w:szCs w:val="20"/>
        </w:rPr>
      </w:pPr>
    </w:p>
    <w:p w14:paraId="261D90DE" w14:textId="0A1EDF25" w:rsidR="00391074" w:rsidRDefault="00391074" w:rsidP="001E1097">
      <w:pPr>
        <w:pStyle w:val="Paragraphedeliste"/>
        <w:numPr>
          <w:ilvl w:val="1"/>
          <w:numId w:val="19"/>
        </w:numPr>
        <w:spacing w:after="0" w:line="240" w:lineRule="auto"/>
        <w:jc w:val="both"/>
        <w:rPr>
          <w:rFonts w:ascii="Arial" w:hAnsi="Arial" w:cs="Arial"/>
          <w:b/>
          <w:sz w:val="20"/>
          <w:szCs w:val="20"/>
          <w:u w:val="single"/>
        </w:rPr>
      </w:pPr>
      <w:r w:rsidRPr="00391074">
        <w:rPr>
          <w:rFonts w:ascii="Arial" w:hAnsi="Arial" w:cs="Arial"/>
          <w:b/>
          <w:sz w:val="20"/>
          <w:szCs w:val="20"/>
          <w:u w:val="single"/>
        </w:rPr>
        <w:t>Modalités essentielles de financement et de paiement</w:t>
      </w:r>
    </w:p>
    <w:p w14:paraId="5D634C55" w14:textId="476EBDAA" w:rsidR="00391074" w:rsidRDefault="00391074" w:rsidP="00391074">
      <w:pPr>
        <w:spacing w:after="0" w:line="240" w:lineRule="auto"/>
        <w:jc w:val="both"/>
        <w:rPr>
          <w:rFonts w:ascii="Arial" w:hAnsi="Arial" w:cs="Arial"/>
          <w:b/>
          <w:sz w:val="20"/>
          <w:szCs w:val="20"/>
          <w:u w:val="single"/>
        </w:rPr>
      </w:pPr>
    </w:p>
    <w:p w14:paraId="043D261E" w14:textId="543FA688" w:rsidR="00E61113" w:rsidRPr="00142090" w:rsidRDefault="00E61113" w:rsidP="00142090">
      <w:pPr>
        <w:pStyle w:val="Paragraphedeliste"/>
        <w:numPr>
          <w:ilvl w:val="0"/>
          <w:numId w:val="23"/>
        </w:numPr>
        <w:spacing w:after="0" w:line="240" w:lineRule="auto"/>
        <w:jc w:val="both"/>
        <w:rPr>
          <w:rFonts w:ascii="Arial" w:hAnsi="Arial" w:cs="Arial"/>
          <w:sz w:val="20"/>
          <w:szCs w:val="20"/>
        </w:rPr>
      </w:pPr>
      <w:r w:rsidRPr="00142090">
        <w:rPr>
          <w:rFonts w:ascii="Arial" w:hAnsi="Arial" w:cs="Arial"/>
          <w:sz w:val="20"/>
          <w:szCs w:val="20"/>
        </w:rPr>
        <w:t xml:space="preserve">Il sera fait application des dispositions des articles </w:t>
      </w:r>
      <w:r w:rsidRPr="0039349D">
        <w:rPr>
          <w:rFonts w:ascii="Arial" w:hAnsi="Arial" w:cs="Arial"/>
          <w:b/>
          <w:color w:val="000000" w:themeColor="text1"/>
          <w:sz w:val="20"/>
          <w:szCs w:val="20"/>
        </w:rPr>
        <w:t>R.2391-1 à R.2391-28</w:t>
      </w:r>
      <w:r w:rsidRPr="00142090">
        <w:rPr>
          <w:rFonts w:ascii="Arial" w:hAnsi="Arial" w:cs="Arial"/>
          <w:sz w:val="20"/>
          <w:szCs w:val="20"/>
        </w:rPr>
        <w:t xml:space="preserve"> du code de la commande publique. </w:t>
      </w:r>
    </w:p>
    <w:p w14:paraId="38EC00F9" w14:textId="77777777" w:rsidR="00E61113" w:rsidRDefault="00E61113" w:rsidP="00E61113">
      <w:pPr>
        <w:spacing w:after="0" w:line="240" w:lineRule="auto"/>
        <w:jc w:val="both"/>
        <w:rPr>
          <w:rFonts w:ascii="Arial" w:hAnsi="Arial" w:cs="Arial"/>
          <w:sz w:val="20"/>
          <w:szCs w:val="20"/>
        </w:rPr>
      </w:pPr>
    </w:p>
    <w:p w14:paraId="50EE3383" w14:textId="27FEF0C4" w:rsidR="00E61113" w:rsidRPr="00142090" w:rsidRDefault="00E61113" w:rsidP="00142090">
      <w:pPr>
        <w:pStyle w:val="Paragraphedeliste"/>
        <w:numPr>
          <w:ilvl w:val="0"/>
          <w:numId w:val="23"/>
        </w:numPr>
        <w:spacing w:after="0" w:line="240" w:lineRule="auto"/>
        <w:jc w:val="both"/>
        <w:rPr>
          <w:rFonts w:ascii="Arial" w:hAnsi="Arial" w:cs="Arial"/>
          <w:sz w:val="20"/>
          <w:szCs w:val="20"/>
        </w:rPr>
      </w:pPr>
      <w:r w:rsidRPr="00142090">
        <w:rPr>
          <w:rFonts w:ascii="Arial" w:hAnsi="Arial" w:cs="Arial"/>
          <w:sz w:val="20"/>
          <w:szCs w:val="20"/>
        </w:rPr>
        <w:t xml:space="preserve">Le financement est assuré exclusivement par des ressources budgétaires de l'État. </w:t>
      </w:r>
    </w:p>
    <w:p w14:paraId="6609765E" w14:textId="777C4E37" w:rsidR="00295C12" w:rsidRPr="00142090" w:rsidRDefault="00295C12" w:rsidP="00142090">
      <w:pPr>
        <w:pStyle w:val="Paragraphedeliste"/>
        <w:spacing w:after="0" w:line="240" w:lineRule="auto"/>
        <w:jc w:val="both"/>
        <w:rPr>
          <w:rFonts w:ascii="Arial" w:hAnsi="Arial" w:cs="Arial"/>
          <w:b/>
          <w:color w:val="00B050"/>
          <w:sz w:val="20"/>
          <w:szCs w:val="20"/>
        </w:rPr>
      </w:pPr>
      <w:r w:rsidRPr="00142090">
        <w:rPr>
          <w:rFonts w:ascii="Arial" w:hAnsi="Arial" w:cs="Arial"/>
          <w:sz w:val="20"/>
          <w:szCs w:val="20"/>
        </w:rPr>
        <w:t xml:space="preserve">Le contrat </w:t>
      </w:r>
      <w:r w:rsidR="00C52BBC" w:rsidRPr="0039349D">
        <w:rPr>
          <w:rFonts w:ascii="Arial" w:hAnsi="Arial" w:cs="Arial"/>
          <w:b/>
          <w:color w:val="000000" w:themeColor="text1"/>
          <w:sz w:val="20"/>
          <w:szCs w:val="20"/>
        </w:rPr>
        <w:t>ne s’inscrit pas</w:t>
      </w:r>
      <w:r w:rsidRPr="00F63946">
        <w:rPr>
          <w:rFonts w:ascii="Arial" w:hAnsi="Arial" w:cs="Arial"/>
          <w:color w:val="000000" w:themeColor="text1"/>
          <w:sz w:val="20"/>
          <w:szCs w:val="20"/>
        </w:rPr>
        <w:t xml:space="preserve"> </w:t>
      </w:r>
      <w:r w:rsidRPr="00142090">
        <w:rPr>
          <w:rFonts w:ascii="Arial" w:hAnsi="Arial" w:cs="Arial"/>
          <w:sz w:val="20"/>
          <w:szCs w:val="20"/>
        </w:rPr>
        <w:t>dans un projet/programme financé par les fonds de l’Union européenne</w:t>
      </w:r>
      <w:r w:rsidR="00C52BBC" w:rsidRPr="00142090">
        <w:rPr>
          <w:rFonts w:ascii="Arial" w:hAnsi="Arial" w:cs="Arial"/>
          <w:sz w:val="20"/>
          <w:szCs w:val="20"/>
        </w:rPr>
        <w:t>.</w:t>
      </w:r>
    </w:p>
    <w:p w14:paraId="5D3B075F" w14:textId="77777777" w:rsidR="00E61113" w:rsidRDefault="00E61113" w:rsidP="00E61113">
      <w:pPr>
        <w:spacing w:after="0" w:line="240" w:lineRule="auto"/>
        <w:jc w:val="both"/>
        <w:rPr>
          <w:rFonts w:ascii="Arial" w:hAnsi="Arial" w:cs="Arial"/>
          <w:sz w:val="20"/>
          <w:szCs w:val="20"/>
        </w:rPr>
      </w:pPr>
    </w:p>
    <w:p w14:paraId="3C96BF19" w14:textId="2EF5D526" w:rsidR="00E61113" w:rsidRPr="00142090" w:rsidRDefault="00E61113" w:rsidP="00142090">
      <w:pPr>
        <w:pStyle w:val="Paragraphedeliste"/>
        <w:numPr>
          <w:ilvl w:val="0"/>
          <w:numId w:val="23"/>
        </w:numPr>
        <w:spacing w:after="0" w:line="240" w:lineRule="auto"/>
        <w:jc w:val="both"/>
        <w:rPr>
          <w:rFonts w:ascii="Arial" w:hAnsi="Arial" w:cs="Arial"/>
          <w:sz w:val="20"/>
          <w:szCs w:val="20"/>
        </w:rPr>
      </w:pPr>
      <w:r w:rsidRPr="00142090">
        <w:rPr>
          <w:rFonts w:ascii="Arial" w:hAnsi="Arial" w:cs="Arial"/>
          <w:sz w:val="20"/>
          <w:szCs w:val="20"/>
        </w:rPr>
        <w:t xml:space="preserve">Il est prévu une avance. </w:t>
      </w:r>
    </w:p>
    <w:p w14:paraId="7E2DF805" w14:textId="77777777" w:rsidR="00E61113" w:rsidRDefault="00E61113" w:rsidP="00E61113">
      <w:pPr>
        <w:spacing w:after="0" w:line="240" w:lineRule="auto"/>
        <w:jc w:val="both"/>
        <w:rPr>
          <w:rFonts w:ascii="Arial" w:hAnsi="Arial" w:cs="Arial"/>
          <w:sz w:val="20"/>
          <w:szCs w:val="20"/>
        </w:rPr>
      </w:pPr>
    </w:p>
    <w:p w14:paraId="5213EBFD" w14:textId="33390EB4" w:rsidR="00F60639" w:rsidRPr="00F63946" w:rsidRDefault="00F60639" w:rsidP="00142090">
      <w:pPr>
        <w:pStyle w:val="Paragraphedeliste"/>
        <w:numPr>
          <w:ilvl w:val="0"/>
          <w:numId w:val="23"/>
        </w:numPr>
        <w:spacing w:after="0" w:line="240" w:lineRule="auto"/>
        <w:jc w:val="both"/>
        <w:rPr>
          <w:rFonts w:ascii="Arial" w:hAnsi="Arial" w:cs="Arial"/>
          <w:color w:val="000000" w:themeColor="text1"/>
          <w:sz w:val="20"/>
          <w:szCs w:val="20"/>
        </w:rPr>
      </w:pPr>
      <w:r w:rsidRPr="00142090">
        <w:rPr>
          <w:rFonts w:ascii="Arial" w:hAnsi="Arial" w:cs="Arial"/>
          <w:sz w:val="20"/>
          <w:szCs w:val="20"/>
        </w:rPr>
        <w:t xml:space="preserve">Le paiement sera effectué par </w:t>
      </w:r>
      <w:r w:rsidRPr="00F63946">
        <w:rPr>
          <w:rFonts w:ascii="Arial" w:hAnsi="Arial" w:cs="Arial"/>
          <w:color w:val="000000" w:themeColor="text1"/>
          <w:sz w:val="20"/>
          <w:szCs w:val="20"/>
        </w:rPr>
        <w:t>factures.</w:t>
      </w:r>
    </w:p>
    <w:p w14:paraId="05B31303" w14:textId="77777777" w:rsidR="00E61113" w:rsidRDefault="00E61113" w:rsidP="00E61113">
      <w:pPr>
        <w:spacing w:after="0" w:line="240" w:lineRule="auto"/>
        <w:jc w:val="both"/>
        <w:rPr>
          <w:rFonts w:ascii="Arial" w:hAnsi="Arial" w:cs="Arial"/>
          <w:sz w:val="20"/>
          <w:szCs w:val="20"/>
        </w:rPr>
      </w:pPr>
    </w:p>
    <w:p w14:paraId="41ECFC68" w14:textId="77777777" w:rsidR="00E61113" w:rsidRPr="00142090" w:rsidRDefault="00E61113" w:rsidP="00142090">
      <w:pPr>
        <w:pStyle w:val="Paragraphedeliste"/>
        <w:numPr>
          <w:ilvl w:val="0"/>
          <w:numId w:val="23"/>
        </w:numPr>
        <w:spacing w:after="0" w:line="240" w:lineRule="auto"/>
        <w:jc w:val="both"/>
        <w:rPr>
          <w:rFonts w:ascii="Arial" w:hAnsi="Arial" w:cs="Arial"/>
          <w:sz w:val="20"/>
          <w:szCs w:val="20"/>
        </w:rPr>
      </w:pPr>
      <w:r w:rsidRPr="00142090">
        <w:rPr>
          <w:rFonts w:ascii="Arial" w:hAnsi="Arial" w:cs="Arial"/>
          <w:sz w:val="20"/>
          <w:szCs w:val="20"/>
        </w:rPr>
        <w:t xml:space="preserve">Le délai global de paiement des acomptes et du solde ne peut excéder trente (30) jours. </w:t>
      </w:r>
    </w:p>
    <w:p w14:paraId="3B9C02F7" w14:textId="77777777" w:rsidR="00E61113" w:rsidRDefault="00E61113" w:rsidP="00E61113">
      <w:pPr>
        <w:spacing w:after="0" w:line="240" w:lineRule="auto"/>
        <w:jc w:val="both"/>
        <w:rPr>
          <w:rFonts w:ascii="Arial" w:hAnsi="Arial" w:cs="Arial"/>
          <w:sz w:val="20"/>
          <w:szCs w:val="20"/>
        </w:rPr>
      </w:pPr>
    </w:p>
    <w:p w14:paraId="5C039FFA" w14:textId="02689663" w:rsidR="007210DA" w:rsidRPr="0039349D" w:rsidRDefault="00E61113" w:rsidP="00142090">
      <w:pPr>
        <w:pStyle w:val="Paragraphedeliste"/>
        <w:numPr>
          <w:ilvl w:val="0"/>
          <w:numId w:val="23"/>
        </w:numPr>
        <w:spacing w:after="0" w:line="240" w:lineRule="auto"/>
        <w:jc w:val="both"/>
        <w:rPr>
          <w:rFonts w:ascii="Arial" w:hAnsi="Arial" w:cs="Arial"/>
          <w:b/>
          <w:sz w:val="20"/>
          <w:szCs w:val="20"/>
        </w:rPr>
      </w:pPr>
      <w:r w:rsidRPr="00142090">
        <w:rPr>
          <w:rFonts w:ascii="Arial" w:hAnsi="Arial" w:cs="Arial"/>
          <w:sz w:val="20"/>
          <w:szCs w:val="20"/>
        </w:rPr>
        <w:t xml:space="preserve">Forme des prix </w:t>
      </w:r>
      <w:r w:rsidRPr="00F63946">
        <w:rPr>
          <w:rFonts w:ascii="Arial" w:hAnsi="Arial" w:cs="Arial"/>
          <w:sz w:val="20"/>
          <w:szCs w:val="20"/>
        </w:rPr>
        <w:t xml:space="preserve">: </w:t>
      </w:r>
      <w:r w:rsidR="00EE0BD5" w:rsidRPr="00F63946">
        <w:rPr>
          <w:rFonts w:ascii="Arial" w:hAnsi="Arial" w:cs="Arial"/>
          <w:sz w:val="20"/>
          <w:szCs w:val="20"/>
        </w:rPr>
        <w:t xml:space="preserve"> </w:t>
      </w:r>
      <w:r w:rsidR="00EE0BD5" w:rsidRPr="0039349D">
        <w:rPr>
          <w:rFonts w:ascii="Arial" w:hAnsi="Arial" w:cs="Arial"/>
          <w:b/>
          <w:color w:val="000000" w:themeColor="text1"/>
          <w:sz w:val="20"/>
          <w:szCs w:val="20"/>
        </w:rPr>
        <w:t>mixtes</w:t>
      </w:r>
      <w:r w:rsidR="0039349D">
        <w:rPr>
          <w:rFonts w:ascii="Arial" w:hAnsi="Arial" w:cs="Arial"/>
          <w:b/>
          <w:color w:val="000000" w:themeColor="text1"/>
          <w:sz w:val="20"/>
          <w:szCs w:val="20"/>
        </w:rPr>
        <w:t>.</w:t>
      </w:r>
    </w:p>
    <w:p w14:paraId="6A4B74AF" w14:textId="77777777" w:rsidR="007210DA" w:rsidRDefault="007210DA" w:rsidP="00E61113">
      <w:pPr>
        <w:spacing w:after="0" w:line="240" w:lineRule="auto"/>
        <w:jc w:val="both"/>
        <w:rPr>
          <w:rFonts w:ascii="Arial" w:hAnsi="Arial" w:cs="Arial"/>
          <w:sz w:val="20"/>
          <w:szCs w:val="20"/>
        </w:rPr>
      </w:pPr>
    </w:p>
    <w:p w14:paraId="6B2A87C2" w14:textId="7E4AB7B2" w:rsidR="00E61113" w:rsidRPr="0039349D" w:rsidRDefault="007210DA" w:rsidP="00142090">
      <w:pPr>
        <w:pStyle w:val="Paragraphedeliste"/>
        <w:numPr>
          <w:ilvl w:val="0"/>
          <w:numId w:val="23"/>
        </w:numPr>
        <w:spacing w:after="0" w:line="240" w:lineRule="auto"/>
        <w:jc w:val="both"/>
        <w:rPr>
          <w:rFonts w:ascii="Arial" w:hAnsi="Arial" w:cs="Arial"/>
          <w:b/>
          <w:color w:val="000000" w:themeColor="text1"/>
          <w:sz w:val="20"/>
          <w:szCs w:val="20"/>
        </w:rPr>
      </w:pPr>
      <w:r w:rsidRPr="00142090">
        <w:rPr>
          <w:rFonts w:ascii="Arial" w:hAnsi="Arial" w:cs="Arial"/>
          <w:sz w:val="20"/>
          <w:szCs w:val="20"/>
        </w:rPr>
        <w:t>Modalité de variation des prix </w:t>
      </w:r>
      <w:r w:rsidRPr="00F63946">
        <w:rPr>
          <w:rFonts w:ascii="Arial" w:hAnsi="Arial" w:cs="Arial"/>
          <w:sz w:val="20"/>
          <w:szCs w:val="20"/>
        </w:rPr>
        <w:t xml:space="preserve">: </w:t>
      </w:r>
      <w:r w:rsidR="00E61113" w:rsidRPr="0039349D">
        <w:rPr>
          <w:rFonts w:ascii="Arial" w:hAnsi="Arial" w:cs="Arial"/>
          <w:b/>
          <w:color w:val="000000" w:themeColor="text1"/>
          <w:sz w:val="20"/>
          <w:szCs w:val="20"/>
        </w:rPr>
        <w:t>révisables</w:t>
      </w:r>
      <w:r w:rsidR="0039349D">
        <w:rPr>
          <w:rFonts w:ascii="Arial" w:hAnsi="Arial" w:cs="Arial"/>
          <w:b/>
          <w:color w:val="000000" w:themeColor="text1"/>
          <w:sz w:val="20"/>
          <w:szCs w:val="20"/>
        </w:rPr>
        <w:t>.</w:t>
      </w:r>
    </w:p>
    <w:p w14:paraId="5C1D1497" w14:textId="62ABC30A" w:rsidR="00A907C4" w:rsidRPr="00F63946" w:rsidRDefault="00A907C4" w:rsidP="00E61113">
      <w:pPr>
        <w:spacing w:after="0" w:line="240" w:lineRule="auto"/>
        <w:jc w:val="both"/>
        <w:rPr>
          <w:rFonts w:ascii="Arial" w:hAnsi="Arial" w:cs="Arial"/>
          <w:sz w:val="20"/>
          <w:szCs w:val="20"/>
        </w:rPr>
      </w:pPr>
    </w:p>
    <w:p w14:paraId="5738AE4A" w14:textId="6A32713D" w:rsidR="00A907C4" w:rsidRDefault="00A907C4" w:rsidP="001E1097">
      <w:pPr>
        <w:pStyle w:val="Paragraphedeliste"/>
        <w:numPr>
          <w:ilvl w:val="1"/>
          <w:numId w:val="19"/>
        </w:numPr>
        <w:spacing w:after="0" w:line="240" w:lineRule="auto"/>
        <w:jc w:val="both"/>
        <w:rPr>
          <w:rFonts w:ascii="Arial" w:hAnsi="Arial" w:cs="Arial"/>
          <w:b/>
          <w:sz w:val="20"/>
          <w:szCs w:val="20"/>
          <w:u w:val="single"/>
        </w:rPr>
      </w:pPr>
      <w:r>
        <w:rPr>
          <w:rFonts w:ascii="Arial" w:hAnsi="Arial" w:cs="Arial"/>
          <w:b/>
          <w:sz w:val="20"/>
          <w:szCs w:val="20"/>
          <w:u w:val="single"/>
        </w:rPr>
        <w:t xml:space="preserve">Cautionnement et garanties exigées </w:t>
      </w:r>
    </w:p>
    <w:p w14:paraId="72663CD5" w14:textId="77777777" w:rsidR="00A907C4" w:rsidRPr="00DF29C7" w:rsidRDefault="00A907C4" w:rsidP="00E61113">
      <w:pPr>
        <w:spacing w:after="0" w:line="240" w:lineRule="auto"/>
        <w:jc w:val="both"/>
        <w:rPr>
          <w:rFonts w:ascii="Arial" w:hAnsi="Arial" w:cs="Arial"/>
          <w:sz w:val="20"/>
          <w:szCs w:val="20"/>
        </w:rPr>
      </w:pPr>
    </w:p>
    <w:p w14:paraId="7E6EFEFE" w14:textId="01C20C70" w:rsidR="00391074" w:rsidRPr="00614969" w:rsidRDefault="00614969" w:rsidP="00391074">
      <w:pPr>
        <w:spacing w:after="0" w:line="240" w:lineRule="auto"/>
        <w:jc w:val="both"/>
        <w:rPr>
          <w:rFonts w:ascii="Arial" w:hAnsi="Arial" w:cs="Arial"/>
          <w:sz w:val="20"/>
          <w:szCs w:val="20"/>
        </w:rPr>
      </w:pPr>
      <w:r w:rsidRPr="00AF54A8">
        <w:rPr>
          <w:rFonts w:ascii="Arial" w:hAnsi="Arial" w:cs="Arial"/>
          <w:sz w:val="20"/>
          <w:szCs w:val="20"/>
        </w:rPr>
        <w:t>Il n’est pas prévu de retenue de garantie.</w:t>
      </w:r>
    </w:p>
    <w:p w14:paraId="476A12A7" w14:textId="393B38BE" w:rsidR="00391074" w:rsidRPr="00391074" w:rsidRDefault="00391074" w:rsidP="00391074">
      <w:pPr>
        <w:spacing w:after="0" w:line="240" w:lineRule="auto"/>
        <w:jc w:val="both"/>
        <w:rPr>
          <w:rFonts w:ascii="Arial" w:hAnsi="Arial" w:cs="Arial"/>
          <w:b/>
          <w:sz w:val="20"/>
          <w:szCs w:val="20"/>
          <w:u w:val="single"/>
        </w:rPr>
      </w:pPr>
    </w:p>
    <w:p w14:paraId="115EBA07" w14:textId="4B5A78D2" w:rsidR="00391074" w:rsidRPr="00314FF8" w:rsidRDefault="00391074" w:rsidP="001E1097">
      <w:pPr>
        <w:pStyle w:val="Paragraphedeliste"/>
        <w:numPr>
          <w:ilvl w:val="1"/>
          <w:numId w:val="19"/>
        </w:numPr>
        <w:spacing w:after="0" w:line="240" w:lineRule="auto"/>
        <w:jc w:val="both"/>
        <w:rPr>
          <w:rFonts w:ascii="Arial" w:hAnsi="Arial" w:cs="Arial"/>
          <w:b/>
          <w:sz w:val="20"/>
          <w:szCs w:val="20"/>
          <w:u w:val="single"/>
        </w:rPr>
      </w:pPr>
      <w:r w:rsidRPr="00314FF8">
        <w:rPr>
          <w:rFonts w:ascii="Arial" w:hAnsi="Arial" w:cs="Arial"/>
          <w:b/>
          <w:sz w:val="20"/>
          <w:szCs w:val="20"/>
          <w:u w:val="single"/>
        </w:rPr>
        <w:t>Conditions de participation</w:t>
      </w:r>
    </w:p>
    <w:p w14:paraId="68D9ED33" w14:textId="1CCD7BCE" w:rsidR="00391074" w:rsidRPr="00314FF8" w:rsidRDefault="00391074" w:rsidP="00391074">
      <w:pPr>
        <w:spacing w:after="0" w:line="240" w:lineRule="auto"/>
        <w:jc w:val="both"/>
        <w:rPr>
          <w:rFonts w:ascii="Arial" w:hAnsi="Arial" w:cs="Arial"/>
          <w:b/>
          <w:sz w:val="20"/>
          <w:szCs w:val="20"/>
          <w:u w:val="single"/>
        </w:rPr>
      </w:pPr>
    </w:p>
    <w:p w14:paraId="56F5AFB6" w14:textId="77777777" w:rsidR="009137DE" w:rsidRPr="009137DE" w:rsidRDefault="00AE55F5" w:rsidP="00125451">
      <w:pPr>
        <w:pStyle w:val="Paragraphedeliste"/>
        <w:numPr>
          <w:ilvl w:val="0"/>
          <w:numId w:val="20"/>
        </w:numPr>
        <w:spacing w:after="0" w:line="240" w:lineRule="auto"/>
        <w:jc w:val="both"/>
        <w:rPr>
          <w:rFonts w:ascii="Arial" w:hAnsi="Arial" w:cs="Arial"/>
          <w:b/>
          <w:sz w:val="20"/>
          <w:szCs w:val="20"/>
        </w:rPr>
      </w:pPr>
      <w:r w:rsidRPr="009137DE">
        <w:rPr>
          <w:rFonts w:ascii="Arial" w:hAnsi="Arial" w:cs="Arial"/>
          <w:b/>
          <w:sz w:val="20"/>
          <w:szCs w:val="20"/>
        </w:rPr>
        <w:t>Situation propre</w:t>
      </w:r>
      <w:r w:rsidR="00314FF8" w:rsidRPr="009137DE">
        <w:rPr>
          <w:rFonts w:ascii="Arial" w:hAnsi="Arial" w:cs="Arial"/>
          <w:b/>
          <w:sz w:val="20"/>
          <w:szCs w:val="20"/>
        </w:rPr>
        <w:t xml:space="preserve"> et capacité économique et financière</w:t>
      </w:r>
      <w:r w:rsidR="003B352C" w:rsidRPr="009137DE">
        <w:rPr>
          <w:rFonts w:ascii="Arial" w:hAnsi="Arial" w:cs="Arial"/>
          <w:b/>
          <w:sz w:val="20"/>
          <w:szCs w:val="20"/>
        </w:rPr>
        <w:t xml:space="preserve"> </w:t>
      </w:r>
      <w:r w:rsidRPr="009137DE">
        <w:rPr>
          <w:rFonts w:ascii="Arial" w:hAnsi="Arial" w:cs="Arial"/>
          <w:sz w:val="20"/>
          <w:szCs w:val="20"/>
        </w:rPr>
        <w:t>: Critères relatifs à la situation personnelle</w:t>
      </w:r>
      <w:r w:rsidR="0016132E" w:rsidRPr="009137DE">
        <w:rPr>
          <w:rFonts w:ascii="Arial" w:hAnsi="Arial" w:cs="Arial"/>
          <w:sz w:val="20"/>
          <w:szCs w:val="20"/>
        </w:rPr>
        <w:t xml:space="preserve"> d’opérateurs économiques (susceptibles d’entraîner leur exclusion)</w:t>
      </w:r>
      <w:r w:rsidRPr="009137DE">
        <w:rPr>
          <w:rFonts w:ascii="Arial" w:hAnsi="Arial" w:cs="Arial"/>
          <w:sz w:val="20"/>
          <w:szCs w:val="20"/>
        </w:rPr>
        <w:t>, y compris</w:t>
      </w:r>
      <w:r w:rsidR="0016132E" w:rsidRPr="009137DE">
        <w:rPr>
          <w:rFonts w:ascii="Arial" w:hAnsi="Arial" w:cs="Arial"/>
          <w:sz w:val="20"/>
          <w:szCs w:val="20"/>
        </w:rPr>
        <w:t xml:space="preserve"> les</w:t>
      </w:r>
      <w:r w:rsidRPr="009137DE">
        <w:rPr>
          <w:rFonts w:ascii="Arial" w:hAnsi="Arial" w:cs="Arial"/>
          <w:sz w:val="20"/>
          <w:szCs w:val="20"/>
        </w:rPr>
        <w:t xml:space="preserve"> exigences relatives à leur inscription à un registr</w:t>
      </w:r>
      <w:r w:rsidR="00314FF8" w:rsidRPr="009137DE">
        <w:rPr>
          <w:rFonts w:ascii="Arial" w:hAnsi="Arial" w:cs="Arial"/>
          <w:sz w:val="20"/>
          <w:szCs w:val="20"/>
        </w:rPr>
        <w:t xml:space="preserve">e professionnel ou du commerce </w:t>
      </w:r>
    </w:p>
    <w:p w14:paraId="37EF5ABA" w14:textId="56214F8D" w:rsidR="00AE55F5" w:rsidRPr="009137DE" w:rsidRDefault="00AE55F5" w:rsidP="009137DE">
      <w:pPr>
        <w:pStyle w:val="Paragraphedeliste"/>
        <w:spacing w:after="0" w:line="240" w:lineRule="auto"/>
        <w:ind w:left="360"/>
        <w:jc w:val="both"/>
        <w:rPr>
          <w:rFonts w:ascii="Arial" w:hAnsi="Arial" w:cs="Arial"/>
          <w:b/>
          <w:sz w:val="20"/>
          <w:szCs w:val="20"/>
        </w:rPr>
      </w:pPr>
      <w:r w:rsidRPr="009137DE">
        <w:rPr>
          <w:rFonts w:ascii="Arial" w:hAnsi="Arial" w:cs="Arial"/>
          <w:sz w:val="20"/>
          <w:szCs w:val="20"/>
        </w:rPr>
        <w:t>Renseignement et formalités nécessaires pour évaluer si ces exigences sont remplies :</w:t>
      </w:r>
      <w:r w:rsidRPr="009137DE">
        <w:rPr>
          <w:rFonts w:ascii="Arial" w:hAnsi="Arial" w:cs="Arial"/>
          <w:b/>
          <w:sz w:val="20"/>
          <w:szCs w:val="20"/>
        </w:rPr>
        <w:t xml:space="preserve"> </w:t>
      </w:r>
    </w:p>
    <w:p w14:paraId="74787094" w14:textId="77777777" w:rsidR="00AE55F5" w:rsidRPr="00DF29C7" w:rsidRDefault="00AE55F5" w:rsidP="00AA46CB">
      <w:pPr>
        <w:pStyle w:val="Paragraphedeliste"/>
        <w:numPr>
          <w:ilvl w:val="0"/>
          <w:numId w:val="12"/>
        </w:numPr>
        <w:spacing w:after="0" w:line="240" w:lineRule="auto"/>
        <w:ind w:left="1134"/>
        <w:jc w:val="both"/>
        <w:rPr>
          <w:rFonts w:ascii="Arial" w:hAnsi="Arial" w:cs="Arial"/>
          <w:sz w:val="20"/>
          <w:szCs w:val="20"/>
        </w:rPr>
      </w:pPr>
      <w:r w:rsidRPr="00DF29C7">
        <w:rPr>
          <w:rFonts w:ascii="Arial" w:hAnsi="Arial" w:cs="Arial"/>
          <w:sz w:val="20"/>
          <w:szCs w:val="20"/>
        </w:rPr>
        <w:t xml:space="preserve">Candidature sous forme simplifiée – document Unique de Marché Européen (DUME). En remplacement des formulaires DC1 et DC2, les candidats peuvent présenter leur candidature sous la forme d’un document unique de marché européen (DUME) établi conformément au modèle fixé par le règlement d’exécution 2016/07 de la Commission européenne du 5 Janvier 2016 et disponible sur </w:t>
      </w:r>
      <w:hyperlink r:id="rId8" w:history="1">
        <w:r w:rsidRPr="00DF29C7">
          <w:rPr>
            <w:rStyle w:val="Lienhypertexte"/>
            <w:rFonts w:ascii="Arial" w:hAnsi="Arial" w:cs="Arial"/>
            <w:sz w:val="20"/>
            <w:szCs w:val="20"/>
          </w:rPr>
          <w:t>http://dume.choruspro.gouv.fr</w:t>
        </w:r>
      </w:hyperlink>
      <w:r w:rsidRPr="00DF29C7">
        <w:rPr>
          <w:rFonts w:ascii="Arial" w:hAnsi="Arial" w:cs="Arial"/>
          <w:sz w:val="20"/>
          <w:szCs w:val="20"/>
        </w:rPr>
        <w:t xml:space="preserve">. </w:t>
      </w:r>
    </w:p>
    <w:p w14:paraId="4B83DAE5" w14:textId="77777777" w:rsidR="00AE55F5" w:rsidRPr="00DF29C7" w:rsidRDefault="00AE55F5" w:rsidP="00AA46CB">
      <w:pPr>
        <w:spacing w:after="0" w:line="240" w:lineRule="auto"/>
        <w:ind w:left="1134"/>
        <w:jc w:val="both"/>
        <w:rPr>
          <w:rFonts w:ascii="Arial" w:hAnsi="Arial" w:cs="Arial"/>
          <w:sz w:val="20"/>
          <w:szCs w:val="20"/>
        </w:rPr>
      </w:pPr>
      <w:r w:rsidRPr="00DF29C7">
        <w:rPr>
          <w:rFonts w:ascii="Arial" w:hAnsi="Arial" w:cs="Arial"/>
          <w:sz w:val="20"/>
          <w:szCs w:val="20"/>
        </w:rPr>
        <w:t xml:space="preserve">Candidature hors </w:t>
      </w:r>
      <w:proofErr w:type="spellStart"/>
      <w:r w:rsidRPr="00DF29C7">
        <w:rPr>
          <w:rFonts w:ascii="Arial" w:hAnsi="Arial" w:cs="Arial"/>
          <w:sz w:val="20"/>
          <w:szCs w:val="20"/>
        </w:rPr>
        <w:t>Dume</w:t>
      </w:r>
      <w:proofErr w:type="spellEnd"/>
      <w:r w:rsidRPr="00DF29C7">
        <w:rPr>
          <w:rFonts w:ascii="Arial" w:hAnsi="Arial" w:cs="Arial"/>
          <w:sz w:val="20"/>
          <w:szCs w:val="20"/>
        </w:rPr>
        <w:t xml:space="preserve"> : Les candidats fourniront impérativement les formulaires de déclaration suivants ou leurs équivalents : DC1 (lettre de candidature-habilitation du mandataire par ses cotraitants), DC2 déclaration du candidat individuel ou du membre du </w:t>
      </w:r>
      <w:r w:rsidRPr="00694EB7">
        <w:rPr>
          <w:rFonts w:ascii="Arial" w:hAnsi="Arial" w:cs="Arial"/>
          <w:sz w:val="20"/>
          <w:szCs w:val="20"/>
        </w:rPr>
        <w:t>groupement</w:t>
      </w:r>
      <w:r w:rsidRPr="00DF29C7">
        <w:rPr>
          <w:rFonts w:ascii="Arial" w:hAnsi="Arial" w:cs="Arial"/>
          <w:sz w:val="20"/>
          <w:szCs w:val="20"/>
        </w:rPr>
        <w:t>).</w:t>
      </w:r>
    </w:p>
    <w:p w14:paraId="1C716A38" w14:textId="756D36E7" w:rsidR="00AE55F5" w:rsidRDefault="00AE55F5" w:rsidP="00AA46CB">
      <w:pPr>
        <w:spacing w:after="0" w:line="240" w:lineRule="auto"/>
        <w:ind w:left="1134"/>
        <w:jc w:val="both"/>
        <w:rPr>
          <w:rFonts w:ascii="Arial" w:hAnsi="Arial" w:cs="Arial"/>
          <w:sz w:val="20"/>
          <w:szCs w:val="20"/>
        </w:rPr>
      </w:pPr>
      <w:r w:rsidRPr="00DF29C7">
        <w:rPr>
          <w:rFonts w:ascii="Arial" w:hAnsi="Arial" w:cs="Arial"/>
          <w:sz w:val="20"/>
          <w:szCs w:val="20"/>
        </w:rPr>
        <w:t xml:space="preserve">Formulaires téléchargeables à partir du lien </w:t>
      </w:r>
      <w:hyperlink r:id="rId9" w:history="1">
        <w:r w:rsidRPr="00DF29C7">
          <w:rPr>
            <w:rStyle w:val="Lienhypertexte"/>
            <w:rFonts w:ascii="Arial" w:hAnsi="Arial" w:cs="Arial"/>
            <w:sz w:val="20"/>
            <w:szCs w:val="20"/>
          </w:rPr>
          <w:t>www.economie.gouv.fr/daj/formulaires-declaration-candidat</w:t>
        </w:r>
      </w:hyperlink>
      <w:r w:rsidRPr="00DF29C7">
        <w:rPr>
          <w:rFonts w:ascii="Arial" w:hAnsi="Arial" w:cs="Arial"/>
          <w:sz w:val="20"/>
          <w:szCs w:val="20"/>
        </w:rPr>
        <w:t xml:space="preserve"> </w:t>
      </w:r>
    </w:p>
    <w:p w14:paraId="79E0336D" w14:textId="77777777" w:rsidR="00FB3C61" w:rsidRPr="00DF29C7" w:rsidRDefault="00FB3C61" w:rsidP="00FB3C61">
      <w:pPr>
        <w:spacing w:after="0" w:line="240" w:lineRule="auto"/>
        <w:jc w:val="both"/>
        <w:rPr>
          <w:rFonts w:ascii="Arial" w:hAnsi="Arial" w:cs="Arial"/>
          <w:sz w:val="20"/>
          <w:szCs w:val="20"/>
        </w:rPr>
      </w:pPr>
    </w:p>
    <w:p w14:paraId="4604B6D1" w14:textId="2C853A52" w:rsidR="00AE55F5" w:rsidRPr="00DF29C7" w:rsidRDefault="00AE55F5" w:rsidP="00AA46CB">
      <w:pPr>
        <w:pStyle w:val="Paragraphedeliste"/>
        <w:numPr>
          <w:ilvl w:val="0"/>
          <w:numId w:val="13"/>
        </w:numPr>
        <w:spacing w:after="0" w:line="240" w:lineRule="auto"/>
        <w:ind w:left="1134"/>
        <w:jc w:val="both"/>
        <w:rPr>
          <w:rFonts w:ascii="Arial" w:hAnsi="Arial" w:cs="Arial"/>
          <w:sz w:val="20"/>
          <w:szCs w:val="20"/>
        </w:rPr>
      </w:pPr>
      <w:r w:rsidRPr="00DF29C7">
        <w:rPr>
          <w:rFonts w:ascii="Arial" w:hAnsi="Arial" w:cs="Arial"/>
          <w:sz w:val="20"/>
          <w:szCs w:val="20"/>
        </w:rPr>
        <w:t xml:space="preserve">Inscription à un registre professionnel ou du commerce : </w:t>
      </w:r>
      <w:r w:rsidRPr="00C70954">
        <w:rPr>
          <w:rFonts w:ascii="Arial" w:hAnsi="Arial" w:cs="Arial"/>
          <w:sz w:val="20"/>
          <w:szCs w:val="20"/>
        </w:rPr>
        <w:t xml:space="preserve">extrait </w:t>
      </w:r>
      <w:proofErr w:type="spellStart"/>
      <w:r w:rsidRPr="00C70954">
        <w:rPr>
          <w:rFonts w:ascii="Arial" w:hAnsi="Arial" w:cs="Arial"/>
          <w:sz w:val="20"/>
          <w:szCs w:val="20"/>
        </w:rPr>
        <w:t>Kbis</w:t>
      </w:r>
      <w:proofErr w:type="spellEnd"/>
      <w:r w:rsidRPr="00C70954">
        <w:rPr>
          <w:rFonts w:ascii="Arial" w:hAnsi="Arial" w:cs="Arial"/>
          <w:sz w:val="20"/>
          <w:szCs w:val="20"/>
        </w:rPr>
        <w:t xml:space="preserve"> </w:t>
      </w:r>
    </w:p>
    <w:p w14:paraId="3DE64CEA" w14:textId="77777777" w:rsidR="00AE55F5" w:rsidRPr="00DF29C7" w:rsidRDefault="00AE55F5" w:rsidP="00AA46CB">
      <w:pPr>
        <w:pStyle w:val="Paragraphedeliste"/>
        <w:spacing w:after="0" w:line="240" w:lineRule="auto"/>
        <w:ind w:left="1134"/>
        <w:jc w:val="both"/>
        <w:rPr>
          <w:rFonts w:ascii="Arial" w:hAnsi="Arial" w:cs="Arial"/>
          <w:sz w:val="20"/>
          <w:szCs w:val="20"/>
        </w:rPr>
      </w:pPr>
    </w:p>
    <w:p w14:paraId="0DCA8C68" w14:textId="13B8F612" w:rsidR="00AE55F5" w:rsidRPr="009137DE" w:rsidRDefault="00AE55F5" w:rsidP="00AE55F5">
      <w:pPr>
        <w:pStyle w:val="Paragraphedeliste"/>
        <w:numPr>
          <w:ilvl w:val="0"/>
          <w:numId w:val="13"/>
        </w:numPr>
        <w:spacing w:after="0" w:line="240" w:lineRule="auto"/>
        <w:ind w:left="1134"/>
        <w:jc w:val="both"/>
        <w:rPr>
          <w:rFonts w:ascii="Arial" w:hAnsi="Arial" w:cs="Arial"/>
          <w:sz w:val="20"/>
          <w:szCs w:val="20"/>
        </w:rPr>
      </w:pPr>
      <w:r w:rsidRPr="00DF29C7">
        <w:rPr>
          <w:rFonts w:ascii="Arial" w:hAnsi="Arial" w:cs="Arial"/>
          <w:sz w:val="20"/>
          <w:szCs w:val="20"/>
        </w:rPr>
        <w:t xml:space="preserve">Document(s) attestant des pouvoirs des personnes habilitées à engager </w:t>
      </w:r>
      <w:r w:rsidR="00191B4D">
        <w:rPr>
          <w:rFonts w:ascii="Arial" w:hAnsi="Arial" w:cs="Arial"/>
          <w:sz w:val="20"/>
          <w:szCs w:val="20"/>
        </w:rPr>
        <w:t>la société</w:t>
      </w:r>
    </w:p>
    <w:p w14:paraId="2E791CB7" w14:textId="77777777" w:rsidR="00AE55F5" w:rsidRPr="00696DAF" w:rsidRDefault="00AE55F5" w:rsidP="00696DAF">
      <w:pPr>
        <w:pStyle w:val="Paragraphedeliste"/>
        <w:numPr>
          <w:ilvl w:val="0"/>
          <w:numId w:val="20"/>
        </w:numPr>
        <w:spacing w:after="0" w:line="240" w:lineRule="auto"/>
        <w:jc w:val="both"/>
        <w:rPr>
          <w:rFonts w:ascii="Arial" w:hAnsi="Arial" w:cs="Arial"/>
          <w:sz w:val="20"/>
          <w:szCs w:val="20"/>
        </w:rPr>
      </w:pPr>
      <w:r w:rsidRPr="00696DAF">
        <w:rPr>
          <w:rFonts w:ascii="Arial" w:hAnsi="Arial" w:cs="Arial"/>
          <w:b/>
          <w:sz w:val="20"/>
          <w:szCs w:val="20"/>
        </w:rPr>
        <w:lastRenderedPageBreak/>
        <w:t>Capacité technique et professionnelle</w:t>
      </w:r>
      <w:r w:rsidRPr="00696DAF">
        <w:rPr>
          <w:rFonts w:ascii="Arial" w:hAnsi="Arial" w:cs="Arial"/>
          <w:sz w:val="20"/>
          <w:szCs w:val="20"/>
        </w:rPr>
        <w:t> : Critères relatifs à la capacité technique et/ou professionnelle d’opérateurs économiques (susceptibles d’entraîner leur exclusion).</w:t>
      </w:r>
    </w:p>
    <w:p w14:paraId="79DFF8AE" w14:textId="77777777" w:rsidR="00A93C5F" w:rsidRDefault="00AE55F5" w:rsidP="00A93C5F">
      <w:pPr>
        <w:pStyle w:val="Paragraphedeliste"/>
        <w:spacing w:after="0" w:line="240" w:lineRule="auto"/>
        <w:ind w:left="360"/>
        <w:jc w:val="both"/>
        <w:rPr>
          <w:rFonts w:ascii="Arial" w:hAnsi="Arial" w:cs="Arial"/>
          <w:b/>
          <w:color w:val="FF0000"/>
          <w:sz w:val="20"/>
          <w:szCs w:val="20"/>
        </w:rPr>
      </w:pPr>
      <w:r w:rsidRPr="00DF29C7">
        <w:rPr>
          <w:rFonts w:ascii="Arial" w:hAnsi="Arial" w:cs="Arial"/>
          <w:sz w:val="20"/>
          <w:szCs w:val="20"/>
        </w:rPr>
        <w:t>Renseignement et formalités nécessaires pour évaluer si ces exigences sont remplies :</w:t>
      </w:r>
      <w:r w:rsidR="00064C84">
        <w:rPr>
          <w:rFonts w:ascii="Arial" w:hAnsi="Arial" w:cs="Arial"/>
          <w:sz w:val="20"/>
          <w:szCs w:val="20"/>
        </w:rPr>
        <w:t xml:space="preserve"> </w:t>
      </w:r>
    </w:p>
    <w:p w14:paraId="3E576029" w14:textId="5FD0D22A" w:rsidR="00AE55F5" w:rsidRDefault="00AE55F5" w:rsidP="00A93C5F">
      <w:pPr>
        <w:pStyle w:val="Paragraphedeliste"/>
        <w:numPr>
          <w:ilvl w:val="0"/>
          <w:numId w:val="28"/>
        </w:numPr>
        <w:spacing w:after="0" w:line="240" w:lineRule="auto"/>
        <w:jc w:val="both"/>
        <w:rPr>
          <w:rFonts w:ascii="Arial" w:hAnsi="Arial" w:cs="Arial"/>
          <w:color w:val="000000" w:themeColor="text1"/>
          <w:sz w:val="20"/>
          <w:szCs w:val="20"/>
        </w:rPr>
      </w:pPr>
      <w:r w:rsidRPr="00A93C5F">
        <w:rPr>
          <w:rFonts w:ascii="Arial" w:hAnsi="Arial" w:cs="Arial"/>
          <w:color w:val="000000" w:themeColor="text1"/>
          <w:sz w:val="20"/>
          <w:szCs w:val="20"/>
        </w:rPr>
        <w:t>Déclaration indiquant les effectifs moyens annuels du candidat et l'importance du personnel d'encadrement pour chacune des trois dernières années</w:t>
      </w:r>
      <w:r w:rsidR="00A93C5F" w:rsidRPr="00A93C5F">
        <w:rPr>
          <w:rFonts w:ascii="Arial" w:hAnsi="Arial" w:cs="Arial"/>
          <w:color w:val="000000" w:themeColor="text1"/>
          <w:sz w:val="20"/>
          <w:szCs w:val="20"/>
        </w:rPr>
        <w:t> ;</w:t>
      </w:r>
    </w:p>
    <w:p w14:paraId="691B7A42" w14:textId="77777777" w:rsidR="0039349D" w:rsidRPr="00A93C5F" w:rsidRDefault="0039349D" w:rsidP="0039349D">
      <w:pPr>
        <w:pStyle w:val="Paragraphedeliste"/>
        <w:spacing w:after="0" w:line="240" w:lineRule="auto"/>
        <w:ind w:left="1080"/>
        <w:jc w:val="both"/>
        <w:rPr>
          <w:rFonts w:ascii="Arial" w:hAnsi="Arial" w:cs="Arial"/>
          <w:color w:val="000000" w:themeColor="text1"/>
          <w:sz w:val="20"/>
          <w:szCs w:val="20"/>
        </w:rPr>
      </w:pPr>
    </w:p>
    <w:p w14:paraId="583C29F7" w14:textId="13763176" w:rsidR="00A93C5F" w:rsidRDefault="00A93C5F" w:rsidP="00AA46CB">
      <w:pPr>
        <w:pStyle w:val="Paragraphedeliste"/>
        <w:numPr>
          <w:ilvl w:val="0"/>
          <w:numId w:val="13"/>
        </w:numPr>
        <w:spacing w:after="0" w:line="240" w:lineRule="auto"/>
        <w:ind w:left="1134" w:hanging="425"/>
        <w:jc w:val="both"/>
        <w:rPr>
          <w:rFonts w:ascii="Arial" w:hAnsi="Arial" w:cs="Arial"/>
          <w:color w:val="000000" w:themeColor="text1"/>
          <w:sz w:val="20"/>
          <w:szCs w:val="20"/>
        </w:rPr>
      </w:pPr>
      <w:r w:rsidRPr="00A93C5F">
        <w:rPr>
          <w:rFonts w:ascii="Arial" w:hAnsi="Arial" w:cs="Arial"/>
          <w:color w:val="000000" w:themeColor="text1"/>
          <w:sz w:val="20"/>
          <w:szCs w:val="20"/>
        </w:rPr>
        <w:t xml:space="preserve">Références sur les trois dernières années en rapport avec l’objet </w:t>
      </w:r>
      <w:r w:rsidR="00BB71DE">
        <w:rPr>
          <w:rFonts w:ascii="Arial" w:hAnsi="Arial" w:cs="Arial"/>
          <w:color w:val="000000" w:themeColor="text1"/>
          <w:sz w:val="20"/>
          <w:szCs w:val="20"/>
        </w:rPr>
        <w:t>de l’accord-cadre</w:t>
      </w:r>
      <w:r w:rsidRPr="00A93C5F">
        <w:rPr>
          <w:rFonts w:ascii="Arial" w:hAnsi="Arial" w:cs="Arial"/>
          <w:color w:val="000000" w:themeColor="text1"/>
          <w:sz w:val="20"/>
          <w:szCs w:val="20"/>
        </w:rPr>
        <w:t> ;</w:t>
      </w:r>
    </w:p>
    <w:p w14:paraId="2D06DE37" w14:textId="77777777" w:rsidR="0039349D" w:rsidRPr="00A93C5F" w:rsidRDefault="0039349D" w:rsidP="0039349D">
      <w:pPr>
        <w:pStyle w:val="Paragraphedeliste"/>
        <w:spacing w:after="0" w:line="240" w:lineRule="auto"/>
        <w:ind w:left="1134"/>
        <w:jc w:val="both"/>
        <w:rPr>
          <w:rFonts w:ascii="Arial" w:hAnsi="Arial" w:cs="Arial"/>
          <w:color w:val="000000" w:themeColor="text1"/>
          <w:sz w:val="20"/>
          <w:szCs w:val="20"/>
        </w:rPr>
      </w:pPr>
    </w:p>
    <w:p w14:paraId="1F71F871" w14:textId="3BFAB59F" w:rsidR="00A93C5F" w:rsidRPr="00A93C5F" w:rsidRDefault="00A93C5F" w:rsidP="00AA46CB">
      <w:pPr>
        <w:pStyle w:val="Paragraphedeliste"/>
        <w:numPr>
          <w:ilvl w:val="0"/>
          <w:numId w:val="13"/>
        </w:numPr>
        <w:spacing w:after="0" w:line="240" w:lineRule="auto"/>
        <w:ind w:left="1134" w:hanging="425"/>
        <w:jc w:val="both"/>
        <w:rPr>
          <w:rFonts w:ascii="Arial" w:hAnsi="Arial" w:cs="Arial"/>
          <w:color w:val="000000" w:themeColor="text1"/>
          <w:sz w:val="20"/>
          <w:szCs w:val="20"/>
        </w:rPr>
      </w:pPr>
      <w:r w:rsidRPr="00A93C5F">
        <w:rPr>
          <w:rFonts w:ascii="Arial" w:hAnsi="Arial" w:cs="Arial"/>
          <w:color w:val="000000" w:themeColor="text1"/>
          <w:sz w:val="20"/>
          <w:szCs w:val="20"/>
        </w:rPr>
        <w:t>Description de l’équipement technique, des mesures employées par l’opérateur économique pour s’assurer de la qualité et des moyens d’étude et de recherche de son entreprise.</w:t>
      </w:r>
    </w:p>
    <w:p w14:paraId="06E4BCEA" w14:textId="77777777" w:rsidR="00A93C5F" w:rsidRPr="00A93C5F" w:rsidRDefault="00A93C5F" w:rsidP="00A93C5F">
      <w:pPr>
        <w:pStyle w:val="REFEXIGENCEREC"/>
        <w:spacing w:before="0"/>
        <w:rPr>
          <w:rFonts w:ascii="Arial" w:hAnsi="Arial" w:cs="Arial"/>
          <w:sz w:val="20"/>
          <w:szCs w:val="20"/>
        </w:rPr>
      </w:pPr>
    </w:p>
    <w:p w14:paraId="40A4D0E3" w14:textId="77777777" w:rsidR="00AE55F5" w:rsidRPr="00DF29C7" w:rsidRDefault="00AE55F5" w:rsidP="00AE55F5">
      <w:pPr>
        <w:pStyle w:val="OBJEXIGENCE"/>
        <w:spacing w:before="0"/>
        <w:ind w:left="0"/>
        <w:rPr>
          <w:rFonts w:ascii="Arial" w:hAnsi="Arial" w:cs="Arial"/>
          <w:sz w:val="20"/>
          <w:szCs w:val="20"/>
        </w:rPr>
      </w:pPr>
      <w:r w:rsidRPr="00DF29C7">
        <w:rPr>
          <w:rFonts w:ascii="Arial" w:hAnsi="Arial" w:cs="Arial"/>
          <w:sz w:val="20"/>
          <w:szCs w:val="20"/>
        </w:rPr>
        <w:t>Le pouvoir adjudicateur dans ce cas précise que la preuve de la capacité du candidat peut être apportée par tout moyen, notamment par des certificats d’identité professionnelle ou des références de prestations attestant de la compétence de l’opérateur économique à réaliser la prestation pour laquelle il se porte candidat.</w:t>
      </w:r>
    </w:p>
    <w:p w14:paraId="0DEE67DD" w14:textId="77777777" w:rsidR="00AE55F5" w:rsidRPr="00DF29C7" w:rsidRDefault="00AE55F5" w:rsidP="00AE55F5">
      <w:pPr>
        <w:pStyle w:val="OBJEXIGENCE"/>
        <w:spacing w:before="0"/>
        <w:ind w:left="0"/>
        <w:rPr>
          <w:rFonts w:ascii="Arial" w:hAnsi="Arial" w:cs="Arial"/>
          <w:sz w:val="20"/>
          <w:szCs w:val="20"/>
        </w:rPr>
      </w:pPr>
    </w:p>
    <w:p w14:paraId="76070E84" w14:textId="77777777" w:rsidR="00BB71DE" w:rsidRDefault="00AE55F5" w:rsidP="00BB71DE">
      <w:pPr>
        <w:spacing w:after="0" w:line="240" w:lineRule="auto"/>
        <w:jc w:val="both"/>
        <w:rPr>
          <w:rFonts w:ascii="Arial" w:hAnsi="Arial" w:cs="Arial"/>
          <w:sz w:val="20"/>
          <w:szCs w:val="20"/>
        </w:rPr>
      </w:pPr>
      <w:r w:rsidRPr="00DF29C7">
        <w:rPr>
          <w:rFonts w:ascii="Arial" w:hAnsi="Arial" w:cs="Arial"/>
          <w:sz w:val="20"/>
          <w:szCs w:val="20"/>
        </w:rPr>
        <w:t xml:space="preserve">Le pouvoir adjudicateur acceptera toutefois d’autres preuves de mesures équivalentes de la garantie de la qualité produite par les candidats, si ceux-ci n’ont pas accès à ces certificats ou n’ont aucune possibilité de les obtenir dans les délais fixés. </w:t>
      </w:r>
      <w:r w:rsidR="00BB71DE" w:rsidRPr="00A949D2">
        <w:rPr>
          <w:rFonts w:ascii="Arial" w:hAnsi="Arial" w:cs="Arial"/>
          <w:b/>
          <w:sz w:val="20"/>
          <w:szCs w:val="20"/>
        </w:rPr>
        <w:t>Le candidat doit préciser s’il s’appuie sur un</w:t>
      </w:r>
      <w:r w:rsidR="00BB71DE">
        <w:rPr>
          <w:rFonts w:ascii="Arial" w:hAnsi="Arial" w:cs="Arial"/>
          <w:b/>
          <w:sz w:val="20"/>
          <w:szCs w:val="20"/>
        </w:rPr>
        <w:t xml:space="preserve"> </w:t>
      </w:r>
      <w:proofErr w:type="spellStart"/>
      <w:r w:rsidR="00BB71DE">
        <w:rPr>
          <w:rFonts w:ascii="Arial" w:hAnsi="Arial" w:cs="Arial"/>
          <w:b/>
          <w:sz w:val="20"/>
          <w:szCs w:val="20"/>
        </w:rPr>
        <w:t>co-traitant</w:t>
      </w:r>
      <w:proofErr w:type="spellEnd"/>
      <w:r w:rsidR="00BB71DE">
        <w:rPr>
          <w:rFonts w:ascii="Arial" w:hAnsi="Arial" w:cs="Arial"/>
          <w:b/>
          <w:sz w:val="20"/>
          <w:szCs w:val="20"/>
        </w:rPr>
        <w:t xml:space="preserve"> ou un</w:t>
      </w:r>
      <w:r w:rsidR="00BB71DE" w:rsidRPr="00A949D2">
        <w:rPr>
          <w:rFonts w:ascii="Arial" w:hAnsi="Arial" w:cs="Arial"/>
          <w:b/>
          <w:sz w:val="20"/>
          <w:szCs w:val="20"/>
        </w:rPr>
        <w:t xml:space="preserve"> sous-traitant pour apporter la preuve de sa capacité. </w:t>
      </w:r>
      <w:r w:rsidR="00BB71DE">
        <w:rPr>
          <w:rFonts w:ascii="Arial" w:hAnsi="Arial" w:cs="Arial"/>
          <w:b/>
          <w:sz w:val="20"/>
          <w:szCs w:val="20"/>
        </w:rPr>
        <w:t>S’il</w:t>
      </w:r>
      <w:r w:rsidR="00BB71DE" w:rsidRPr="00A949D2">
        <w:rPr>
          <w:rFonts w:ascii="Arial" w:hAnsi="Arial" w:cs="Arial"/>
          <w:b/>
          <w:sz w:val="20"/>
          <w:szCs w:val="20"/>
        </w:rPr>
        <w:t xml:space="preserve"> a pour projet de recourir à la sous-traitance, il devra détailler les prestations envisagées</w:t>
      </w:r>
      <w:r w:rsidR="00BB71DE">
        <w:rPr>
          <w:rFonts w:ascii="Arial" w:hAnsi="Arial" w:cs="Arial"/>
          <w:b/>
          <w:sz w:val="20"/>
          <w:szCs w:val="20"/>
        </w:rPr>
        <w:t xml:space="preserve"> en joignant un projet de DC4 complété</w:t>
      </w:r>
      <w:r w:rsidR="00BB71DE" w:rsidRPr="00A949D2">
        <w:rPr>
          <w:rFonts w:ascii="Arial" w:hAnsi="Arial" w:cs="Arial"/>
          <w:b/>
          <w:sz w:val="20"/>
          <w:szCs w:val="20"/>
        </w:rPr>
        <w:t xml:space="preserve">, </w:t>
      </w:r>
      <w:r w:rsidR="00BB71DE">
        <w:rPr>
          <w:rFonts w:ascii="Arial" w:hAnsi="Arial" w:cs="Arial"/>
          <w:b/>
          <w:sz w:val="20"/>
          <w:szCs w:val="20"/>
        </w:rPr>
        <w:t>accompagné des justificatifs pour les</w:t>
      </w:r>
      <w:r w:rsidR="00BB71DE" w:rsidRPr="00A949D2">
        <w:rPr>
          <w:rFonts w:ascii="Arial" w:hAnsi="Arial" w:cs="Arial"/>
          <w:b/>
          <w:sz w:val="20"/>
          <w:szCs w:val="20"/>
        </w:rPr>
        <w:t xml:space="preserve"> qualifications demandées.</w:t>
      </w:r>
      <w:r w:rsidR="00BB71DE">
        <w:rPr>
          <w:rFonts w:ascii="Arial" w:hAnsi="Arial" w:cs="Arial"/>
          <w:b/>
          <w:sz w:val="20"/>
          <w:szCs w:val="20"/>
        </w:rPr>
        <w:t xml:space="preserve"> </w:t>
      </w:r>
      <w:r w:rsidR="00BB71DE" w:rsidRPr="00723E78">
        <w:rPr>
          <w:rFonts w:ascii="Arial" w:hAnsi="Arial" w:cs="Arial"/>
          <w:b/>
          <w:sz w:val="20"/>
          <w:szCs w:val="20"/>
        </w:rPr>
        <w:t>Le DC4 est transmis à titre de projet uniquement. Les mentions relatives au paiement direct du sous-traitant, y compris la caution bancaire, ne sont pas à renseigner à ce stade de la procédure.</w:t>
      </w:r>
    </w:p>
    <w:p w14:paraId="14032B86" w14:textId="77777777" w:rsidR="00AE55F5" w:rsidRDefault="00AE55F5" w:rsidP="00AE55F5">
      <w:pPr>
        <w:spacing w:after="0" w:line="240" w:lineRule="auto"/>
        <w:jc w:val="both"/>
        <w:rPr>
          <w:rFonts w:ascii="Arial" w:hAnsi="Arial" w:cs="Arial"/>
          <w:color w:val="FF0000"/>
          <w:sz w:val="20"/>
          <w:szCs w:val="20"/>
        </w:rPr>
      </w:pPr>
    </w:p>
    <w:p w14:paraId="58A961AF" w14:textId="3263FE2F" w:rsidR="00AE55F5" w:rsidRPr="00344813" w:rsidRDefault="00AE55F5" w:rsidP="00AE55F5">
      <w:pPr>
        <w:spacing w:after="0" w:line="240" w:lineRule="auto"/>
        <w:jc w:val="both"/>
        <w:rPr>
          <w:rFonts w:ascii="Arial" w:hAnsi="Arial" w:cs="Arial"/>
          <w:sz w:val="20"/>
          <w:szCs w:val="20"/>
        </w:rPr>
      </w:pPr>
      <w:r w:rsidRPr="00344813">
        <w:rPr>
          <w:rFonts w:ascii="Arial" w:hAnsi="Arial" w:cs="Arial"/>
          <w:sz w:val="20"/>
          <w:szCs w:val="20"/>
        </w:rPr>
        <w:t xml:space="preserve">Nota 1 : </w:t>
      </w:r>
      <w:r w:rsidRPr="00174634">
        <w:rPr>
          <w:rFonts w:ascii="Arial" w:hAnsi="Arial" w:cs="Arial"/>
          <w:color w:val="0070C0"/>
          <w:sz w:val="20"/>
          <w:szCs w:val="20"/>
        </w:rPr>
        <w:t xml:space="preserve">La fiche d’autocontrôle en </w:t>
      </w:r>
      <w:r w:rsidRPr="009675BF">
        <w:rPr>
          <w:rFonts w:ascii="Arial" w:hAnsi="Arial" w:cs="Arial"/>
          <w:color w:val="0070C0"/>
          <w:sz w:val="20"/>
          <w:szCs w:val="20"/>
        </w:rPr>
        <w:t>pièce jointe n°</w:t>
      </w:r>
      <w:r w:rsidR="009675BF">
        <w:rPr>
          <w:rFonts w:ascii="Arial" w:hAnsi="Arial" w:cs="Arial"/>
          <w:color w:val="0070C0"/>
          <w:sz w:val="20"/>
          <w:szCs w:val="20"/>
        </w:rPr>
        <w:t xml:space="preserve"> 2</w:t>
      </w:r>
      <w:r w:rsidRPr="00344813">
        <w:rPr>
          <w:rFonts w:ascii="Arial" w:hAnsi="Arial" w:cs="Arial"/>
          <w:sz w:val="20"/>
          <w:szCs w:val="20"/>
        </w:rPr>
        <w:t xml:space="preserve"> devra être complétée et retournée avec la candidature. Le candidat doit respecter la hiérarchisation des dossiers pour présenter sa candidature. </w:t>
      </w:r>
    </w:p>
    <w:p w14:paraId="751564A4" w14:textId="77777777" w:rsidR="00AE55F5" w:rsidRDefault="00AE55F5" w:rsidP="00AE55F5">
      <w:pPr>
        <w:spacing w:after="0" w:line="240" w:lineRule="auto"/>
        <w:jc w:val="both"/>
        <w:rPr>
          <w:rFonts w:ascii="Arial" w:hAnsi="Arial" w:cs="Arial"/>
          <w:sz w:val="20"/>
          <w:szCs w:val="20"/>
        </w:rPr>
      </w:pPr>
    </w:p>
    <w:p w14:paraId="0B6CB0E4" w14:textId="63CAD2A6" w:rsidR="00224D71" w:rsidRDefault="00224D71" w:rsidP="00AE55F5">
      <w:pPr>
        <w:spacing w:after="0" w:line="240" w:lineRule="auto"/>
        <w:jc w:val="both"/>
        <w:rPr>
          <w:rFonts w:ascii="Arial" w:hAnsi="Arial" w:cs="Arial"/>
          <w:sz w:val="20"/>
          <w:szCs w:val="20"/>
        </w:rPr>
      </w:pPr>
    </w:p>
    <w:p w14:paraId="77001081" w14:textId="01F3F644" w:rsidR="00224D71" w:rsidRPr="00224D71" w:rsidRDefault="00224D71" w:rsidP="001E1097">
      <w:pPr>
        <w:pStyle w:val="Paragraphedeliste"/>
        <w:numPr>
          <w:ilvl w:val="1"/>
          <w:numId w:val="19"/>
        </w:numPr>
        <w:spacing w:after="0" w:line="240" w:lineRule="auto"/>
        <w:jc w:val="both"/>
        <w:rPr>
          <w:rFonts w:ascii="Arial" w:hAnsi="Arial" w:cs="Arial"/>
          <w:b/>
          <w:sz w:val="20"/>
          <w:szCs w:val="20"/>
          <w:u w:val="single"/>
        </w:rPr>
      </w:pPr>
      <w:r w:rsidRPr="00224D71">
        <w:rPr>
          <w:rFonts w:ascii="Arial" w:hAnsi="Arial" w:cs="Arial"/>
          <w:b/>
          <w:sz w:val="20"/>
          <w:szCs w:val="20"/>
          <w:u w:val="single"/>
        </w:rPr>
        <w:t>Forme juridique</w:t>
      </w:r>
    </w:p>
    <w:p w14:paraId="121342F7" w14:textId="07FCA8E5" w:rsidR="00391074" w:rsidRDefault="00391074" w:rsidP="00391074">
      <w:pPr>
        <w:spacing w:after="0" w:line="240" w:lineRule="auto"/>
        <w:jc w:val="both"/>
        <w:rPr>
          <w:rFonts w:ascii="Arial" w:hAnsi="Arial" w:cs="Arial"/>
          <w:b/>
          <w:sz w:val="20"/>
          <w:szCs w:val="20"/>
          <w:u w:val="single"/>
        </w:rPr>
      </w:pPr>
    </w:p>
    <w:p w14:paraId="145D244C" w14:textId="5696E79A" w:rsidR="00224D71" w:rsidRPr="00DF29C7" w:rsidRDefault="00224D71" w:rsidP="00224D71">
      <w:pPr>
        <w:spacing w:after="0" w:line="240" w:lineRule="auto"/>
        <w:jc w:val="both"/>
        <w:rPr>
          <w:rFonts w:ascii="Arial" w:hAnsi="Arial" w:cs="Arial"/>
          <w:sz w:val="20"/>
          <w:szCs w:val="20"/>
        </w:rPr>
      </w:pPr>
      <w:r w:rsidRPr="00DF29C7">
        <w:rPr>
          <w:rFonts w:ascii="Arial" w:hAnsi="Arial" w:cs="Arial"/>
          <w:sz w:val="20"/>
          <w:szCs w:val="20"/>
        </w:rPr>
        <w:t xml:space="preserve">Conformément aux articles </w:t>
      </w:r>
      <w:r w:rsidRPr="002A06C8">
        <w:rPr>
          <w:rFonts w:ascii="Arial" w:hAnsi="Arial" w:cs="Arial"/>
          <w:b/>
          <w:color w:val="000000" w:themeColor="text1"/>
          <w:sz w:val="20"/>
          <w:szCs w:val="20"/>
        </w:rPr>
        <w:t>R. 2342-12 à 14 et R. 2351-7</w:t>
      </w:r>
      <w:r w:rsidRPr="0062543C">
        <w:rPr>
          <w:rFonts w:ascii="Arial" w:hAnsi="Arial" w:cs="Arial"/>
          <w:color w:val="000000" w:themeColor="text1"/>
          <w:sz w:val="20"/>
          <w:szCs w:val="20"/>
        </w:rPr>
        <w:t xml:space="preserve"> </w:t>
      </w:r>
      <w:r w:rsidRPr="00DF29C7">
        <w:rPr>
          <w:rFonts w:ascii="Arial" w:hAnsi="Arial" w:cs="Arial"/>
          <w:sz w:val="20"/>
          <w:szCs w:val="20"/>
        </w:rPr>
        <w:t>du Décret 2018-1075 du 03.12.2018, les candidats doivent indiquer dans leur dossier de candidature s’ils se présentent en tant que candidat individuel ou en tant que groupement d’opérateurs économiques. La forme du groupement n’est pas imposée. Toutefois, si le candidat souhaite se présenter sous la forme d’un groupement conjoint, le mandataire sera solidaire de chacun des membres du groupement pour ses obligations contractuelles à l’égard du pouvoir adjudicateur pour l’exécution de la totalité du marché.</w:t>
      </w:r>
    </w:p>
    <w:p w14:paraId="54464157" w14:textId="77777777" w:rsidR="00224D71" w:rsidRDefault="00224D71" w:rsidP="00224D71">
      <w:pPr>
        <w:spacing w:after="0" w:line="240" w:lineRule="auto"/>
        <w:jc w:val="both"/>
        <w:rPr>
          <w:rFonts w:ascii="Arial" w:hAnsi="Arial" w:cs="Arial"/>
          <w:b/>
          <w:color w:val="FF0000"/>
          <w:sz w:val="20"/>
          <w:szCs w:val="20"/>
        </w:rPr>
      </w:pPr>
    </w:p>
    <w:p w14:paraId="26457642" w14:textId="763FDD5A" w:rsidR="00224D71" w:rsidRPr="00DF29C7" w:rsidRDefault="00224D71" w:rsidP="00224D71">
      <w:pPr>
        <w:spacing w:after="0" w:line="240" w:lineRule="auto"/>
        <w:jc w:val="both"/>
        <w:rPr>
          <w:rFonts w:ascii="Arial" w:hAnsi="Arial" w:cs="Arial"/>
          <w:sz w:val="20"/>
          <w:szCs w:val="20"/>
        </w:rPr>
      </w:pPr>
      <w:r w:rsidRPr="00DF29C7">
        <w:rPr>
          <w:rFonts w:ascii="Arial" w:hAnsi="Arial" w:cs="Arial"/>
          <w:sz w:val="20"/>
          <w:szCs w:val="20"/>
        </w:rPr>
        <w:t>Conformément à l’article R. 2142-26</w:t>
      </w:r>
      <w:r w:rsidRPr="00DF29C7">
        <w:rPr>
          <w:rFonts w:ascii="Arial" w:hAnsi="Arial" w:cs="Arial"/>
          <w:b/>
          <w:sz w:val="20"/>
          <w:szCs w:val="20"/>
        </w:rPr>
        <w:t xml:space="preserve"> </w:t>
      </w:r>
      <w:r w:rsidRPr="00DF29C7">
        <w:rPr>
          <w:rFonts w:ascii="Arial" w:hAnsi="Arial" w:cs="Arial"/>
          <w:sz w:val="20"/>
          <w:szCs w:val="20"/>
        </w:rPr>
        <w:t>du code de la commande publique, les candidats ont la possibilité de modifier la composition des groupements et d’en constituer de nouveaux entre la remise des candidatures et la remise des offres initiales ou, le cas échéant, lorsque les circonstances liées à la complexité des spécifications le justifient, jusqu’au terme de la négociation.</w:t>
      </w:r>
    </w:p>
    <w:p w14:paraId="3A958005" w14:textId="77777777" w:rsidR="00224D71" w:rsidRPr="00391074" w:rsidRDefault="00224D71" w:rsidP="00391074">
      <w:pPr>
        <w:spacing w:after="0" w:line="240" w:lineRule="auto"/>
        <w:jc w:val="both"/>
        <w:rPr>
          <w:rFonts w:ascii="Arial" w:hAnsi="Arial" w:cs="Arial"/>
          <w:b/>
          <w:sz w:val="20"/>
          <w:szCs w:val="20"/>
          <w:u w:val="single"/>
        </w:rPr>
      </w:pPr>
    </w:p>
    <w:p w14:paraId="5008EB1C" w14:textId="734C3296" w:rsidR="00391074" w:rsidRPr="00224D71" w:rsidRDefault="00064C84" w:rsidP="001E1097">
      <w:pPr>
        <w:spacing w:after="0" w:line="240" w:lineRule="auto"/>
        <w:ind w:left="714" w:hanging="357"/>
        <w:jc w:val="both"/>
        <w:rPr>
          <w:rFonts w:ascii="Arial" w:hAnsi="Arial" w:cs="Arial"/>
          <w:b/>
          <w:sz w:val="20"/>
          <w:szCs w:val="20"/>
          <w:u w:val="single"/>
        </w:rPr>
      </w:pPr>
      <w:r>
        <w:rPr>
          <w:rFonts w:ascii="Arial" w:hAnsi="Arial" w:cs="Arial"/>
          <w:b/>
          <w:sz w:val="20"/>
          <w:szCs w:val="20"/>
        </w:rPr>
        <w:t>2</w:t>
      </w:r>
      <w:r w:rsidR="00224D71" w:rsidRPr="00224D71">
        <w:rPr>
          <w:rFonts w:ascii="Arial" w:hAnsi="Arial" w:cs="Arial"/>
          <w:b/>
          <w:sz w:val="20"/>
          <w:szCs w:val="20"/>
        </w:rPr>
        <w:t>.</w:t>
      </w:r>
      <w:r w:rsidR="00614969">
        <w:rPr>
          <w:rFonts w:ascii="Arial" w:hAnsi="Arial" w:cs="Arial"/>
          <w:b/>
          <w:sz w:val="20"/>
          <w:szCs w:val="20"/>
        </w:rPr>
        <w:t>8</w:t>
      </w:r>
      <w:r w:rsidR="00224D71">
        <w:rPr>
          <w:rFonts w:ascii="Arial" w:hAnsi="Arial" w:cs="Arial"/>
          <w:b/>
          <w:sz w:val="20"/>
          <w:szCs w:val="20"/>
          <w:u w:val="single"/>
        </w:rPr>
        <w:t xml:space="preserve"> </w:t>
      </w:r>
      <w:r w:rsidR="00391074" w:rsidRPr="00224D71">
        <w:rPr>
          <w:rFonts w:ascii="Arial" w:hAnsi="Arial" w:cs="Arial"/>
          <w:b/>
          <w:sz w:val="20"/>
          <w:szCs w:val="20"/>
          <w:u w:val="single"/>
        </w:rPr>
        <w:t>Conditions d’attribution</w:t>
      </w:r>
    </w:p>
    <w:p w14:paraId="75F8881A" w14:textId="77777777" w:rsidR="00391074" w:rsidRDefault="00391074" w:rsidP="00391074">
      <w:pPr>
        <w:spacing w:after="0" w:line="240" w:lineRule="auto"/>
        <w:jc w:val="both"/>
        <w:rPr>
          <w:rFonts w:ascii="Arial" w:hAnsi="Arial" w:cs="Arial"/>
          <w:sz w:val="20"/>
          <w:szCs w:val="20"/>
        </w:rPr>
      </w:pPr>
    </w:p>
    <w:p w14:paraId="3D840C6C" w14:textId="3D815987" w:rsidR="00391074" w:rsidRPr="00AE55F5" w:rsidRDefault="00AE55F5" w:rsidP="00DF29C7">
      <w:pPr>
        <w:spacing w:after="0" w:line="240" w:lineRule="auto"/>
        <w:rPr>
          <w:rFonts w:ascii="Arial" w:hAnsi="Arial" w:cs="Arial"/>
          <w:sz w:val="20"/>
          <w:szCs w:val="20"/>
        </w:rPr>
      </w:pPr>
      <w:r w:rsidRPr="00AE55F5">
        <w:rPr>
          <w:rFonts w:ascii="Arial" w:hAnsi="Arial" w:cs="Arial"/>
          <w:sz w:val="20"/>
          <w:szCs w:val="20"/>
        </w:rPr>
        <w:t>Offre économiquement la plus avantageuse appréciée en fonction des critères ci-dessous :</w:t>
      </w:r>
    </w:p>
    <w:p w14:paraId="26545D85" w14:textId="0D948A1E" w:rsidR="00AE55F5" w:rsidRDefault="00AE55F5" w:rsidP="00DF29C7">
      <w:pPr>
        <w:spacing w:after="0" w:line="240" w:lineRule="auto"/>
        <w:rPr>
          <w:rFonts w:ascii="Arial" w:hAnsi="Arial" w:cs="Arial"/>
          <w:b/>
          <w:sz w:val="20"/>
          <w:szCs w:val="20"/>
          <w:u w:val="single"/>
        </w:rPr>
      </w:pPr>
    </w:p>
    <w:tbl>
      <w:tblPr>
        <w:tblStyle w:val="Grilledutableau"/>
        <w:tblW w:w="0" w:type="auto"/>
        <w:tblLook w:val="04A0" w:firstRow="1" w:lastRow="0" w:firstColumn="1" w:lastColumn="0" w:noHBand="0" w:noVBand="1"/>
      </w:tblPr>
      <w:tblGrid>
        <w:gridCol w:w="4531"/>
        <w:gridCol w:w="4531"/>
      </w:tblGrid>
      <w:tr w:rsidR="00224D71" w14:paraId="793989D6" w14:textId="77777777" w:rsidTr="00BD47A6">
        <w:tc>
          <w:tcPr>
            <w:tcW w:w="4531" w:type="dxa"/>
            <w:shd w:val="clear" w:color="auto" w:fill="BFBFBF" w:themeFill="background1" w:themeFillShade="BF"/>
          </w:tcPr>
          <w:p w14:paraId="63AF18FD" w14:textId="2B3F79F7" w:rsidR="00224D71" w:rsidRPr="00224D71" w:rsidRDefault="00224D71" w:rsidP="00224D71">
            <w:pPr>
              <w:jc w:val="center"/>
              <w:rPr>
                <w:rFonts w:ascii="Arial" w:hAnsi="Arial" w:cs="Arial"/>
                <w:b/>
                <w:sz w:val="20"/>
                <w:szCs w:val="20"/>
              </w:rPr>
            </w:pPr>
            <w:r w:rsidRPr="00224D71">
              <w:rPr>
                <w:rFonts w:ascii="Arial" w:hAnsi="Arial" w:cs="Arial"/>
                <w:b/>
                <w:sz w:val="20"/>
                <w:szCs w:val="20"/>
              </w:rPr>
              <w:t>CRITERES</w:t>
            </w:r>
          </w:p>
        </w:tc>
        <w:tc>
          <w:tcPr>
            <w:tcW w:w="4531" w:type="dxa"/>
            <w:shd w:val="clear" w:color="auto" w:fill="BFBFBF" w:themeFill="background1" w:themeFillShade="BF"/>
          </w:tcPr>
          <w:p w14:paraId="4F5E8C4F" w14:textId="41939DCD" w:rsidR="00224D71" w:rsidRPr="002A06C8" w:rsidRDefault="00224D71" w:rsidP="00224D71">
            <w:pPr>
              <w:jc w:val="center"/>
              <w:rPr>
                <w:rFonts w:ascii="Arial" w:hAnsi="Arial" w:cs="Arial"/>
                <w:b/>
                <w:color w:val="000000" w:themeColor="text1"/>
                <w:sz w:val="20"/>
                <w:szCs w:val="20"/>
              </w:rPr>
            </w:pPr>
            <w:r w:rsidRPr="002A06C8">
              <w:rPr>
                <w:rFonts w:ascii="Arial" w:hAnsi="Arial" w:cs="Arial"/>
                <w:b/>
                <w:color w:val="000000" w:themeColor="text1"/>
                <w:sz w:val="20"/>
                <w:szCs w:val="20"/>
              </w:rPr>
              <w:t>PONDERATION</w:t>
            </w:r>
          </w:p>
        </w:tc>
      </w:tr>
      <w:tr w:rsidR="00224D71" w14:paraId="5E06C3E6" w14:textId="77777777" w:rsidTr="00224D71">
        <w:tc>
          <w:tcPr>
            <w:tcW w:w="4531" w:type="dxa"/>
          </w:tcPr>
          <w:p w14:paraId="3E738A63" w14:textId="459C42F3" w:rsidR="00224D71" w:rsidRPr="00224D71" w:rsidRDefault="00224D71" w:rsidP="00224D71">
            <w:pPr>
              <w:jc w:val="center"/>
              <w:rPr>
                <w:rFonts w:ascii="Arial" w:hAnsi="Arial" w:cs="Arial"/>
                <w:sz w:val="20"/>
                <w:szCs w:val="20"/>
              </w:rPr>
            </w:pPr>
            <w:r w:rsidRPr="00224D71">
              <w:rPr>
                <w:rFonts w:ascii="Arial" w:hAnsi="Arial" w:cs="Arial"/>
                <w:sz w:val="20"/>
                <w:szCs w:val="20"/>
              </w:rPr>
              <w:t>PRIX</w:t>
            </w:r>
          </w:p>
        </w:tc>
        <w:tc>
          <w:tcPr>
            <w:tcW w:w="4531" w:type="dxa"/>
          </w:tcPr>
          <w:p w14:paraId="7190E0A3" w14:textId="32E6E532" w:rsidR="00224D71" w:rsidRPr="002A06C8" w:rsidRDefault="0062543C" w:rsidP="00224D71">
            <w:pPr>
              <w:jc w:val="center"/>
              <w:rPr>
                <w:rFonts w:ascii="Arial" w:hAnsi="Arial" w:cs="Arial"/>
                <w:b/>
                <w:color w:val="000000" w:themeColor="text1"/>
                <w:sz w:val="20"/>
                <w:szCs w:val="20"/>
              </w:rPr>
            </w:pPr>
            <w:r w:rsidRPr="002A06C8">
              <w:rPr>
                <w:rFonts w:ascii="Arial" w:hAnsi="Arial" w:cs="Arial"/>
                <w:b/>
                <w:color w:val="000000" w:themeColor="text1"/>
                <w:sz w:val="20"/>
                <w:szCs w:val="20"/>
              </w:rPr>
              <w:t>60%</w:t>
            </w:r>
          </w:p>
        </w:tc>
      </w:tr>
      <w:tr w:rsidR="00224D71" w14:paraId="2D200CF1" w14:textId="77777777" w:rsidTr="00224D71">
        <w:tc>
          <w:tcPr>
            <w:tcW w:w="4531" w:type="dxa"/>
          </w:tcPr>
          <w:p w14:paraId="449643F8" w14:textId="416DB8D8" w:rsidR="00224D71" w:rsidRPr="00224D71" w:rsidRDefault="00224D71" w:rsidP="00224D71">
            <w:pPr>
              <w:jc w:val="center"/>
              <w:rPr>
                <w:rFonts w:ascii="Arial" w:hAnsi="Arial" w:cs="Arial"/>
                <w:sz w:val="20"/>
                <w:szCs w:val="20"/>
              </w:rPr>
            </w:pPr>
            <w:r w:rsidRPr="00224D71">
              <w:rPr>
                <w:rFonts w:ascii="Arial" w:hAnsi="Arial" w:cs="Arial"/>
                <w:sz w:val="20"/>
                <w:szCs w:val="20"/>
              </w:rPr>
              <w:t>VALEUR TECHNIQUE</w:t>
            </w:r>
          </w:p>
        </w:tc>
        <w:tc>
          <w:tcPr>
            <w:tcW w:w="4531" w:type="dxa"/>
          </w:tcPr>
          <w:p w14:paraId="53BA4CC5" w14:textId="01B5741D" w:rsidR="00224D71" w:rsidRPr="002A06C8" w:rsidRDefault="0062543C" w:rsidP="00224D71">
            <w:pPr>
              <w:jc w:val="center"/>
              <w:rPr>
                <w:rFonts w:ascii="Arial" w:hAnsi="Arial" w:cs="Arial"/>
                <w:b/>
                <w:color w:val="000000" w:themeColor="text1"/>
                <w:sz w:val="20"/>
                <w:szCs w:val="20"/>
              </w:rPr>
            </w:pPr>
            <w:r w:rsidRPr="002A06C8">
              <w:rPr>
                <w:rFonts w:ascii="Arial" w:hAnsi="Arial" w:cs="Arial"/>
                <w:b/>
                <w:color w:val="000000" w:themeColor="text1"/>
                <w:sz w:val="20"/>
                <w:szCs w:val="20"/>
              </w:rPr>
              <w:t>40</w:t>
            </w:r>
            <w:r w:rsidR="00BE670F" w:rsidRPr="002A06C8">
              <w:rPr>
                <w:rFonts w:ascii="Arial" w:hAnsi="Arial" w:cs="Arial"/>
                <w:b/>
                <w:color w:val="000000" w:themeColor="text1"/>
                <w:sz w:val="20"/>
                <w:szCs w:val="20"/>
              </w:rPr>
              <w:t xml:space="preserve"> </w:t>
            </w:r>
            <w:r w:rsidR="00224D71" w:rsidRPr="002A06C8">
              <w:rPr>
                <w:rFonts w:ascii="Arial" w:hAnsi="Arial" w:cs="Arial"/>
                <w:b/>
                <w:color w:val="000000" w:themeColor="text1"/>
                <w:sz w:val="20"/>
                <w:szCs w:val="20"/>
              </w:rPr>
              <w:t>%</w:t>
            </w:r>
          </w:p>
        </w:tc>
      </w:tr>
    </w:tbl>
    <w:p w14:paraId="1683495D" w14:textId="77777777" w:rsidR="00AE55F5" w:rsidRDefault="00AE55F5" w:rsidP="00DF29C7">
      <w:pPr>
        <w:spacing w:after="0" w:line="240" w:lineRule="auto"/>
        <w:rPr>
          <w:rFonts w:ascii="Arial" w:hAnsi="Arial" w:cs="Arial"/>
          <w:b/>
          <w:sz w:val="20"/>
          <w:szCs w:val="20"/>
          <w:u w:val="single"/>
        </w:rPr>
      </w:pPr>
    </w:p>
    <w:p w14:paraId="79F8C0DD" w14:textId="6685DB75" w:rsidR="00AE55F5" w:rsidRDefault="00224D71" w:rsidP="00DF29C7">
      <w:pPr>
        <w:spacing w:after="0" w:line="240" w:lineRule="auto"/>
        <w:rPr>
          <w:rFonts w:ascii="Arial" w:hAnsi="Arial" w:cs="Arial"/>
          <w:sz w:val="20"/>
          <w:szCs w:val="20"/>
        </w:rPr>
      </w:pPr>
      <w:r>
        <w:rPr>
          <w:rFonts w:ascii="Arial" w:hAnsi="Arial" w:cs="Arial"/>
          <w:sz w:val="20"/>
          <w:szCs w:val="20"/>
        </w:rPr>
        <w:t xml:space="preserve">Les éléments d’appréciation </w:t>
      </w:r>
      <w:r w:rsidR="00BD47A6" w:rsidRPr="0062543C">
        <w:rPr>
          <w:rFonts w:ascii="Arial" w:hAnsi="Arial" w:cs="Arial"/>
          <w:color w:val="000000" w:themeColor="text1"/>
          <w:sz w:val="20"/>
          <w:szCs w:val="20"/>
        </w:rPr>
        <w:t>seront</w:t>
      </w:r>
      <w:r w:rsidR="00BD47A6">
        <w:rPr>
          <w:rFonts w:ascii="Arial" w:hAnsi="Arial" w:cs="Arial"/>
          <w:b/>
          <w:color w:val="00B050"/>
          <w:sz w:val="20"/>
          <w:szCs w:val="20"/>
        </w:rPr>
        <w:t xml:space="preserve"> </w:t>
      </w:r>
      <w:r>
        <w:rPr>
          <w:rFonts w:ascii="Arial" w:hAnsi="Arial" w:cs="Arial"/>
          <w:sz w:val="20"/>
          <w:szCs w:val="20"/>
        </w:rPr>
        <w:t>détaillés dans le Règlement de consultation.</w:t>
      </w:r>
    </w:p>
    <w:p w14:paraId="3840FE3B" w14:textId="77777777" w:rsidR="0062543C" w:rsidRPr="00224D71" w:rsidRDefault="0062543C" w:rsidP="00DF29C7">
      <w:pPr>
        <w:spacing w:after="0" w:line="240" w:lineRule="auto"/>
        <w:rPr>
          <w:rFonts w:ascii="Arial" w:hAnsi="Arial" w:cs="Arial"/>
          <w:sz w:val="20"/>
          <w:szCs w:val="20"/>
        </w:rPr>
      </w:pPr>
    </w:p>
    <w:p w14:paraId="7B32BAAF" w14:textId="77777777" w:rsidR="00AE55F5" w:rsidRDefault="00AE55F5" w:rsidP="00DF29C7">
      <w:pPr>
        <w:spacing w:after="0" w:line="240" w:lineRule="auto"/>
        <w:rPr>
          <w:rFonts w:ascii="Arial" w:hAnsi="Arial" w:cs="Arial"/>
          <w:b/>
          <w:sz w:val="20"/>
          <w:szCs w:val="20"/>
          <w:u w:val="single"/>
        </w:rPr>
      </w:pPr>
    </w:p>
    <w:p w14:paraId="6C9C1106" w14:textId="195641EA" w:rsidR="00204D71" w:rsidRPr="00B14C48" w:rsidRDefault="00431422" w:rsidP="00B14C48">
      <w:pPr>
        <w:pStyle w:val="Paragraphedeliste"/>
        <w:numPr>
          <w:ilvl w:val="0"/>
          <w:numId w:val="16"/>
        </w:numPr>
        <w:spacing w:after="0" w:line="240" w:lineRule="auto"/>
        <w:rPr>
          <w:rFonts w:ascii="Arial" w:hAnsi="Arial" w:cs="Arial"/>
          <w:b/>
          <w:sz w:val="20"/>
          <w:szCs w:val="20"/>
          <w:u w:val="single"/>
        </w:rPr>
      </w:pPr>
      <w:r w:rsidRPr="00B14C48">
        <w:rPr>
          <w:rFonts w:ascii="Arial" w:hAnsi="Arial" w:cs="Arial"/>
          <w:b/>
          <w:sz w:val="20"/>
          <w:szCs w:val="20"/>
          <w:u w:val="single"/>
        </w:rPr>
        <w:t xml:space="preserve">Présentation de la procédure </w:t>
      </w:r>
    </w:p>
    <w:p w14:paraId="24153EA8" w14:textId="77777777" w:rsidR="001E1097" w:rsidRDefault="001E1097" w:rsidP="001E1097">
      <w:pPr>
        <w:spacing w:after="0" w:line="240" w:lineRule="auto"/>
        <w:jc w:val="both"/>
        <w:rPr>
          <w:rFonts w:ascii="Arial" w:hAnsi="Arial" w:cs="Arial"/>
          <w:sz w:val="20"/>
          <w:szCs w:val="20"/>
        </w:rPr>
      </w:pPr>
    </w:p>
    <w:p w14:paraId="65E51E60" w14:textId="36603670" w:rsidR="00224D71" w:rsidRPr="00224D71" w:rsidRDefault="001E1097" w:rsidP="001E1097">
      <w:pPr>
        <w:spacing w:after="0" w:line="240" w:lineRule="auto"/>
        <w:ind w:left="714" w:hanging="357"/>
        <w:jc w:val="both"/>
        <w:rPr>
          <w:rFonts w:ascii="Arial" w:hAnsi="Arial" w:cs="Arial"/>
          <w:b/>
          <w:sz w:val="20"/>
          <w:szCs w:val="20"/>
          <w:u w:val="single"/>
        </w:rPr>
      </w:pPr>
      <w:r>
        <w:rPr>
          <w:rFonts w:ascii="Arial" w:hAnsi="Arial" w:cs="Arial"/>
          <w:b/>
          <w:sz w:val="20"/>
          <w:szCs w:val="20"/>
          <w:u w:val="single"/>
        </w:rPr>
        <w:t xml:space="preserve">3.1 </w:t>
      </w:r>
      <w:r w:rsidR="00224D71" w:rsidRPr="00224D71">
        <w:rPr>
          <w:rFonts w:ascii="Arial" w:hAnsi="Arial" w:cs="Arial"/>
          <w:b/>
          <w:sz w:val="20"/>
          <w:szCs w:val="20"/>
          <w:u w:val="single"/>
        </w:rPr>
        <w:t>Caractéristiques principales</w:t>
      </w:r>
    </w:p>
    <w:p w14:paraId="1E6750A6" w14:textId="7C8DBDC7" w:rsidR="00224D71" w:rsidRDefault="00224D71" w:rsidP="00224D71">
      <w:pPr>
        <w:spacing w:after="0" w:line="240" w:lineRule="auto"/>
        <w:jc w:val="both"/>
        <w:rPr>
          <w:rFonts w:ascii="Arial" w:hAnsi="Arial" w:cs="Arial"/>
          <w:b/>
          <w:sz w:val="20"/>
          <w:szCs w:val="20"/>
          <w:u w:val="single"/>
        </w:rPr>
      </w:pPr>
    </w:p>
    <w:p w14:paraId="46D5D7E9" w14:textId="57AC30EC" w:rsidR="006351A7" w:rsidRPr="00CB3983" w:rsidRDefault="006351A7" w:rsidP="00C052CE">
      <w:pPr>
        <w:pStyle w:val="Paragraphedeliste"/>
        <w:numPr>
          <w:ilvl w:val="0"/>
          <w:numId w:val="24"/>
        </w:numPr>
        <w:spacing w:after="0" w:line="240" w:lineRule="auto"/>
        <w:jc w:val="both"/>
        <w:rPr>
          <w:rFonts w:ascii="Arial" w:hAnsi="Arial" w:cs="Arial"/>
          <w:b/>
          <w:color w:val="FF0000"/>
          <w:sz w:val="20"/>
          <w:szCs w:val="20"/>
        </w:rPr>
      </w:pPr>
      <w:r w:rsidRPr="00CB3983">
        <w:rPr>
          <w:rFonts w:ascii="Arial" w:hAnsi="Arial" w:cs="Arial"/>
          <w:sz w:val="20"/>
          <w:szCs w:val="20"/>
        </w:rPr>
        <w:t>Type de procédure : Marché</w:t>
      </w:r>
      <w:r w:rsidR="00CB3983">
        <w:rPr>
          <w:rFonts w:ascii="Arial" w:hAnsi="Arial" w:cs="Arial"/>
          <w:sz w:val="20"/>
          <w:szCs w:val="20"/>
        </w:rPr>
        <w:t xml:space="preserve"> </w:t>
      </w:r>
      <w:r w:rsidRPr="00CB3983">
        <w:rPr>
          <w:rFonts w:ascii="Arial" w:hAnsi="Arial" w:cs="Arial"/>
          <w:sz w:val="20"/>
          <w:szCs w:val="20"/>
        </w:rPr>
        <w:t xml:space="preserve">négocié avec mise en concurrence </w:t>
      </w:r>
    </w:p>
    <w:p w14:paraId="5EC868AA" w14:textId="496417A0" w:rsidR="004D0815" w:rsidRPr="002A06C8" w:rsidRDefault="006351A7" w:rsidP="004D0815">
      <w:pPr>
        <w:pStyle w:val="Paragraphedeliste"/>
        <w:numPr>
          <w:ilvl w:val="0"/>
          <w:numId w:val="24"/>
        </w:numPr>
        <w:spacing w:after="0" w:line="240" w:lineRule="auto"/>
        <w:jc w:val="both"/>
        <w:rPr>
          <w:rFonts w:ascii="Arial" w:hAnsi="Arial" w:cs="Arial"/>
          <w:b/>
          <w:sz w:val="20"/>
          <w:szCs w:val="20"/>
        </w:rPr>
      </w:pPr>
      <w:r w:rsidRPr="00174634">
        <w:rPr>
          <w:rFonts w:ascii="Arial" w:hAnsi="Arial" w:cs="Arial"/>
          <w:sz w:val="20"/>
          <w:szCs w:val="20"/>
        </w:rPr>
        <w:lastRenderedPageBreak/>
        <w:t>Code de l</w:t>
      </w:r>
      <w:r w:rsidR="00CB3983">
        <w:rPr>
          <w:rFonts w:ascii="Arial" w:hAnsi="Arial" w:cs="Arial"/>
          <w:sz w:val="20"/>
          <w:szCs w:val="20"/>
        </w:rPr>
        <w:t xml:space="preserve">a commande publique : </w:t>
      </w:r>
      <w:r w:rsidR="00CB3983" w:rsidRPr="002A06C8">
        <w:rPr>
          <w:rFonts w:ascii="Arial" w:hAnsi="Arial" w:cs="Arial"/>
          <w:b/>
          <w:sz w:val="20"/>
          <w:szCs w:val="20"/>
        </w:rPr>
        <w:t xml:space="preserve">Livre </w:t>
      </w:r>
      <w:r w:rsidRPr="002A06C8">
        <w:rPr>
          <w:rFonts w:ascii="Arial" w:hAnsi="Arial" w:cs="Arial"/>
          <w:b/>
          <w:sz w:val="20"/>
          <w:szCs w:val="20"/>
        </w:rPr>
        <w:t>III</w:t>
      </w:r>
      <w:r w:rsidR="001E1097" w:rsidRPr="002A06C8">
        <w:rPr>
          <w:rFonts w:ascii="Arial" w:hAnsi="Arial" w:cs="Arial"/>
          <w:b/>
          <w:sz w:val="20"/>
          <w:szCs w:val="20"/>
        </w:rPr>
        <w:t xml:space="preserve"> </w:t>
      </w:r>
    </w:p>
    <w:p w14:paraId="1FEB351C" w14:textId="77777777" w:rsidR="004D0815" w:rsidRDefault="004D0815" w:rsidP="004D0815">
      <w:pPr>
        <w:pStyle w:val="Paragraphedeliste"/>
        <w:spacing w:after="0" w:line="240" w:lineRule="auto"/>
        <w:jc w:val="both"/>
        <w:rPr>
          <w:rFonts w:ascii="Arial" w:hAnsi="Arial" w:cs="Arial"/>
          <w:sz w:val="20"/>
          <w:szCs w:val="20"/>
        </w:rPr>
      </w:pPr>
    </w:p>
    <w:p w14:paraId="30D40DFF" w14:textId="5E6B8B35" w:rsidR="00174634" w:rsidRPr="004D0815" w:rsidRDefault="00224D71" w:rsidP="004D0815">
      <w:pPr>
        <w:pStyle w:val="Paragraphedeliste"/>
        <w:numPr>
          <w:ilvl w:val="0"/>
          <w:numId w:val="24"/>
        </w:numPr>
        <w:spacing w:after="0" w:line="240" w:lineRule="auto"/>
        <w:jc w:val="both"/>
        <w:rPr>
          <w:rFonts w:ascii="Arial" w:hAnsi="Arial" w:cs="Arial"/>
          <w:sz w:val="20"/>
          <w:szCs w:val="20"/>
        </w:rPr>
      </w:pPr>
      <w:r w:rsidRPr="004D0815">
        <w:rPr>
          <w:rFonts w:ascii="Arial" w:hAnsi="Arial" w:cs="Arial"/>
          <w:sz w:val="20"/>
          <w:szCs w:val="20"/>
        </w:rPr>
        <w:t xml:space="preserve">Cette consultation est un appel à candidature. Cette procédure est une procédure restreinte réalisée en 2 étapes : </w:t>
      </w:r>
    </w:p>
    <w:p w14:paraId="215E0F70" w14:textId="77777777" w:rsidR="00174634" w:rsidRDefault="00224D71" w:rsidP="00174634">
      <w:pPr>
        <w:pStyle w:val="Paragraphedeliste"/>
        <w:numPr>
          <w:ilvl w:val="1"/>
          <w:numId w:val="25"/>
        </w:numPr>
        <w:spacing w:after="0" w:line="240" w:lineRule="auto"/>
        <w:jc w:val="both"/>
        <w:rPr>
          <w:rFonts w:ascii="Arial" w:hAnsi="Arial" w:cs="Arial"/>
          <w:sz w:val="20"/>
          <w:szCs w:val="20"/>
        </w:rPr>
      </w:pPr>
      <w:r w:rsidRPr="00174634">
        <w:rPr>
          <w:rFonts w:ascii="Arial" w:hAnsi="Arial" w:cs="Arial"/>
          <w:sz w:val="20"/>
          <w:szCs w:val="20"/>
        </w:rPr>
        <w:t>1 phase candidature</w:t>
      </w:r>
    </w:p>
    <w:p w14:paraId="59E728E0" w14:textId="45B08EAB" w:rsidR="00224D71" w:rsidRPr="00174634" w:rsidRDefault="00224D71" w:rsidP="00174634">
      <w:pPr>
        <w:pStyle w:val="Paragraphedeliste"/>
        <w:numPr>
          <w:ilvl w:val="1"/>
          <w:numId w:val="25"/>
        </w:numPr>
        <w:spacing w:after="0" w:line="240" w:lineRule="auto"/>
        <w:jc w:val="both"/>
        <w:rPr>
          <w:rFonts w:ascii="Arial" w:hAnsi="Arial" w:cs="Arial"/>
          <w:sz w:val="20"/>
          <w:szCs w:val="20"/>
        </w:rPr>
      </w:pPr>
      <w:r w:rsidRPr="00174634">
        <w:rPr>
          <w:rFonts w:ascii="Arial" w:hAnsi="Arial" w:cs="Arial"/>
          <w:sz w:val="20"/>
          <w:szCs w:val="20"/>
        </w:rPr>
        <w:t xml:space="preserve">1 phase offre </w:t>
      </w:r>
    </w:p>
    <w:p w14:paraId="14180413" w14:textId="77777777" w:rsidR="00224D71" w:rsidRPr="00DF29C7" w:rsidRDefault="00224D71" w:rsidP="00224D71">
      <w:pPr>
        <w:spacing w:after="0" w:line="240" w:lineRule="auto"/>
        <w:jc w:val="both"/>
        <w:rPr>
          <w:rFonts w:ascii="Arial" w:hAnsi="Arial" w:cs="Arial"/>
          <w:sz w:val="20"/>
          <w:szCs w:val="20"/>
        </w:rPr>
      </w:pPr>
    </w:p>
    <w:p w14:paraId="2880095E" w14:textId="4EF3DDB2" w:rsidR="00224D71" w:rsidRPr="00DA41BF" w:rsidRDefault="00224D71" w:rsidP="00224D71">
      <w:pPr>
        <w:spacing w:after="0" w:line="240" w:lineRule="auto"/>
        <w:jc w:val="both"/>
        <w:rPr>
          <w:rFonts w:ascii="Arial" w:hAnsi="Arial" w:cs="Arial"/>
          <w:sz w:val="20"/>
          <w:szCs w:val="20"/>
        </w:rPr>
      </w:pPr>
      <w:r w:rsidRPr="00DF29C7">
        <w:rPr>
          <w:rFonts w:ascii="Arial" w:hAnsi="Arial" w:cs="Arial"/>
          <w:sz w:val="20"/>
          <w:szCs w:val="20"/>
        </w:rPr>
        <w:t>Lors de la phase candidature, les candidats ne doivent pas remettre d'offre. A l'issue de l'étape de candidature, seuls les candidats admis à soumissionner seront invités à remettre une offre. Celle-ci devra être déposée sur la Place avant la date qui sera indiquée dans la lettre de consultation.</w:t>
      </w:r>
    </w:p>
    <w:p w14:paraId="0FD8AC19" w14:textId="1CAB3A13" w:rsidR="009D7D19" w:rsidRPr="00DF29C7" w:rsidRDefault="009D7D19" w:rsidP="00DF29C7">
      <w:pPr>
        <w:spacing w:after="0" w:line="240" w:lineRule="auto"/>
        <w:jc w:val="both"/>
        <w:rPr>
          <w:rFonts w:ascii="Arial" w:hAnsi="Arial" w:cs="Arial"/>
          <w:sz w:val="20"/>
          <w:szCs w:val="20"/>
        </w:rPr>
      </w:pPr>
    </w:p>
    <w:p w14:paraId="064EF468" w14:textId="18891C9C" w:rsidR="009D7D19" w:rsidRPr="00DF29C7" w:rsidRDefault="001E1097" w:rsidP="001E1097">
      <w:pPr>
        <w:spacing w:after="0" w:line="240" w:lineRule="auto"/>
        <w:ind w:left="714" w:hanging="357"/>
        <w:jc w:val="both"/>
        <w:rPr>
          <w:rFonts w:ascii="Arial" w:hAnsi="Arial" w:cs="Arial"/>
          <w:b/>
          <w:sz w:val="20"/>
          <w:szCs w:val="20"/>
        </w:rPr>
      </w:pPr>
      <w:r>
        <w:rPr>
          <w:rFonts w:ascii="Arial" w:hAnsi="Arial" w:cs="Arial"/>
          <w:b/>
          <w:sz w:val="20"/>
          <w:szCs w:val="20"/>
          <w:u w:val="single"/>
        </w:rPr>
        <w:t xml:space="preserve">3.2 </w:t>
      </w:r>
      <w:r w:rsidR="009D7D19" w:rsidRPr="00DF29C7">
        <w:rPr>
          <w:rFonts w:ascii="Arial" w:hAnsi="Arial" w:cs="Arial"/>
          <w:b/>
          <w:sz w:val="20"/>
          <w:szCs w:val="20"/>
          <w:u w:val="single"/>
        </w:rPr>
        <w:t>Informat</w:t>
      </w:r>
      <w:r w:rsidR="00587A21" w:rsidRPr="00DF29C7">
        <w:rPr>
          <w:rFonts w:ascii="Arial" w:hAnsi="Arial" w:cs="Arial"/>
          <w:b/>
          <w:sz w:val="20"/>
          <w:szCs w:val="20"/>
          <w:u w:val="single"/>
        </w:rPr>
        <w:t xml:space="preserve">ions relatives à la négociation </w:t>
      </w:r>
    </w:p>
    <w:p w14:paraId="76B51727" w14:textId="77777777" w:rsidR="00EF355F" w:rsidRPr="00DF29C7" w:rsidRDefault="00EF355F" w:rsidP="00DF29C7">
      <w:pPr>
        <w:spacing w:after="0" w:line="240" w:lineRule="auto"/>
        <w:jc w:val="both"/>
        <w:rPr>
          <w:rFonts w:ascii="Arial" w:hAnsi="Arial" w:cs="Arial"/>
          <w:b/>
          <w:color w:val="FF0000"/>
          <w:sz w:val="20"/>
          <w:szCs w:val="20"/>
        </w:rPr>
      </w:pPr>
    </w:p>
    <w:p w14:paraId="1E02EB89" w14:textId="1D8B04FE" w:rsidR="009D7D19" w:rsidRPr="00DF29C7" w:rsidRDefault="009D7D19" w:rsidP="00DF29C7">
      <w:pPr>
        <w:spacing w:after="0" w:line="240" w:lineRule="auto"/>
        <w:jc w:val="both"/>
        <w:rPr>
          <w:rFonts w:ascii="Arial" w:hAnsi="Arial" w:cs="Arial"/>
          <w:sz w:val="20"/>
          <w:szCs w:val="20"/>
        </w:rPr>
      </w:pPr>
      <w:r w:rsidRPr="00DF29C7">
        <w:rPr>
          <w:rFonts w:ascii="Arial" w:hAnsi="Arial" w:cs="Arial"/>
          <w:sz w:val="20"/>
          <w:szCs w:val="20"/>
        </w:rPr>
        <w:t>Le pouvoir adjudicateur négocie avec les soumissionnaires les offres initiales et toutes les offres ultérieures, à l’exception des offres finales. Cependant, sous réserve d’of</w:t>
      </w:r>
      <w:r w:rsidR="007E68EF" w:rsidRPr="00DF29C7">
        <w:rPr>
          <w:rFonts w:ascii="Arial" w:hAnsi="Arial" w:cs="Arial"/>
          <w:sz w:val="20"/>
          <w:szCs w:val="20"/>
        </w:rPr>
        <w:t>fres de qualité suffisante, le p</w:t>
      </w:r>
      <w:r w:rsidRPr="00DF29C7">
        <w:rPr>
          <w:rFonts w:ascii="Arial" w:hAnsi="Arial" w:cs="Arial"/>
          <w:sz w:val="20"/>
          <w:szCs w:val="20"/>
        </w:rPr>
        <w:t xml:space="preserve">ouvoir adjudicateur se réserve le droit d’attribuer sur la base des offres initiales. Dans ce cas, ces dernières seront considérées comme offres finales. </w:t>
      </w:r>
      <w:r w:rsidR="00ED3602" w:rsidRPr="00DF29C7">
        <w:rPr>
          <w:rFonts w:ascii="Arial" w:hAnsi="Arial" w:cs="Arial"/>
          <w:sz w:val="20"/>
          <w:szCs w:val="20"/>
        </w:rPr>
        <w:t xml:space="preserve">En cas de négociation, celle-ci se fera, si nécessaire, en plusieurs étapes. </w:t>
      </w:r>
    </w:p>
    <w:p w14:paraId="1031C100" w14:textId="43C50D33" w:rsidR="00D2058B" w:rsidRDefault="00D2058B" w:rsidP="00DF29C7">
      <w:pPr>
        <w:spacing w:after="0" w:line="240" w:lineRule="auto"/>
        <w:jc w:val="both"/>
        <w:rPr>
          <w:rFonts w:ascii="Arial" w:hAnsi="Arial" w:cs="Arial"/>
          <w:sz w:val="20"/>
          <w:szCs w:val="20"/>
        </w:rPr>
      </w:pPr>
    </w:p>
    <w:p w14:paraId="4AFC02BB" w14:textId="7998363D" w:rsidR="00D2058B" w:rsidRPr="00DF29C7" w:rsidRDefault="00D2058B" w:rsidP="001E1097">
      <w:pPr>
        <w:spacing w:after="0" w:line="240" w:lineRule="auto"/>
        <w:ind w:left="714" w:hanging="357"/>
        <w:jc w:val="both"/>
        <w:rPr>
          <w:rFonts w:ascii="Arial" w:hAnsi="Arial" w:cs="Arial"/>
          <w:b/>
          <w:sz w:val="20"/>
          <w:szCs w:val="20"/>
        </w:rPr>
      </w:pPr>
      <w:r>
        <w:rPr>
          <w:rFonts w:ascii="Arial" w:hAnsi="Arial" w:cs="Arial"/>
          <w:b/>
          <w:sz w:val="20"/>
          <w:szCs w:val="20"/>
          <w:u w:val="single"/>
        </w:rPr>
        <w:t>3</w:t>
      </w:r>
      <w:r w:rsidR="00064C84">
        <w:rPr>
          <w:rFonts w:ascii="Arial" w:hAnsi="Arial" w:cs="Arial"/>
          <w:b/>
          <w:sz w:val="20"/>
          <w:szCs w:val="20"/>
          <w:u w:val="single"/>
        </w:rPr>
        <w:t>.3</w:t>
      </w:r>
      <w:r w:rsidRPr="00DF29C7">
        <w:rPr>
          <w:rFonts w:ascii="Arial" w:hAnsi="Arial" w:cs="Arial"/>
          <w:b/>
          <w:sz w:val="20"/>
          <w:szCs w:val="20"/>
          <w:u w:val="single"/>
        </w:rPr>
        <w:t xml:space="preserve"> </w:t>
      </w:r>
      <w:r>
        <w:rPr>
          <w:rFonts w:ascii="Arial" w:hAnsi="Arial" w:cs="Arial"/>
          <w:b/>
          <w:sz w:val="20"/>
          <w:szCs w:val="20"/>
          <w:u w:val="single"/>
        </w:rPr>
        <w:t>Date limite de</w:t>
      </w:r>
      <w:r w:rsidRPr="00DF29C7">
        <w:rPr>
          <w:rFonts w:ascii="Arial" w:hAnsi="Arial" w:cs="Arial"/>
          <w:b/>
          <w:sz w:val="20"/>
          <w:szCs w:val="20"/>
          <w:u w:val="single"/>
        </w:rPr>
        <w:t xml:space="preserve"> </w:t>
      </w:r>
      <w:r w:rsidR="00A907C4">
        <w:rPr>
          <w:rFonts w:ascii="Arial" w:hAnsi="Arial" w:cs="Arial"/>
          <w:b/>
          <w:sz w:val="20"/>
          <w:szCs w:val="20"/>
          <w:u w:val="single"/>
        </w:rPr>
        <w:t xml:space="preserve">réception </w:t>
      </w:r>
      <w:r w:rsidR="00A907C4" w:rsidRPr="004D0815">
        <w:rPr>
          <w:rFonts w:ascii="Arial" w:hAnsi="Arial" w:cs="Arial"/>
          <w:b/>
          <w:color w:val="000000" w:themeColor="text1"/>
          <w:sz w:val="20"/>
          <w:szCs w:val="20"/>
          <w:u w:val="single"/>
        </w:rPr>
        <w:t>des candidatures</w:t>
      </w:r>
    </w:p>
    <w:p w14:paraId="4517B042" w14:textId="77777777" w:rsidR="00D2058B" w:rsidRPr="00DF29C7" w:rsidRDefault="00D2058B" w:rsidP="00DF29C7">
      <w:pPr>
        <w:spacing w:after="0" w:line="240"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9062"/>
      </w:tblGrid>
      <w:tr w:rsidR="00A907C4" w14:paraId="57BE94BE" w14:textId="77777777" w:rsidTr="00A907C4">
        <w:tc>
          <w:tcPr>
            <w:tcW w:w="9062" w:type="dxa"/>
          </w:tcPr>
          <w:p w14:paraId="242F4DD8" w14:textId="77777777" w:rsidR="00A907C4" w:rsidRDefault="00A907C4" w:rsidP="00A907C4">
            <w:pPr>
              <w:jc w:val="center"/>
              <w:rPr>
                <w:rFonts w:ascii="Arial" w:hAnsi="Arial" w:cs="Arial"/>
                <w:b/>
                <w:sz w:val="20"/>
                <w:szCs w:val="20"/>
              </w:rPr>
            </w:pPr>
          </w:p>
          <w:p w14:paraId="20961EB3" w14:textId="45713A88" w:rsidR="00A907C4" w:rsidRPr="005A098A" w:rsidRDefault="005C4F3D" w:rsidP="00A907C4">
            <w:pPr>
              <w:jc w:val="center"/>
              <w:rPr>
                <w:rFonts w:ascii="Arial" w:hAnsi="Arial" w:cs="Arial"/>
                <w:b/>
                <w:color w:val="00B050"/>
                <w:sz w:val="20"/>
                <w:szCs w:val="20"/>
              </w:rPr>
            </w:pPr>
            <w:proofErr w:type="gramStart"/>
            <w:r>
              <w:rPr>
                <w:rFonts w:ascii="Arial" w:hAnsi="Arial" w:cs="Arial"/>
                <w:b/>
                <w:color w:val="FF0000"/>
                <w:sz w:val="20"/>
                <w:szCs w:val="20"/>
              </w:rPr>
              <w:t>voir</w:t>
            </w:r>
            <w:proofErr w:type="gramEnd"/>
            <w:r>
              <w:rPr>
                <w:rFonts w:ascii="Arial" w:hAnsi="Arial" w:cs="Arial"/>
                <w:b/>
                <w:color w:val="FF0000"/>
                <w:sz w:val="20"/>
                <w:szCs w:val="20"/>
              </w:rPr>
              <w:t xml:space="preserve"> AAPC</w:t>
            </w:r>
          </w:p>
          <w:p w14:paraId="5CA8EDFB" w14:textId="77777777" w:rsidR="00A907C4" w:rsidRDefault="00A907C4" w:rsidP="00A907C4">
            <w:pPr>
              <w:jc w:val="center"/>
              <w:rPr>
                <w:rFonts w:ascii="Arial" w:hAnsi="Arial" w:cs="Arial"/>
                <w:b/>
                <w:sz w:val="20"/>
                <w:szCs w:val="20"/>
              </w:rPr>
            </w:pPr>
          </w:p>
        </w:tc>
      </w:tr>
    </w:tbl>
    <w:p w14:paraId="2AAC107E" w14:textId="6D21462F" w:rsidR="00A907C4" w:rsidRDefault="00A907C4">
      <w:pPr>
        <w:rPr>
          <w:rFonts w:ascii="Arial" w:hAnsi="Arial" w:cs="Arial"/>
          <w:sz w:val="20"/>
          <w:szCs w:val="20"/>
        </w:rPr>
      </w:pPr>
    </w:p>
    <w:p w14:paraId="308E7B87" w14:textId="34F4B37C" w:rsidR="00295C12" w:rsidRDefault="00295C12" w:rsidP="001E1097">
      <w:pPr>
        <w:ind w:left="714" w:hanging="357"/>
        <w:rPr>
          <w:rFonts w:ascii="Arial" w:hAnsi="Arial" w:cs="Arial"/>
          <w:b/>
          <w:sz w:val="20"/>
          <w:szCs w:val="20"/>
          <w:u w:val="single"/>
        </w:rPr>
      </w:pPr>
      <w:r w:rsidRPr="00295C12">
        <w:rPr>
          <w:rFonts w:ascii="Arial" w:hAnsi="Arial" w:cs="Arial"/>
          <w:b/>
          <w:sz w:val="20"/>
          <w:szCs w:val="20"/>
          <w:u w:val="single"/>
        </w:rPr>
        <w:t>3.4 Autres informations rela</w:t>
      </w:r>
      <w:r w:rsidR="00C52BBC">
        <w:rPr>
          <w:rFonts w:ascii="Arial" w:hAnsi="Arial" w:cs="Arial"/>
          <w:b/>
          <w:sz w:val="20"/>
          <w:szCs w:val="20"/>
          <w:u w:val="single"/>
        </w:rPr>
        <w:t>ti</w:t>
      </w:r>
      <w:r w:rsidRPr="00295C12">
        <w:rPr>
          <w:rFonts w:ascii="Arial" w:hAnsi="Arial" w:cs="Arial"/>
          <w:b/>
          <w:sz w:val="20"/>
          <w:szCs w:val="20"/>
          <w:u w:val="single"/>
        </w:rPr>
        <w:t>ves à la procédure</w:t>
      </w:r>
    </w:p>
    <w:p w14:paraId="6BCA91C8" w14:textId="77777777" w:rsidR="00C52BBC" w:rsidRPr="00AA031A" w:rsidRDefault="00C52BBC" w:rsidP="00AA031A">
      <w:pPr>
        <w:pStyle w:val="Paragraphedeliste"/>
        <w:numPr>
          <w:ilvl w:val="0"/>
          <w:numId w:val="26"/>
        </w:numPr>
        <w:rPr>
          <w:rFonts w:ascii="Arial" w:hAnsi="Arial" w:cs="Arial"/>
          <w:sz w:val="20"/>
          <w:szCs w:val="20"/>
        </w:rPr>
      </w:pPr>
      <w:r w:rsidRPr="00AA031A">
        <w:rPr>
          <w:rFonts w:ascii="Arial" w:hAnsi="Arial" w:cs="Arial"/>
          <w:sz w:val="20"/>
          <w:szCs w:val="20"/>
        </w:rPr>
        <w:t>La procédure d’achat du présent avis est couverte par l’accord sur les marchés publics de l’OMC.</w:t>
      </w:r>
    </w:p>
    <w:p w14:paraId="1A2DBD83" w14:textId="5DB45FC3" w:rsidR="00295C12" w:rsidRPr="00AA031A" w:rsidRDefault="00295C12" w:rsidP="00AA031A">
      <w:pPr>
        <w:pStyle w:val="Paragraphedeliste"/>
        <w:numPr>
          <w:ilvl w:val="0"/>
          <w:numId w:val="26"/>
        </w:numPr>
        <w:rPr>
          <w:rFonts w:ascii="Arial" w:hAnsi="Arial" w:cs="Arial"/>
          <w:sz w:val="20"/>
          <w:szCs w:val="20"/>
        </w:rPr>
      </w:pPr>
      <w:r w:rsidRPr="00AA031A">
        <w:rPr>
          <w:rFonts w:ascii="Arial" w:hAnsi="Arial" w:cs="Arial"/>
          <w:sz w:val="20"/>
          <w:szCs w:val="20"/>
        </w:rPr>
        <w:t>Le délai de validité des offres est de 180 jours à compter de la remise des plis.</w:t>
      </w:r>
    </w:p>
    <w:p w14:paraId="4D12BBEA" w14:textId="5BD7D083" w:rsidR="00295C12" w:rsidRPr="00AA031A" w:rsidRDefault="00295C12" w:rsidP="00AA031A">
      <w:pPr>
        <w:pStyle w:val="Paragraphedeliste"/>
        <w:numPr>
          <w:ilvl w:val="0"/>
          <w:numId w:val="26"/>
        </w:numPr>
        <w:rPr>
          <w:rFonts w:ascii="Arial" w:hAnsi="Arial" w:cs="Arial"/>
          <w:sz w:val="20"/>
          <w:szCs w:val="20"/>
        </w:rPr>
      </w:pPr>
      <w:r w:rsidRPr="00AA031A">
        <w:rPr>
          <w:rFonts w:ascii="Arial" w:hAnsi="Arial" w:cs="Arial"/>
          <w:sz w:val="20"/>
          <w:szCs w:val="20"/>
        </w:rPr>
        <w:t>Les candidatures et les offres seront entièrement rédigées ou traduites en langue française ainsi que tous les documents associés</w:t>
      </w:r>
    </w:p>
    <w:p w14:paraId="3C9063BD" w14:textId="3CBC4806" w:rsidR="00295C12" w:rsidRDefault="00295C12" w:rsidP="00AA031A">
      <w:pPr>
        <w:pStyle w:val="Paragraphedeliste"/>
        <w:numPr>
          <w:ilvl w:val="0"/>
          <w:numId w:val="26"/>
        </w:numPr>
        <w:rPr>
          <w:rFonts w:ascii="Arial" w:hAnsi="Arial" w:cs="Arial"/>
          <w:sz w:val="20"/>
          <w:szCs w:val="20"/>
        </w:rPr>
      </w:pPr>
      <w:r w:rsidRPr="00AA031A">
        <w:rPr>
          <w:rFonts w:ascii="Arial" w:hAnsi="Arial" w:cs="Arial"/>
          <w:sz w:val="20"/>
          <w:szCs w:val="20"/>
        </w:rPr>
        <w:t>L’unité monétaire utilisée est l’euro.</w:t>
      </w:r>
    </w:p>
    <w:p w14:paraId="1E23EFE3" w14:textId="77777777" w:rsidR="00AA031A" w:rsidRPr="00AA031A" w:rsidRDefault="00AA031A" w:rsidP="00AA031A">
      <w:pPr>
        <w:pStyle w:val="Paragraphedeliste"/>
        <w:rPr>
          <w:rFonts w:ascii="Arial" w:hAnsi="Arial" w:cs="Arial"/>
          <w:sz w:val="20"/>
          <w:szCs w:val="20"/>
        </w:rPr>
      </w:pPr>
    </w:p>
    <w:p w14:paraId="718F1B3A" w14:textId="081A7FEF" w:rsidR="00A95804" w:rsidRPr="004D0815" w:rsidRDefault="00224D71" w:rsidP="006A1979">
      <w:pPr>
        <w:pStyle w:val="Paragraphedeliste"/>
        <w:numPr>
          <w:ilvl w:val="0"/>
          <w:numId w:val="16"/>
        </w:numPr>
        <w:spacing w:after="0" w:line="240" w:lineRule="auto"/>
        <w:jc w:val="both"/>
        <w:rPr>
          <w:rFonts w:ascii="Arial" w:hAnsi="Arial" w:cs="Arial"/>
          <w:b/>
          <w:sz w:val="20"/>
          <w:szCs w:val="20"/>
        </w:rPr>
      </w:pPr>
      <w:r w:rsidRPr="004D0815">
        <w:rPr>
          <w:rFonts w:ascii="Arial" w:hAnsi="Arial" w:cs="Arial"/>
          <w:b/>
          <w:sz w:val="20"/>
          <w:szCs w:val="20"/>
          <w:u w:val="single"/>
        </w:rPr>
        <w:t>Spécifi</w:t>
      </w:r>
      <w:r w:rsidR="00055190" w:rsidRPr="004D0815">
        <w:rPr>
          <w:rFonts w:ascii="Arial" w:hAnsi="Arial" w:cs="Arial"/>
          <w:b/>
          <w:sz w:val="20"/>
          <w:szCs w:val="20"/>
          <w:u w:val="single"/>
        </w:rPr>
        <w:t>cations propres aux marchés de d</w:t>
      </w:r>
      <w:r w:rsidRPr="004D0815">
        <w:rPr>
          <w:rFonts w:ascii="Arial" w:hAnsi="Arial" w:cs="Arial"/>
          <w:b/>
          <w:sz w:val="20"/>
          <w:szCs w:val="20"/>
          <w:u w:val="single"/>
        </w:rPr>
        <w:t xml:space="preserve">éfense </w:t>
      </w:r>
      <w:r w:rsidR="00055190" w:rsidRPr="004D0815">
        <w:rPr>
          <w:rFonts w:ascii="Arial" w:hAnsi="Arial" w:cs="Arial"/>
          <w:b/>
          <w:sz w:val="20"/>
          <w:szCs w:val="20"/>
          <w:u w:val="single"/>
        </w:rPr>
        <w:t>ou de s</w:t>
      </w:r>
      <w:r w:rsidRPr="004D0815">
        <w:rPr>
          <w:rFonts w:ascii="Arial" w:hAnsi="Arial" w:cs="Arial"/>
          <w:b/>
          <w:sz w:val="20"/>
          <w:szCs w:val="20"/>
          <w:u w:val="single"/>
        </w:rPr>
        <w:t xml:space="preserve">écurité </w:t>
      </w:r>
    </w:p>
    <w:p w14:paraId="3D0E3BB0" w14:textId="77777777" w:rsidR="004D0815" w:rsidRDefault="004D0815" w:rsidP="004D0815">
      <w:pPr>
        <w:spacing w:after="0" w:line="240" w:lineRule="auto"/>
        <w:jc w:val="both"/>
        <w:rPr>
          <w:rFonts w:ascii="Arial" w:hAnsi="Arial" w:cs="Arial"/>
          <w:b/>
          <w:bCs/>
          <w:i/>
          <w:iCs/>
          <w:color w:val="FF0000"/>
          <w:sz w:val="20"/>
          <w:szCs w:val="20"/>
        </w:rPr>
      </w:pPr>
    </w:p>
    <w:p w14:paraId="457BECF0" w14:textId="2DEECBD3" w:rsidR="00A95804" w:rsidRPr="00DF29C7" w:rsidRDefault="00197C0C" w:rsidP="004D0815">
      <w:pPr>
        <w:spacing w:after="0" w:line="240" w:lineRule="auto"/>
        <w:jc w:val="both"/>
        <w:rPr>
          <w:rFonts w:ascii="Arial" w:hAnsi="Arial" w:cs="Arial"/>
          <w:sz w:val="20"/>
          <w:szCs w:val="20"/>
        </w:rPr>
      </w:pPr>
      <w:r w:rsidRPr="00DF29C7">
        <w:rPr>
          <w:rFonts w:ascii="Arial" w:hAnsi="Arial" w:cs="Arial"/>
          <w:sz w:val="20"/>
          <w:szCs w:val="20"/>
        </w:rPr>
        <w:t xml:space="preserve">Conformément aux dispositions de l’article 5.3.2.1 de l’arrêté du 09 août 2021 portant approbation de l’instruction générale interministérielle n° 1300 sur la protection du secret de la défense nationale, le marché est qualifié de </w:t>
      </w:r>
      <w:r w:rsidRPr="00DF29C7">
        <w:rPr>
          <w:rFonts w:ascii="Arial" w:hAnsi="Arial" w:cs="Arial"/>
          <w:b/>
          <w:sz w:val="20"/>
          <w:szCs w:val="20"/>
        </w:rPr>
        <w:t>non protégé</w:t>
      </w:r>
      <w:r w:rsidRPr="00DF29C7">
        <w:rPr>
          <w:rFonts w:ascii="Arial" w:hAnsi="Arial" w:cs="Arial"/>
          <w:sz w:val="20"/>
          <w:szCs w:val="20"/>
        </w:rPr>
        <w:t xml:space="preserve">. </w:t>
      </w:r>
    </w:p>
    <w:p w14:paraId="6581FFF4" w14:textId="1F426212" w:rsidR="00C449DC" w:rsidRPr="00DF29C7" w:rsidRDefault="00C449DC" w:rsidP="00DF29C7">
      <w:pPr>
        <w:spacing w:after="0" w:line="240" w:lineRule="auto"/>
        <w:jc w:val="both"/>
        <w:rPr>
          <w:rFonts w:ascii="Arial" w:hAnsi="Arial" w:cs="Arial"/>
          <w:sz w:val="20"/>
          <w:szCs w:val="20"/>
        </w:rPr>
      </w:pPr>
    </w:p>
    <w:p w14:paraId="62C7AB94" w14:textId="502D455E" w:rsidR="00C449DC" w:rsidRPr="00B14C48" w:rsidRDefault="00C449DC" w:rsidP="00B14C48">
      <w:pPr>
        <w:pStyle w:val="Paragraphedeliste"/>
        <w:numPr>
          <w:ilvl w:val="0"/>
          <w:numId w:val="16"/>
        </w:numPr>
        <w:spacing w:after="0" w:line="240" w:lineRule="auto"/>
        <w:jc w:val="both"/>
        <w:rPr>
          <w:rFonts w:ascii="Arial" w:hAnsi="Arial" w:cs="Arial"/>
          <w:b/>
          <w:sz w:val="20"/>
          <w:szCs w:val="20"/>
          <w:u w:val="single"/>
        </w:rPr>
      </w:pPr>
      <w:r w:rsidRPr="00B14C48">
        <w:rPr>
          <w:rFonts w:ascii="Arial" w:hAnsi="Arial" w:cs="Arial"/>
          <w:b/>
          <w:sz w:val="20"/>
          <w:szCs w:val="20"/>
          <w:u w:val="single"/>
        </w:rPr>
        <w:t>Voies et délai</w:t>
      </w:r>
      <w:r w:rsidR="00614969">
        <w:rPr>
          <w:rFonts w:ascii="Arial" w:hAnsi="Arial" w:cs="Arial"/>
          <w:b/>
          <w:sz w:val="20"/>
          <w:szCs w:val="20"/>
          <w:u w:val="single"/>
        </w:rPr>
        <w:t>s</w:t>
      </w:r>
      <w:r w:rsidRPr="00B14C48">
        <w:rPr>
          <w:rFonts w:ascii="Arial" w:hAnsi="Arial" w:cs="Arial"/>
          <w:b/>
          <w:sz w:val="20"/>
          <w:szCs w:val="20"/>
          <w:u w:val="single"/>
        </w:rPr>
        <w:t xml:space="preserve"> de recours </w:t>
      </w:r>
    </w:p>
    <w:p w14:paraId="0BE2C649" w14:textId="77777777" w:rsidR="00DF29C7" w:rsidRDefault="00DF29C7" w:rsidP="00DF29C7">
      <w:pPr>
        <w:spacing w:after="0" w:line="240" w:lineRule="auto"/>
        <w:jc w:val="both"/>
        <w:rPr>
          <w:rFonts w:ascii="Arial" w:hAnsi="Arial" w:cs="Arial"/>
          <w:sz w:val="20"/>
          <w:szCs w:val="20"/>
        </w:rPr>
      </w:pPr>
    </w:p>
    <w:p w14:paraId="210E3F8F" w14:textId="5D3953D9" w:rsidR="00C449DC" w:rsidRDefault="00C449DC" w:rsidP="00DF29C7">
      <w:pPr>
        <w:spacing w:after="0" w:line="240" w:lineRule="auto"/>
        <w:jc w:val="both"/>
        <w:rPr>
          <w:rFonts w:ascii="Arial" w:hAnsi="Arial" w:cs="Arial"/>
          <w:sz w:val="20"/>
          <w:szCs w:val="20"/>
        </w:rPr>
      </w:pPr>
      <w:r w:rsidRPr="00DF29C7">
        <w:rPr>
          <w:rFonts w:ascii="Arial" w:hAnsi="Arial" w:cs="Arial"/>
          <w:sz w:val="20"/>
          <w:szCs w:val="20"/>
        </w:rPr>
        <w:t>Cette consultation peut faire l'objet d'un référé avant la conclusion du contrat dans les conditions définies à l'article L5511 du code de justice administrative. De plus, à l'issue de la notification du marché, un recours en plein contentieux pourra être exercé contre ce dernier dans les deux mois suivant la publication de l'avis d'attribution. Cette requête peut le cas échéant être accompagnée d'un référé suspension sur le fondement des dispositions de l'article L5211 du code de justice administrative</w:t>
      </w:r>
      <w:r w:rsidR="00DA41BF">
        <w:rPr>
          <w:rFonts w:ascii="Arial" w:hAnsi="Arial" w:cs="Arial"/>
          <w:sz w:val="20"/>
          <w:szCs w:val="20"/>
        </w:rPr>
        <w:t>.</w:t>
      </w:r>
    </w:p>
    <w:p w14:paraId="2507F390" w14:textId="49E909BD" w:rsidR="00064C84" w:rsidRDefault="00064C84" w:rsidP="00064C84">
      <w:pPr>
        <w:autoSpaceDE w:val="0"/>
        <w:autoSpaceDN w:val="0"/>
        <w:adjustRightInd w:val="0"/>
        <w:spacing w:after="0" w:line="240" w:lineRule="auto"/>
        <w:rPr>
          <w:rFonts w:ascii="Arial" w:hAnsi="Arial" w:cs="Arial"/>
          <w:color w:val="000000"/>
          <w:sz w:val="20"/>
          <w:szCs w:val="20"/>
        </w:rPr>
      </w:pPr>
    </w:p>
    <w:p w14:paraId="01798217" w14:textId="0A961D98" w:rsidR="00064C84" w:rsidRPr="00A82C6F" w:rsidRDefault="00064C84" w:rsidP="00064C84">
      <w:pPr>
        <w:autoSpaceDE w:val="0"/>
        <w:autoSpaceDN w:val="0"/>
        <w:adjustRightInd w:val="0"/>
        <w:spacing w:after="0" w:line="240" w:lineRule="auto"/>
        <w:rPr>
          <w:rFonts w:ascii="Arial" w:hAnsi="Arial" w:cs="Arial"/>
          <w:sz w:val="20"/>
          <w:szCs w:val="20"/>
        </w:rPr>
      </w:pPr>
      <w:r w:rsidRPr="00A82C6F">
        <w:rPr>
          <w:rFonts w:ascii="Arial" w:hAnsi="Arial" w:cs="Arial"/>
          <w:sz w:val="20"/>
          <w:szCs w:val="20"/>
        </w:rPr>
        <w:t xml:space="preserve">Instance chargée des procédures de recours : Tribunal administratif de Rennes </w:t>
      </w:r>
    </w:p>
    <w:p w14:paraId="2D805F4F" w14:textId="77777777" w:rsidR="00064C84" w:rsidRPr="00A82C6F" w:rsidRDefault="00064C84" w:rsidP="00064C84">
      <w:pPr>
        <w:autoSpaceDE w:val="0"/>
        <w:autoSpaceDN w:val="0"/>
        <w:adjustRightInd w:val="0"/>
        <w:spacing w:after="0" w:line="240" w:lineRule="auto"/>
        <w:rPr>
          <w:rFonts w:ascii="Arial" w:hAnsi="Arial" w:cs="Arial"/>
          <w:sz w:val="20"/>
          <w:szCs w:val="20"/>
        </w:rPr>
      </w:pPr>
      <w:r w:rsidRPr="00A82C6F">
        <w:rPr>
          <w:rFonts w:ascii="Arial" w:hAnsi="Arial" w:cs="Arial"/>
          <w:sz w:val="20"/>
          <w:szCs w:val="20"/>
        </w:rPr>
        <w:t xml:space="preserve">N° d’enregistrement (SIRET) : 17350005900014 </w:t>
      </w:r>
    </w:p>
    <w:p w14:paraId="67BF8D7D" w14:textId="079C8B97" w:rsidR="00064C84" w:rsidRPr="00A82C6F" w:rsidRDefault="00064C84" w:rsidP="00064C84">
      <w:pPr>
        <w:autoSpaceDE w:val="0"/>
        <w:autoSpaceDN w:val="0"/>
        <w:adjustRightInd w:val="0"/>
        <w:spacing w:after="0" w:line="240" w:lineRule="auto"/>
        <w:rPr>
          <w:rFonts w:ascii="Arial" w:hAnsi="Arial" w:cs="Arial"/>
          <w:sz w:val="20"/>
          <w:szCs w:val="20"/>
        </w:rPr>
      </w:pPr>
      <w:r w:rsidRPr="00A82C6F">
        <w:rPr>
          <w:rFonts w:ascii="Arial" w:hAnsi="Arial" w:cs="Arial"/>
          <w:sz w:val="20"/>
          <w:szCs w:val="20"/>
        </w:rPr>
        <w:t xml:space="preserve">Adresse : Hôtel </w:t>
      </w:r>
      <w:proofErr w:type="spellStart"/>
      <w:r w:rsidRPr="00A82C6F">
        <w:rPr>
          <w:rFonts w:ascii="Arial" w:hAnsi="Arial" w:cs="Arial"/>
          <w:sz w:val="20"/>
          <w:szCs w:val="20"/>
        </w:rPr>
        <w:t>Bizien</w:t>
      </w:r>
      <w:proofErr w:type="spellEnd"/>
      <w:r w:rsidRPr="00A82C6F">
        <w:rPr>
          <w:rFonts w:ascii="Arial" w:hAnsi="Arial" w:cs="Arial"/>
          <w:sz w:val="20"/>
          <w:szCs w:val="20"/>
        </w:rPr>
        <w:t xml:space="preserve"> – 3 contour de la Motte – CC 44416 – 35044 Rennes cedex </w:t>
      </w:r>
    </w:p>
    <w:p w14:paraId="3AA3D957" w14:textId="77777777" w:rsidR="00064C84" w:rsidRPr="00A82C6F" w:rsidRDefault="00064C84" w:rsidP="00064C84">
      <w:pPr>
        <w:autoSpaceDE w:val="0"/>
        <w:autoSpaceDN w:val="0"/>
        <w:adjustRightInd w:val="0"/>
        <w:spacing w:after="0" w:line="240" w:lineRule="auto"/>
        <w:rPr>
          <w:rFonts w:ascii="Arial" w:hAnsi="Arial" w:cs="Arial"/>
          <w:sz w:val="20"/>
          <w:szCs w:val="20"/>
        </w:rPr>
      </w:pPr>
      <w:r w:rsidRPr="00A82C6F">
        <w:rPr>
          <w:rFonts w:ascii="Arial" w:hAnsi="Arial" w:cs="Arial"/>
          <w:sz w:val="20"/>
          <w:szCs w:val="20"/>
        </w:rPr>
        <w:t xml:space="preserve">Téléphone : 02.99.63.56.84 </w:t>
      </w:r>
    </w:p>
    <w:p w14:paraId="3AD5ABC8" w14:textId="07914571" w:rsidR="00064C84" w:rsidRPr="00A82C6F" w:rsidRDefault="00A82C6F" w:rsidP="00064C84">
      <w:pPr>
        <w:autoSpaceDE w:val="0"/>
        <w:autoSpaceDN w:val="0"/>
        <w:adjustRightInd w:val="0"/>
        <w:spacing w:after="0" w:line="240" w:lineRule="auto"/>
        <w:rPr>
          <w:rFonts w:ascii="Arial" w:hAnsi="Arial" w:cs="Arial"/>
          <w:sz w:val="20"/>
          <w:szCs w:val="20"/>
        </w:rPr>
      </w:pPr>
      <w:r w:rsidRPr="00A82C6F">
        <w:rPr>
          <w:rFonts w:ascii="Arial" w:hAnsi="Arial" w:cs="Arial"/>
          <w:sz w:val="20"/>
          <w:szCs w:val="20"/>
        </w:rPr>
        <w:t>Adresse électronique: g</w:t>
      </w:r>
      <w:r w:rsidR="00064C84" w:rsidRPr="00A82C6F">
        <w:rPr>
          <w:rFonts w:ascii="Arial" w:hAnsi="Arial" w:cs="Arial"/>
          <w:sz w:val="20"/>
          <w:szCs w:val="20"/>
        </w:rPr>
        <w:t xml:space="preserve">reffe.ta-rennes@juradm.fr </w:t>
      </w:r>
    </w:p>
    <w:p w14:paraId="7B528CF0" w14:textId="322BF4F1" w:rsidR="00064C84" w:rsidRDefault="00064C84" w:rsidP="00064C84">
      <w:pPr>
        <w:spacing w:after="0" w:line="240" w:lineRule="auto"/>
        <w:jc w:val="both"/>
        <w:rPr>
          <w:rFonts w:ascii="Arial" w:hAnsi="Arial" w:cs="Arial"/>
          <w:sz w:val="20"/>
          <w:szCs w:val="20"/>
        </w:rPr>
      </w:pPr>
      <w:r w:rsidRPr="00A82C6F">
        <w:rPr>
          <w:rFonts w:ascii="Arial" w:hAnsi="Arial" w:cs="Arial"/>
          <w:sz w:val="20"/>
          <w:szCs w:val="20"/>
        </w:rPr>
        <w:t>URL : http://www.ta-rennes.juradm.fr</w:t>
      </w:r>
    </w:p>
    <w:p w14:paraId="2C0F7D05" w14:textId="478C7B88" w:rsidR="00DA41BF" w:rsidRDefault="00DA41BF" w:rsidP="00DF29C7">
      <w:pPr>
        <w:spacing w:after="0" w:line="240" w:lineRule="auto"/>
        <w:jc w:val="both"/>
        <w:rPr>
          <w:rFonts w:ascii="Arial" w:hAnsi="Arial" w:cs="Arial"/>
          <w:sz w:val="20"/>
          <w:szCs w:val="20"/>
        </w:rPr>
      </w:pPr>
    </w:p>
    <w:p w14:paraId="7FA51A85" w14:textId="4064371B" w:rsidR="00DA41BF" w:rsidRPr="00B14C48" w:rsidRDefault="00DA41BF" w:rsidP="00DA41BF">
      <w:pPr>
        <w:pStyle w:val="Paragraphedeliste"/>
        <w:numPr>
          <w:ilvl w:val="0"/>
          <w:numId w:val="16"/>
        </w:numPr>
        <w:spacing w:after="0" w:line="240" w:lineRule="auto"/>
        <w:jc w:val="both"/>
        <w:rPr>
          <w:rFonts w:ascii="Arial" w:hAnsi="Arial" w:cs="Arial"/>
          <w:b/>
          <w:sz w:val="20"/>
          <w:szCs w:val="20"/>
          <w:u w:val="single"/>
        </w:rPr>
      </w:pPr>
      <w:r>
        <w:rPr>
          <w:rFonts w:ascii="Arial" w:hAnsi="Arial" w:cs="Arial"/>
          <w:b/>
          <w:sz w:val="20"/>
          <w:szCs w:val="20"/>
          <w:u w:val="single"/>
        </w:rPr>
        <w:t>Communication</w:t>
      </w:r>
    </w:p>
    <w:p w14:paraId="3CA0CB54" w14:textId="2E48CC98" w:rsidR="00DA41BF" w:rsidRDefault="00DA41BF" w:rsidP="00DF29C7">
      <w:pPr>
        <w:spacing w:after="0" w:line="240" w:lineRule="auto"/>
        <w:jc w:val="both"/>
        <w:rPr>
          <w:rFonts w:ascii="Arial" w:hAnsi="Arial" w:cs="Arial"/>
          <w:sz w:val="20"/>
          <w:szCs w:val="20"/>
        </w:rPr>
      </w:pPr>
    </w:p>
    <w:p w14:paraId="393CAED9" w14:textId="77777777" w:rsidR="00D2058B" w:rsidRDefault="006351A7" w:rsidP="006351A7">
      <w:pPr>
        <w:spacing w:after="0" w:line="240" w:lineRule="auto"/>
        <w:jc w:val="both"/>
        <w:rPr>
          <w:rFonts w:ascii="Arial" w:hAnsi="Arial" w:cs="Arial"/>
          <w:sz w:val="20"/>
          <w:szCs w:val="20"/>
        </w:rPr>
      </w:pPr>
      <w:r w:rsidRPr="00DF29C7">
        <w:rPr>
          <w:rFonts w:ascii="Arial" w:hAnsi="Arial" w:cs="Arial"/>
          <w:sz w:val="20"/>
          <w:szCs w:val="20"/>
        </w:rPr>
        <w:t xml:space="preserve">Cette consultation est dématérialisée. </w:t>
      </w:r>
    </w:p>
    <w:p w14:paraId="464015B1" w14:textId="77777777" w:rsidR="00D2058B" w:rsidRDefault="00D2058B" w:rsidP="006351A7">
      <w:pPr>
        <w:spacing w:after="0" w:line="240" w:lineRule="auto"/>
        <w:jc w:val="both"/>
        <w:rPr>
          <w:rFonts w:ascii="Arial" w:hAnsi="Arial" w:cs="Arial"/>
          <w:sz w:val="20"/>
          <w:szCs w:val="20"/>
        </w:rPr>
      </w:pPr>
    </w:p>
    <w:p w14:paraId="7EFD569D" w14:textId="4F40672A" w:rsidR="00D2058B" w:rsidRDefault="00D2058B" w:rsidP="006351A7">
      <w:pPr>
        <w:spacing w:after="0" w:line="240" w:lineRule="auto"/>
        <w:jc w:val="both"/>
        <w:rPr>
          <w:rFonts w:ascii="Arial" w:hAnsi="Arial" w:cs="Arial"/>
          <w:sz w:val="20"/>
          <w:szCs w:val="20"/>
        </w:rPr>
      </w:pPr>
      <w:r>
        <w:rPr>
          <w:rFonts w:ascii="Arial" w:hAnsi="Arial" w:cs="Arial"/>
          <w:sz w:val="20"/>
          <w:szCs w:val="20"/>
        </w:rPr>
        <w:lastRenderedPageBreak/>
        <w:t xml:space="preserve">Les documents composants le dossier de consultation des entreprises (DCE) doivent être téléchargés à l’adresse suivante : </w:t>
      </w:r>
      <w:hyperlink r:id="rId10" w:history="1">
        <w:r w:rsidR="006351A7" w:rsidRPr="00DF29C7">
          <w:rPr>
            <w:rStyle w:val="Lienhypertexte"/>
            <w:rFonts w:ascii="Arial" w:hAnsi="Arial" w:cs="Arial"/>
            <w:sz w:val="20"/>
            <w:szCs w:val="20"/>
          </w:rPr>
          <w:t>www.marches-publics.gouv.fr</w:t>
        </w:r>
      </w:hyperlink>
      <w:r w:rsidR="006351A7" w:rsidRPr="00DF29C7">
        <w:rPr>
          <w:rFonts w:ascii="Arial" w:hAnsi="Arial" w:cs="Arial"/>
          <w:sz w:val="20"/>
          <w:szCs w:val="20"/>
        </w:rPr>
        <w:t xml:space="preserve"> </w:t>
      </w:r>
      <w:r>
        <w:rPr>
          <w:rFonts w:ascii="Arial" w:hAnsi="Arial" w:cs="Arial"/>
          <w:sz w:val="20"/>
          <w:szCs w:val="20"/>
        </w:rPr>
        <w:t xml:space="preserve">(à </w:t>
      </w:r>
      <w:r w:rsidRPr="00DF29C7">
        <w:rPr>
          <w:rFonts w:ascii="Arial" w:hAnsi="Arial" w:cs="Arial"/>
          <w:sz w:val="20"/>
          <w:szCs w:val="20"/>
        </w:rPr>
        <w:t>l’exception de ceux non diffusables via PLACE</w:t>
      </w:r>
      <w:r>
        <w:rPr>
          <w:rFonts w:ascii="Arial" w:hAnsi="Arial" w:cs="Arial"/>
          <w:sz w:val="20"/>
          <w:szCs w:val="20"/>
        </w:rPr>
        <w:t>).</w:t>
      </w:r>
    </w:p>
    <w:p w14:paraId="74C292B7" w14:textId="67837C3A" w:rsidR="00D2058B" w:rsidRDefault="00D2058B" w:rsidP="006351A7">
      <w:pPr>
        <w:spacing w:after="0" w:line="240" w:lineRule="auto"/>
        <w:jc w:val="both"/>
        <w:rPr>
          <w:rFonts w:ascii="Arial" w:hAnsi="Arial" w:cs="Arial"/>
          <w:sz w:val="20"/>
          <w:szCs w:val="20"/>
        </w:rPr>
      </w:pPr>
    </w:p>
    <w:p w14:paraId="3A419FC0" w14:textId="168361AD" w:rsidR="00D2058B" w:rsidRDefault="00D2058B" w:rsidP="006351A7">
      <w:pPr>
        <w:spacing w:after="0" w:line="240" w:lineRule="auto"/>
        <w:jc w:val="both"/>
        <w:rPr>
          <w:rFonts w:ascii="Arial" w:hAnsi="Arial" w:cs="Arial"/>
          <w:sz w:val="20"/>
          <w:szCs w:val="20"/>
        </w:rPr>
      </w:pPr>
      <w:r>
        <w:rPr>
          <w:rFonts w:ascii="Arial" w:hAnsi="Arial" w:cs="Arial"/>
          <w:sz w:val="20"/>
          <w:szCs w:val="20"/>
        </w:rPr>
        <w:t>Les candidats peuvent via ce site poser des questions sur le DCE.</w:t>
      </w:r>
    </w:p>
    <w:p w14:paraId="4946E424" w14:textId="3FAB1F0E" w:rsidR="00D2058B" w:rsidRDefault="00D2058B" w:rsidP="006351A7">
      <w:pPr>
        <w:spacing w:after="0" w:line="240" w:lineRule="auto"/>
        <w:jc w:val="both"/>
        <w:rPr>
          <w:rFonts w:ascii="Arial" w:hAnsi="Arial" w:cs="Arial"/>
          <w:sz w:val="20"/>
          <w:szCs w:val="20"/>
        </w:rPr>
      </w:pPr>
    </w:p>
    <w:p w14:paraId="7CD3ABB8" w14:textId="30C0673C" w:rsidR="006351A7" w:rsidRPr="00DF29C7" w:rsidRDefault="00D2058B" w:rsidP="006351A7">
      <w:pPr>
        <w:spacing w:after="0" w:line="240" w:lineRule="auto"/>
        <w:jc w:val="both"/>
        <w:rPr>
          <w:rFonts w:ascii="Arial" w:hAnsi="Arial" w:cs="Arial"/>
          <w:sz w:val="20"/>
          <w:szCs w:val="20"/>
        </w:rPr>
      </w:pPr>
      <w:r>
        <w:rPr>
          <w:rFonts w:ascii="Arial" w:hAnsi="Arial" w:cs="Arial"/>
          <w:sz w:val="20"/>
          <w:szCs w:val="20"/>
        </w:rPr>
        <w:t xml:space="preserve">Les candidats devront répondre par voie électronique en déposant une offre dématérialisée </w:t>
      </w:r>
      <w:r w:rsidR="006351A7" w:rsidRPr="00DF29C7">
        <w:rPr>
          <w:rFonts w:ascii="Arial" w:hAnsi="Arial" w:cs="Arial"/>
          <w:sz w:val="20"/>
          <w:szCs w:val="20"/>
        </w:rPr>
        <w:t>(un certificat numérique (RGS* ou</w:t>
      </w:r>
      <w:r>
        <w:rPr>
          <w:rFonts w:ascii="Arial" w:hAnsi="Arial" w:cs="Arial"/>
          <w:sz w:val="20"/>
          <w:szCs w:val="20"/>
        </w:rPr>
        <w:t xml:space="preserve"> </w:t>
      </w:r>
      <w:r w:rsidR="006351A7" w:rsidRPr="00DF29C7">
        <w:rPr>
          <w:rFonts w:ascii="Arial" w:hAnsi="Arial" w:cs="Arial"/>
          <w:sz w:val="20"/>
          <w:szCs w:val="20"/>
        </w:rPr>
        <w:t xml:space="preserve">** conditions de sécurité équivalentes) délivré par un organisme agrée est nécessaire pour ce mode de transmission). Les documents sont à transmettre dans un </w:t>
      </w:r>
      <w:r w:rsidR="006351A7" w:rsidRPr="00DF29C7">
        <w:rPr>
          <w:rFonts w:ascii="Arial" w:hAnsi="Arial" w:cs="Arial"/>
          <w:sz w:val="20"/>
          <w:szCs w:val="20"/>
          <w:u w:val="single"/>
        </w:rPr>
        <w:t>fichier zip</w:t>
      </w:r>
      <w:r>
        <w:rPr>
          <w:rFonts w:ascii="Arial" w:hAnsi="Arial" w:cs="Arial"/>
          <w:sz w:val="20"/>
          <w:szCs w:val="20"/>
        </w:rPr>
        <w:t xml:space="preserve"> via </w:t>
      </w:r>
      <w:r w:rsidRPr="00DF29C7">
        <w:rPr>
          <w:rFonts w:ascii="Arial" w:hAnsi="Arial" w:cs="Arial"/>
          <w:sz w:val="20"/>
          <w:szCs w:val="20"/>
        </w:rPr>
        <w:t xml:space="preserve">la Plateforme des Achats de L’Etat </w:t>
      </w:r>
      <w:r>
        <w:rPr>
          <w:rFonts w:ascii="Arial" w:hAnsi="Arial" w:cs="Arial"/>
          <w:sz w:val="20"/>
          <w:szCs w:val="20"/>
        </w:rPr>
        <w:t>(</w:t>
      </w:r>
      <w:r w:rsidR="006351A7" w:rsidRPr="00DF29C7">
        <w:rPr>
          <w:rFonts w:ascii="Arial" w:hAnsi="Arial" w:cs="Arial"/>
          <w:sz w:val="20"/>
          <w:szCs w:val="20"/>
        </w:rPr>
        <w:t>PLACE</w:t>
      </w:r>
      <w:r>
        <w:rPr>
          <w:rFonts w:ascii="Arial" w:hAnsi="Arial" w:cs="Arial"/>
          <w:sz w:val="20"/>
          <w:szCs w:val="20"/>
        </w:rPr>
        <w:t>)</w:t>
      </w:r>
      <w:r w:rsidR="006351A7" w:rsidRPr="00DF29C7">
        <w:rPr>
          <w:rFonts w:ascii="Arial" w:hAnsi="Arial" w:cs="Arial"/>
          <w:sz w:val="20"/>
          <w:szCs w:val="20"/>
        </w:rPr>
        <w:t>.</w:t>
      </w:r>
    </w:p>
    <w:p w14:paraId="5F6FA395" w14:textId="77777777" w:rsidR="006351A7" w:rsidRDefault="006351A7" w:rsidP="006351A7">
      <w:pPr>
        <w:spacing w:after="0" w:line="240" w:lineRule="auto"/>
        <w:jc w:val="both"/>
        <w:rPr>
          <w:rFonts w:ascii="Arial" w:hAnsi="Arial" w:cs="Arial"/>
          <w:sz w:val="20"/>
          <w:szCs w:val="20"/>
        </w:rPr>
      </w:pPr>
    </w:p>
    <w:p w14:paraId="58E38124" w14:textId="797371CB" w:rsidR="006351A7" w:rsidRPr="00DF29C7" w:rsidRDefault="006351A7" w:rsidP="006351A7">
      <w:pPr>
        <w:spacing w:after="0" w:line="240" w:lineRule="auto"/>
        <w:jc w:val="both"/>
        <w:rPr>
          <w:rFonts w:ascii="Arial" w:hAnsi="Arial" w:cs="Arial"/>
          <w:sz w:val="20"/>
          <w:szCs w:val="20"/>
        </w:rPr>
      </w:pPr>
      <w:r w:rsidRPr="00DF29C7">
        <w:rPr>
          <w:rFonts w:ascii="Arial" w:hAnsi="Arial" w:cs="Arial"/>
          <w:sz w:val="20"/>
          <w:szCs w:val="20"/>
        </w:rPr>
        <w:t xml:space="preserve">L’attention des candidats est attirée sur le fait que la ou les adresses de messageries communiquées dans le formulaire DC1, feront foi pour la transmission de l’ensemble des documents dans le cadre de la présente procédure. Il appartient au candidat de relever son courrier électronique régulièrement. La responsabilité du pouvoir adjudicateur ne saurait </w:t>
      </w:r>
      <w:r w:rsidR="00D2058B">
        <w:rPr>
          <w:rFonts w:ascii="Arial" w:hAnsi="Arial" w:cs="Arial"/>
          <w:sz w:val="20"/>
          <w:szCs w:val="20"/>
        </w:rPr>
        <w:t>être recherchée si le candidat a</w:t>
      </w:r>
      <w:r w:rsidRPr="00DF29C7">
        <w:rPr>
          <w:rFonts w:ascii="Arial" w:hAnsi="Arial" w:cs="Arial"/>
          <w:sz w:val="20"/>
          <w:szCs w:val="20"/>
        </w:rPr>
        <w:t xml:space="preserve"> communiqué une adresse erronée ou s’il n’a pas consulté ses messages en temps utiles. </w:t>
      </w:r>
    </w:p>
    <w:p w14:paraId="2ADE1F24" w14:textId="77777777" w:rsidR="006351A7" w:rsidRPr="00DF29C7" w:rsidRDefault="006351A7" w:rsidP="006351A7">
      <w:pPr>
        <w:spacing w:after="0" w:line="240" w:lineRule="auto"/>
        <w:jc w:val="both"/>
        <w:rPr>
          <w:rFonts w:ascii="Arial" w:hAnsi="Arial" w:cs="Arial"/>
          <w:sz w:val="20"/>
          <w:szCs w:val="20"/>
        </w:rPr>
      </w:pPr>
    </w:p>
    <w:p w14:paraId="5148A104" w14:textId="0CD2B266" w:rsidR="006351A7" w:rsidRPr="00DF29C7" w:rsidRDefault="006351A7" w:rsidP="00DF29C7">
      <w:pPr>
        <w:spacing w:after="0" w:line="240" w:lineRule="auto"/>
        <w:jc w:val="both"/>
        <w:rPr>
          <w:rFonts w:ascii="Arial" w:hAnsi="Arial" w:cs="Arial"/>
          <w:sz w:val="20"/>
          <w:szCs w:val="20"/>
        </w:rPr>
      </w:pPr>
      <w:r w:rsidRPr="00DF29C7">
        <w:rPr>
          <w:rFonts w:ascii="Arial" w:hAnsi="Arial" w:cs="Arial"/>
          <w:sz w:val="20"/>
          <w:szCs w:val="20"/>
        </w:rPr>
        <w:t xml:space="preserve">En cas de difficultés sur la </w:t>
      </w:r>
      <w:r w:rsidR="00D2058B">
        <w:rPr>
          <w:rFonts w:ascii="Arial" w:hAnsi="Arial" w:cs="Arial"/>
          <w:sz w:val="20"/>
          <w:szCs w:val="20"/>
        </w:rPr>
        <w:t>PLACE</w:t>
      </w:r>
      <w:r w:rsidRPr="00DF29C7">
        <w:rPr>
          <w:rFonts w:ascii="Arial" w:hAnsi="Arial" w:cs="Arial"/>
          <w:sz w:val="20"/>
          <w:szCs w:val="20"/>
        </w:rPr>
        <w:t xml:space="preserve">, un service de support téléphonique est également mis à disposition des entreprises souhaitant soumissionner aux marchés publics. </w:t>
      </w:r>
    </w:p>
    <w:p w14:paraId="482444D1" w14:textId="0258F9EA" w:rsidR="00203B46" w:rsidRPr="00DF29C7" w:rsidRDefault="00203B46" w:rsidP="00DF29C7">
      <w:pPr>
        <w:spacing w:after="0" w:line="240" w:lineRule="auto"/>
        <w:jc w:val="center"/>
        <w:rPr>
          <w:rFonts w:ascii="Arial" w:hAnsi="Arial" w:cs="Arial"/>
          <w:sz w:val="20"/>
          <w:szCs w:val="20"/>
        </w:rPr>
      </w:pPr>
    </w:p>
    <w:p w14:paraId="53542F55" w14:textId="571D9506" w:rsidR="00AC416B" w:rsidRPr="00B14C48" w:rsidRDefault="006351A7" w:rsidP="00B14C48">
      <w:pPr>
        <w:pStyle w:val="Paragraphedeliste"/>
        <w:numPr>
          <w:ilvl w:val="0"/>
          <w:numId w:val="16"/>
        </w:numPr>
        <w:spacing w:after="0" w:line="240" w:lineRule="auto"/>
        <w:rPr>
          <w:rFonts w:ascii="Arial" w:hAnsi="Arial" w:cs="Arial"/>
          <w:b/>
          <w:sz w:val="20"/>
          <w:szCs w:val="20"/>
          <w:u w:val="single"/>
        </w:rPr>
      </w:pPr>
      <w:r>
        <w:rPr>
          <w:rFonts w:ascii="Arial" w:hAnsi="Arial" w:cs="Arial"/>
          <w:b/>
          <w:sz w:val="20"/>
          <w:szCs w:val="20"/>
          <w:u w:val="single"/>
        </w:rPr>
        <w:t>Informations complémentaires</w:t>
      </w:r>
    </w:p>
    <w:p w14:paraId="35ED734C" w14:textId="55B66A56" w:rsidR="004076D7" w:rsidRPr="00DF29C7" w:rsidRDefault="004076D7" w:rsidP="00344813">
      <w:pPr>
        <w:spacing w:after="0" w:line="240" w:lineRule="auto"/>
        <w:rPr>
          <w:rFonts w:ascii="Arial" w:hAnsi="Arial" w:cs="Arial"/>
          <w:sz w:val="20"/>
          <w:szCs w:val="20"/>
        </w:rPr>
      </w:pPr>
    </w:p>
    <w:p w14:paraId="5D1F3D05" w14:textId="55C86B45" w:rsidR="004076D7" w:rsidRPr="00DF29C7" w:rsidRDefault="004076D7" w:rsidP="00DF29C7">
      <w:pPr>
        <w:spacing w:after="0" w:line="240" w:lineRule="auto"/>
        <w:rPr>
          <w:rFonts w:ascii="Arial" w:hAnsi="Arial" w:cs="Arial"/>
          <w:sz w:val="20"/>
          <w:szCs w:val="20"/>
        </w:rPr>
      </w:pPr>
      <w:r w:rsidRPr="00DF29C7">
        <w:rPr>
          <w:rFonts w:ascii="Arial" w:hAnsi="Arial" w:cs="Arial"/>
          <w:sz w:val="20"/>
          <w:szCs w:val="20"/>
        </w:rPr>
        <w:t>Conformément à l'article R. 2393-24 du Décret 2018-1075 du 03.12.2018, chaque sous-traitant devra être soumis à l'acceptation du Pouvoir Adjudicateur. Celui-ci se réserve le droit de rejeter la demande de sous-traitance dans les cas prévus aux articles R. 2393-21 et R. 2393-22 dudit Décret</w:t>
      </w:r>
      <w:r w:rsidR="00197C0C">
        <w:rPr>
          <w:rFonts w:ascii="Arial" w:hAnsi="Arial" w:cs="Arial"/>
          <w:sz w:val="20"/>
          <w:szCs w:val="20"/>
        </w:rPr>
        <w:t>.</w:t>
      </w:r>
    </w:p>
    <w:p w14:paraId="1274CA60" w14:textId="77777777" w:rsidR="004076D7" w:rsidRPr="00DF29C7" w:rsidRDefault="004076D7" w:rsidP="00DF29C7">
      <w:pPr>
        <w:pBdr>
          <w:bottom w:val="single" w:sz="4" w:space="1" w:color="auto"/>
        </w:pBdr>
        <w:spacing w:after="0" w:line="240" w:lineRule="auto"/>
        <w:rPr>
          <w:rFonts w:ascii="Arial" w:hAnsi="Arial" w:cs="Arial"/>
          <w:sz w:val="20"/>
          <w:szCs w:val="20"/>
        </w:rPr>
      </w:pPr>
    </w:p>
    <w:p w14:paraId="25848B62" w14:textId="77777777" w:rsidR="004076D7" w:rsidRPr="00DF29C7" w:rsidRDefault="004076D7" w:rsidP="00DF29C7">
      <w:pPr>
        <w:spacing w:after="0" w:line="240" w:lineRule="auto"/>
        <w:rPr>
          <w:rFonts w:ascii="Arial" w:hAnsi="Arial" w:cs="Arial"/>
          <w:sz w:val="20"/>
          <w:szCs w:val="20"/>
        </w:rPr>
      </w:pPr>
    </w:p>
    <w:p w14:paraId="17EB9C57" w14:textId="0CE2C8C1" w:rsidR="00344813" w:rsidRPr="00197C0C" w:rsidRDefault="004076D7" w:rsidP="00197C0C">
      <w:pPr>
        <w:spacing w:after="0" w:line="240" w:lineRule="auto"/>
        <w:rPr>
          <w:rFonts w:ascii="Arial" w:hAnsi="Arial" w:cs="Arial"/>
          <w:sz w:val="20"/>
          <w:szCs w:val="20"/>
        </w:rPr>
      </w:pPr>
      <w:r w:rsidRPr="00DF29C7">
        <w:rPr>
          <w:rFonts w:ascii="Arial" w:hAnsi="Arial" w:cs="Arial"/>
          <w:sz w:val="20"/>
          <w:szCs w:val="20"/>
        </w:rPr>
        <w:t xml:space="preserve">La Base Navale de Brest est une zone militaire dont l’accès est réglementé.  </w:t>
      </w:r>
    </w:p>
    <w:p w14:paraId="7C7B2175" w14:textId="77777777" w:rsidR="006351A7" w:rsidRPr="00DF29C7" w:rsidRDefault="006351A7" w:rsidP="006351A7">
      <w:pPr>
        <w:pBdr>
          <w:bottom w:val="single" w:sz="4" w:space="1" w:color="auto"/>
        </w:pBdr>
        <w:spacing w:after="0" w:line="240" w:lineRule="auto"/>
        <w:rPr>
          <w:rFonts w:ascii="Arial" w:hAnsi="Arial" w:cs="Arial"/>
          <w:sz w:val="20"/>
          <w:szCs w:val="20"/>
        </w:rPr>
      </w:pPr>
    </w:p>
    <w:p w14:paraId="037D4EA7" w14:textId="49F9795C" w:rsidR="00346614" w:rsidRDefault="00346614" w:rsidP="006351A7">
      <w:pPr>
        <w:spacing w:after="0" w:line="240" w:lineRule="auto"/>
        <w:jc w:val="both"/>
        <w:rPr>
          <w:rFonts w:ascii="Arial" w:hAnsi="Arial" w:cs="Arial"/>
          <w:sz w:val="20"/>
          <w:szCs w:val="20"/>
        </w:rPr>
      </w:pPr>
    </w:p>
    <w:p w14:paraId="38020BB3" w14:textId="6F5AFFFC" w:rsidR="00554400" w:rsidRPr="00DF29C7" w:rsidRDefault="00554400" w:rsidP="00DF29C7">
      <w:pPr>
        <w:spacing w:after="0" w:line="240" w:lineRule="auto"/>
        <w:jc w:val="both"/>
        <w:rPr>
          <w:rFonts w:ascii="Arial" w:hAnsi="Arial" w:cs="Arial"/>
          <w:color w:val="FF0000"/>
          <w:sz w:val="20"/>
          <w:szCs w:val="20"/>
        </w:rPr>
      </w:pPr>
      <w:bookmarkStart w:id="0" w:name="_GoBack"/>
      <w:bookmarkEnd w:id="0"/>
    </w:p>
    <w:sectPr w:rsidR="00554400" w:rsidRPr="00DF2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2429AFE"/>
    <w:lvl w:ilvl="0">
      <w:start w:val="1"/>
      <w:numFmt w:val="decimal"/>
      <w:pStyle w:val="Listenumros4"/>
      <w:lvlText w:val="%1."/>
      <w:lvlJc w:val="left"/>
      <w:pPr>
        <w:tabs>
          <w:tab w:val="num" w:pos="1209"/>
        </w:tabs>
        <w:ind w:left="1209" w:hanging="360"/>
      </w:pPr>
    </w:lvl>
  </w:abstractNum>
  <w:abstractNum w:abstractNumId="1" w15:restartNumberingAfterBreak="0">
    <w:nsid w:val="024D0512"/>
    <w:multiLevelType w:val="hybridMultilevel"/>
    <w:tmpl w:val="74BCCE84"/>
    <w:lvl w:ilvl="0" w:tplc="425075E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77D89"/>
    <w:multiLevelType w:val="hybridMultilevel"/>
    <w:tmpl w:val="0CBE3512"/>
    <w:lvl w:ilvl="0" w:tplc="275665E8">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E1F7CB2"/>
    <w:multiLevelType w:val="hybridMultilevel"/>
    <w:tmpl w:val="A106F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0405B"/>
    <w:multiLevelType w:val="hybridMultilevel"/>
    <w:tmpl w:val="5016E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A4414"/>
    <w:multiLevelType w:val="hybridMultilevel"/>
    <w:tmpl w:val="EC2A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243F6"/>
    <w:multiLevelType w:val="hybridMultilevel"/>
    <w:tmpl w:val="D82A7ED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6B26D8"/>
    <w:multiLevelType w:val="hybridMultilevel"/>
    <w:tmpl w:val="E2B48E02"/>
    <w:lvl w:ilvl="0" w:tplc="6188FAC2">
      <w:start w:val="1"/>
      <w:numFmt w:val="bullet"/>
      <w:lvlText w:val=""/>
      <w:lvlJc w:val="left"/>
      <w:pPr>
        <w:ind w:left="2211" w:hanging="360"/>
      </w:pPr>
      <w:rPr>
        <w:rFonts w:ascii="Wingdings" w:hAnsi="Wingdings" w:hint="default"/>
        <w:color w:val="auto"/>
      </w:rPr>
    </w:lvl>
    <w:lvl w:ilvl="1" w:tplc="040C0003" w:tentative="1">
      <w:start w:val="1"/>
      <w:numFmt w:val="bullet"/>
      <w:lvlText w:val="o"/>
      <w:lvlJc w:val="left"/>
      <w:pPr>
        <w:ind w:left="2931" w:hanging="360"/>
      </w:pPr>
      <w:rPr>
        <w:rFonts w:ascii="Courier New" w:hAnsi="Courier New" w:cs="Courier New" w:hint="default"/>
      </w:rPr>
    </w:lvl>
    <w:lvl w:ilvl="2" w:tplc="040C0005" w:tentative="1">
      <w:start w:val="1"/>
      <w:numFmt w:val="bullet"/>
      <w:lvlText w:val=""/>
      <w:lvlJc w:val="left"/>
      <w:pPr>
        <w:ind w:left="3651" w:hanging="360"/>
      </w:pPr>
      <w:rPr>
        <w:rFonts w:ascii="Wingdings" w:hAnsi="Wingdings" w:hint="default"/>
      </w:rPr>
    </w:lvl>
    <w:lvl w:ilvl="3" w:tplc="040C0001" w:tentative="1">
      <w:start w:val="1"/>
      <w:numFmt w:val="bullet"/>
      <w:lvlText w:val=""/>
      <w:lvlJc w:val="left"/>
      <w:pPr>
        <w:ind w:left="4371" w:hanging="360"/>
      </w:pPr>
      <w:rPr>
        <w:rFonts w:ascii="Symbol" w:hAnsi="Symbol" w:hint="default"/>
      </w:rPr>
    </w:lvl>
    <w:lvl w:ilvl="4" w:tplc="040C0003" w:tentative="1">
      <w:start w:val="1"/>
      <w:numFmt w:val="bullet"/>
      <w:lvlText w:val="o"/>
      <w:lvlJc w:val="left"/>
      <w:pPr>
        <w:ind w:left="5091" w:hanging="360"/>
      </w:pPr>
      <w:rPr>
        <w:rFonts w:ascii="Courier New" w:hAnsi="Courier New" w:cs="Courier New" w:hint="default"/>
      </w:rPr>
    </w:lvl>
    <w:lvl w:ilvl="5" w:tplc="040C0005" w:tentative="1">
      <w:start w:val="1"/>
      <w:numFmt w:val="bullet"/>
      <w:lvlText w:val=""/>
      <w:lvlJc w:val="left"/>
      <w:pPr>
        <w:ind w:left="5811" w:hanging="360"/>
      </w:pPr>
      <w:rPr>
        <w:rFonts w:ascii="Wingdings" w:hAnsi="Wingdings" w:hint="default"/>
      </w:rPr>
    </w:lvl>
    <w:lvl w:ilvl="6" w:tplc="040C0001" w:tentative="1">
      <w:start w:val="1"/>
      <w:numFmt w:val="bullet"/>
      <w:lvlText w:val=""/>
      <w:lvlJc w:val="left"/>
      <w:pPr>
        <w:ind w:left="6531" w:hanging="360"/>
      </w:pPr>
      <w:rPr>
        <w:rFonts w:ascii="Symbol" w:hAnsi="Symbol" w:hint="default"/>
      </w:rPr>
    </w:lvl>
    <w:lvl w:ilvl="7" w:tplc="040C0003" w:tentative="1">
      <w:start w:val="1"/>
      <w:numFmt w:val="bullet"/>
      <w:lvlText w:val="o"/>
      <w:lvlJc w:val="left"/>
      <w:pPr>
        <w:ind w:left="7251" w:hanging="360"/>
      </w:pPr>
      <w:rPr>
        <w:rFonts w:ascii="Courier New" w:hAnsi="Courier New" w:cs="Courier New" w:hint="default"/>
      </w:rPr>
    </w:lvl>
    <w:lvl w:ilvl="8" w:tplc="040C0005" w:tentative="1">
      <w:start w:val="1"/>
      <w:numFmt w:val="bullet"/>
      <w:lvlText w:val=""/>
      <w:lvlJc w:val="left"/>
      <w:pPr>
        <w:ind w:left="7971" w:hanging="360"/>
      </w:pPr>
      <w:rPr>
        <w:rFonts w:ascii="Wingdings" w:hAnsi="Wingdings" w:hint="default"/>
      </w:rPr>
    </w:lvl>
  </w:abstractNum>
  <w:abstractNum w:abstractNumId="8" w15:restartNumberingAfterBreak="0">
    <w:nsid w:val="13C46AD1"/>
    <w:multiLevelType w:val="hybridMultilevel"/>
    <w:tmpl w:val="830848EC"/>
    <w:lvl w:ilvl="0" w:tplc="921262E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BB824A4"/>
    <w:multiLevelType w:val="multilevel"/>
    <w:tmpl w:val="DCB24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82369"/>
    <w:multiLevelType w:val="hybridMultilevel"/>
    <w:tmpl w:val="635A0D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4972D2"/>
    <w:multiLevelType w:val="hybridMultilevel"/>
    <w:tmpl w:val="C032ECDE"/>
    <w:lvl w:ilvl="0" w:tplc="64F22AE4">
      <w:numFmt w:val="bullet"/>
      <w:lvlText w:val=""/>
      <w:lvlJc w:val="left"/>
      <w:pPr>
        <w:ind w:left="1920" w:hanging="360"/>
      </w:pPr>
      <w:rPr>
        <w:rFonts w:ascii="Symbol" w:eastAsia="Times New Roman" w:hAnsi="Symbol"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2" w15:restartNumberingAfterBreak="0">
    <w:nsid w:val="2053543A"/>
    <w:multiLevelType w:val="hybridMultilevel"/>
    <w:tmpl w:val="774E916E"/>
    <w:lvl w:ilvl="0" w:tplc="040C0001">
      <w:start w:val="1"/>
      <w:numFmt w:val="bullet"/>
      <w:lvlText w:val=""/>
      <w:lvlJc w:val="left"/>
      <w:pPr>
        <w:ind w:left="1080" w:hanging="360"/>
      </w:pPr>
      <w:rPr>
        <w:rFonts w:ascii="Symbol" w:hAnsi="Symbol"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17B2481"/>
    <w:multiLevelType w:val="hybridMultilevel"/>
    <w:tmpl w:val="D03C0DC6"/>
    <w:lvl w:ilvl="0" w:tplc="D69825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F97214"/>
    <w:multiLevelType w:val="hybridMultilevel"/>
    <w:tmpl w:val="4E544DD6"/>
    <w:lvl w:ilvl="0" w:tplc="425075E2">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57F415E"/>
    <w:multiLevelType w:val="hybridMultilevel"/>
    <w:tmpl w:val="E6F853BA"/>
    <w:lvl w:ilvl="0" w:tplc="040C000D">
      <w:start w:val="1"/>
      <w:numFmt w:val="bullet"/>
      <w:lvlText w:val=""/>
      <w:lvlJc w:val="left"/>
      <w:pPr>
        <w:ind w:left="360" w:hanging="360"/>
      </w:pPr>
      <w:rPr>
        <w:rFonts w:ascii="Wingdings" w:hAnsi="Wingdings" w:hint="default"/>
      </w:rPr>
    </w:lvl>
    <w:lvl w:ilvl="1" w:tplc="425075E2">
      <w:start w:val="1"/>
      <w:numFmt w:val="bullet"/>
      <w:lvlText w:val="-"/>
      <w:lvlJc w:val="left"/>
      <w:pPr>
        <w:ind w:left="1080" w:hanging="360"/>
      </w:pPr>
      <w:rPr>
        <w:rFonts w:ascii="Calibri" w:eastAsiaTheme="minorEastAsia"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60C5F76"/>
    <w:multiLevelType w:val="hybridMultilevel"/>
    <w:tmpl w:val="F1785284"/>
    <w:lvl w:ilvl="0" w:tplc="040C0001">
      <w:start w:val="1"/>
      <w:numFmt w:val="bullet"/>
      <w:lvlText w:val=""/>
      <w:lvlJc w:val="left"/>
      <w:pPr>
        <w:ind w:left="1995" w:hanging="360"/>
      </w:pPr>
      <w:rPr>
        <w:rFonts w:ascii="Symbol" w:hAnsi="Symbol" w:hint="default"/>
      </w:rPr>
    </w:lvl>
    <w:lvl w:ilvl="1" w:tplc="040C0003">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17" w15:restartNumberingAfterBreak="0">
    <w:nsid w:val="2C532B9F"/>
    <w:multiLevelType w:val="hybridMultilevel"/>
    <w:tmpl w:val="9C1094A6"/>
    <w:lvl w:ilvl="0" w:tplc="639E054C">
      <w:start w:val="700"/>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2C0369"/>
    <w:multiLevelType w:val="hybridMultilevel"/>
    <w:tmpl w:val="F2DA5F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DC10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32339E"/>
    <w:multiLevelType w:val="hybridMultilevel"/>
    <w:tmpl w:val="EFE83D5E"/>
    <w:lvl w:ilvl="0" w:tplc="CE28533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BE1277"/>
    <w:multiLevelType w:val="hybridMultilevel"/>
    <w:tmpl w:val="30688C96"/>
    <w:lvl w:ilvl="0" w:tplc="639E054C">
      <w:start w:val="700"/>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2656F"/>
    <w:multiLevelType w:val="multilevel"/>
    <w:tmpl w:val="1AC20A6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3A41E2F"/>
    <w:multiLevelType w:val="hybridMultilevel"/>
    <w:tmpl w:val="30B29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DA6B93"/>
    <w:multiLevelType w:val="multilevel"/>
    <w:tmpl w:val="7ABE5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2944D66"/>
    <w:multiLevelType w:val="multilevel"/>
    <w:tmpl w:val="2932B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63EBF"/>
    <w:multiLevelType w:val="hybridMultilevel"/>
    <w:tmpl w:val="72F24F90"/>
    <w:lvl w:ilvl="0" w:tplc="C134816C">
      <w:start w:val="2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B464E1"/>
    <w:multiLevelType w:val="hybridMultilevel"/>
    <w:tmpl w:val="BA5A8C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3"/>
  </w:num>
  <w:num w:numId="4">
    <w:abstractNumId w:val="8"/>
  </w:num>
  <w:num w:numId="5">
    <w:abstractNumId w:val="2"/>
  </w:num>
  <w:num w:numId="6">
    <w:abstractNumId w:val="11"/>
  </w:num>
  <w:num w:numId="7">
    <w:abstractNumId w:val="7"/>
  </w:num>
  <w:num w:numId="8">
    <w:abstractNumId w:val="10"/>
  </w:num>
  <w:num w:numId="9">
    <w:abstractNumId w:val="0"/>
  </w:num>
  <w:num w:numId="10">
    <w:abstractNumId w:val="14"/>
  </w:num>
  <w:num w:numId="11">
    <w:abstractNumId w:val="26"/>
  </w:num>
  <w:num w:numId="12">
    <w:abstractNumId w:val="5"/>
  </w:num>
  <w:num w:numId="13">
    <w:abstractNumId w:val="3"/>
  </w:num>
  <w:num w:numId="14">
    <w:abstractNumId w:val="16"/>
  </w:num>
  <w:num w:numId="15">
    <w:abstractNumId w:val="9"/>
  </w:num>
  <w:num w:numId="16">
    <w:abstractNumId w:val="19"/>
  </w:num>
  <w:num w:numId="17">
    <w:abstractNumId w:val="25"/>
  </w:num>
  <w:num w:numId="18">
    <w:abstractNumId w:val="22"/>
  </w:num>
  <w:num w:numId="19">
    <w:abstractNumId w:val="24"/>
  </w:num>
  <w:num w:numId="20">
    <w:abstractNumId w:val="6"/>
  </w:num>
  <w:num w:numId="21">
    <w:abstractNumId w:val="17"/>
  </w:num>
  <w:num w:numId="22">
    <w:abstractNumId w:val="20"/>
  </w:num>
  <w:num w:numId="23">
    <w:abstractNumId w:val="18"/>
  </w:num>
  <w:num w:numId="24">
    <w:abstractNumId w:val="13"/>
  </w:num>
  <w:num w:numId="25">
    <w:abstractNumId w:val="15"/>
  </w:num>
  <w:num w:numId="26">
    <w:abstractNumId w:val="27"/>
  </w:num>
  <w:num w:numId="27">
    <w:abstractNumId w:val="2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41"/>
    <w:rsid w:val="00004374"/>
    <w:rsid w:val="00020ED3"/>
    <w:rsid w:val="0003704A"/>
    <w:rsid w:val="00043208"/>
    <w:rsid w:val="0004550F"/>
    <w:rsid w:val="00055190"/>
    <w:rsid w:val="00064C84"/>
    <w:rsid w:val="00091FA2"/>
    <w:rsid w:val="000A11DD"/>
    <w:rsid w:val="000A2AB6"/>
    <w:rsid w:val="000B143F"/>
    <w:rsid w:val="000F2D23"/>
    <w:rsid w:val="00107166"/>
    <w:rsid w:val="00130B50"/>
    <w:rsid w:val="00136382"/>
    <w:rsid w:val="00142090"/>
    <w:rsid w:val="001607DB"/>
    <w:rsid w:val="00160853"/>
    <w:rsid w:val="0016132E"/>
    <w:rsid w:val="00174634"/>
    <w:rsid w:val="00191B4D"/>
    <w:rsid w:val="00197C0C"/>
    <w:rsid w:val="001E1097"/>
    <w:rsid w:val="001E2A30"/>
    <w:rsid w:val="001F2818"/>
    <w:rsid w:val="00203B46"/>
    <w:rsid w:val="00204D71"/>
    <w:rsid w:val="00212C03"/>
    <w:rsid w:val="00216DF9"/>
    <w:rsid w:val="00224D71"/>
    <w:rsid w:val="00242C10"/>
    <w:rsid w:val="00244CFC"/>
    <w:rsid w:val="00287330"/>
    <w:rsid w:val="00295C12"/>
    <w:rsid w:val="002A06C8"/>
    <w:rsid w:val="002A76E7"/>
    <w:rsid w:val="002B43BF"/>
    <w:rsid w:val="002E601A"/>
    <w:rsid w:val="00314FF8"/>
    <w:rsid w:val="00330331"/>
    <w:rsid w:val="00332B15"/>
    <w:rsid w:val="003408E6"/>
    <w:rsid w:val="003437A6"/>
    <w:rsid w:val="00344813"/>
    <w:rsid w:val="00346614"/>
    <w:rsid w:val="00391074"/>
    <w:rsid w:val="0039349D"/>
    <w:rsid w:val="003A2015"/>
    <w:rsid w:val="003B352C"/>
    <w:rsid w:val="003D6992"/>
    <w:rsid w:val="003E05F5"/>
    <w:rsid w:val="003E18CF"/>
    <w:rsid w:val="003F30A4"/>
    <w:rsid w:val="004076D7"/>
    <w:rsid w:val="00417D1F"/>
    <w:rsid w:val="00423933"/>
    <w:rsid w:val="00431422"/>
    <w:rsid w:val="004478AC"/>
    <w:rsid w:val="00484BBD"/>
    <w:rsid w:val="004A3183"/>
    <w:rsid w:val="004A47A0"/>
    <w:rsid w:val="004B0488"/>
    <w:rsid w:val="004B2F8B"/>
    <w:rsid w:val="004B572D"/>
    <w:rsid w:val="004B6D26"/>
    <w:rsid w:val="004B760E"/>
    <w:rsid w:val="004D0815"/>
    <w:rsid w:val="00500147"/>
    <w:rsid w:val="00540998"/>
    <w:rsid w:val="00543031"/>
    <w:rsid w:val="00547282"/>
    <w:rsid w:val="00554400"/>
    <w:rsid w:val="00555359"/>
    <w:rsid w:val="005600D8"/>
    <w:rsid w:val="00587A21"/>
    <w:rsid w:val="005A098A"/>
    <w:rsid w:val="005A742E"/>
    <w:rsid w:val="005C3A19"/>
    <w:rsid w:val="005C4F3D"/>
    <w:rsid w:val="005D534C"/>
    <w:rsid w:val="005E67BC"/>
    <w:rsid w:val="00614969"/>
    <w:rsid w:val="0062543C"/>
    <w:rsid w:val="006351A7"/>
    <w:rsid w:val="0067094A"/>
    <w:rsid w:val="0067458B"/>
    <w:rsid w:val="00694EB7"/>
    <w:rsid w:val="00696DAF"/>
    <w:rsid w:val="006A7DA7"/>
    <w:rsid w:val="006C1633"/>
    <w:rsid w:val="006C4E79"/>
    <w:rsid w:val="00704881"/>
    <w:rsid w:val="00707955"/>
    <w:rsid w:val="00713321"/>
    <w:rsid w:val="007210DA"/>
    <w:rsid w:val="00722720"/>
    <w:rsid w:val="00730F41"/>
    <w:rsid w:val="00744212"/>
    <w:rsid w:val="00762683"/>
    <w:rsid w:val="00764A9D"/>
    <w:rsid w:val="0077007D"/>
    <w:rsid w:val="007702B0"/>
    <w:rsid w:val="00774FAD"/>
    <w:rsid w:val="007C1378"/>
    <w:rsid w:val="007E68EF"/>
    <w:rsid w:val="007F1C70"/>
    <w:rsid w:val="0083635E"/>
    <w:rsid w:val="0084105F"/>
    <w:rsid w:val="00856482"/>
    <w:rsid w:val="00867F6F"/>
    <w:rsid w:val="008B3FCA"/>
    <w:rsid w:val="008C7AC4"/>
    <w:rsid w:val="008D1F0D"/>
    <w:rsid w:val="008E4092"/>
    <w:rsid w:val="008F1383"/>
    <w:rsid w:val="008F330E"/>
    <w:rsid w:val="009137DE"/>
    <w:rsid w:val="00920A7D"/>
    <w:rsid w:val="009675BF"/>
    <w:rsid w:val="009917F6"/>
    <w:rsid w:val="009D7D19"/>
    <w:rsid w:val="009F1E30"/>
    <w:rsid w:val="00A00548"/>
    <w:rsid w:val="00A07D3F"/>
    <w:rsid w:val="00A169EF"/>
    <w:rsid w:val="00A474A2"/>
    <w:rsid w:val="00A55E87"/>
    <w:rsid w:val="00A5784D"/>
    <w:rsid w:val="00A6332B"/>
    <w:rsid w:val="00A82C6F"/>
    <w:rsid w:val="00A907C4"/>
    <w:rsid w:val="00A93C5F"/>
    <w:rsid w:val="00A95804"/>
    <w:rsid w:val="00AA031A"/>
    <w:rsid w:val="00AA1B9A"/>
    <w:rsid w:val="00AA46CB"/>
    <w:rsid w:val="00AC416B"/>
    <w:rsid w:val="00AD2BBC"/>
    <w:rsid w:val="00AD7FBB"/>
    <w:rsid w:val="00AE55F5"/>
    <w:rsid w:val="00AF1A5D"/>
    <w:rsid w:val="00AF54A8"/>
    <w:rsid w:val="00B14C48"/>
    <w:rsid w:val="00B3524B"/>
    <w:rsid w:val="00B42456"/>
    <w:rsid w:val="00B50EA2"/>
    <w:rsid w:val="00B5367A"/>
    <w:rsid w:val="00B7016B"/>
    <w:rsid w:val="00B76653"/>
    <w:rsid w:val="00BB71DE"/>
    <w:rsid w:val="00BD47A6"/>
    <w:rsid w:val="00BD754C"/>
    <w:rsid w:val="00BE670F"/>
    <w:rsid w:val="00BF3A79"/>
    <w:rsid w:val="00C0057E"/>
    <w:rsid w:val="00C15BD5"/>
    <w:rsid w:val="00C25F0A"/>
    <w:rsid w:val="00C31ADB"/>
    <w:rsid w:val="00C36B99"/>
    <w:rsid w:val="00C371A0"/>
    <w:rsid w:val="00C449DC"/>
    <w:rsid w:val="00C52BBC"/>
    <w:rsid w:val="00C54059"/>
    <w:rsid w:val="00C70954"/>
    <w:rsid w:val="00C86E93"/>
    <w:rsid w:val="00CB3983"/>
    <w:rsid w:val="00CC7A55"/>
    <w:rsid w:val="00CD00B3"/>
    <w:rsid w:val="00CE3D8D"/>
    <w:rsid w:val="00D00F7E"/>
    <w:rsid w:val="00D14683"/>
    <w:rsid w:val="00D2058B"/>
    <w:rsid w:val="00D43F48"/>
    <w:rsid w:val="00D6003F"/>
    <w:rsid w:val="00D601F7"/>
    <w:rsid w:val="00D84FAB"/>
    <w:rsid w:val="00DA41BF"/>
    <w:rsid w:val="00DC12A2"/>
    <w:rsid w:val="00DC56CA"/>
    <w:rsid w:val="00DD272D"/>
    <w:rsid w:val="00DE2481"/>
    <w:rsid w:val="00DF29C7"/>
    <w:rsid w:val="00DF3345"/>
    <w:rsid w:val="00DF3E1C"/>
    <w:rsid w:val="00E2318E"/>
    <w:rsid w:val="00E2349C"/>
    <w:rsid w:val="00E352B1"/>
    <w:rsid w:val="00E61113"/>
    <w:rsid w:val="00EC02F3"/>
    <w:rsid w:val="00EC4719"/>
    <w:rsid w:val="00ED2178"/>
    <w:rsid w:val="00ED3602"/>
    <w:rsid w:val="00EE0BD5"/>
    <w:rsid w:val="00EF0F9C"/>
    <w:rsid w:val="00EF355F"/>
    <w:rsid w:val="00EF49CD"/>
    <w:rsid w:val="00EF6256"/>
    <w:rsid w:val="00F60639"/>
    <w:rsid w:val="00F62FED"/>
    <w:rsid w:val="00F63946"/>
    <w:rsid w:val="00F64641"/>
    <w:rsid w:val="00F64F54"/>
    <w:rsid w:val="00F72024"/>
    <w:rsid w:val="00F82E53"/>
    <w:rsid w:val="00FA02AD"/>
    <w:rsid w:val="00FA4D8F"/>
    <w:rsid w:val="00FB3C61"/>
    <w:rsid w:val="00FD7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7DA"/>
  <w15:chartTrackingRefBased/>
  <w15:docId w15:val="{8D5DFD27-61AE-4F57-8007-891739D5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64641"/>
    <w:pPr>
      <w:keepNext/>
      <w:spacing w:before="120" w:after="120" w:line="240" w:lineRule="auto"/>
      <w:outlineLvl w:val="0"/>
    </w:pPr>
    <w:rPr>
      <w:rFonts w:ascii="Times New Roman" w:eastAsia="Times New Roman" w:hAnsi="Times New Roman" w:cs="Times New Roman"/>
      <w:b/>
      <w:caps/>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4641"/>
    <w:rPr>
      <w:rFonts w:ascii="Times New Roman" w:eastAsia="Times New Roman" w:hAnsi="Times New Roman" w:cs="Times New Roman"/>
      <w:b/>
      <w:caps/>
      <w:sz w:val="28"/>
      <w:szCs w:val="20"/>
      <w:u w:val="single"/>
    </w:rPr>
  </w:style>
  <w:style w:type="character" w:styleId="Lienhypertexte">
    <w:name w:val="Hyperlink"/>
    <w:basedOn w:val="Policepardfaut"/>
    <w:uiPriority w:val="99"/>
    <w:unhideWhenUsed/>
    <w:rsid w:val="00431422"/>
    <w:rPr>
      <w:color w:val="0563C1" w:themeColor="hyperlink"/>
      <w:u w:val="single"/>
    </w:rPr>
  </w:style>
  <w:style w:type="paragraph" w:styleId="Paragraphedeliste">
    <w:name w:val="List Paragraph"/>
    <w:basedOn w:val="Normal"/>
    <w:uiPriority w:val="34"/>
    <w:qFormat/>
    <w:rsid w:val="003A2015"/>
    <w:pPr>
      <w:ind w:left="720"/>
      <w:contextualSpacing/>
    </w:pPr>
  </w:style>
  <w:style w:type="paragraph" w:customStyle="1" w:styleId="OBJEXIGENCE">
    <w:name w:val="*OBJ EXIGENCE"/>
    <w:basedOn w:val="Normal"/>
    <w:qFormat/>
    <w:rsid w:val="0084105F"/>
    <w:pPr>
      <w:tabs>
        <w:tab w:val="left" w:pos="5670"/>
      </w:tabs>
      <w:spacing w:before="120" w:after="0" w:line="240" w:lineRule="auto"/>
      <w:ind w:left="567"/>
      <w:jc w:val="both"/>
    </w:pPr>
    <w:rPr>
      <w:rFonts w:ascii="Times New Roman" w:eastAsia="Times New Roman" w:hAnsi="Times New Roman" w:cs="Times New Roman"/>
      <w:noProof/>
      <w:lang w:eastAsia="fr-FR"/>
    </w:rPr>
  </w:style>
  <w:style w:type="character" w:styleId="Marquedecommentaire">
    <w:name w:val="annotation reference"/>
    <w:basedOn w:val="Policepardfaut"/>
    <w:uiPriority w:val="99"/>
    <w:semiHidden/>
    <w:unhideWhenUsed/>
    <w:rsid w:val="00A5784D"/>
    <w:rPr>
      <w:sz w:val="16"/>
      <w:szCs w:val="16"/>
    </w:rPr>
  </w:style>
  <w:style w:type="paragraph" w:styleId="Commentaire">
    <w:name w:val="annotation text"/>
    <w:basedOn w:val="Normal"/>
    <w:link w:val="CommentaireCar"/>
    <w:uiPriority w:val="99"/>
    <w:semiHidden/>
    <w:unhideWhenUsed/>
    <w:rsid w:val="00A5784D"/>
    <w:pPr>
      <w:spacing w:line="240" w:lineRule="auto"/>
    </w:pPr>
    <w:rPr>
      <w:sz w:val="20"/>
      <w:szCs w:val="20"/>
    </w:rPr>
  </w:style>
  <w:style w:type="character" w:customStyle="1" w:styleId="CommentaireCar">
    <w:name w:val="Commentaire Car"/>
    <w:basedOn w:val="Policepardfaut"/>
    <w:link w:val="Commentaire"/>
    <w:uiPriority w:val="99"/>
    <w:semiHidden/>
    <w:rsid w:val="00A5784D"/>
    <w:rPr>
      <w:sz w:val="20"/>
      <w:szCs w:val="20"/>
    </w:rPr>
  </w:style>
  <w:style w:type="paragraph" w:styleId="Objetducommentaire">
    <w:name w:val="annotation subject"/>
    <w:basedOn w:val="Commentaire"/>
    <w:next w:val="Commentaire"/>
    <w:link w:val="ObjetducommentaireCar"/>
    <w:uiPriority w:val="99"/>
    <w:semiHidden/>
    <w:unhideWhenUsed/>
    <w:rsid w:val="00A5784D"/>
    <w:rPr>
      <w:b/>
      <w:bCs/>
    </w:rPr>
  </w:style>
  <w:style w:type="character" w:customStyle="1" w:styleId="ObjetducommentaireCar">
    <w:name w:val="Objet du commentaire Car"/>
    <w:basedOn w:val="CommentaireCar"/>
    <w:link w:val="Objetducommentaire"/>
    <w:uiPriority w:val="99"/>
    <w:semiHidden/>
    <w:rsid w:val="00A5784D"/>
    <w:rPr>
      <w:b/>
      <w:bCs/>
      <w:sz w:val="20"/>
      <w:szCs w:val="20"/>
    </w:rPr>
  </w:style>
  <w:style w:type="paragraph" w:styleId="Textedebulles">
    <w:name w:val="Balloon Text"/>
    <w:basedOn w:val="Normal"/>
    <w:link w:val="TextedebullesCar"/>
    <w:uiPriority w:val="99"/>
    <w:semiHidden/>
    <w:unhideWhenUsed/>
    <w:rsid w:val="00A578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784D"/>
    <w:rPr>
      <w:rFonts w:ascii="Segoe UI" w:hAnsi="Segoe UI" w:cs="Segoe UI"/>
      <w:sz w:val="18"/>
      <w:szCs w:val="18"/>
    </w:rPr>
  </w:style>
  <w:style w:type="paragraph" w:customStyle="1" w:styleId="REFEXIGENCEREC">
    <w:name w:val="*REF EXIGENCE REC"/>
    <w:basedOn w:val="Normal"/>
    <w:qFormat/>
    <w:rsid w:val="008F330E"/>
    <w:pPr>
      <w:tabs>
        <w:tab w:val="left" w:pos="1590"/>
      </w:tabs>
      <w:spacing w:before="120" w:after="0" w:line="240" w:lineRule="auto"/>
      <w:jc w:val="both"/>
    </w:pPr>
    <w:rPr>
      <w:rFonts w:ascii="Times New Roman" w:eastAsia="Times New Roman" w:hAnsi="Times New Roman" w:cs="Times New Roman"/>
      <w:b/>
      <w:noProof/>
      <w:color w:val="FF0000"/>
      <w:lang w:eastAsia="fr-FR"/>
    </w:rPr>
  </w:style>
  <w:style w:type="paragraph" w:customStyle="1" w:styleId="Default">
    <w:name w:val="Default"/>
    <w:rsid w:val="000A2AB6"/>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FA02AD"/>
    <w:rPr>
      <w:color w:val="954F72" w:themeColor="followedHyperlink"/>
      <w:u w:val="single"/>
    </w:rPr>
  </w:style>
  <w:style w:type="table" w:styleId="Grilledutableau">
    <w:name w:val="Table Grid"/>
    <w:basedOn w:val="TableauNormal"/>
    <w:uiPriority w:val="39"/>
    <w:rsid w:val="00FA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alibri">
    <w:name w:val="Normal calibri"/>
    <w:basedOn w:val="Normal"/>
    <w:link w:val="NormalcalibriCar"/>
    <w:autoRedefine/>
    <w:qFormat/>
    <w:rsid w:val="002E601A"/>
    <w:pPr>
      <w:spacing w:after="0" w:line="240" w:lineRule="auto"/>
      <w:jc w:val="center"/>
    </w:pPr>
    <w:rPr>
      <w:rFonts w:ascii="Arial" w:eastAsiaTheme="minorEastAsia" w:hAnsi="Arial" w:cs="Arial"/>
      <w:szCs w:val="20"/>
      <w:lang w:eastAsia="fr-FR"/>
    </w:rPr>
  </w:style>
  <w:style w:type="character" w:customStyle="1" w:styleId="NormalcalibriCar">
    <w:name w:val="Normal calibri Car"/>
    <w:basedOn w:val="Policepardfaut"/>
    <w:link w:val="Normalcalibri"/>
    <w:rsid w:val="002E601A"/>
    <w:rPr>
      <w:rFonts w:ascii="Arial" w:eastAsiaTheme="minorEastAsia" w:hAnsi="Arial" w:cs="Arial"/>
      <w:szCs w:val="20"/>
      <w:lang w:eastAsia="fr-FR"/>
    </w:rPr>
  </w:style>
  <w:style w:type="paragraph" w:styleId="TM2">
    <w:name w:val="toc 2"/>
    <w:basedOn w:val="Liste"/>
    <w:next w:val="Normal"/>
    <w:autoRedefine/>
    <w:uiPriority w:val="39"/>
    <w:qFormat/>
    <w:rsid w:val="001E2A30"/>
    <w:pPr>
      <w:tabs>
        <w:tab w:val="left" w:pos="880"/>
        <w:tab w:val="right" w:leader="dot" w:pos="9854"/>
      </w:tabs>
      <w:spacing w:after="0" w:line="240" w:lineRule="auto"/>
      <w:ind w:left="0" w:firstLine="0"/>
      <w:contextualSpacing w:val="0"/>
      <w:jc w:val="both"/>
    </w:pPr>
    <w:rPr>
      <w:rFonts w:eastAsia="Times New Roman" w:cs="Times New Roman"/>
      <w:b/>
      <w:bCs/>
      <w:smallCaps/>
      <w:noProof/>
      <w:lang w:eastAsia="fr-FR"/>
    </w:rPr>
  </w:style>
  <w:style w:type="paragraph" w:styleId="Listenumros4">
    <w:name w:val="List Number 4"/>
    <w:basedOn w:val="Normal"/>
    <w:unhideWhenUsed/>
    <w:rsid w:val="001E2A30"/>
    <w:pPr>
      <w:numPr>
        <w:numId w:val="9"/>
      </w:numPr>
      <w:spacing w:before="120" w:after="120" w:line="240" w:lineRule="auto"/>
      <w:contextualSpacing/>
      <w:jc w:val="both"/>
    </w:pPr>
    <w:rPr>
      <w:rFonts w:ascii="Arial" w:eastAsia="Times New Roman" w:hAnsi="Arial" w:cs="Times New Roman"/>
      <w:szCs w:val="20"/>
      <w:lang w:eastAsia="fr-FR"/>
    </w:rPr>
  </w:style>
  <w:style w:type="paragraph" w:styleId="Liste">
    <w:name w:val="List"/>
    <w:basedOn w:val="Normal"/>
    <w:uiPriority w:val="99"/>
    <w:semiHidden/>
    <w:unhideWhenUsed/>
    <w:rsid w:val="001E2A3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me.choruspro.gouv.fr" TargetMode="External"/><Relationship Id="rId3" Type="http://schemas.openxmlformats.org/officeDocument/2006/relationships/styles" Target="styles.xml"/><Relationship Id="rId7" Type="http://schemas.openxmlformats.org/officeDocument/2006/relationships/hyperlink" Target="mailto:sid-atlantique-sd-ac-bam-sect-maint.contact.fct@intradef.gouv.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ches-publics.gouv.fr" TargetMode="External"/><Relationship Id="rId4" Type="http://schemas.openxmlformats.org/officeDocument/2006/relationships/settings" Target="settings.xml"/><Relationship Id="rId9" Type="http://schemas.openxmlformats.org/officeDocument/2006/relationships/hyperlink" Target="http://www.economie.gouv.fr/daj/formulaires-declaration-candid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FEC3-1E56-4A4E-961B-A63FF566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Pages>
  <Words>1788</Words>
  <Characters>9837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MALAKE Eva ASC NIV 2 OA</dc:creator>
  <cp:keywords/>
  <dc:description/>
  <cp:lastModifiedBy>MICHEL Lola Apprenti</cp:lastModifiedBy>
  <cp:revision>92</cp:revision>
  <dcterms:created xsi:type="dcterms:W3CDTF">2025-05-19T06:56:00Z</dcterms:created>
  <dcterms:modified xsi:type="dcterms:W3CDTF">2026-02-17T13:18:00Z</dcterms:modified>
</cp:coreProperties>
</file>