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07F4" w14:textId="77777777" w:rsidR="009B1727" w:rsidRDefault="009B1727">
      <w:pPr>
        <w:pStyle w:val="Titre"/>
        <w:jc w:val="left"/>
        <w:rPr>
          <w:sz w:val="22"/>
        </w:rPr>
      </w:pPr>
    </w:p>
    <w:p w14:paraId="19D0DCD5" w14:textId="77777777" w:rsidR="009B1727" w:rsidRDefault="009B1727">
      <w:pPr>
        <w:pStyle w:val="Titre"/>
        <w:rPr>
          <w:sz w:val="22"/>
        </w:rPr>
      </w:pPr>
    </w:p>
    <w:p w14:paraId="7CB48BE6" w14:textId="77777777" w:rsidR="009B1727" w:rsidRDefault="009B1727">
      <w:pPr>
        <w:pStyle w:val="Titre"/>
        <w:rPr>
          <w:sz w:val="22"/>
        </w:rPr>
      </w:pPr>
    </w:p>
    <w:p w14:paraId="3568036C" w14:textId="77777777" w:rsidR="009B1727" w:rsidRDefault="009B1727">
      <w:pPr>
        <w:pStyle w:val="Titre"/>
        <w:rPr>
          <w:sz w:val="22"/>
        </w:rPr>
      </w:pPr>
    </w:p>
    <w:p w14:paraId="72580C4A" w14:textId="77777777" w:rsidR="009B1727" w:rsidRDefault="00CB09CF">
      <w:pPr>
        <w:pStyle w:val="Titre"/>
        <w:rPr>
          <w:sz w:val="22"/>
        </w:rPr>
      </w:pPr>
      <w:r>
        <w:rPr>
          <w:noProof/>
          <w:lang w:eastAsia="fr-FR"/>
        </w:rPr>
        <w:drawing>
          <wp:inline distT="0" distB="0" distL="0" distR="0" wp14:anchorId="60C2538B" wp14:editId="1A0BF15C">
            <wp:extent cx="2861945" cy="11874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187450"/>
                    </a:xfrm>
                    <a:prstGeom prst="rect">
                      <a:avLst/>
                    </a:prstGeom>
                    <a:noFill/>
                    <a:ln>
                      <a:noFill/>
                    </a:ln>
                  </pic:spPr>
                </pic:pic>
              </a:graphicData>
            </a:graphic>
          </wp:inline>
        </w:drawing>
      </w:r>
    </w:p>
    <w:p w14:paraId="36DC6CB8" w14:textId="77777777" w:rsidR="00846451" w:rsidRDefault="00846451" w:rsidP="00846451">
      <w:pPr>
        <w:pStyle w:val="Titre"/>
        <w:rPr>
          <w:sz w:val="22"/>
        </w:rPr>
      </w:pPr>
    </w:p>
    <w:p w14:paraId="41438FCF" w14:textId="77777777" w:rsidR="00846451" w:rsidRPr="00846451" w:rsidRDefault="00846451" w:rsidP="00846451">
      <w:pPr>
        <w:pStyle w:val="Titre"/>
        <w:rPr>
          <w:rFonts w:ascii="Arial" w:hAnsi="Arial" w:cs="Arial"/>
          <w:sz w:val="22"/>
        </w:rPr>
      </w:pPr>
      <w:r w:rsidRPr="00846451">
        <w:rPr>
          <w:rFonts w:ascii="Arial" w:hAnsi="Arial" w:cs="Arial"/>
          <w:sz w:val="22"/>
        </w:rPr>
        <w:t>Centre de Recherche PACA</w:t>
      </w:r>
    </w:p>
    <w:p w14:paraId="57F0BE2E" w14:textId="77777777" w:rsidR="00846451" w:rsidRPr="00846451" w:rsidRDefault="00846451" w:rsidP="00846451">
      <w:pPr>
        <w:pStyle w:val="Titre"/>
        <w:rPr>
          <w:rFonts w:ascii="Arial" w:hAnsi="Arial" w:cs="Arial"/>
          <w:sz w:val="22"/>
        </w:rPr>
      </w:pPr>
      <w:r w:rsidRPr="00846451">
        <w:rPr>
          <w:rFonts w:ascii="Arial" w:hAnsi="Arial" w:cs="Arial"/>
          <w:sz w:val="22"/>
        </w:rPr>
        <w:t>228 route de l’aérodrome</w:t>
      </w:r>
    </w:p>
    <w:p w14:paraId="49BCDD93" w14:textId="77777777" w:rsidR="00846451" w:rsidRPr="00846451" w:rsidRDefault="00846451" w:rsidP="00846451">
      <w:pPr>
        <w:pStyle w:val="Titre"/>
        <w:rPr>
          <w:rFonts w:ascii="Arial" w:hAnsi="Arial" w:cs="Arial"/>
          <w:sz w:val="22"/>
        </w:rPr>
      </w:pPr>
      <w:r w:rsidRPr="00846451">
        <w:rPr>
          <w:rFonts w:ascii="Arial" w:hAnsi="Arial" w:cs="Arial"/>
          <w:sz w:val="22"/>
        </w:rPr>
        <w:t xml:space="preserve">Domaine Saint Paul – Site </w:t>
      </w:r>
      <w:proofErr w:type="spellStart"/>
      <w:r w:rsidRPr="00846451">
        <w:rPr>
          <w:rFonts w:ascii="Arial" w:hAnsi="Arial" w:cs="Arial"/>
          <w:sz w:val="22"/>
        </w:rPr>
        <w:t>Agroparc</w:t>
      </w:r>
      <w:proofErr w:type="spellEnd"/>
    </w:p>
    <w:p w14:paraId="6D8D3BB2" w14:textId="77777777" w:rsidR="00846451" w:rsidRPr="00846451" w:rsidRDefault="00846451" w:rsidP="00846451">
      <w:pPr>
        <w:pStyle w:val="Titre"/>
        <w:rPr>
          <w:rFonts w:ascii="Arial" w:hAnsi="Arial" w:cs="Arial"/>
          <w:sz w:val="22"/>
        </w:rPr>
      </w:pPr>
      <w:r w:rsidRPr="00846451">
        <w:rPr>
          <w:rFonts w:ascii="Arial" w:hAnsi="Arial" w:cs="Arial"/>
          <w:sz w:val="22"/>
        </w:rPr>
        <w:t>CS 40509</w:t>
      </w:r>
    </w:p>
    <w:p w14:paraId="5E382010" w14:textId="77777777" w:rsidR="009B1727" w:rsidRPr="00846451" w:rsidRDefault="00846451" w:rsidP="00846451">
      <w:pPr>
        <w:pStyle w:val="Titre"/>
        <w:rPr>
          <w:rFonts w:ascii="Arial" w:hAnsi="Arial" w:cs="Arial"/>
          <w:sz w:val="22"/>
        </w:rPr>
      </w:pPr>
      <w:r w:rsidRPr="00846451">
        <w:rPr>
          <w:rFonts w:ascii="Arial" w:hAnsi="Arial" w:cs="Arial"/>
          <w:sz w:val="22"/>
        </w:rPr>
        <w:t>84914 AVIGNON Cedex 9</w:t>
      </w:r>
    </w:p>
    <w:p w14:paraId="2A32DE28" w14:textId="77777777" w:rsidR="009B1727" w:rsidRDefault="009B1727">
      <w:pPr>
        <w:pStyle w:val="Titre"/>
        <w:jc w:val="left"/>
        <w:rPr>
          <w:sz w:val="22"/>
        </w:rPr>
      </w:pPr>
    </w:p>
    <w:p w14:paraId="7C815DEC" w14:textId="77777777" w:rsidR="009B1727" w:rsidRDefault="009B1727">
      <w:pPr>
        <w:pStyle w:val="Titre"/>
        <w:ind w:left="851" w:right="-2"/>
      </w:pPr>
    </w:p>
    <w:p w14:paraId="09FD2C2F"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rPr>
          <w:b w:val="0"/>
          <w:bCs/>
        </w:rPr>
      </w:pPr>
      <w:r>
        <w:rPr>
          <w:bCs/>
        </w:rPr>
        <w:t>REGLEMENT DE CONSULTATION</w:t>
      </w:r>
    </w:p>
    <w:p w14:paraId="5094CDE1" w14:textId="77777777" w:rsidR="009B1727" w:rsidRDefault="009B1727">
      <w:pPr>
        <w:rPr>
          <w:rFonts w:ascii="Arial" w:hAnsi="Arial"/>
        </w:rPr>
      </w:pPr>
    </w:p>
    <w:p w14:paraId="77AB2386" w14:textId="77777777" w:rsidR="009B1727" w:rsidRDefault="009B1727">
      <w:pPr>
        <w:rPr>
          <w:rFonts w:ascii="Arial" w:hAnsi="Arial"/>
        </w:rPr>
      </w:pPr>
    </w:p>
    <w:p w14:paraId="7B7ED65E" w14:textId="77777777" w:rsidR="009B1727" w:rsidRDefault="009B1727">
      <w:pPr>
        <w:rPr>
          <w:rFonts w:ascii="Arial" w:hAnsi="Arial"/>
        </w:rPr>
      </w:pPr>
    </w:p>
    <w:p w14:paraId="4BF2DCBE" w14:textId="77777777" w:rsidR="009B1727" w:rsidRDefault="009B1727">
      <w:pPr>
        <w:rPr>
          <w:rFonts w:ascii="Arial" w:hAnsi="Arial"/>
        </w:rPr>
      </w:pPr>
    </w:p>
    <w:p w14:paraId="3F0B43F5" w14:textId="77777777" w:rsidR="009B1727" w:rsidRDefault="009B1727">
      <w:pPr>
        <w:rPr>
          <w:rFonts w:ascii="Arial" w:hAnsi="Arial"/>
        </w:rPr>
      </w:pPr>
    </w:p>
    <w:p w14:paraId="2E3AED2A" w14:textId="77777777" w:rsidR="009D6A42" w:rsidRDefault="009D6A42" w:rsidP="009B4260">
      <w:pPr>
        <w:pBdr>
          <w:top w:val="single" w:sz="4" w:space="1" w:color="auto"/>
          <w:left w:val="single" w:sz="4" w:space="4" w:color="auto"/>
          <w:bottom w:val="single" w:sz="4" w:space="1" w:color="auto"/>
          <w:right w:val="single" w:sz="4" w:space="4" w:color="auto"/>
        </w:pBdr>
        <w:suppressAutoHyphens/>
      </w:pPr>
    </w:p>
    <w:p w14:paraId="25A931F6" w14:textId="77777777" w:rsidR="00AC7856" w:rsidRPr="00D640F0" w:rsidRDefault="00D640F0" w:rsidP="000C5AE0">
      <w:pPr>
        <w:pBdr>
          <w:top w:val="single" w:sz="4" w:space="1" w:color="auto"/>
          <w:left w:val="single" w:sz="4" w:space="4" w:color="auto"/>
          <w:bottom w:val="single" w:sz="4" w:space="1" w:color="auto"/>
          <w:right w:val="single" w:sz="4" w:space="4" w:color="auto"/>
        </w:pBdr>
        <w:suppressAutoHyphens/>
        <w:jc w:val="center"/>
        <w:rPr>
          <w:b/>
          <w:bCs/>
          <w:color w:val="FF0000"/>
          <w:sz w:val="32"/>
          <w:szCs w:val="32"/>
        </w:rPr>
      </w:pPr>
      <w:r w:rsidRPr="00D640F0">
        <w:rPr>
          <w:b/>
          <w:bCs/>
          <w:sz w:val="32"/>
          <w:szCs w:val="32"/>
        </w:rPr>
        <w:t>Objet du marché :</w:t>
      </w:r>
      <w:r w:rsidRPr="00D640F0">
        <w:rPr>
          <w:b/>
          <w:bCs/>
          <w:color w:val="FF0000"/>
          <w:sz w:val="32"/>
          <w:szCs w:val="32"/>
        </w:rPr>
        <w:t xml:space="preserve"> </w:t>
      </w:r>
      <w:r w:rsidR="00846451" w:rsidRPr="00846451">
        <w:rPr>
          <w:b/>
          <w:bCs/>
          <w:sz w:val="32"/>
          <w:szCs w:val="32"/>
        </w:rPr>
        <w:t>Contrat de maintenanc</w:t>
      </w:r>
      <w:r w:rsidR="00846451">
        <w:rPr>
          <w:b/>
          <w:bCs/>
          <w:sz w:val="32"/>
          <w:szCs w:val="32"/>
        </w:rPr>
        <w:t xml:space="preserve">e des ascenseurs du centre INRAE </w:t>
      </w:r>
      <w:r w:rsidR="00846451" w:rsidRPr="00846451">
        <w:rPr>
          <w:b/>
          <w:bCs/>
          <w:sz w:val="32"/>
          <w:szCs w:val="32"/>
        </w:rPr>
        <w:t>PACA site</w:t>
      </w:r>
      <w:r w:rsidR="001D2482">
        <w:rPr>
          <w:b/>
          <w:bCs/>
          <w:sz w:val="32"/>
          <w:szCs w:val="32"/>
        </w:rPr>
        <w:t>s</w:t>
      </w:r>
      <w:r w:rsidR="00846451" w:rsidRPr="00846451">
        <w:rPr>
          <w:b/>
          <w:bCs/>
          <w:sz w:val="32"/>
          <w:szCs w:val="32"/>
        </w:rPr>
        <w:t xml:space="preserve"> de Sophia </w:t>
      </w:r>
      <w:r w:rsidR="0026624E">
        <w:rPr>
          <w:b/>
          <w:bCs/>
          <w:sz w:val="32"/>
          <w:szCs w:val="32"/>
        </w:rPr>
        <w:t>–</w:t>
      </w:r>
      <w:r w:rsidR="00846451" w:rsidRPr="00846451">
        <w:rPr>
          <w:b/>
          <w:bCs/>
          <w:sz w:val="32"/>
          <w:szCs w:val="32"/>
        </w:rPr>
        <w:t xml:space="preserve"> Antipolis</w:t>
      </w:r>
      <w:r w:rsidR="0026624E">
        <w:rPr>
          <w:b/>
          <w:bCs/>
          <w:sz w:val="32"/>
          <w:szCs w:val="32"/>
        </w:rPr>
        <w:t xml:space="preserve"> et Antibes</w:t>
      </w:r>
    </w:p>
    <w:p w14:paraId="66EE6BB4" w14:textId="77777777" w:rsidR="009B4260" w:rsidRPr="00D3023D" w:rsidRDefault="009B4260" w:rsidP="009B4260">
      <w:pPr>
        <w:pBdr>
          <w:top w:val="single" w:sz="4" w:space="1" w:color="auto"/>
          <w:left w:val="single" w:sz="4" w:space="4" w:color="auto"/>
          <w:bottom w:val="single" w:sz="4" w:space="1" w:color="auto"/>
          <w:right w:val="single" w:sz="4" w:space="4" w:color="auto"/>
        </w:pBdr>
        <w:suppressAutoHyphens/>
        <w:rPr>
          <w:b/>
          <w:bCs/>
          <w:sz w:val="32"/>
          <w:szCs w:val="32"/>
        </w:rPr>
      </w:pPr>
    </w:p>
    <w:p w14:paraId="63A6C137" w14:textId="77777777" w:rsidR="009B1727" w:rsidRDefault="009B1727" w:rsidP="009B4260">
      <w:pPr>
        <w:autoSpaceDE w:val="0"/>
        <w:jc w:val="center"/>
      </w:pPr>
    </w:p>
    <w:p w14:paraId="0F4F393E" w14:textId="77777777" w:rsidR="009B1727" w:rsidRDefault="009B1727">
      <w:pPr>
        <w:rPr>
          <w:rFonts w:ascii="Arial" w:hAnsi="Arial"/>
        </w:rPr>
      </w:pPr>
    </w:p>
    <w:p w14:paraId="6D53C654" w14:textId="77777777" w:rsidR="009B1727" w:rsidRDefault="009B1727">
      <w:pPr>
        <w:rPr>
          <w:rFonts w:ascii="Arial" w:hAnsi="Arial"/>
        </w:rPr>
      </w:pPr>
    </w:p>
    <w:p w14:paraId="41EC774E" w14:textId="77777777" w:rsidR="009B1727" w:rsidRDefault="009B1727">
      <w:pPr>
        <w:rPr>
          <w:rFonts w:ascii="Arial" w:hAnsi="Arial"/>
        </w:rPr>
      </w:pPr>
    </w:p>
    <w:p w14:paraId="27A9CFAB" w14:textId="248C25AF" w:rsidR="009B1727" w:rsidRPr="001526B2" w:rsidRDefault="009B1727" w:rsidP="00487B7A">
      <w:pPr>
        <w:jc w:val="center"/>
        <w:rPr>
          <w:b/>
          <w:i/>
          <w:color w:val="FF0000"/>
        </w:rPr>
      </w:pPr>
      <w:r w:rsidRPr="00487B7A">
        <w:rPr>
          <w:b/>
          <w:i/>
          <w:u w:val="single"/>
        </w:rPr>
        <w:t xml:space="preserve">Date </w:t>
      </w:r>
      <w:r w:rsidR="00D640F0" w:rsidRPr="00487B7A">
        <w:rPr>
          <w:b/>
          <w:i/>
          <w:u w:val="single"/>
        </w:rPr>
        <w:t xml:space="preserve">et heure </w:t>
      </w:r>
      <w:r w:rsidRPr="00487B7A">
        <w:rPr>
          <w:b/>
          <w:i/>
          <w:u w:val="single"/>
        </w:rPr>
        <w:t>limite</w:t>
      </w:r>
      <w:r w:rsidR="00D640F0" w:rsidRPr="00487B7A">
        <w:rPr>
          <w:b/>
          <w:i/>
          <w:u w:val="single"/>
        </w:rPr>
        <w:t>s</w:t>
      </w:r>
      <w:r w:rsidRPr="00487B7A">
        <w:rPr>
          <w:b/>
          <w:i/>
          <w:u w:val="single"/>
        </w:rPr>
        <w:t xml:space="preserve"> de réception des plis</w:t>
      </w:r>
      <w:r w:rsidR="009B4260" w:rsidRPr="00487B7A">
        <w:rPr>
          <w:b/>
          <w:i/>
          <w:u w:val="single"/>
        </w:rPr>
        <w:t> :</w:t>
      </w:r>
      <w:r w:rsidR="001526B2" w:rsidRPr="001526B2">
        <w:rPr>
          <w:b/>
          <w:i/>
          <w:color w:val="FF0000"/>
        </w:rPr>
        <w:t xml:space="preserve"> </w:t>
      </w:r>
      <w:r w:rsidR="0008160F">
        <w:rPr>
          <w:b/>
          <w:i/>
          <w:color w:val="FF0000"/>
        </w:rPr>
        <w:t>19</w:t>
      </w:r>
      <w:r w:rsidR="0030461B" w:rsidRPr="001526B2">
        <w:rPr>
          <w:b/>
          <w:i/>
          <w:color w:val="FF0000"/>
        </w:rPr>
        <w:t xml:space="preserve"> </w:t>
      </w:r>
      <w:r w:rsidR="004E08BA">
        <w:rPr>
          <w:b/>
          <w:i/>
          <w:color w:val="FF0000"/>
        </w:rPr>
        <w:t>mars</w:t>
      </w:r>
      <w:r w:rsidR="001526B2" w:rsidRPr="001526B2">
        <w:rPr>
          <w:b/>
          <w:i/>
          <w:color w:val="FF0000"/>
        </w:rPr>
        <w:t xml:space="preserve"> 202</w:t>
      </w:r>
      <w:r w:rsidR="00703BA4">
        <w:rPr>
          <w:b/>
          <w:i/>
          <w:color w:val="FF0000"/>
        </w:rPr>
        <w:t>6</w:t>
      </w:r>
      <w:r w:rsidR="001526B2" w:rsidRPr="001526B2">
        <w:rPr>
          <w:b/>
          <w:i/>
          <w:color w:val="FF0000"/>
        </w:rPr>
        <w:t xml:space="preserve"> à 17h00 maximum</w:t>
      </w:r>
    </w:p>
    <w:p w14:paraId="38908EEA" w14:textId="77777777" w:rsidR="009B1727" w:rsidRPr="00487B7A" w:rsidRDefault="009B1727" w:rsidP="00487B7A">
      <w:pPr>
        <w:jc w:val="center"/>
        <w:rPr>
          <w:b/>
          <w:i/>
          <w:u w:val="single"/>
        </w:rPr>
      </w:pPr>
    </w:p>
    <w:p w14:paraId="1CC77EE7" w14:textId="77777777" w:rsidR="009B1727" w:rsidRDefault="009B1727"/>
    <w:p w14:paraId="2C5C19DE" w14:textId="77777777" w:rsidR="009B1727" w:rsidRDefault="009B1727">
      <w:pPr>
        <w:jc w:val="center"/>
      </w:pPr>
      <w:r>
        <w:br w:type="page"/>
      </w:r>
    </w:p>
    <w:p w14:paraId="64592B18" w14:textId="77777777" w:rsidR="009B1727" w:rsidRDefault="009B1727">
      <w:pPr>
        <w:jc w:val="center"/>
      </w:pPr>
    </w:p>
    <w:p w14:paraId="4BD72291" w14:textId="77777777" w:rsidR="009B1727" w:rsidRDefault="009B1727">
      <w:pPr>
        <w:pBdr>
          <w:top w:val="single" w:sz="4" w:space="1" w:color="auto"/>
          <w:left w:val="single" w:sz="4" w:space="4" w:color="auto"/>
          <w:bottom w:val="single" w:sz="4" w:space="1" w:color="auto"/>
          <w:right w:val="single" w:sz="4" w:space="4" w:color="auto"/>
        </w:pBdr>
        <w:jc w:val="center"/>
        <w:rPr>
          <w:b/>
          <w:sz w:val="28"/>
        </w:rPr>
      </w:pPr>
      <w:r>
        <w:rPr>
          <w:b/>
          <w:sz w:val="28"/>
        </w:rPr>
        <w:t xml:space="preserve">S O M </w:t>
      </w:r>
      <w:proofErr w:type="spellStart"/>
      <w:r>
        <w:rPr>
          <w:b/>
          <w:sz w:val="28"/>
        </w:rPr>
        <w:t>M</w:t>
      </w:r>
      <w:proofErr w:type="spellEnd"/>
      <w:r>
        <w:rPr>
          <w:b/>
          <w:sz w:val="28"/>
        </w:rPr>
        <w:t xml:space="preserve"> A I R E</w:t>
      </w:r>
    </w:p>
    <w:p w14:paraId="1755EF44" w14:textId="77777777" w:rsidR="009B1727" w:rsidRDefault="009B1727"/>
    <w:p w14:paraId="56C8CE55" w14:textId="77777777" w:rsidR="00ED6BC7" w:rsidRDefault="00EB0916">
      <w:pPr>
        <w:pStyle w:val="TM1"/>
        <w:tabs>
          <w:tab w:val="left" w:pos="480"/>
          <w:tab w:val="right" w:leader="dot" w:pos="9062"/>
        </w:tabs>
        <w:rPr>
          <w:rFonts w:asciiTheme="minorHAnsi" w:eastAsiaTheme="minorEastAsia" w:hAnsiTheme="minorHAnsi"/>
          <w:noProof/>
          <w:szCs w:val="22"/>
          <w:lang w:eastAsia="fr-FR"/>
        </w:rPr>
      </w:pPr>
      <w:r>
        <w:fldChar w:fldCharType="begin"/>
      </w:r>
      <w:r>
        <w:instrText xml:space="preserve"> TOC \o "1-3" \h \z \u </w:instrText>
      </w:r>
      <w:r>
        <w:fldChar w:fldCharType="separate"/>
      </w:r>
      <w:hyperlink w:anchor="_Toc98227266" w:history="1">
        <w:r w:rsidR="00ED6BC7" w:rsidRPr="008D57CD">
          <w:rPr>
            <w:rStyle w:val="Lienhypertexte"/>
            <w:b/>
            <w:noProof/>
          </w:rPr>
          <w:t>1.</w:t>
        </w:r>
        <w:r w:rsidR="00ED6BC7">
          <w:rPr>
            <w:rFonts w:asciiTheme="minorHAnsi" w:eastAsiaTheme="minorEastAsia" w:hAnsiTheme="minorHAnsi"/>
            <w:noProof/>
            <w:szCs w:val="22"/>
            <w:lang w:eastAsia="fr-FR"/>
          </w:rPr>
          <w:tab/>
        </w:r>
        <w:r w:rsidR="00ED6BC7" w:rsidRPr="008D57CD">
          <w:rPr>
            <w:rStyle w:val="Lienhypertexte"/>
            <w:noProof/>
          </w:rPr>
          <w:t>PRÉAMBULE</w:t>
        </w:r>
        <w:r w:rsidR="00ED6BC7">
          <w:rPr>
            <w:noProof/>
            <w:webHidden/>
          </w:rPr>
          <w:tab/>
        </w:r>
        <w:r w:rsidR="00ED6BC7">
          <w:rPr>
            <w:noProof/>
            <w:webHidden/>
          </w:rPr>
          <w:fldChar w:fldCharType="begin"/>
        </w:r>
        <w:r w:rsidR="00ED6BC7">
          <w:rPr>
            <w:noProof/>
            <w:webHidden/>
          </w:rPr>
          <w:instrText xml:space="preserve"> PAGEREF _Toc98227266 \h </w:instrText>
        </w:r>
        <w:r w:rsidR="00ED6BC7">
          <w:rPr>
            <w:noProof/>
            <w:webHidden/>
          </w:rPr>
        </w:r>
        <w:r w:rsidR="00ED6BC7">
          <w:rPr>
            <w:noProof/>
            <w:webHidden/>
          </w:rPr>
          <w:fldChar w:fldCharType="separate"/>
        </w:r>
        <w:r w:rsidR="00604E9F">
          <w:rPr>
            <w:noProof/>
            <w:webHidden/>
          </w:rPr>
          <w:t>3</w:t>
        </w:r>
        <w:r w:rsidR="00ED6BC7">
          <w:rPr>
            <w:noProof/>
            <w:webHidden/>
          </w:rPr>
          <w:fldChar w:fldCharType="end"/>
        </w:r>
      </w:hyperlink>
    </w:p>
    <w:p w14:paraId="70A0696B"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67" w:history="1">
        <w:r w:rsidR="00ED6BC7" w:rsidRPr="008D57CD">
          <w:rPr>
            <w:rStyle w:val="Lienhypertexte"/>
            <w:b/>
            <w:noProof/>
          </w:rPr>
          <w:t>2.</w:t>
        </w:r>
        <w:r w:rsidR="00ED6BC7">
          <w:rPr>
            <w:rFonts w:asciiTheme="minorHAnsi" w:eastAsiaTheme="minorEastAsia" w:hAnsiTheme="minorHAnsi"/>
            <w:noProof/>
            <w:szCs w:val="22"/>
            <w:lang w:eastAsia="fr-FR"/>
          </w:rPr>
          <w:tab/>
        </w:r>
        <w:r w:rsidR="00ED6BC7" w:rsidRPr="008D57CD">
          <w:rPr>
            <w:rStyle w:val="Lienhypertexte"/>
            <w:noProof/>
          </w:rPr>
          <w:t>OBJET DE LA PROCEDURE</w:t>
        </w:r>
        <w:r w:rsidR="00ED6BC7">
          <w:rPr>
            <w:noProof/>
            <w:webHidden/>
          </w:rPr>
          <w:tab/>
        </w:r>
        <w:r w:rsidR="00ED6BC7">
          <w:rPr>
            <w:noProof/>
            <w:webHidden/>
          </w:rPr>
          <w:fldChar w:fldCharType="begin"/>
        </w:r>
        <w:r w:rsidR="00ED6BC7">
          <w:rPr>
            <w:noProof/>
            <w:webHidden/>
          </w:rPr>
          <w:instrText xml:space="preserve"> PAGEREF _Toc98227267 \h </w:instrText>
        </w:r>
        <w:r w:rsidR="00ED6BC7">
          <w:rPr>
            <w:noProof/>
            <w:webHidden/>
          </w:rPr>
        </w:r>
        <w:r w:rsidR="00ED6BC7">
          <w:rPr>
            <w:noProof/>
            <w:webHidden/>
          </w:rPr>
          <w:fldChar w:fldCharType="separate"/>
        </w:r>
        <w:r w:rsidR="00604E9F">
          <w:rPr>
            <w:noProof/>
            <w:webHidden/>
          </w:rPr>
          <w:t>3</w:t>
        </w:r>
        <w:r w:rsidR="00ED6BC7">
          <w:rPr>
            <w:noProof/>
            <w:webHidden/>
          </w:rPr>
          <w:fldChar w:fldCharType="end"/>
        </w:r>
      </w:hyperlink>
    </w:p>
    <w:p w14:paraId="54F92634"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68" w:history="1">
        <w:r w:rsidR="00ED6BC7" w:rsidRPr="008D57CD">
          <w:rPr>
            <w:rStyle w:val="Lienhypertexte"/>
            <w:b/>
            <w:noProof/>
          </w:rPr>
          <w:t>3.</w:t>
        </w:r>
        <w:r w:rsidR="00ED6BC7">
          <w:rPr>
            <w:rFonts w:asciiTheme="minorHAnsi" w:eastAsiaTheme="minorEastAsia" w:hAnsiTheme="minorHAnsi"/>
            <w:noProof/>
            <w:szCs w:val="22"/>
            <w:lang w:eastAsia="fr-FR"/>
          </w:rPr>
          <w:tab/>
        </w:r>
        <w:r w:rsidR="00ED6BC7" w:rsidRPr="008D57CD">
          <w:rPr>
            <w:rStyle w:val="Lienhypertexte"/>
            <w:noProof/>
          </w:rPr>
          <w:t>TYPE DE CONSULTATION</w:t>
        </w:r>
        <w:r w:rsidR="00ED6BC7">
          <w:rPr>
            <w:noProof/>
            <w:webHidden/>
          </w:rPr>
          <w:tab/>
        </w:r>
        <w:r w:rsidR="00ED6BC7">
          <w:rPr>
            <w:noProof/>
            <w:webHidden/>
          </w:rPr>
          <w:fldChar w:fldCharType="begin"/>
        </w:r>
        <w:r w:rsidR="00ED6BC7">
          <w:rPr>
            <w:noProof/>
            <w:webHidden/>
          </w:rPr>
          <w:instrText xml:space="preserve"> PAGEREF _Toc98227268 \h </w:instrText>
        </w:r>
        <w:r w:rsidR="00ED6BC7">
          <w:rPr>
            <w:noProof/>
            <w:webHidden/>
          </w:rPr>
        </w:r>
        <w:r w:rsidR="00ED6BC7">
          <w:rPr>
            <w:noProof/>
            <w:webHidden/>
          </w:rPr>
          <w:fldChar w:fldCharType="separate"/>
        </w:r>
        <w:r w:rsidR="00604E9F">
          <w:rPr>
            <w:noProof/>
            <w:webHidden/>
          </w:rPr>
          <w:t>3</w:t>
        </w:r>
        <w:r w:rsidR="00ED6BC7">
          <w:rPr>
            <w:noProof/>
            <w:webHidden/>
          </w:rPr>
          <w:fldChar w:fldCharType="end"/>
        </w:r>
      </w:hyperlink>
    </w:p>
    <w:p w14:paraId="753B8E4D"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69" w:history="1">
        <w:r w:rsidR="00ED6BC7" w:rsidRPr="008D57CD">
          <w:rPr>
            <w:rStyle w:val="Lienhypertexte"/>
            <w:b/>
            <w:noProof/>
          </w:rPr>
          <w:t>4.</w:t>
        </w:r>
        <w:r w:rsidR="00ED6BC7">
          <w:rPr>
            <w:rFonts w:asciiTheme="minorHAnsi" w:eastAsiaTheme="minorEastAsia" w:hAnsiTheme="minorHAnsi"/>
            <w:noProof/>
            <w:szCs w:val="22"/>
            <w:lang w:eastAsia="fr-FR"/>
          </w:rPr>
          <w:tab/>
        </w:r>
        <w:r w:rsidR="00ED6BC7" w:rsidRPr="008D57CD">
          <w:rPr>
            <w:rStyle w:val="Lienhypertexte"/>
            <w:noProof/>
          </w:rPr>
          <w:t>DÉCOMPOSITION EN LOTS</w:t>
        </w:r>
        <w:r w:rsidR="00ED6BC7">
          <w:rPr>
            <w:noProof/>
            <w:webHidden/>
          </w:rPr>
          <w:tab/>
        </w:r>
        <w:r w:rsidR="00ED6BC7">
          <w:rPr>
            <w:noProof/>
            <w:webHidden/>
          </w:rPr>
          <w:fldChar w:fldCharType="begin"/>
        </w:r>
        <w:r w:rsidR="00ED6BC7">
          <w:rPr>
            <w:noProof/>
            <w:webHidden/>
          </w:rPr>
          <w:instrText xml:space="preserve"> PAGEREF _Toc98227269 \h </w:instrText>
        </w:r>
        <w:r w:rsidR="00ED6BC7">
          <w:rPr>
            <w:noProof/>
            <w:webHidden/>
          </w:rPr>
        </w:r>
        <w:r w:rsidR="00ED6BC7">
          <w:rPr>
            <w:noProof/>
            <w:webHidden/>
          </w:rPr>
          <w:fldChar w:fldCharType="separate"/>
        </w:r>
        <w:r w:rsidR="00604E9F">
          <w:rPr>
            <w:noProof/>
            <w:webHidden/>
          </w:rPr>
          <w:t>3</w:t>
        </w:r>
        <w:r w:rsidR="00ED6BC7">
          <w:rPr>
            <w:noProof/>
            <w:webHidden/>
          </w:rPr>
          <w:fldChar w:fldCharType="end"/>
        </w:r>
      </w:hyperlink>
    </w:p>
    <w:p w14:paraId="08CF1204"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70" w:history="1">
        <w:r w:rsidR="00ED6BC7" w:rsidRPr="008D57CD">
          <w:rPr>
            <w:rStyle w:val="Lienhypertexte"/>
            <w:b/>
            <w:noProof/>
          </w:rPr>
          <w:t>5.</w:t>
        </w:r>
        <w:r w:rsidR="00ED6BC7">
          <w:rPr>
            <w:rFonts w:asciiTheme="minorHAnsi" w:eastAsiaTheme="minorEastAsia" w:hAnsiTheme="minorHAnsi"/>
            <w:noProof/>
            <w:szCs w:val="22"/>
            <w:lang w:eastAsia="fr-FR"/>
          </w:rPr>
          <w:tab/>
        </w:r>
        <w:r w:rsidR="00ED6BC7" w:rsidRPr="008D57CD">
          <w:rPr>
            <w:rStyle w:val="Lienhypertexte"/>
            <w:noProof/>
          </w:rPr>
          <w:t>DURÉE DU MARCHÉ</w:t>
        </w:r>
        <w:r w:rsidR="00ED6BC7">
          <w:rPr>
            <w:noProof/>
            <w:webHidden/>
          </w:rPr>
          <w:tab/>
        </w:r>
        <w:r w:rsidR="00ED6BC7">
          <w:rPr>
            <w:noProof/>
            <w:webHidden/>
          </w:rPr>
          <w:fldChar w:fldCharType="begin"/>
        </w:r>
        <w:r w:rsidR="00ED6BC7">
          <w:rPr>
            <w:noProof/>
            <w:webHidden/>
          </w:rPr>
          <w:instrText xml:space="preserve"> PAGEREF _Toc98227270 \h </w:instrText>
        </w:r>
        <w:r w:rsidR="00ED6BC7">
          <w:rPr>
            <w:noProof/>
            <w:webHidden/>
          </w:rPr>
        </w:r>
        <w:r w:rsidR="00ED6BC7">
          <w:rPr>
            <w:noProof/>
            <w:webHidden/>
          </w:rPr>
          <w:fldChar w:fldCharType="separate"/>
        </w:r>
        <w:r w:rsidR="00604E9F">
          <w:rPr>
            <w:noProof/>
            <w:webHidden/>
          </w:rPr>
          <w:t>4</w:t>
        </w:r>
        <w:r w:rsidR="00ED6BC7">
          <w:rPr>
            <w:noProof/>
            <w:webHidden/>
          </w:rPr>
          <w:fldChar w:fldCharType="end"/>
        </w:r>
      </w:hyperlink>
    </w:p>
    <w:p w14:paraId="0AF2E89E"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71" w:history="1">
        <w:r w:rsidR="00ED6BC7" w:rsidRPr="008D57CD">
          <w:rPr>
            <w:rStyle w:val="Lienhypertexte"/>
            <w:b/>
            <w:noProof/>
          </w:rPr>
          <w:t>6.</w:t>
        </w:r>
        <w:r w:rsidR="00ED6BC7">
          <w:rPr>
            <w:rFonts w:asciiTheme="minorHAnsi" w:eastAsiaTheme="minorEastAsia" w:hAnsiTheme="minorHAnsi"/>
            <w:noProof/>
            <w:szCs w:val="22"/>
            <w:lang w:eastAsia="fr-FR"/>
          </w:rPr>
          <w:tab/>
        </w:r>
        <w:r w:rsidR="00ED6BC7" w:rsidRPr="008D57CD">
          <w:rPr>
            <w:rStyle w:val="Lienhypertexte"/>
            <w:noProof/>
          </w:rPr>
          <w:t>DÉLAI DE VALIDITÉ DES OFFRES</w:t>
        </w:r>
        <w:r w:rsidR="00ED6BC7">
          <w:rPr>
            <w:noProof/>
            <w:webHidden/>
          </w:rPr>
          <w:tab/>
        </w:r>
        <w:r w:rsidR="00ED6BC7">
          <w:rPr>
            <w:noProof/>
            <w:webHidden/>
          </w:rPr>
          <w:fldChar w:fldCharType="begin"/>
        </w:r>
        <w:r w:rsidR="00ED6BC7">
          <w:rPr>
            <w:noProof/>
            <w:webHidden/>
          </w:rPr>
          <w:instrText xml:space="preserve"> PAGEREF _Toc98227271 \h </w:instrText>
        </w:r>
        <w:r w:rsidR="00ED6BC7">
          <w:rPr>
            <w:noProof/>
            <w:webHidden/>
          </w:rPr>
        </w:r>
        <w:r w:rsidR="00ED6BC7">
          <w:rPr>
            <w:noProof/>
            <w:webHidden/>
          </w:rPr>
          <w:fldChar w:fldCharType="separate"/>
        </w:r>
        <w:r w:rsidR="00604E9F">
          <w:rPr>
            <w:noProof/>
            <w:webHidden/>
          </w:rPr>
          <w:t>4</w:t>
        </w:r>
        <w:r w:rsidR="00ED6BC7">
          <w:rPr>
            <w:noProof/>
            <w:webHidden/>
          </w:rPr>
          <w:fldChar w:fldCharType="end"/>
        </w:r>
      </w:hyperlink>
    </w:p>
    <w:p w14:paraId="23D29B9D"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72" w:history="1">
        <w:r w:rsidR="00ED6BC7" w:rsidRPr="008D57CD">
          <w:rPr>
            <w:rStyle w:val="Lienhypertexte"/>
            <w:b/>
            <w:noProof/>
          </w:rPr>
          <w:t>7.</w:t>
        </w:r>
        <w:r w:rsidR="00ED6BC7">
          <w:rPr>
            <w:rFonts w:asciiTheme="minorHAnsi" w:eastAsiaTheme="minorEastAsia" w:hAnsiTheme="minorHAnsi"/>
            <w:noProof/>
            <w:szCs w:val="22"/>
            <w:lang w:eastAsia="fr-FR"/>
          </w:rPr>
          <w:tab/>
        </w:r>
        <w:r w:rsidR="00ED6BC7" w:rsidRPr="008D57CD">
          <w:rPr>
            <w:rStyle w:val="Lienhypertexte"/>
            <w:noProof/>
          </w:rPr>
          <w:t>PRÉSENTATION DES PROPOSITIONS</w:t>
        </w:r>
        <w:r w:rsidR="00ED6BC7">
          <w:rPr>
            <w:noProof/>
            <w:webHidden/>
          </w:rPr>
          <w:tab/>
        </w:r>
        <w:r w:rsidR="00ED6BC7">
          <w:rPr>
            <w:noProof/>
            <w:webHidden/>
          </w:rPr>
          <w:fldChar w:fldCharType="begin"/>
        </w:r>
        <w:r w:rsidR="00ED6BC7">
          <w:rPr>
            <w:noProof/>
            <w:webHidden/>
          </w:rPr>
          <w:instrText xml:space="preserve"> PAGEREF _Toc98227272 \h </w:instrText>
        </w:r>
        <w:r w:rsidR="00ED6BC7">
          <w:rPr>
            <w:noProof/>
            <w:webHidden/>
          </w:rPr>
        </w:r>
        <w:r w:rsidR="00ED6BC7">
          <w:rPr>
            <w:noProof/>
            <w:webHidden/>
          </w:rPr>
          <w:fldChar w:fldCharType="separate"/>
        </w:r>
        <w:r w:rsidR="00604E9F">
          <w:rPr>
            <w:noProof/>
            <w:webHidden/>
          </w:rPr>
          <w:t>4</w:t>
        </w:r>
        <w:r w:rsidR="00ED6BC7">
          <w:rPr>
            <w:noProof/>
            <w:webHidden/>
          </w:rPr>
          <w:fldChar w:fldCharType="end"/>
        </w:r>
      </w:hyperlink>
    </w:p>
    <w:p w14:paraId="61A8A1F0" w14:textId="77777777" w:rsidR="00ED6BC7" w:rsidRDefault="0008160F">
      <w:pPr>
        <w:pStyle w:val="TM2"/>
        <w:tabs>
          <w:tab w:val="left" w:pos="880"/>
          <w:tab w:val="right" w:leader="dot" w:pos="9062"/>
        </w:tabs>
        <w:rPr>
          <w:rFonts w:asciiTheme="minorHAnsi" w:eastAsiaTheme="minorEastAsia" w:hAnsiTheme="minorHAnsi"/>
          <w:noProof/>
          <w:szCs w:val="22"/>
          <w:lang w:eastAsia="fr-FR"/>
        </w:rPr>
      </w:pPr>
      <w:hyperlink w:anchor="_Toc98227273" w:history="1">
        <w:r w:rsidR="00ED6BC7" w:rsidRPr="008D57CD">
          <w:rPr>
            <w:rStyle w:val="Lienhypertexte"/>
            <w:rFonts w:cs="Arial"/>
            <w:b/>
            <w:i/>
            <w:iCs/>
            <w:noProof/>
          </w:rPr>
          <w:t>7.1.</w:t>
        </w:r>
        <w:r w:rsidR="00ED6BC7">
          <w:rPr>
            <w:rFonts w:asciiTheme="minorHAnsi" w:eastAsiaTheme="minorEastAsia" w:hAnsiTheme="minorHAnsi"/>
            <w:noProof/>
            <w:szCs w:val="22"/>
            <w:lang w:eastAsia="fr-FR"/>
          </w:rPr>
          <w:tab/>
        </w:r>
        <w:r w:rsidR="00ED6BC7" w:rsidRPr="008D57CD">
          <w:rPr>
            <w:rStyle w:val="Lienhypertexte"/>
            <w:rFonts w:cs="Arial"/>
            <w:iCs/>
            <w:noProof/>
          </w:rPr>
          <w:t>Modalités de présentation des candidatures et des offres</w:t>
        </w:r>
        <w:r w:rsidR="00ED6BC7">
          <w:rPr>
            <w:noProof/>
            <w:webHidden/>
          </w:rPr>
          <w:tab/>
        </w:r>
        <w:r w:rsidR="00ED6BC7">
          <w:rPr>
            <w:noProof/>
            <w:webHidden/>
          </w:rPr>
          <w:fldChar w:fldCharType="begin"/>
        </w:r>
        <w:r w:rsidR="00ED6BC7">
          <w:rPr>
            <w:noProof/>
            <w:webHidden/>
          </w:rPr>
          <w:instrText xml:space="preserve"> PAGEREF _Toc98227273 \h </w:instrText>
        </w:r>
        <w:r w:rsidR="00ED6BC7">
          <w:rPr>
            <w:noProof/>
            <w:webHidden/>
          </w:rPr>
        </w:r>
        <w:r w:rsidR="00ED6BC7">
          <w:rPr>
            <w:noProof/>
            <w:webHidden/>
          </w:rPr>
          <w:fldChar w:fldCharType="separate"/>
        </w:r>
        <w:r w:rsidR="00604E9F">
          <w:rPr>
            <w:noProof/>
            <w:webHidden/>
          </w:rPr>
          <w:t>4</w:t>
        </w:r>
        <w:r w:rsidR="00ED6BC7">
          <w:rPr>
            <w:noProof/>
            <w:webHidden/>
          </w:rPr>
          <w:fldChar w:fldCharType="end"/>
        </w:r>
      </w:hyperlink>
    </w:p>
    <w:p w14:paraId="1D594E1B" w14:textId="77777777" w:rsidR="00ED6BC7" w:rsidRDefault="0008160F">
      <w:pPr>
        <w:pStyle w:val="TM3"/>
        <w:tabs>
          <w:tab w:val="left" w:pos="1320"/>
          <w:tab w:val="right" w:leader="dot" w:pos="9062"/>
        </w:tabs>
        <w:rPr>
          <w:rFonts w:asciiTheme="minorHAnsi" w:eastAsiaTheme="minorEastAsia" w:hAnsiTheme="minorHAnsi"/>
          <w:noProof/>
          <w:szCs w:val="22"/>
          <w:lang w:eastAsia="fr-FR"/>
        </w:rPr>
      </w:pPr>
      <w:hyperlink w:anchor="_Toc98227274" w:history="1">
        <w:r w:rsidR="00ED6BC7" w:rsidRPr="008D57CD">
          <w:rPr>
            <w:rStyle w:val="Lienhypertexte"/>
            <w:rFonts w:cs="Arial"/>
            <w:b/>
            <w:i/>
            <w:noProof/>
          </w:rPr>
          <w:t>7.1.1.</w:t>
        </w:r>
        <w:r w:rsidR="00ED6BC7">
          <w:rPr>
            <w:rFonts w:asciiTheme="minorHAnsi" w:eastAsiaTheme="minorEastAsia" w:hAnsiTheme="minorHAnsi"/>
            <w:noProof/>
            <w:szCs w:val="22"/>
            <w:lang w:eastAsia="fr-FR"/>
          </w:rPr>
          <w:tab/>
        </w:r>
        <w:r w:rsidR="00ED6BC7" w:rsidRPr="008D57CD">
          <w:rPr>
            <w:rStyle w:val="Lienhypertexte"/>
            <w:rFonts w:cs="Arial"/>
            <w:i/>
            <w:noProof/>
          </w:rPr>
          <w:t>Pour la partie « candidature »</w:t>
        </w:r>
        <w:r w:rsidR="00ED6BC7">
          <w:rPr>
            <w:noProof/>
            <w:webHidden/>
          </w:rPr>
          <w:tab/>
        </w:r>
        <w:r w:rsidR="00ED6BC7">
          <w:rPr>
            <w:noProof/>
            <w:webHidden/>
          </w:rPr>
          <w:fldChar w:fldCharType="begin"/>
        </w:r>
        <w:r w:rsidR="00ED6BC7">
          <w:rPr>
            <w:noProof/>
            <w:webHidden/>
          </w:rPr>
          <w:instrText xml:space="preserve"> PAGEREF _Toc98227274 \h </w:instrText>
        </w:r>
        <w:r w:rsidR="00ED6BC7">
          <w:rPr>
            <w:noProof/>
            <w:webHidden/>
          </w:rPr>
        </w:r>
        <w:r w:rsidR="00ED6BC7">
          <w:rPr>
            <w:noProof/>
            <w:webHidden/>
          </w:rPr>
          <w:fldChar w:fldCharType="separate"/>
        </w:r>
        <w:r w:rsidR="00604E9F">
          <w:rPr>
            <w:noProof/>
            <w:webHidden/>
          </w:rPr>
          <w:t>4</w:t>
        </w:r>
        <w:r w:rsidR="00ED6BC7">
          <w:rPr>
            <w:noProof/>
            <w:webHidden/>
          </w:rPr>
          <w:fldChar w:fldCharType="end"/>
        </w:r>
      </w:hyperlink>
    </w:p>
    <w:p w14:paraId="06161417" w14:textId="77777777" w:rsidR="00ED6BC7" w:rsidRDefault="0008160F">
      <w:pPr>
        <w:pStyle w:val="TM3"/>
        <w:tabs>
          <w:tab w:val="left" w:pos="1320"/>
          <w:tab w:val="right" w:leader="dot" w:pos="9062"/>
        </w:tabs>
        <w:rPr>
          <w:rFonts w:asciiTheme="minorHAnsi" w:eastAsiaTheme="minorEastAsia" w:hAnsiTheme="minorHAnsi"/>
          <w:noProof/>
          <w:szCs w:val="22"/>
          <w:lang w:eastAsia="fr-FR"/>
        </w:rPr>
      </w:pPr>
      <w:hyperlink w:anchor="_Toc98227275" w:history="1">
        <w:r w:rsidR="00ED6BC7" w:rsidRPr="008D57CD">
          <w:rPr>
            <w:rStyle w:val="Lienhypertexte"/>
            <w:rFonts w:cs="Arial"/>
            <w:b/>
            <w:i/>
            <w:iCs/>
            <w:noProof/>
          </w:rPr>
          <w:t>7.1.2.</w:t>
        </w:r>
        <w:r w:rsidR="00ED6BC7">
          <w:rPr>
            <w:rFonts w:asciiTheme="minorHAnsi" w:eastAsiaTheme="minorEastAsia" w:hAnsiTheme="minorHAnsi"/>
            <w:noProof/>
            <w:szCs w:val="22"/>
            <w:lang w:eastAsia="fr-FR"/>
          </w:rPr>
          <w:tab/>
        </w:r>
        <w:r w:rsidR="00ED6BC7" w:rsidRPr="008D57CD">
          <w:rPr>
            <w:rStyle w:val="Lienhypertexte"/>
            <w:rFonts w:cs="Arial"/>
            <w:i/>
            <w:iCs/>
            <w:noProof/>
          </w:rPr>
          <w:t>– Pour la partie « Offre »</w:t>
        </w:r>
        <w:r w:rsidR="00ED6BC7">
          <w:rPr>
            <w:noProof/>
            <w:webHidden/>
          </w:rPr>
          <w:tab/>
        </w:r>
        <w:r w:rsidR="00ED6BC7">
          <w:rPr>
            <w:noProof/>
            <w:webHidden/>
          </w:rPr>
          <w:fldChar w:fldCharType="begin"/>
        </w:r>
        <w:r w:rsidR="00ED6BC7">
          <w:rPr>
            <w:noProof/>
            <w:webHidden/>
          </w:rPr>
          <w:instrText xml:space="preserve"> PAGEREF _Toc98227275 \h </w:instrText>
        </w:r>
        <w:r w:rsidR="00ED6BC7">
          <w:rPr>
            <w:noProof/>
            <w:webHidden/>
          </w:rPr>
        </w:r>
        <w:r w:rsidR="00ED6BC7">
          <w:rPr>
            <w:noProof/>
            <w:webHidden/>
          </w:rPr>
          <w:fldChar w:fldCharType="separate"/>
        </w:r>
        <w:r w:rsidR="00604E9F">
          <w:rPr>
            <w:noProof/>
            <w:webHidden/>
          </w:rPr>
          <w:t>5</w:t>
        </w:r>
        <w:r w:rsidR="00ED6BC7">
          <w:rPr>
            <w:noProof/>
            <w:webHidden/>
          </w:rPr>
          <w:fldChar w:fldCharType="end"/>
        </w:r>
      </w:hyperlink>
    </w:p>
    <w:p w14:paraId="180D6543" w14:textId="77777777" w:rsidR="00ED6BC7" w:rsidRDefault="0008160F">
      <w:pPr>
        <w:pStyle w:val="TM2"/>
        <w:tabs>
          <w:tab w:val="left" w:pos="880"/>
          <w:tab w:val="right" w:leader="dot" w:pos="9062"/>
        </w:tabs>
        <w:rPr>
          <w:rFonts w:asciiTheme="minorHAnsi" w:eastAsiaTheme="minorEastAsia" w:hAnsiTheme="minorHAnsi"/>
          <w:noProof/>
          <w:szCs w:val="22"/>
          <w:lang w:eastAsia="fr-FR"/>
        </w:rPr>
      </w:pPr>
      <w:hyperlink w:anchor="_Toc98227276" w:history="1">
        <w:r w:rsidR="00ED6BC7" w:rsidRPr="008D57CD">
          <w:rPr>
            <w:rStyle w:val="Lienhypertexte"/>
            <w:rFonts w:cs="Arial"/>
            <w:b/>
            <w:i/>
            <w:iCs/>
            <w:noProof/>
          </w:rPr>
          <w:t>7.2.</w:t>
        </w:r>
        <w:r w:rsidR="00ED6BC7">
          <w:rPr>
            <w:rFonts w:asciiTheme="minorHAnsi" w:eastAsiaTheme="minorEastAsia" w:hAnsiTheme="minorHAnsi"/>
            <w:noProof/>
            <w:szCs w:val="22"/>
            <w:lang w:eastAsia="fr-FR"/>
          </w:rPr>
          <w:tab/>
        </w:r>
        <w:r w:rsidR="00ED6BC7" w:rsidRPr="008D57CD">
          <w:rPr>
            <w:rStyle w:val="Lienhypertexte"/>
            <w:rFonts w:cs="Arial"/>
            <w:iCs/>
            <w:noProof/>
          </w:rPr>
          <w:t>Transmission et réception des offres</w:t>
        </w:r>
        <w:r w:rsidR="00ED6BC7">
          <w:rPr>
            <w:noProof/>
            <w:webHidden/>
          </w:rPr>
          <w:tab/>
        </w:r>
        <w:r w:rsidR="00ED6BC7">
          <w:rPr>
            <w:noProof/>
            <w:webHidden/>
          </w:rPr>
          <w:fldChar w:fldCharType="begin"/>
        </w:r>
        <w:r w:rsidR="00ED6BC7">
          <w:rPr>
            <w:noProof/>
            <w:webHidden/>
          </w:rPr>
          <w:instrText xml:space="preserve"> PAGEREF _Toc98227276 \h </w:instrText>
        </w:r>
        <w:r w:rsidR="00ED6BC7">
          <w:rPr>
            <w:noProof/>
            <w:webHidden/>
          </w:rPr>
        </w:r>
        <w:r w:rsidR="00ED6BC7">
          <w:rPr>
            <w:noProof/>
            <w:webHidden/>
          </w:rPr>
          <w:fldChar w:fldCharType="separate"/>
        </w:r>
        <w:r w:rsidR="00604E9F">
          <w:rPr>
            <w:noProof/>
            <w:webHidden/>
          </w:rPr>
          <w:t>5</w:t>
        </w:r>
        <w:r w:rsidR="00ED6BC7">
          <w:rPr>
            <w:noProof/>
            <w:webHidden/>
          </w:rPr>
          <w:fldChar w:fldCharType="end"/>
        </w:r>
      </w:hyperlink>
    </w:p>
    <w:p w14:paraId="54F289F0" w14:textId="77777777" w:rsidR="00ED6BC7" w:rsidRDefault="0008160F">
      <w:pPr>
        <w:pStyle w:val="TM3"/>
        <w:tabs>
          <w:tab w:val="left" w:pos="1320"/>
          <w:tab w:val="right" w:leader="dot" w:pos="9062"/>
        </w:tabs>
        <w:rPr>
          <w:rFonts w:asciiTheme="minorHAnsi" w:eastAsiaTheme="minorEastAsia" w:hAnsiTheme="minorHAnsi"/>
          <w:noProof/>
          <w:szCs w:val="22"/>
          <w:lang w:eastAsia="fr-FR"/>
        </w:rPr>
      </w:pPr>
      <w:hyperlink w:anchor="_Toc98227277" w:history="1">
        <w:r w:rsidR="00ED6BC7" w:rsidRPr="008D57CD">
          <w:rPr>
            <w:rStyle w:val="Lienhypertexte"/>
            <w:b/>
            <w:i/>
            <w:noProof/>
          </w:rPr>
          <w:t>7.2.1.</w:t>
        </w:r>
        <w:r w:rsidR="00ED6BC7">
          <w:rPr>
            <w:rFonts w:asciiTheme="minorHAnsi" w:eastAsiaTheme="minorEastAsia" w:hAnsiTheme="minorHAnsi"/>
            <w:noProof/>
            <w:szCs w:val="22"/>
            <w:lang w:eastAsia="fr-FR"/>
          </w:rPr>
          <w:tab/>
        </w:r>
        <w:r w:rsidR="00ED6BC7" w:rsidRPr="008D57CD">
          <w:rPr>
            <w:rStyle w:val="Lienhypertexte"/>
            <w:bCs/>
            <w:i/>
            <w:iCs/>
            <w:noProof/>
          </w:rPr>
          <w:t>Transmission</w:t>
        </w:r>
        <w:r w:rsidR="00ED6BC7" w:rsidRPr="008D57CD">
          <w:rPr>
            <w:rStyle w:val="Lienhypertexte"/>
            <w:i/>
            <w:noProof/>
          </w:rPr>
          <w:t xml:space="preserve"> électronique dématérialisée obligatoire</w:t>
        </w:r>
        <w:r w:rsidR="00ED6BC7">
          <w:rPr>
            <w:noProof/>
            <w:webHidden/>
          </w:rPr>
          <w:tab/>
        </w:r>
        <w:r w:rsidR="00ED6BC7">
          <w:rPr>
            <w:noProof/>
            <w:webHidden/>
          </w:rPr>
          <w:fldChar w:fldCharType="begin"/>
        </w:r>
        <w:r w:rsidR="00ED6BC7">
          <w:rPr>
            <w:noProof/>
            <w:webHidden/>
          </w:rPr>
          <w:instrText xml:space="preserve"> PAGEREF _Toc98227277 \h </w:instrText>
        </w:r>
        <w:r w:rsidR="00ED6BC7">
          <w:rPr>
            <w:noProof/>
            <w:webHidden/>
          </w:rPr>
        </w:r>
        <w:r w:rsidR="00ED6BC7">
          <w:rPr>
            <w:noProof/>
            <w:webHidden/>
          </w:rPr>
          <w:fldChar w:fldCharType="separate"/>
        </w:r>
        <w:r w:rsidR="00604E9F">
          <w:rPr>
            <w:noProof/>
            <w:webHidden/>
          </w:rPr>
          <w:t>5</w:t>
        </w:r>
        <w:r w:rsidR="00ED6BC7">
          <w:rPr>
            <w:noProof/>
            <w:webHidden/>
          </w:rPr>
          <w:fldChar w:fldCharType="end"/>
        </w:r>
      </w:hyperlink>
    </w:p>
    <w:p w14:paraId="77A2AAC7" w14:textId="77777777" w:rsidR="00ED6BC7" w:rsidRDefault="0008160F">
      <w:pPr>
        <w:pStyle w:val="TM3"/>
        <w:tabs>
          <w:tab w:val="left" w:pos="1320"/>
          <w:tab w:val="right" w:leader="dot" w:pos="9062"/>
        </w:tabs>
        <w:rPr>
          <w:rFonts w:asciiTheme="minorHAnsi" w:eastAsiaTheme="minorEastAsia" w:hAnsiTheme="minorHAnsi"/>
          <w:noProof/>
          <w:szCs w:val="22"/>
          <w:lang w:eastAsia="fr-FR"/>
        </w:rPr>
      </w:pPr>
      <w:hyperlink w:anchor="_Toc98227278" w:history="1">
        <w:r w:rsidR="00ED6BC7" w:rsidRPr="008D57CD">
          <w:rPr>
            <w:rStyle w:val="Lienhypertexte"/>
            <w:b/>
            <w:i/>
            <w:noProof/>
          </w:rPr>
          <w:t>7.2.2.</w:t>
        </w:r>
        <w:r w:rsidR="00ED6BC7">
          <w:rPr>
            <w:rFonts w:asciiTheme="minorHAnsi" w:eastAsiaTheme="minorEastAsia" w:hAnsiTheme="minorHAnsi"/>
            <w:noProof/>
            <w:szCs w:val="22"/>
            <w:lang w:eastAsia="fr-FR"/>
          </w:rPr>
          <w:tab/>
        </w:r>
        <w:r w:rsidR="00ED6BC7" w:rsidRPr="008D57CD">
          <w:rPr>
            <w:rStyle w:val="Lienhypertexte"/>
            <w:i/>
            <w:noProof/>
          </w:rPr>
          <w:t>Copie de sauvegarde - non obligatoire mais recommandée</w:t>
        </w:r>
        <w:r w:rsidR="00ED6BC7">
          <w:rPr>
            <w:noProof/>
            <w:webHidden/>
          </w:rPr>
          <w:tab/>
        </w:r>
        <w:r w:rsidR="00ED6BC7">
          <w:rPr>
            <w:noProof/>
            <w:webHidden/>
          </w:rPr>
          <w:fldChar w:fldCharType="begin"/>
        </w:r>
        <w:r w:rsidR="00ED6BC7">
          <w:rPr>
            <w:noProof/>
            <w:webHidden/>
          </w:rPr>
          <w:instrText xml:space="preserve"> PAGEREF _Toc98227278 \h </w:instrText>
        </w:r>
        <w:r w:rsidR="00ED6BC7">
          <w:rPr>
            <w:noProof/>
            <w:webHidden/>
          </w:rPr>
        </w:r>
        <w:r w:rsidR="00ED6BC7">
          <w:rPr>
            <w:noProof/>
            <w:webHidden/>
          </w:rPr>
          <w:fldChar w:fldCharType="separate"/>
        </w:r>
        <w:r w:rsidR="00604E9F">
          <w:rPr>
            <w:noProof/>
            <w:webHidden/>
          </w:rPr>
          <w:t>6</w:t>
        </w:r>
        <w:r w:rsidR="00ED6BC7">
          <w:rPr>
            <w:noProof/>
            <w:webHidden/>
          </w:rPr>
          <w:fldChar w:fldCharType="end"/>
        </w:r>
      </w:hyperlink>
    </w:p>
    <w:p w14:paraId="367E9864"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79" w:history="1">
        <w:r w:rsidR="00ED6BC7" w:rsidRPr="008D57CD">
          <w:rPr>
            <w:rStyle w:val="Lienhypertexte"/>
            <w:b/>
            <w:noProof/>
          </w:rPr>
          <w:t>8.</w:t>
        </w:r>
        <w:r w:rsidR="00ED6BC7">
          <w:rPr>
            <w:rFonts w:asciiTheme="minorHAnsi" w:eastAsiaTheme="minorEastAsia" w:hAnsiTheme="minorHAnsi"/>
            <w:noProof/>
            <w:szCs w:val="22"/>
            <w:lang w:eastAsia="fr-FR"/>
          </w:rPr>
          <w:tab/>
        </w:r>
        <w:r w:rsidR="00ED6BC7" w:rsidRPr="008D57CD">
          <w:rPr>
            <w:rStyle w:val="Lienhypertexte"/>
            <w:noProof/>
          </w:rPr>
          <w:t>APPRÉCIATION DES CAPACITÉS ET JUGEMENT DES OFFRES</w:t>
        </w:r>
        <w:r w:rsidR="00ED6BC7">
          <w:rPr>
            <w:noProof/>
            <w:webHidden/>
          </w:rPr>
          <w:tab/>
        </w:r>
        <w:r w:rsidR="00ED6BC7">
          <w:rPr>
            <w:noProof/>
            <w:webHidden/>
          </w:rPr>
          <w:fldChar w:fldCharType="begin"/>
        </w:r>
        <w:r w:rsidR="00ED6BC7">
          <w:rPr>
            <w:noProof/>
            <w:webHidden/>
          </w:rPr>
          <w:instrText xml:space="preserve"> PAGEREF _Toc98227279 \h </w:instrText>
        </w:r>
        <w:r w:rsidR="00ED6BC7">
          <w:rPr>
            <w:noProof/>
            <w:webHidden/>
          </w:rPr>
        </w:r>
        <w:r w:rsidR="00ED6BC7">
          <w:rPr>
            <w:noProof/>
            <w:webHidden/>
          </w:rPr>
          <w:fldChar w:fldCharType="separate"/>
        </w:r>
        <w:r w:rsidR="00604E9F">
          <w:rPr>
            <w:noProof/>
            <w:webHidden/>
          </w:rPr>
          <w:t>7</w:t>
        </w:r>
        <w:r w:rsidR="00ED6BC7">
          <w:rPr>
            <w:noProof/>
            <w:webHidden/>
          </w:rPr>
          <w:fldChar w:fldCharType="end"/>
        </w:r>
      </w:hyperlink>
    </w:p>
    <w:p w14:paraId="31A91729" w14:textId="77777777" w:rsidR="00ED6BC7" w:rsidRDefault="0008160F">
      <w:pPr>
        <w:pStyle w:val="TM2"/>
        <w:tabs>
          <w:tab w:val="left" w:pos="880"/>
          <w:tab w:val="right" w:leader="dot" w:pos="9062"/>
        </w:tabs>
        <w:rPr>
          <w:rFonts w:asciiTheme="minorHAnsi" w:eastAsiaTheme="minorEastAsia" w:hAnsiTheme="minorHAnsi"/>
          <w:noProof/>
          <w:szCs w:val="22"/>
          <w:lang w:eastAsia="fr-FR"/>
        </w:rPr>
      </w:pPr>
      <w:hyperlink w:anchor="_Toc98227280" w:history="1">
        <w:r w:rsidR="00ED6BC7" w:rsidRPr="008D57CD">
          <w:rPr>
            <w:rStyle w:val="Lienhypertexte"/>
            <w:b/>
            <w:noProof/>
          </w:rPr>
          <w:t>8.1.</w:t>
        </w:r>
        <w:r w:rsidR="00ED6BC7">
          <w:rPr>
            <w:rFonts w:asciiTheme="minorHAnsi" w:eastAsiaTheme="minorEastAsia" w:hAnsiTheme="minorHAnsi"/>
            <w:noProof/>
            <w:szCs w:val="22"/>
            <w:lang w:eastAsia="fr-FR"/>
          </w:rPr>
          <w:tab/>
        </w:r>
        <w:r w:rsidR="00ED6BC7" w:rsidRPr="008D57CD">
          <w:rPr>
            <w:rStyle w:val="Lienhypertexte"/>
            <w:noProof/>
          </w:rPr>
          <w:t>Appréciation des capacités</w:t>
        </w:r>
        <w:r w:rsidR="00ED6BC7">
          <w:rPr>
            <w:noProof/>
            <w:webHidden/>
          </w:rPr>
          <w:tab/>
        </w:r>
        <w:r w:rsidR="00ED6BC7">
          <w:rPr>
            <w:noProof/>
            <w:webHidden/>
          </w:rPr>
          <w:fldChar w:fldCharType="begin"/>
        </w:r>
        <w:r w:rsidR="00ED6BC7">
          <w:rPr>
            <w:noProof/>
            <w:webHidden/>
          </w:rPr>
          <w:instrText xml:space="preserve"> PAGEREF _Toc98227280 \h </w:instrText>
        </w:r>
        <w:r w:rsidR="00ED6BC7">
          <w:rPr>
            <w:noProof/>
            <w:webHidden/>
          </w:rPr>
        </w:r>
        <w:r w:rsidR="00ED6BC7">
          <w:rPr>
            <w:noProof/>
            <w:webHidden/>
          </w:rPr>
          <w:fldChar w:fldCharType="separate"/>
        </w:r>
        <w:r w:rsidR="00604E9F">
          <w:rPr>
            <w:noProof/>
            <w:webHidden/>
          </w:rPr>
          <w:t>7</w:t>
        </w:r>
        <w:r w:rsidR="00ED6BC7">
          <w:rPr>
            <w:noProof/>
            <w:webHidden/>
          </w:rPr>
          <w:fldChar w:fldCharType="end"/>
        </w:r>
      </w:hyperlink>
    </w:p>
    <w:p w14:paraId="3EEA49C6" w14:textId="77777777" w:rsidR="00ED6BC7" w:rsidRDefault="0008160F">
      <w:pPr>
        <w:pStyle w:val="TM2"/>
        <w:tabs>
          <w:tab w:val="left" w:pos="880"/>
          <w:tab w:val="right" w:leader="dot" w:pos="9062"/>
        </w:tabs>
        <w:rPr>
          <w:rFonts w:asciiTheme="minorHAnsi" w:eastAsiaTheme="minorEastAsia" w:hAnsiTheme="minorHAnsi"/>
          <w:noProof/>
          <w:szCs w:val="22"/>
          <w:lang w:eastAsia="fr-FR"/>
        </w:rPr>
      </w:pPr>
      <w:hyperlink w:anchor="_Toc98227281" w:history="1">
        <w:r w:rsidR="00ED6BC7" w:rsidRPr="008D57CD">
          <w:rPr>
            <w:rStyle w:val="Lienhypertexte"/>
            <w:b/>
            <w:noProof/>
          </w:rPr>
          <w:t>8.2.</w:t>
        </w:r>
        <w:r w:rsidR="00ED6BC7">
          <w:rPr>
            <w:rFonts w:asciiTheme="minorHAnsi" w:eastAsiaTheme="minorEastAsia" w:hAnsiTheme="minorHAnsi"/>
            <w:noProof/>
            <w:szCs w:val="22"/>
            <w:lang w:eastAsia="fr-FR"/>
          </w:rPr>
          <w:tab/>
        </w:r>
        <w:r w:rsidR="00ED6BC7" w:rsidRPr="008D57CD">
          <w:rPr>
            <w:rStyle w:val="Lienhypertexte"/>
            <w:noProof/>
          </w:rPr>
          <w:t>Critères d’attribution</w:t>
        </w:r>
        <w:r w:rsidR="00ED6BC7">
          <w:rPr>
            <w:noProof/>
            <w:webHidden/>
          </w:rPr>
          <w:tab/>
        </w:r>
        <w:r w:rsidR="00ED6BC7">
          <w:rPr>
            <w:noProof/>
            <w:webHidden/>
          </w:rPr>
          <w:fldChar w:fldCharType="begin"/>
        </w:r>
        <w:r w:rsidR="00ED6BC7">
          <w:rPr>
            <w:noProof/>
            <w:webHidden/>
          </w:rPr>
          <w:instrText xml:space="preserve"> PAGEREF _Toc98227281 \h </w:instrText>
        </w:r>
        <w:r w:rsidR="00ED6BC7">
          <w:rPr>
            <w:noProof/>
            <w:webHidden/>
          </w:rPr>
        </w:r>
        <w:r w:rsidR="00ED6BC7">
          <w:rPr>
            <w:noProof/>
            <w:webHidden/>
          </w:rPr>
          <w:fldChar w:fldCharType="separate"/>
        </w:r>
        <w:r w:rsidR="00604E9F">
          <w:rPr>
            <w:noProof/>
            <w:webHidden/>
          </w:rPr>
          <w:t>8</w:t>
        </w:r>
        <w:r w:rsidR="00ED6BC7">
          <w:rPr>
            <w:noProof/>
            <w:webHidden/>
          </w:rPr>
          <w:fldChar w:fldCharType="end"/>
        </w:r>
      </w:hyperlink>
    </w:p>
    <w:p w14:paraId="3D1D0E84" w14:textId="77777777" w:rsidR="00ED6BC7" w:rsidRDefault="0008160F">
      <w:pPr>
        <w:pStyle w:val="TM1"/>
        <w:tabs>
          <w:tab w:val="left" w:pos="480"/>
          <w:tab w:val="right" w:leader="dot" w:pos="9062"/>
        </w:tabs>
        <w:rPr>
          <w:rFonts w:asciiTheme="minorHAnsi" w:eastAsiaTheme="minorEastAsia" w:hAnsiTheme="minorHAnsi"/>
          <w:noProof/>
          <w:szCs w:val="22"/>
          <w:lang w:eastAsia="fr-FR"/>
        </w:rPr>
      </w:pPr>
      <w:hyperlink w:anchor="_Toc98227282" w:history="1">
        <w:r w:rsidR="00ED6BC7" w:rsidRPr="008D57CD">
          <w:rPr>
            <w:rStyle w:val="Lienhypertexte"/>
            <w:b/>
            <w:noProof/>
          </w:rPr>
          <w:t>9.</w:t>
        </w:r>
        <w:r w:rsidR="00ED6BC7">
          <w:rPr>
            <w:rFonts w:asciiTheme="minorHAnsi" w:eastAsiaTheme="minorEastAsia" w:hAnsiTheme="minorHAnsi"/>
            <w:noProof/>
            <w:szCs w:val="22"/>
            <w:lang w:eastAsia="fr-FR"/>
          </w:rPr>
          <w:tab/>
        </w:r>
        <w:r w:rsidR="00ED6BC7" w:rsidRPr="008D57CD">
          <w:rPr>
            <w:rStyle w:val="Lienhypertexte"/>
            <w:noProof/>
          </w:rPr>
          <w:t>NÉGOCIATION</w:t>
        </w:r>
        <w:r w:rsidR="00ED6BC7">
          <w:rPr>
            <w:noProof/>
            <w:webHidden/>
          </w:rPr>
          <w:tab/>
        </w:r>
        <w:r w:rsidR="00ED6BC7">
          <w:rPr>
            <w:noProof/>
            <w:webHidden/>
          </w:rPr>
          <w:fldChar w:fldCharType="begin"/>
        </w:r>
        <w:r w:rsidR="00ED6BC7">
          <w:rPr>
            <w:noProof/>
            <w:webHidden/>
          </w:rPr>
          <w:instrText xml:space="preserve"> PAGEREF _Toc98227282 \h </w:instrText>
        </w:r>
        <w:r w:rsidR="00ED6BC7">
          <w:rPr>
            <w:noProof/>
            <w:webHidden/>
          </w:rPr>
        </w:r>
        <w:r w:rsidR="00ED6BC7">
          <w:rPr>
            <w:noProof/>
            <w:webHidden/>
          </w:rPr>
          <w:fldChar w:fldCharType="separate"/>
        </w:r>
        <w:r w:rsidR="00604E9F">
          <w:rPr>
            <w:noProof/>
            <w:webHidden/>
          </w:rPr>
          <w:t>8</w:t>
        </w:r>
        <w:r w:rsidR="00ED6BC7">
          <w:rPr>
            <w:noProof/>
            <w:webHidden/>
          </w:rPr>
          <w:fldChar w:fldCharType="end"/>
        </w:r>
      </w:hyperlink>
    </w:p>
    <w:p w14:paraId="1EC2B2C6" w14:textId="77777777" w:rsidR="00ED6BC7" w:rsidRDefault="0008160F">
      <w:pPr>
        <w:pStyle w:val="TM1"/>
        <w:tabs>
          <w:tab w:val="left" w:pos="660"/>
          <w:tab w:val="right" w:leader="dot" w:pos="9062"/>
        </w:tabs>
        <w:rPr>
          <w:rFonts w:asciiTheme="minorHAnsi" w:eastAsiaTheme="minorEastAsia" w:hAnsiTheme="minorHAnsi"/>
          <w:noProof/>
          <w:szCs w:val="22"/>
          <w:lang w:eastAsia="fr-FR"/>
        </w:rPr>
      </w:pPr>
      <w:hyperlink w:anchor="_Toc98227283" w:history="1">
        <w:r w:rsidR="00ED6BC7" w:rsidRPr="008D57CD">
          <w:rPr>
            <w:rStyle w:val="Lienhypertexte"/>
            <w:b/>
            <w:noProof/>
          </w:rPr>
          <w:t>10.</w:t>
        </w:r>
        <w:r w:rsidR="00ED6BC7">
          <w:rPr>
            <w:rFonts w:asciiTheme="minorHAnsi" w:eastAsiaTheme="minorEastAsia" w:hAnsiTheme="minorHAnsi"/>
            <w:noProof/>
            <w:szCs w:val="22"/>
            <w:lang w:eastAsia="fr-FR"/>
          </w:rPr>
          <w:tab/>
        </w:r>
        <w:r w:rsidR="00ED6BC7" w:rsidRPr="008D57CD">
          <w:rPr>
            <w:rStyle w:val="Lienhypertexte"/>
            <w:noProof/>
          </w:rPr>
          <w:t>MODE DE REGLEMENT</w:t>
        </w:r>
        <w:r w:rsidR="00ED6BC7">
          <w:rPr>
            <w:noProof/>
            <w:webHidden/>
          </w:rPr>
          <w:tab/>
        </w:r>
        <w:r w:rsidR="00ED6BC7">
          <w:rPr>
            <w:noProof/>
            <w:webHidden/>
          </w:rPr>
          <w:fldChar w:fldCharType="begin"/>
        </w:r>
        <w:r w:rsidR="00ED6BC7">
          <w:rPr>
            <w:noProof/>
            <w:webHidden/>
          </w:rPr>
          <w:instrText xml:space="preserve"> PAGEREF _Toc98227283 \h </w:instrText>
        </w:r>
        <w:r w:rsidR="00ED6BC7">
          <w:rPr>
            <w:noProof/>
            <w:webHidden/>
          </w:rPr>
        </w:r>
        <w:r w:rsidR="00ED6BC7">
          <w:rPr>
            <w:noProof/>
            <w:webHidden/>
          </w:rPr>
          <w:fldChar w:fldCharType="separate"/>
        </w:r>
        <w:r w:rsidR="00604E9F">
          <w:rPr>
            <w:noProof/>
            <w:webHidden/>
          </w:rPr>
          <w:t>8</w:t>
        </w:r>
        <w:r w:rsidR="00ED6BC7">
          <w:rPr>
            <w:noProof/>
            <w:webHidden/>
          </w:rPr>
          <w:fldChar w:fldCharType="end"/>
        </w:r>
      </w:hyperlink>
    </w:p>
    <w:p w14:paraId="2E512116" w14:textId="77777777" w:rsidR="00ED6BC7" w:rsidRDefault="0008160F">
      <w:pPr>
        <w:pStyle w:val="TM1"/>
        <w:tabs>
          <w:tab w:val="left" w:pos="660"/>
          <w:tab w:val="right" w:leader="dot" w:pos="9062"/>
        </w:tabs>
        <w:rPr>
          <w:rFonts w:asciiTheme="minorHAnsi" w:eastAsiaTheme="minorEastAsia" w:hAnsiTheme="minorHAnsi"/>
          <w:noProof/>
          <w:szCs w:val="22"/>
          <w:lang w:eastAsia="fr-FR"/>
        </w:rPr>
      </w:pPr>
      <w:hyperlink w:anchor="_Toc98227284" w:history="1">
        <w:r w:rsidR="00ED6BC7" w:rsidRPr="008D57CD">
          <w:rPr>
            <w:rStyle w:val="Lienhypertexte"/>
            <w:b/>
            <w:noProof/>
          </w:rPr>
          <w:t>11.</w:t>
        </w:r>
        <w:r w:rsidR="00ED6BC7">
          <w:rPr>
            <w:rFonts w:asciiTheme="minorHAnsi" w:eastAsiaTheme="minorEastAsia" w:hAnsiTheme="minorHAnsi"/>
            <w:noProof/>
            <w:szCs w:val="22"/>
            <w:lang w:eastAsia="fr-FR"/>
          </w:rPr>
          <w:tab/>
        </w:r>
        <w:r w:rsidR="00ED6BC7" w:rsidRPr="008D57CD">
          <w:rPr>
            <w:rStyle w:val="Lienhypertexte"/>
            <w:noProof/>
          </w:rPr>
          <w:t>MODALITÉS DE NOTIFICATION DU MARCHÉ :</w:t>
        </w:r>
        <w:r w:rsidR="00ED6BC7">
          <w:rPr>
            <w:noProof/>
            <w:webHidden/>
          </w:rPr>
          <w:tab/>
        </w:r>
        <w:r w:rsidR="00ED6BC7">
          <w:rPr>
            <w:noProof/>
            <w:webHidden/>
          </w:rPr>
          <w:fldChar w:fldCharType="begin"/>
        </w:r>
        <w:r w:rsidR="00ED6BC7">
          <w:rPr>
            <w:noProof/>
            <w:webHidden/>
          </w:rPr>
          <w:instrText xml:space="preserve"> PAGEREF _Toc98227284 \h </w:instrText>
        </w:r>
        <w:r w:rsidR="00ED6BC7">
          <w:rPr>
            <w:noProof/>
            <w:webHidden/>
          </w:rPr>
        </w:r>
        <w:r w:rsidR="00ED6BC7">
          <w:rPr>
            <w:noProof/>
            <w:webHidden/>
          </w:rPr>
          <w:fldChar w:fldCharType="separate"/>
        </w:r>
        <w:r w:rsidR="00604E9F">
          <w:rPr>
            <w:noProof/>
            <w:webHidden/>
          </w:rPr>
          <w:t>8</w:t>
        </w:r>
        <w:r w:rsidR="00ED6BC7">
          <w:rPr>
            <w:noProof/>
            <w:webHidden/>
          </w:rPr>
          <w:fldChar w:fldCharType="end"/>
        </w:r>
      </w:hyperlink>
    </w:p>
    <w:p w14:paraId="796F0395" w14:textId="77777777" w:rsidR="00ED6BC7" w:rsidRDefault="0008160F">
      <w:pPr>
        <w:pStyle w:val="TM1"/>
        <w:tabs>
          <w:tab w:val="left" w:pos="660"/>
          <w:tab w:val="right" w:leader="dot" w:pos="9062"/>
        </w:tabs>
        <w:rPr>
          <w:rFonts w:asciiTheme="minorHAnsi" w:eastAsiaTheme="minorEastAsia" w:hAnsiTheme="minorHAnsi"/>
          <w:noProof/>
          <w:szCs w:val="22"/>
          <w:lang w:eastAsia="fr-FR"/>
        </w:rPr>
      </w:pPr>
      <w:hyperlink w:anchor="_Toc98227285" w:history="1">
        <w:r w:rsidR="00ED6BC7" w:rsidRPr="008D57CD">
          <w:rPr>
            <w:rStyle w:val="Lienhypertexte"/>
            <w:b/>
            <w:noProof/>
          </w:rPr>
          <w:t>12.</w:t>
        </w:r>
        <w:r w:rsidR="00ED6BC7">
          <w:rPr>
            <w:rFonts w:asciiTheme="minorHAnsi" w:eastAsiaTheme="minorEastAsia" w:hAnsiTheme="minorHAnsi"/>
            <w:noProof/>
            <w:szCs w:val="22"/>
            <w:lang w:eastAsia="fr-FR"/>
          </w:rPr>
          <w:tab/>
        </w:r>
        <w:r w:rsidR="00ED6BC7" w:rsidRPr="008D57CD">
          <w:rPr>
            <w:rStyle w:val="Lienhypertexte"/>
            <w:noProof/>
          </w:rPr>
          <w:t>RENSEIGNEMENTS COMPLEMENTAIRES</w:t>
        </w:r>
        <w:r w:rsidR="00ED6BC7">
          <w:rPr>
            <w:noProof/>
            <w:webHidden/>
          </w:rPr>
          <w:tab/>
        </w:r>
        <w:r w:rsidR="00ED6BC7">
          <w:rPr>
            <w:noProof/>
            <w:webHidden/>
          </w:rPr>
          <w:fldChar w:fldCharType="begin"/>
        </w:r>
        <w:r w:rsidR="00ED6BC7">
          <w:rPr>
            <w:noProof/>
            <w:webHidden/>
          </w:rPr>
          <w:instrText xml:space="preserve"> PAGEREF _Toc98227285 \h </w:instrText>
        </w:r>
        <w:r w:rsidR="00ED6BC7">
          <w:rPr>
            <w:noProof/>
            <w:webHidden/>
          </w:rPr>
        </w:r>
        <w:r w:rsidR="00ED6BC7">
          <w:rPr>
            <w:noProof/>
            <w:webHidden/>
          </w:rPr>
          <w:fldChar w:fldCharType="separate"/>
        </w:r>
        <w:r w:rsidR="00604E9F">
          <w:rPr>
            <w:noProof/>
            <w:webHidden/>
          </w:rPr>
          <w:t>9</w:t>
        </w:r>
        <w:r w:rsidR="00ED6BC7">
          <w:rPr>
            <w:noProof/>
            <w:webHidden/>
          </w:rPr>
          <w:fldChar w:fldCharType="end"/>
        </w:r>
      </w:hyperlink>
    </w:p>
    <w:p w14:paraId="32E96CFB" w14:textId="77777777" w:rsidR="00EB0916" w:rsidRDefault="00EB0916">
      <w:r>
        <w:rPr>
          <w:b/>
          <w:bCs/>
        </w:rPr>
        <w:fldChar w:fldCharType="end"/>
      </w:r>
    </w:p>
    <w:p w14:paraId="4006AAC8" w14:textId="77777777" w:rsidR="009B1727" w:rsidRDefault="009B1727"/>
    <w:p w14:paraId="5AD28D13" w14:textId="77777777" w:rsidR="003A0C30" w:rsidRDefault="003A0C30"/>
    <w:p w14:paraId="5A7B0A9C" w14:textId="77777777" w:rsidR="009B1727" w:rsidRPr="00425C92" w:rsidRDefault="009B1727">
      <w:r>
        <w:br w:type="page"/>
      </w:r>
      <w:r>
        <w:rPr>
          <w:rFonts w:ascii="Arial" w:hAnsi="Arial"/>
          <w:u w:val="single"/>
        </w:rPr>
        <w:lastRenderedPageBreak/>
        <w:t>Administration contractante</w:t>
      </w:r>
      <w:r>
        <w:rPr>
          <w:rFonts w:ascii="Arial" w:hAnsi="Arial"/>
        </w:rPr>
        <w:t> :</w:t>
      </w:r>
    </w:p>
    <w:p w14:paraId="3D52F46A" w14:textId="77777777" w:rsidR="009B1727" w:rsidRDefault="009B1727">
      <w:pPr>
        <w:rPr>
          <w:rFonts w:ascii="Arial" w:hAnsi="Arial"/>
        </w:rPr>
      </w:pPr>
    </w:p>
    <w:p w14:paraId="32775602" w14:textId="77777777" w:rsidR="00846451" w:rsidRPr="00846451" w:rsidRDefault="00846451" w:rsidP="00846451">
      <w:pPr>
        <w:spacing w:before="0" w:after="0"/>
        <w:jc w:val="left"/>
        <w:rPr>
          <w:rFonts w:ascii="Arial" w:eastAsia="Times New Roman" w:hAnsi="Arial" w:cs="Times New Roman"/>
          <w:lang w:eastAsia="fr-FR"/>
        </w:rPr>
      </w:pPr>
      <w:r w:rsidRPr="00846451">
        <w:rPr>
          <w:rFonts w:ascii="Arial" w:eastAsia="Times New Roman" w:hAnsi="Arial" w:cs="Times New Roman"/>
          <w:lang w:eastAsia="fr-FR"/>
        </w:rPr>
        <w:t>INSTITUT NATIONAL DE RECHERCHE POUR L’AGRICULTURE, L’ALIMENTATION ET L’ENVIRONNEMENT (INRAE)</w:t>
      </w:r>
    </w:p>
    <w:p w14:paraId="272B59DA" w14:textId="77777777" w:rsidR="00846451" w:rsidRPr="00846451" w:rsidRDefault="00846451" w:rsidP="00846451">
      <w:pPr>
        <w:spacing w:before="0" w:after="0"/>
        <w:jc w:val="left"/>
        <w:rPr>
          <w:rFonts w:ascii="Arial" w:eastAsia="Times New Roman" w:hAnsi="Arial" w:cs="Times New Roman"/>
          <w:i/>
          <w:lang w:eastAsia="fr-FR"/>
        </w:rPr>
      </w:pPr>
      <w:r w:rsidRPr="00846451">
        <w:rPr>
          <w:rFonts w:ascii="Arial" w:eastAsia="Times New Roman" w:hAnsi="Arial" w:cs="Times New Roman"/>
          <w:i/>
          <w:lang w:eastAsia="fr-FR"/>
        </w:rPr>
        <w:t>Centre de Recherche PACA</w:t>
      </w:r>
    </w:p>
    <w:p w14:paraId="4522D2D7" w14:textId="77777777" w:rsidR="00846451" w:rsidRPr="00846451" w:rsidRDefault="00846451" w:rsidP="00846451">
      <w:pPr>
        <w:spacing w:before="0" w:after="0"/>
        <w:jc w:val="left"/>
        <w:rPr>
          <w:rFonts w:ascii="Arial" w:eastAsia="Times New Roman" w:hAnsi="Arial" w:cs="Times New Roman"/>
          <w:i/>
          <w:lang w:eastAsia="fr-FR"/>
        </w:rPr>
      </w:pPr>
      <w:r w:rsidRPr="00846451">
        <w:rPr>
          <w:rFonts w:ascii="Arial" w:eastAsia="Times New Roman" w:hAnsi="Arial" w:cs="Times New Roman"/>
          <w:i/>
          <w:lang w:eastAsia="fr-FR"/>
        </w:rPr>
        <w:t>228 Route de l’Aérodrome</w:t>
      </w:r>
    </w:p>
    <w:p w14:paraId="63FF695B" w14:textId="77777777" w:rsidR="00846451" w:rsidRPr="00846451" w:rsidRDefault="00846451" w:rsidP="00846451">
      <w:pPr>
        <w:spacing w:before="0" w:after="0"/>
        <w:jc w:val="left"/>
        <w:rPr>
          <w:rFonts w:ascii="Arial" w:eastAsia="Times New Roman" w:hAnsi="Arial" w:cs="Times New Roman"/>
          <w:i/>
          <w:lang w:eastAsia="fr-FR"/>
        </w:rPr>
      </w:pPr>
      <w:r w:rsidRPr="00846451">
        <w:rPr>
          <w:rFonts w:ascii="Arial" w:eastAsia="Times New Roman" w:hAnsi="Arial" w:cs="Times New Roman"/>
          <w:i/>
          <w:lang w:eastAsia="fr-FR"/>
        </w:rPr>
        <w:t xml:space="preserve">Domaine St Paul – Site </w:t>
      </w:r>
      <w:proofErr w:type="spellStart"/>
      <w:r w:rsidRPr="00846451">
        <w:rPr>
          <w:rFonts w:ascii="Arial" w:eastAsia="Times New Roman" w:hAnsi="Arial" w:cs="Times New Roman"/>
          <w:i/>
          <w:lang w:eastAsia="fr-FR"/>
        </w:rPr>
        <w:t>Agroparc</w:t>
      </w:r>
      <w:proofErr w:type="spellEnd"/>
    </w:p>
    <w:p w14:paraId="5879AD6F" w14:textId="77777777" w:rsidR="00846451" w:rsidRPr="00846451" w:rsidRDefault="00846451" w:rsidP="00846451">
      <w:pPr>
        <w:spacing w:before="0" w:after="0"/>
        <w:jc w:val="left"/>
        <w:rPr>
          <w:rFonts w:ascii="Arial" w:eastAsia="Times New Roman" w:hAnsi="Arial" w:cs="Times New Roman"/>
          <w:i/>
          <w:lang w:eastAsia="fr-FR"/>
        </w:rPr>
      </w:pPr>
      <w:r w:rsidRPr="00846451">
        <w:rPr>
          <w:rFonts w:ascii="Arial" w:eastAsia="Times New Roman" w:hAnsi="Arial" w:cs="Times New Roman"/>
          <w:i/>
          <w:lang w:eastAsia="fr-FR"/>
        </w:rPr>
        <w:t>CS 40509</w:t>
      </w:r>
    </w:p>
    <w:p w14:paraId="4EFF724F" w14:textId="77777777" w:rsidR="00846451" w:rsidRPr="00846451" w:rsidRDefault="00846451" w:rsidP="00846451">
      <w:pPr>
        <w:spacing w:before="0" w:after="0"/>
        <w:jc w:val="left"/>
        <w:rPr>
          <w:rFonts w:ascii="Arial" w:eastAsia="Times New Roman" w:hAnsi="Arial" w:cs="Times New Roman"/>
          <w:i/>
          <w:lang w:eastAsia="fr-FR"/>
        </w:rPr>
      </w:pPr>
      <w:r w:rsidRPr="00846451">
        <w:rPr>
          <w:rFonts w:ascii="Arial" w:eastAsia="Times New Roman" w:hAnsi="Arial" w:cs="Times New Roman"/>
          <w:i/>
          <w:lang w:eastAsia="fr-FR"/>
        </w:rPr>
        <w:t>84914 AVIGNON Cedex 9</w:t>
      </w:r>
    </w:p>
    <w:p w14:paraId="38D12B9F" w14:textId="77777777" w:rsidR="009B1727" w:rsidRDefault="009B1727"/>
    <w:p w14:paraId="4B835451" w14:textId="77777777" w:rsidR="00135DAF" w:rsidRDefault="00135DAF">
      <w:pPr>
        <w:pStyle w:val="Titre1"/>
      </w:pPr>
      <w:bookmarkStart w:id="0" w:name="_Toc98227266"/>
      <w:bookmarkStart w:id="1" w:name="_Toc384796591"/>
      <w:r>
        <w:t>PRÉAMBULE</w:t>
      </w:r>
      <w:bookmarkEnd w:id="0"/>
      <w:r>
        <w:t xml:space="preserve"> </w:t>
      </w:r>
    </w:p>
    <w:p w14:paraId="0846944D" w14:textId="77777777" w:rsidR="00135DAF" w:rsidRDefault="00135DAF" w:rsidP="00487B7A">
      <w:r w:rsidRPr="00135DAF">
        <w:t xml:space="preserve">Le présent marché est conclu au terme d'une procédure adaptée (MAPA). </w:t>
      </w:r>
      <w:r w:rsidR="00E647BA">
        <w:t xml:space="preserve">Le marché ne fera l’objet d’une signature </w:t>
      </w:r>
      <w:r w:rsidR="00425C92">
        <w:t xml:space="preserve">par le candidat ainsi que par </w:t>
      </w:r>
      <w:r w:rsidR="00E92A72">
        <w:t>INRAE</w:t>
      </w:r>
      <w:r w:rsidR="00E647BA">
        <w:t xml:space="preserve"> qu’à l’étape de son attribution.</w:t>
      </w:r>
    </w:p>
    <w:p w14:paraId="16B3FE87" w14:textId="77777777" w:rsidR="008A162C" w:rsidRPr="00E647BA" w:rsidRDefault="008A162C" w:rsidP="00E647BA">
      <w:pPr>
        <w:rPr>
          <w:rFonts w:ascii="Arial" w:hAnsi="Arial" w:cs="Arial"/>
        </w:rPr>
      </w:pPr>
    </w:p>
    <w:p w14:paraId="12384F7F" w14:textId="77777777" w:rsidR="009B1727" w:rsidRDefault="009B1727" w:rsidP="00604E9F">
      <w:pPr>
        <w:pStyle w:val="Titre1"/>
        <w:ind w:left="357" w:hanging="357"/>
      </w:pPr>
      <w:bookmarkStart w:id="2" w:name="_Toc98227267"/>
      <w:r>
        <w:t>OBJET DE L</w:t>
      </w:r>
      <w:r w:rsidR="009D6A42">
        <w:t>A PROCEDURE</w:t>
      </w:r>
      <w:bookmarkEnd w:id="1"/>
      <w:bookmarkEnd w:id="2"/>
    </w:p>
    <w:p w14:paraId="154E756F" w14:textId="77777777" w:rsidR="00846451" w:rsidRPr="007439AB" w:rsidRDefault="00846451" w:rsidP="00846451">
      <w:pPr>
        <w:rPr>
          <w:rFonts w:cs="Arial"/>
          <w:i/>
          <w:color w:val="000000"/>
          <w:u w:val="single"/>
        </w:rPr>
      </w:pPr>
      <w:bookmarkStart w:id="3" w:name="_Toc384796592"/>
      <w:bookmarkStart w:id="4" w:name="_Toc98227268"/>
      <w:r w:rsidRPr="00D85909">
        <w:rPr>
          <w:b/>
          <w:i/>
        </w:rPr>
        <w:t>La procédure porte sur les prestations désignées ci-après :</w:t>
      </w:r>
    </w:p>
    <w:p w14:paraId="7DFBE2EF" w14:textId="77777777" w:rsidR="00846451" w:rsidRDefault="00846451" w:rsidP="00846451">
      <w:pPr>
        <w:rPr>
          <w:spacing w:val="-2"/>
        </w:rPr>
      </w:pPr>
      <w:r w:rsidRPr="007439AB">
        <w:rPr>
          <w:spacing w:val="-2"/>
        </w:rPr>
        <w:t xml:space="preserve">Le présent marché concerne le contrat </w:t>
      </w:r>
      <w:r w:rsidR="001F0B60">
        <w:rPr>
          <w:spacing w:val="-2"/>
        </w:rPr>
        <w:t>de maintenance des ascenseurs</w:t>
      </w:r>
      <w:r w:rsidR="001526B2">
        <w:rPr>
          <w:spacing w:val="-2"/>
        </w:rPr>
        <w:t xml:space="preserve"> des</w:t>
      </w:r>
      <w:r>
        <w:rPr>
          <w:spacing w:val="-2"/>
        </w:rPr>
        <w:t xml:space="preserve"> site</w:t>
      </w:r>
      <w:r w:rsidR="001526B2">
        <w:rPr>
          <w:spacing w:val="-2"/>
        </w:rPr>
        <w:t>s</w:t>
      </w:r>
      <w:r>
        <w:rPr>
          <w:spacing w:val="-2"/>
        </w:rPr>
        <w:t xml:space="preserve"> de Sophia Antipolis </w:t>
      </w:r>
      <w:r w:rsidR="001F0B60">
        <w:rPr>
          <w:spacing w:val="-2"/>
        </w:rPr>
        <w:t xml:space="preserve">et Antibes </w:t>
      </w:r>
      <w:r w:rsidRPr="007439AB">
        <w:rPr>
          <w:spacing w:val="-2"/>
        </w:rPr>
        <w:t>pour le Centre INRAE PACA</w:t>
      </w:r>
      <w:r>
        <w:rPr>
          <w:spacing w:val="-2"/>
        </w:rPr>
        <w:t>.</w:t>
      </w:r>
    </w:p>
    <w:p w14:paraId="433DF332" w14:textId="77777777" w:rsidR="00846451" w:rsidRPr="003E20F1" w:rsidRDefault="00846451" w:rsidP="00846451">
      <w:pPr>
        <w:rPr>
          <w:spacing w:val="-2"/>
        </w:rPr>
      </w:pPr>
    </w:p>
    <w:p w14:paraId="3AA78F1E" w14:textId="77777777" w:rsidR="00846451" w:rsidRPr="00D85909" w:rsidRDefault="00846451" w:rsidP="00846451">
      <w:pPr>
        <w:rPr>
          <w:b/>
          <w:i/>
        </w:rPr>
      </w:pPr>
      <w:r w:rsidRPr="00D85909">
        <w:rPr>
          <w:b/>
          <w:i/>
        </w:rPr>
        <w:t>Lieux d’exécution des prestations :</w:t>
      </w:r>
    </w:p>
    <w:p w14:paraId="492A5674" w14:textId="77777777" w:rsidR="00846451" w:rsidRPr="007D411C" w:rsidRDefault="00846451" w:rsidP="00846451">
      <w:pPr>
        <w:contextualSpacing/>
        <w:rPr>
          <w:spacing w:val="-2"/>
        </w:rPr>
      </w:pPr>
      <w:r w:rsidRPr="007D411C">
        <w:rPr>
          <w:spacing w:val="-2"/>
        </w:rPr>
        <w:t>Centre de Recherche INRAE PACA</w:t>
      </w:r>
    </w:p>
    <w:p w14:paraId="784370D6" w14:textId="77777777" w:rsidR="00846451" w:rsidRPr="007D411C" w:rsidRDefault="00846451" w:rsidP="00846451">
      <w:pPr>
        <w:contextualSpacing/>
        <w:rPr>
          <w:spacing w:val="-2"/>
        </w:rPr>
      </w:pPr>
      <w:r w:rsidRPr="007D411C">
        <w:rPr>
          <w:spacing w:val="-2"/>
        </w:rPr>
        <w:t>Site de Sophia Antipolis</w:t>
      </w:r>
    </w:p>
    <w:p w14:paraId="4E4CB3A2" w14:textId="77777777" w:rsidR="00846451" w:rsidRPr="007D411C" w:rsidRDefault="00846451" w:rsidP="00846451">
      <w:pPr>
        <w:contextualSpacing/>
        <w:rPr>
          <w:spacing w:val="-2"/>
        </w:rPr>
      </w:pPr>
      <w:r w:rsidRPr="007D411C">
        <w:rPr>
          <w:spacing w:val="-2"/>
        </w:rPr>
        <w:t>400 Route des Chappes – BP 167</w:t>
      </w:r>
    </w:p>
    <w:p w14:paraId="6F942B49" w14:textId="77777777" w:rsidR="00846451" w:rsidRDefault="00846451" w:rsidP="00846451">
      <w:pPr>
        <w:contextualSpacing/>
        <w:rPr>
          <w:spacing w:val="-2"/>
        </w:rPr>
      </w:pPr>
      <w:r w:rsidRPr="007D411C">
        <w:rPr>
          <w:spacing w:val="-2"/>
        </w:rPr>
        <w:t>06903 SOPHIA ANTIPOLIS</w:t>
      </w:r>
    </w:p>
    <w:p w14:paraId="224D7CC4" w14:textId="77777777" w:rsidR="001F0B60" w:rsidRDefault="001F0B60" w:rsidP="00846451">
      <w:pPr>
        <w:contextualSpacing/>
        <w:rPr>
          <w:spacing w:val="-2"/>
        </w:rPr>
      </w:pPr>
      <w:r>
        <w:rPr>
          <w:spacing w:val="-2"/>
        </w:rPr>
        <w:t xml:space="preserve">Et </w:t>
      </w:r>
    </w:p>
    <w:p w14:paraId="11B83EC0" w14:textId="77777777" w:rsidR="001F0B60" w:rsidRPr="001F0B60" w:rsidRDefault="001F0B60" w:rsidP="001F0B60">
      <w:pPr>
        <w:contextualSpacing/>
        <w:rPr>
          <w:spacing w:val="-2"/>
        </w:rPr>
      </w:pPr>
      <w:r w:rsidRPr="001F0B60">
        <w:rPr>
          <w:spacing w:val="-2"/>
        </w:rPr>
        <w:t>Centre de Recherche INRAE PACA</w:t>
      </w:r>
    </w:p>
    <w:p w14:paraId="644C1388" w14:textId="77777777" w:rsidR="001F0B60" w:rsidRPr="001F0B60" w:rsidRDefault="001F0B60" w:rsidP="001F0B60">
      <w:pPr>
        <w:contextualSpacing/>
        <w:rPr>
          <w:spacing w:val="-2"/>
        </w:rPr>
      </w:pPr>
      <w:r w:rsidRPr="001F0B60">
        <w:rPr>
          <w:spacing w:val="-2"/>
        </w:rPr>
        <w:t xml:space="preserve">Site </w:t>
      </w:r>
      <w:r w:rsidR="00425C92">
        <w:rPr>
          <w:spacing w:val="-2"/>
        </w:rPr>
        <w:t xml:space="preserve">du jardin botanique </w:t>
      </w:r>
      <w:r w:rsidRPr="001F0B60">
        <w:rPr>
          <w:spacing w:val="-2"/>
        </w:rPr>
        <w:t xml:space="preserve">de </w:t>
      </w:r>
      <w:r>
        <w:rPr>
          <w:spacing w:val="-2"/>
        </w:rPr>
        <w:t>la Villa Thuret</w:t>
      </w:r>
    </w:p>
    <w:p w14:paraId="559622B2" w14:textId="77777777" w:rsidR="001F0B60" w:rsidRPr="001F0B60" w:rsidRDefault="001F0B60" w:rsidP="001F0B60">
      <w:pPr>
        <w:contextualSpacing/>
        <w:rPr>
          <w:spacing w:val="-2"/>
        </w:rPr>
      </w:pPr>
      <w:r>
        <w:rPr>
          <w:spacing w:val="-2"/>
        </w:rPr>
        <w:t>90 chemin Raymond</w:t>
      </w:r>
    </w:p>
    <w:p w14:paraId="7BBDDBC7" w14:textId="77777777" w:rsidR="001F0B60" w:rsidRDefault="001F0B60" w:rsidP="001F0B60">
      <w:pPr>
        <w:contextualSpacing/>
        <w:rPr>
          <w:spacing w:val="-2"/>
        </w:rPr>
      </w:pPr>
      <w:r>
        <w:rPr>
          <w:spacing w:val="-2"/>
        </w:rPr>
        <w:t>06600 Antibes</w:t>
      </w:r>
    </w:p>
    <w:p w14:paraId="3DA56EAF" w14:textId="77777777" w:rsidR="00425C92" w:rsidRPr="007D411C" w:rsidRDefault="00425C92" w:rsidP="001F0B60">
      <w:pPr>
        <w:contextualSpacing/>
        <w:rPr>
          <w:spacing w:val="-2"/>
        </w:rPr>
      </w:pPr>
    </w:p>
    <w:p w14:paraId="0E940020" w14:textId="77777777" w:rsidR="009B1727" w:rsidRDefault="009B1727" w:rsidP="001526B2">
      <w:pPr>
        <w:pStyle w:val="Titre1"/>
      </w:pPr>
      <w:r>
        <w:t>TYPE DE CONSULTATION</w:t>
      </w:r>
      <w:bookmarkEnd w:id="3"/>
      <w:bookmarkEnd w:id="4"/>
    </w:p>
    <w:p w14:paraId="5ED58937" w14:textId="77777777" w:rsidR="004702C6" w:rsidRDefault="009B1727" w:rsidP="001526B2">
      <w:r>
        <w:t xml:space="preserve">La présente consultation est passée sous la forme d’un </w:t>
      </w:r>
      <w:r w:rsidR="009D6A42">
        <w:t>marché à procédure adaptée</w:t>
      </w:r>
      <w:r>
        <w:t xml:space="preserve"> en application</w:t>
      </w:r>
      <w:r w:rsidR="00826483">
        <w:t xml:space="preserve"> des articles L</w:t>
      </w:r>
      <w:r w:rsidR="00A76475">
        <w:t xml:space="preserve">. </w:t>
      </w:r>
      <w:r w:rsidR="00826483">
        <w:t xml:space="preserve">2123-1 </w:t>
      </w:r>
      <w:r w:rsidR="002B6255">
        <w:t xml:space="preserve">du code de la commande publique </w:t>
      </w:r>
      <w:r w:rsidR="00826483">
        <w:t>et R</w:t>
      </w:r>
      <w:r w:rsidR="00A76475">
        <w:t xml:space="preserve">. </w:t>
      </w:r>
      <w:r w:rsidR="00826483">
        <w:t xml:space="preserve">2123-1 à </w:t>
      </w:r>
      <w:r w:rsidR="002B6255">
        <w:t>R</w:t>
      </w:r>
      <w:r w:rsidR="00A76475">
        <w:t xml:space="preserve">. </w:t>
      </w:r>
      <w:r w:rsidR="002B6255">
        <w:t>2123-</w:t>
      </w:r>
      <w:r w:rsidR="00E559B0">
        <w:t>7</w:t>
      </w:r>
      <w:r w:rsidR="00B679C2">
        <w:t xml:space="preserve"> </w:t>
      </w:r>
      <w:r w:rsidR="002B6255">
        <w:t>du code de la commande publique</w:t>
      </w:r>
      <w:r w:rsidR="004702C6" w:rsidRPr="004702C6">
        <w:t>.</w:t>
      </w:r>
    </w:p>
    <w:p w14:paraId="40FDE8A9" w14:textId="77777777" w:rsidR="00425C92" w:rsidRDefault="00425C92" w:rsidP="008A162C"/>
    <w:p w14:paraId="67D36186" w14:textId="77777777" w:rsidR="00EC51A4" w:rsidRDefault="006F3FB2" w:rsidP="00604E9F">
      <w:pPr>
        <w:pStyle w:val="Titre1"/>
      </w:pPr>
      <w:bookmarkStart w:id="5" w:name="_Toc384796593"/>
      <w:bookmarkStart w:id="6" w:name="_Toc98227269"/>
      <w:r>
        <w:t>DÉCOMPOSITION</w:t>
      </w:r>
      <w:r w:rsidR="009B1727">
        <w:t xml:space="preserve"> EN LOTS</w:t>
      </w:r>
      <w:bookmarkEnd w:id="5"/>
      <w:bookmarkEnd w:id="6"/>
    </w:p>
    <w:p w14:paraId="3351527C" w14:textId="77777777" w:rsidR="009B1727" w:rsidRDefault="009B1727" w:rsidP="001526B2">
      <w:pPr>
        <w:spacing w:before="0" w:after="0"/>
      </w:pPr>
      <w:r>
        <w:t>La présente consultation n’est pas décomposée</w:t>
      </w:r>
      <w:r w:rsidR="00574BA1">
        <w:t xml:space="preserve"> en lots au sens de l’article </w:t>
      </w:r>
      <w:r w:rsidR="00015DC4">
        <w:t>L</w:t>
      </w:r>
      <w:r w:rsidR="00A76475">
        <w:t xml:space="preserve">. </w:t>
      </w:r>
      <w:r w:rsidR="00015DC4">
        <w:t xml:space="preserve">2113-10 </w:t>
      </w:r>
      <w:r w:rsidR="00B679C2">
        <w:t>du code de la commande publique</w:t>
      </w:r>
      <w:r>
        <w:t xml:space="preserve">. </w:t>
      </w:r>
    </w:p>
    <w:p w14:paraId="51D61BBD" w14:textId="77777777" w:rsidR="00604E9F" w:rsidRDefault="00604E9F" w:rsidP="001526B2">
      <w:pPr>
        <w:spacing w:before="0" w:after="0"/>
      </w:pPr>
    </w:p>
    <w:p w14:paraId="1DF30072" w14:textId="77777777" w:rsidR="00604E9F" w:rsidRDefault="00604E9F" w:rsidP="001526B2">
      <w:pPr>
        <w:spacing w:before="0" w:after="0"/>
      </w:pPr>
    </w:p>
    <w:p w14:paraId="0E64E6A4" w14:textId="77777777" w:rsidR="009B1727" w:rsidRDefault="009B1727">
      <w:pPr>
        <w:pStyle w:val="Titre1"/>
      </w:pPr>
      <w:bookmarkStart w:id="7" w:name="_Toc384796602"/>
      <w:bookmarkStart w:id="8" w:name="_Toc98227270"/>
      <w:r>
        <w:lastRenderedPageBreak/>
        <w:t>DURÉE DU MARCHÉ</w:t>
      </w:r>
      <w:bookmarkEnd w:id="7"/>
      <w:bookmarkEnd w:id="8"/>
    </w:p>
    <w:p w14:paraId="4FF0D128" w14:textId="2FB27E59" w:rsidR="00EC51A4" w:rsidRPr="00EC51A4" w:rsidRDefault="00EC51A4" w:rsidP="00EC51A4">
      <w:r w:rsidRPr="00EC51A4">
        <w:t xml:space="preserve">Le présent marché est conclu pour la période d’un (1) an à compter </w:t>
      </w:r>
      <w:r w:rsidR="00331B62">
        <w:t>d</w:t>
      </w:r>
      <w:r w:rsidR="003A3B3F">
        <w:t>e sa notification.</w:t>
      </w:r>
    </w:p>
    <w:p w14:paraId="6494D27B" w14:textId="77777777" w:rsidR="00EC51A4" w:rsidRPr="00EC51A4" w:rsidRDefault="00EC51A4" w:rsidP="00EC51A4">
      <w:r w:rsidRPr="00EC51A4">
        <w:t>Il est renouvelable par tacite reconduction sans que sa durée maximale n’excède 48 mois, sauf dénonciation par l’une ou l’autre des parties, 2 mois avant l’échéance et ce par lettre recommandée avec accusé réception.</w:t>
      </w:r>
    </w:p>
    <w:p w14:paraId="3C5BA88D" w14:textId="77777777" w:rsidR="00BA1D5C" w:rsidRDefault="00BA1D5C">
      <w:pPr>
        <w:pStyle w:val="Corpsdetexte"/>
        <w:rPr>
          <w:rFonts w:cs="Arial"/>
        </w:rPr>
      </w:pPr>
    </w:p>
    <w:p w14:paraId="235E0A55" w14:textId="77777777" w:rsidR="009B1727" w:rsidRDefault="009B1727">
      <w:pPr>
        <w:pStyle w:val="Titre1"/>
      </w:pPr>
      <w:bookmarkStart w:id="9" w:name="_Toc384796603"/>
      <w:bookmarkStart w:id="10" w:name="_Toc98227271"/>
      <w:r>
        <w:t xml:space="preserve">DÉLAI DE VALIDITÉ DES </w:t>
      </w:r>
      <w:bookmarkEnd w:id="9"/>
      <w:r w:rsidR="003E35B8">
        <w:t>OFFRES</w:t>
      </w:r>
      <w:bookmarkEnd w:id="10"/>
    </w:p>
    <w:p w14:paraId="69BF21F0" w14:textId="77777777" w:rsidR="00251901" w:rsidRPr="00EC51A4" w:rsidRDefault="009B1727" w:rsidP="008A162C">
      <w:r w:rsidRPr="00EC51A4">
        <w:t>Le délai de validité des pro</w:t>
      </w:r>
      <w:r w:rsidR="004F2EC8" w:rsidRPr="00EC51A4">
        <w:t xml:space="preserve">positions est </w:t>
      </w:r>
      <w:r w:rsidR="00EC51A4" w:rsidRPr="00EC51A4">
        <w:rPr>
          <w:b/>
        </w:rPr>
        <w:t>90</w:t>
      </w:r>
      <w:r w:rsidRPr="00EC51A4">
        <w:t xml:space="preserve"> jours à compter de la date limite fixée pour la réception des plis en page de garde du présent règlement.</w:t>
      </w:r>
    </w:p>
    <w:p w14:paraId="6485E3D4" w14:textId="77777777" w:rsidR="00317B74" w:rsidRPr="006126B5" w:rsidRDefault="00317B74" w:rsidP="008A162C">
      <w:pPr>
        <w:rPr>
          <w:b/>
          <w:i/>
          <w:color w:val="C00000"/>
        </w:rPr>
      </w:pPr>
    </w:p>
    <w:p w14:paraId="7F822E94" w14:textId="77777777" w:rsidR="009B1727" w:rsidRDefault="009B1727">
      <w:pPr>
        <w:pStyle w:val="Titre1"/>
      </w:pPr>
      <w:bookmarkStart w:id="11" w:name="_Toc384796604"/>
      <w:bookmarkStart w:id="12" w:name="_Toc98227272"/>
      <w:r>
        <w:t>PRÉSENTATION DES PROPOSITIONS</w:t>
      </w:r>
      <w:bookmarkEnd w:id="11"/>
      <w:bookmarkEnd w:id="12"/>
    </w:p>
    <w:p w14:paraId="4041D98E" w14:textId="77777777" w:rsidR="009B1727" w:rsidRDefault="009B1727">
      <w:pPr>
        <w:pStyle w:val="Titre2"/>
        <w:rPr>
          <w:rFonts w:cs="Arial"/>
          <w:i/>
          <w:iCs/>
          <w:sz w:val="22"/>
          <w:szCs w:val="22"/>
        </w:rPr>
      </w:pPr>
      <w:bookmarkStart w:id="13" w:name="_Toc219111014"/>
      <w:bookmarkStart w:id="14" w:name="_Toc384796606"/>
      <w:bookmarkStart w:id="15" w:name="_Toc98227273"/>
      <w:r>
        <w:rPr>
          <w:rFonts w:cs="Arial"/>
          <w:iCs/>
          <w:sz w:val="22"/>
          <w:szCs w:val="22"/>
        </w:rPr>
        <w:t>Modalités de présentation des candidatures et des offres</w:t>
      </w:r>
      <w:bookmarkEnd w:id="13"/>
      <w:bookmarkEnd w:id="14"/>
      <w:bookmarkEnd w:id="15"/>
    </w:p>
    <w:p w14:paraId="3943E4BE" w14:textId="77777777" w:rsidR="00EC51A4" w:rsidRPr="00EC51A4" w:rsidRDefault="00EC51A4" w:rsidP="00EC51A4">
      <w:r w:rsidRPr="00EC51A4">
        <w:t xml:space="preserve">L’offre de chaque soumissionnaire sera entièrement rédigée en langue française. </w:t>
      </w:r>
    </w:p>
    <w:p w14:paraId="7CAB23C9" w14:textId="77777777" w:rsidR="00EC51A4" w:rsidRPr="00EC51A4" w:rsidRDefault="00EC51A4" w:rsidP="00EC51A4">
      <w:r w:rsidRPr="00EC51A4">
        <w:t>Les offres seront exprimées en EURO.</w:t>
      </w:r>
    </w:p>
    <w:p w14:paraId="4C88E342" w14:textId="77777777" w:rsidR="009B1727" w:rsidRDefault="009B1727" w:rsidP="008A162C"/>
    <w:p w14:paraId="3A8343F4" w14:textId="77777777" w:rsidR="009B1727" w:rsidRDefault="009B1727">
      <w:pPr>
        <w:pStyle w:val="Titre3"/>
        <w:ind w:left="708"/>
        <w:rPr>
          <w:rFonts w:cs="Arial"/>
          <w:i/>
          <w:sz w:val="22"/>
          <w:szCs w:val="22"/>
        </w:rPr>
      </w:pPr>
      <w:bookmarkStart w:id="16" w:name="_Toc219111015"/>
      <w:bookmarkStart w:id="17" w:name="_Toc384796607"/>
      <w:bookmarkStart w:id="18" w:name="_Toc98227274"/>
      <w:r>
        <w:rPr>
          <w:rFonts w:cs="Arial"/>
          <w:i/>
          <w:sz w:val="22"/>
          <w:szCs w:val="22"/>
        </w:rPr>
        <w:t>Pour la partie « candidature »</w:t>
      </w:r>
      <w:bookmarkEnd w:id="16"/>
      <w:bookmarkEnd w:id="17"/>
      <w:bookmarkEnd w:id="18"/>
    </w:p>
    <w:p w14:paraId="58D2AD79" w14:textId="4C0D24F5" w:rsidR="00C25C3F" w:rsidRDefault="00E647BA" w:rsidP="008A162C">
      <w:r>
        <w:t xml:space="preserve">Sauf </w:t>
      </w:r>
      <w:r w:rsidR="00206C0A">
        <w:t xml:space="preserve">en cas de </w:t>
      </w:r>
      <w:r>
        <w:t>remise d’une candidature par DUME</w:t>
      </w:r>
      <w:r w:rsidR="00A279A6">
        <w:t xml:space="preserve"> (document unique de marché européen)</w:t>
      </w:r>
      <w:r>
        <w:t xml:space="preserve"> l</w:t>
      </w:r>
      <w:r w:rsidR="00C25C3F" w:rsidRPr="00C25C3F">
        <w:t xml:space="preserve">es soumissionnaires fournissent l'intégralité des pièces et des renseignements exigés </w:t>
      </w:r>
      <w:r>
        <w:t>ci-après</w:t>
      </w:r>
      <w:r w:rsidR="00AB6EE3">
        <w:t> :</w:t>
      </w:r>
    </w:p>
    <w:p w14:paraId="2555DFE3" w14:textId="37A39EE6" w:rsidR="00AC7856" w:rsidRPr="007C74FE" w:rsidRDefault="00AC7856" w:rsidP="007C74FE">
      <w:pPr>
        <w:pStyle w:val="Paragraphedeliste"/>
        <w:numPr>
          <w:ilvl w:val="0"/>
          <w:numId w:val="17"/>
        </w:numPr>
        <w:rPr>
          <w:rFonts w:eastAsia="Calibri"/>
        </w:rPr>
      </w:pPr>
      <w:bookmarkStart w:id="19" w:name="_Toc194835798"/>
      <w:r w:rsidRPr="007C74FE">
        <w:rPr>
          <w:rFonts w:eastAsia="Calibri"/>
        </w:rPr>
        <w:t>la lettre de candidature, et le cas échant l’habilitation du mandataire p</w:t>
      </w:r>
      <w:r w:rsidR="00E647BA" w:rsidRPr="007C74FE">
        <w:rPr>
          <w:rFonts w:eastAsia="Calibri"/>
        </w:rPr>
        <w:t xml:space="preserve">ar ses </w:t>
      </w:r>
      <w:r w:rsidRPr="007C74FE">
        <w:rPr>
          <w:rFonts w:eastAsia="Calibri"/>
        </w:rPr>
        <w:t>cotraitants en cas de groupement (réf :</w:t>
      </w:r>
      <w:r w:rsidR="002E0591" w:rsidRPr="007C74FE">
        <w:rPr>
          <w:rFonts w:eastAsia="Calibri"/>
        </w:rPr>
        <w:t xml:space="preserve"> formulaire</w:t>
      </w:r>
      <w:r w:rsidRPr="007C74FE">
        <w:rPr>
          <w:rFonts w:eastAsia="Calibri"/>
        </w:rPr>
        <w:t xml:space="preserve"> DC1) ; </w:t>
      </w:r>
    </w:p>
    <w:p w14:paraId="6A7AD4A4" w14:textId="118D7F99" w:rsidR="001D33E8" w:rsidRPr="007C74FE" w:rsidRDefault="00AC7856" w:rsidP="007C74FE">
      <w:pPr>
        <w:pStyle w:val="Paragraphedeliste"/>
        <w:numPr>
          <w:ilvl w:val="0"/>
          <w:numId w:val="17"/>
        </w:numPr>
        <w:rPr>
          <w:iCs/>
          <w:lang w:eastAsia="ar-SA"/>
        </w:rPr>
      </w:pPr>
      <w:r w:rsidRPr="007C74FE">
        <w:rPr>
          <w:rFonts w:eastAsia="Calibri"/>
        </w:rPr>
        <w:t>la déclaration des candidats aux marchés de l’Etat (réf :</w:t>
      </w:r>
      <w:r w:rsidR="002E0591" w:rsidRPr="007C74FE">
        <w:rPr>
          <w:rFonts w:eastAsia="Calibri"/>
        </w:rPr>
        <w:t xml:space="preserve"> formulaire</w:t>
      </w:r>
      <w:r w:rsidRPr="007C74FE">
        <w:rPr>
          <w:rFonts w:eastAsia="Calibri"/>
        </w:rPr>
        <w:t xml:space="preserve"> DC2</w:t>
      </w:r>
      <w:r w:rsidR="00FA470C" w:rsidRPr="007C74FE">
        <w:rPr>
          <w:rFonts w:eastAsia="Calibri"/>
        </w:rPr>
        <w:t>)</w:t>
      </w:r>
      <w:r w:rsidR="008F3825" w:rsidRPr="007C74FE">
        <w:rPr>
          <w:rFonts w:eastAsia="Calibri"/>
        </w:rPr>
        <w:t xml:space="preserve">, avec notamment </w:t>
      </w:r>
      <w:r w:rsidRPr="007C74FE">
        <w:rPr>
          <w:rFonts w:eastAsia="Calibri"/>
        </w:rPr>
        <w:t>le chiffre d’affaires concernant les prest</w:t>
      </w:r>
      <w:r w:rsidR="008F3825" w:rsidRPr="007C74FE">
        <w:rPr>
          <w:rFonts w:eastAsia="Calibri"/>
        </w:rPr>
        <w:t>ations objet du marché, réalisé</w:t>
      </w:r>
      <w:r w:rsidRPr="007C74FE">
        <w:rPr>
          <w:rFonts w:eastAsia="Calibri"/>
        </w:rPr>
        <w:t xml:space="preserve"> au co</w:t>
      </w:r>
      <w:r w:rsidR="00482E94" w:rsidRPr="007C74FE">
        <w:rPr>
          <w:rFonts w:eastAsia="Calibri"/>
        </w:rPr>
        <w:t>urs des trois dernières années</w:t>
      </w:r>
      <w:r w:rsidR="001D33E8" w:rsidRPr="007C74FE">
        <w:rPr>
          <w:rFonts w:eastAsia="Calibri"/>
        </w:rPr>
        <w:t> ;</w:t>
      </w:r>
      <w:r w:rsidR="00482E94" w:rsidRPr="007C74FE">
        <w:rPr>
          <w:rFonts w:eastAsia="Calibri"/>
        </w:rPr>
        <w:t> </w:t>
      </w:r>
    </w:p>
    <w:p w14:paraId="053C74DE" w14:textId="4BE9AAA2" w:rsidR="001D33E8" w:rsidRPr="007C74FE" w:rsidRDefault="007C74FE" w:rsidP="007C74FE">
      <w:pPr>
        <w:pStyle w:val="Paragraphedeliste"/>
        <w:numPr>
          <w:ilvl w:val="0"/>
          <w:numId w:val="17"/>
        </w:numPr>
        <w:rPr>
          <w:iCs/>
          <w:lang w:eastAsia="ar-SA"/>
        </w:rPr>
      </w:pPr>
      <w:r>
        <w:rPr>
          <w:rFonts w:eastAsia="Calibri"/>
        </w:rPr>
        <w:t>e</w:t>
      </w:r>
      <w:r w:rsidR="001D33E8" w:rsidRPr="007C74FE">
        <w:rPr>
          <w:rFonts w:eastAsia="Calibri"/>
        </w:rPr>
        <w:t xml:space="preserve">n annexe du DC2, </w:t>
      </w:r>
      <w:r w:rsidR="00AC7856" w:rsidRPr="007C74FE">
        <w:rPr>
          <w:iCs/>
          <w:lang w:eastAsia="ar-SA"/>
        </w:rPr>
        <w:t xml:space="preserve">la liste des références similaires de la clientèle publique et privée sur les </w:t>
      </w:r>
      <w:r w:rsidR="00EC51A4" w:rsidRPr="007C74FE">
        <w:rPr>
          <w:b/>
          <w:iCs/>
          <w:lang w:eastAsia="ar-SA"/>
        </w:rPr>
        <w:t>5</w:t>
      </w:r>
      <w:r w:rsidR="00AC7856" w:rsidRPr="007C74FE">
        <w:rPr>
          <w:iCs/>
          <w:lang w:eastAsia="ar-SA"/>
        </w:rPr>
        <w:t xml:space="preserve"> dern</w:t>
      </w:r>
      <w:r w:rsidR="003848B1" w:rsidRPr="007C74FE">
        <w:rPr>
          <w:iCs/>
          <w:lang w:eastAsia="ar-SA"/>
        </w:rPr>
        <w:t>ières années</w:t>
      </w:r>
      <w:r>
        <w:rPr>
          <w:iCs/>
          <w:lang w:eastAsia="ar-SA"/>
        </w:rPr>
        <w:t>.</w:t>
      </w:r>
      <w:r w:rsidR="003848B1" w:rsidRPr="007C74FE">
        <w:rPr>
          <w:iCs/>
          <w:lang w:eastAsia="ar-SA"/>
        </w:rPr>
        <w:t xml:space="preserve"> </w:t>
      </w:r>
    </w:p>
    <w:p w14:paraId="00326DA9" w14:textId="5E43DD72" w:rsidR="00AB6EE3" w:rsidRPr="007C74FE" w:rsidRDefault="00AB6EE3" w:rsidP="008A162C">
      <w:pPr>
        <w:rPr>
          <w:iCs/>
          <w:lang w:eastAsia="ar-SA"/>
        </w:rPr>
      </w:pPr>
      <w:r w:rsidRPr="00C25C3F">
        <w:t>Toute candidature incomplète ou ne respectant pas les exigences formulées dans les documents de la consultation pourra être éliminée</w:t>
      </w:r>
      <w:r w:rsidR="007C74FE">
        <w:t>.</w:t>
      </w:r>
    </w:p>
    <w:p w14:paraId="7B5C2197" w14:textId="77777777" w:rsidR="00D3023D" w:rsidRDefault="00D3023D" w:rsidP="008A162C">
      <w:pPr>
        <w:rPr>
          <w:rFonts w:eastAsia="Calibri"/>
          <w:b/>
          <w:bCs/>
          <w:i/>
          <w:iCs/>
        </w:rPr>
      </w:pPr>
      <w:r w:rsidRPr="00D3023D">
        <w:rPr>
          <w:rFonts w:eastAsia="Calibri"/>
          <w:b/>
          <w:bCs/>
          <w:i/>
          <w:iCs/>
        </w:rPr>
        <w:t>Le</w:t>
      </w:r>
      <w:r w:rsidRPr="00D3023D">
        <w:rPr>
          <w:rFonts w:eastAsia="Calibri"/>
          <w:b/>
          <w:bCs/>
          <w:i/>
        </w:rPr>
        <w:t xml:space="preserve"> </w:t>
      </w:r>
      <w:r w:rsidRPr="00D3023D">
        <w:rPr>
          <w:rFonts w:eastAsia="Calibri"/>
          <w:b/>
          <w:bCs/>
          <w:i/>
          <w:iCs/>
        </w:rPr>
        <w:t xml:space="preserve">marché ne peut être attribué au soumissionnaire </w:t>
      </w:r>
      <w:r w:rsidR="001D33E8">
        <w:rPr>
          <w:rFonts w:eastAsia="Calibri"/>
          <w:b/>
          <w:bCs/>
          <w:i/>
          <w:iCs/>
        </w:rPr>
        <w:t xml:space="preserve">retenu </w:t>
      </w:r>
      <w:r w:rsidRPr="00D3023D">
        <w:rPr>
          <w:rFonts w:eastAsia="Calibri"/>
          <w:b/>
          <w:bCs/>
          <w:i/>
          <w:iCs/>
        </w:rPr>
        <w:t>que sous réserve qu</w:t>
      </w:r>
      <w:r w:rsidR="00E647BA">
        <w:rPr>
          <w:rFonts w:eastAsia="Calibri"/>
          <w:b/>
          <w:bCs/>
          <w:i/>
          <w:iCs/>
        </w:rPr>
        <w:t>’il</w:t>
      </w:r>
      <w:r w:rsidRPr="00D3023D">
        <w:rPr>
          <w:rFonts w:eastAsia="Calibri"/>
          <w:b/>
          <w:bCs/>
          <w:i/>
          <w:iCs/>
        </w:rPr>
        <w:t xml:space="preserve"> produise, dans un délai de 3 jours ouvrés à compter de la demande </w:t>
      </w:r>
      <w:r w:rsidR="008313D7">
        <w:rPr>
          <w:rFonts w:eastAsia="Calibri"/>
          <w:b/>
          <w:bCs/>
          <w:i/>
          <w:iCs/>
        </w:rPr>
        <w:t>d’INRAE</w:t>
      </w:r>
      <w:r w:rsidRPr="00D3023D">
        <w:rPr>
          <w:rFonts w:eastAsia="Calibri"/>
          <w:b/>
          <w:bCs/>
          <w:i/>
          <w:iCs/>
        </w:rPr>
        <w:t xml:space="preserve">, les pièces suivantes : </w:t>
      </w:r>
    </w:p>
    <w:p w14:paraId="18819FDC" w14:textId="7DC2BA4C" w:rsidR="00FA29EA" w:rsidRPr="007C74FE" w:rsidRDefault="007C74FE" w:rsidP="007C74FE">
      <w:pPr>
        <w:pStyle w:val="Paragraphedeliste"/>
        <w:numPr>
          <w:ilvl w:val="0"/>
          <w:numId w:val="17"/>
        </w:numPr>
        <w:rPr>
          <w:rFonts w:eastAsia="Calibri"/>
          <w:bCs/>
        </w:rPr>
      </w:pPr>
      <w:r>
        <w:rPr>
          <w:rFonts w:eastAsia="Calibri"/>
          <w:bCs/>
          <w:iCs/>
        </w:rPr>
        <w:t>a</w:t>
      </w:r>
      <w:r w:rsidR="00F178CC" w:rsidRPr="007C74FE">
        <w:rPr>
          <w:rFonts w:eastAsia="Calibri"/>
          <w:bCs/>
          <w:iCs/>
        </w:rPr>
        <w:t xml:space="preserve">fin de prouver qu’il ne se trouve pas dans un des cas d’exclusion mentionné à l’article L.2141-3, le candidat produit son numéro unique d’identification (SIREN) permettant à INRAE d’accéder aux informations </w:t>
      </w:r>
      <w:r w:rsidR="00E559B0" w:rsidRPr="007C74FE">
        <w:rPr>
          <w:rFonts w:eastAsia="Calibri"/>
          <w:bCs/>
          <w:iCs/>
        </w:rPr>
        <w:t xml:space="preserve">sur le site </w:t>
      </w:r>
      <w:hyperlink r:id="rId9" w:history="1">
        <w:r w:rsidR="00E559B0" w:rsidRPr="007C74FE">
          <w:rPr>
            <w:rStyle w:val="Lienhypertexte"/>
            <w:rFonts w:eastAsia="Calibri"/>
            <w:bCs/>
            <w:iCs/>
          </w:rPr>
          <w:t>https://annuaire-entreprises.data.gouv.fr/</w:t>
        </w:r>
      </w:hyperlink>
      <w:r w:rsidR="00F178CC" w:rsidRPr="007C74FE">
        <w:rPr>
          <w:rFonts w:eastAsia="Calibri"/>
          <w:bCs/>
          <w:iCs/>
        </w:rPr>
        <w:t xml:space="preserve"> ou, s’il est étranger, produit un document délivré par l’autorité judiciaire ou </w:t>
      </w:r>
      <w:r w:rsidR="00FA29EA" w:rsidRPr="007C74FE">
        <w:rPr>
          <w:rFonts w:eastAsia="Calibri"/>
          <w:bCs/>
          <w:iCs/>
        </w:rPr>
        <w:t>administrative</w:t>
      </w:r>
      <w:r w:rsidR="00F178CC" w:rsidRPr="007C74FE">
        <w:rPr>
          <w:rFonts w:eastAsia="Calibri"/>
          <w:bCs/>
          <w:iCs/>
        </w:rPr>
        <w:t xml:space="preserve"> compétente de son pays d’origine ou d’établissement, attestant de </w:t>
      </w:r>
      <w:r w:rsidR="00FA29EA" w:rsidRPr="007C74FE">
        <w:rPr>
          <w:rFonts w:eastAsia="Calibri"/>
          <w:bCs/>
          <w:iCs/>
        </w:rPr>
        <w:t>l’absence de</w:t>
      </w:r>
      <w:r w:rsidR="00F178CC" w:rsidRPr="007C74FE">
        <w:rPr>
          <w:rFonts w:eastAsia="Calibri"/>
          <w:bCs/>
          <w:iCs/>
        </w:rPr>
        <w:t xml:space="preserve"> cas d’</w:t>
      </w:r>
      <w:r w:rsidR="00FA29EA" w:rsidRPr="007C74FE">
        <w:rPr>
          <w:rFonts w:eastAsia="Calibri"/>
          <w:bCs/>
          <w:iCs/>
        </w:rPr>
        <w:t>exclusion</w:t>
      </w:r>
      <w:r w:rsidR="00F178CC" w:rsidRPr="007C74FE">
        <w:rPr>
          <w:rFonts w:eastAsia="Calibri"/>
          <w:bCs/>
          <w:iCs/>
        </w:rPr>
        <w:t>.</w:t>
      </w:r>
      <w:r w:rsidR="00FA29EA" w:rsidRPr="007C74FE">
        <w:rPr>
          <w:rFonts w:eastAsia="Calibri"/>
          <w:bCs/>
          <w:iCs/>
        </w:rPr>
        <w:t xml:space="preserve"> Lorsqu’en raison d’une impossibilité technique, INRAE chargée de traiter de demande ou une déclaration ne peut pas accéder, par l’intermédiaire d’un système électronique, aux données nécessaires une utilisant le numéro d’identification SIREN, il revient à la personne concernée de communiquer un extrait d’immatriculation au registre ou au répertoire auquel elle est inscrite</w:t>
      </w:r>
      <w:r>
        <w:rPr>
          <w:rFonts w:eastAsia="Calibri"/>
          <w:bCs/>
          <w:iCs/>
        </w:rPr>
        <w:t> ;</w:t>
      </w:r>
    </w:p>
    <w:p w14:paraId="3FDE7418" w14:textId="2B5CC4E1" w:rsidR="009274C4" w:rsidRPr="007C74FE" w:rsidRDefault="007C74FE" w:rsidP="007C74FE">
      <w:pPr>
        <w:pStyle w:val="Paragraphedeliste"/>
        <w:numPr>
          <w:ilvl w:val="0"/>
          <w:numId w:val="17"/>
        </w:numPr>
        <w:rPr>
          <w:rFonts w:eastAsia="Calibri"/>
        </w:rPr>
      </w:pPr>
      <w:r>
        <w:rPr>
          <w:rFonts w:eastAsia="Calibri"/>
        </w:rPr>
        <w:t>l</w:t>
      </w:r>
      <w:r w:rsidR="009274C4" w:rsidRPr="007C74FE">
        <w:rPr>
          <w:rFonts w:eastAsia="Calibri"/>
        </w:rPr>
        <w:t>a liste des salariés étrangers soumis à autorisation de travail au sens de l’article D</w:t>
      </w:r>
      <w:r w:rsidR="00A76475" w:rsidRPr="007C74FE">
        <w:rPr>
          <w:rFonts w:eastAsia="Calibri"/>
        </w:rPr>
        <w:t xml:space="preserve">. </w:t>
      </w:r>
      <w:r w:rsidR="009274C4" w:rsidRPr="007C74FE">
        <w:rPr>
          <w:rFonts w:eastAsia="Calibri"/>
        </w:rPr>
        <w:t>8254-2 du code du travail</w:t>
      </w:r>
      <w:r>
        <w:rPr>
          <w:rFonts w:eastAsia="Calibri"/>
        </w:rPr>
        <w:t> ;</w:t>
      </w:r>
    </w:p>
    <w:p w14:paraId="541886E6" w14:textId="4408EFD8" w:rsidR="001D33E8" w:rsidRPr="007C74FE" w:rsidRDefault="007C74FE" w:rsidP="007C74FE">
      <w:pPr>
        <w:pStyle w:val="Paragraphedeliste"/>
        <w:numPr>
          <w:ilvl w:val="0"/>
          <w:numId w:val="17"/>
        </w:numPr>
        <w:rPr>
          <w:rFonts w:eastAsia="Calibri"/>
        </w:rPr>
      </w:pPr>
      <w:r>
        <w:rPr>
          <w:rFonts w:eastAsia="Calibri"/>
        </w:rPr>
        <w:t>s</w:t>
      </w:r>
      <w:r w:rsidR="009274C4" w:rsidRPr="007C74FE">
        <w:rPr>
          <w:rFonts w:eastAsia="Calibri"/>
        </w:rPr>
        <w:t xml:space="preserve">i le candidat est en redressement judiciaire, copie du ou </w:t>
      </w:r>
      <w:r w:rsidR="00D35055" w:rsidRPr="007C74FE">
        <w:rPr>
          <w:rFonts w:eastAsia="Calibri"/>
        </w:rPr>
        <w:t>des jugements prononcés</w:t>
      </w:r>
      <w:r>
        <w:rPr>
          <w:rFonts w:eastAsia="Calibri"/>
        </w:rPr>
        <w:t> ;</w:t>
      </w:r>
      <w:r w:rsidR="00D35055" w:rsidRPr="007C74FE">
        <w:rPr>
          <w:rFonts w:eastAsia="Calibri"/>
        </w:rPr>
        <w:t xml:space="preserve"> </w:t>
      </w:r>
    </w:p>
    <w:p w14:paraId="4BFBF8A6" w14:textId="0252E9A6" w:rsidR="009274C4" w:rsidRPr="007C74FE" w:rsidRDefault="007C74FE" w:rsidP="007C74FE">
      <w:pPr>
        <w:pStyle w:val="Paragraphedeliste"/>
        <w:numPr>
          <w:ilvl w:val="0"/>
          <w:numId w:val="17"/>
        </w:numPr>
        <w:rPr>
          <w:rFonts w:eastAsia="Calibri"/>
          <w:bCs/>
        </w:rPr>
      </w:pPr>
      <w:r>
        <w:rPr>
          <w:rFonts w:eastAsia="Calibri"/>
          <w:bCs/>
        </w:rPr>
        <w:t>l</w:t>
      </w:r>
      <w:r w:rsidR="009274C4" w:rsidRPr="007C74FE">
        <w:rPr>
          <w:rFonts w:eastAsia="Calibri"/>
          <w:bCs/>
        </w:rPr>
        <w:t xml:space="preserve">es soumissionnaires peuvent fournir ces pièces complémentaires dès le départ avec l’ensemble des autres pièces </w:t>
      </w:r>
      <w:r w:rsidR="001D33E8" w:rsidRPr="007C74FE">
        <w:rPr>
          <w:rFonts w:eastAsia="Calibri"/>
          <w:bCs/>
        </w:rPr>
        <w:t>administratives demandées dans leur pli</w:t>
      </w:r>
      <w:r>
        <w:rPr>
          <w:rFonts w:eastAsia="Calibri"/>
          <w:bCs/>
        </w:rPr>
        <w:t>.</w:t>
      </w:r>
    </w:p>
    <w:p w14:paraId="1C7EE301" w14:textId="77777777" w:rsidR="008A162C" w:rsidRDefault="00D3023D" w:rsidP="008A162C">
      <w:pPr>
        <w:rPr>
          <w:rFonts w:eastAsia="Calibri"/>
          <w:bCs/>
          <w:i/>
        </w:rPr>
      </w:pPr>
      <w:r w:rsidRPr="00D3023D">
        <w:rPr>
          <w:rFonts w:eastAsia="Calibri"/>
          <w:bCs/>
          <w:i/>
        </w:rPr>
        <w:lastRenderedPageBreak/>
        <w:t>Pour produire les éléments demandés, le soumissionnaire peut télécharger les f</w:t>
      </w:r>
      <w:r w:rsidR="008827AF">
        <w:rPr>
          <w:rFonts w:eastAsia="Calibri"/>
          <w:bCs/>
          <w:i/>
        </w:rPr>
        <w:t xml:space="preserve">ormulaires DC1, DC2, DC4 </w:t>
      </w:r>
      <w:r w:rsidRPr="00D3023D">
        <w:rPr>
          <w:rFonts w:eastAsia="Calibri"/>
          <w:bCs/>
          <w:i/>
        </w:rPr>
        <w:t>sur le site du MINEFE à l’adresse suivante rubrique</w:t>
      </w:r>
      <w:r w:rsidR="00EC51A4" w:rsidRPr="00D3023D">
        <w:rPr>
          <w:rFonts w:eastAsia="Calibri"/>
          <w:bCs/>
          <w:i/>
        </w:rPr>
        <w:t xml:space="preserve"> « formulaires</w:t>
      </w:r>
      <w:r w:rsidRPr="00D3023D">
        <w:rPr>
          <w:rFonts w:eastAsia="Calibri"/>
          <w:bCs/>
          <w:i/>
        </w:rPr>
        <w:t xml:space="preserve"> non obligatoires » : </w:t>
      </w:r>
    </w:p>
    <w:p w14:paraId="4AD76A04" w14:textId="77777777" w:rsidR="00D3023D" w:rsidRPr="00D3023D" w:rsidRDefault="0008160F" w:rsidP="008A162C">
      <w:pPr>
        <w:rPr>
          <w:rFonts w:eastAsia="Calibri"/>
          <w:bCs/>
          <w:i/>
        </w:rPr>
      </w:pPr>
      <w:hyperlink r:id="rId10" w:history="1">
        <w:r w:rsidR="000B0516" w:rsidRPr="00390D05">
          <w:rPr>
            <w:rStyle w:val="Lienhypertexte"/>
            <w:rFonts w:ascii="Arial" w:eastAsia="Calibri" w:hAnsi="Arial" w:cs="Arial"/>
            <w:bCs/>
          </w:rPr>
          <w:t>http://www.economie.gouv.fr/daj/formulaires-declaration-du-candidat</w:t>
        </w:r>
      </w:hyperlink>
    </w:p>
    <w:p w14:paraId="450AEE53" w14:textId="77777777" w:rsidR="00D3023D" w:rsidRDefault="00D3023D" w:rsidP="008A162C">
      <w:pPr>
        <w:rPr>
          <w:rFonts w:eastAsia="Calibri"/>
          <w:i/>
        </w:rPr>
      </w:pPr>
    </w:p>
    <w:p w14:paraId="4F65BBF2" w14:textId="77777777" w:rsidR="00D3023D" w:rsidRPr="00D3023D" w:rsidRDefault="00D3023D" w:rsidP="008A162C">
      <w:pPr>
        <w:rPr>
          <w:b/>
          <w:i/>
        </w:rPr>
      </w:pPr>
      <w:r w:rsidRPr="00D3023D">
        <w:rPr>
          <w:b/>
          <w:i/>
          <w:u w:val="single"/>
        </w:rPr>
        <w:t>Important </w:t>
      </w:r>
      <w:r w:rsidRPr="00D3023D">
        <w:rPr>
          <w:b/>
          <w:i/>
        </w:rPr>
        <w:t xml:space="preserve">: </w:t>
      </w:r>
    </w:p>
    <w:p w14:paraId="0CE80BEF" w14:textId="77777777" w:rsidR="00D3023D" w:rsidRPr="00D3023D" w:rsidRDefault="00D3023D" w:rsidP="008A162C">
      <w:pPr>
        <w:rPr>
          <w:b/>
          <w:i/>
        </w:rPr>
      </w:pPr>
    </w:p>
    <w:p w14:paraId="3D1E7B35" w14:textId="3C91796A" w:rsidR="00434770" w:rsidRDefault="00D3023D" w:rsidP="008A162C">
      <w:pPr>
        <w:rPr>
          <w:b/>
          <w:i/>
        </w:rPr>
      </w:pPr>
      <w:r w:rsidRPr="00D3023D">
        <w:rPr>
          <w:b/>
          <w:i/>
        </w:rPr>
        <w:t xml:space="preserve">Ces pièces </w:t>
      </w:r>
      <w:r w:rsidR="009A4336">
        <w:rPr>
          <w:b/>
          <w:i/>
        </w:rPr>
        <w:t>sont également à fournir pour</w:t>
      </w:r>
      <w:r w:rsidR="007C74FE">
        <w:rPr>
          <w:b/>
          <w:i/>
        </w:rPr>
        <w:t> :</w:t>
      </w:r>
    </w:p>
    <w:p w14:paraId="5569809C" w14:textId="0316A984" w:rsidR="00F44930" w:rsidRPr="007C74FE" w:rsidRDefault="00F44930" w:rsidP="007C74FE">
      <w:pPr>
        <w:pStyle w:val="Paragraphedeliste"/>
        <w:numPr>
          <w:ilvl w:val="0"/>
          <w:numId w:val="17"/>
        </w:numPr>
        <w:rPr>
          <w:b/>
          <w:i/>
        </w:rPr>
      </w:pPr>
      <w:r w:rsidRPr="007C74FE">
        <w:rPr>
          <w:b/>
          <w:i/>
        </w:rPr>
        <w:t>chaque cotraitant membre du groupement (à l’exception du DC1 à communiquer uniquement par le mandataire du groupement) ;</w:t>
      </w:r>
    </w:p>
    <w:p w14:paraId="4B77D124" w14:textId="2EAB0124" w:rsidR="00D3023D" w:rsidRPr="007C74FE" w:rsidRDefault="00F44930" w:rsidP="007C74FE">
      <w:pPr>
        <w:pStyle w:val="Paragraphedeliste"/>
        <w:numPr>
          <w:ilvl w:val="0"/>
          <w:numId w:val="17"/>
        </w:numPr>
        <w:rPr>
          <w:b/>
          <w:i/>
        </w:rPr>
      </w:pPr>
      <w:r w:rsidRPr="007C74FE">
        <w:rPr>
          <w:b/>
          <w:i/>
        </w:rPr>
        <w:t xml:space="preserve">chaque </w:t>
      </w:r>
      <w:r w:rsidR="00D3023D" w:rsidRPr="007C74FE">
        <w:rPr>
          <w:b/>
          <w:i/>
        </w:rPr>
        <w:t>sous-traitant</w:t>
      </w:r>
      <w:r w:rsidRPr="007C74FE">
        <w:rPr>
          <w:b/>
          <w:i/>
        </w:rPr>
        <w:t xml:space="preserve">. Ce dernier </w:t>
      </w:r>
      <w:r w:rsidR="00D3023D" w:rsidRPr="007C74FE">
        <w:rPr>
          <w:b/>
          <w:i/>
        </w:rPr>
        <w:t>devra pro</w:t>
      </w:r>
      <w:r w:rsidR="007B0CFB" w:rsidRPr="007C74FE">
        <w:rPr>
          <w:b/>
          <w:i/>
        </w:rPr>
        <w:t>duire</w:t>
      </w:r>
      <w:r w:rsidRPr="007C74FE">
        <w:rPr>
          <w:b/>
          <w:i/>
        </w:rPr>
        <w:t xml:space="preserve"> en appui du formulaire DC4 (déclaration de sous-traitance)</w:t>
      </w:r>
      <w:r w:rsidR="00BC5274" w:rsidRPr="007C74FE">
        <w:rPr>
          <w:b/>
          <w:i/>
        </w:rPr>
        <w:t>,</w:t>
      </w:r>
      <w:r w:rsidR="007B0CFB" w:rsidRPr="007C74FE">
        <w:rPr>
          <w:b/>
          <w:i/>
        </w:rPr>
        <w:t xml:space="preserve"> le DC2 avec son</w:t>
      </w:r>
      <w:r w:rsidR="00D3023D" w:rsidRPr="007C74FE">
        <w:rPr>
          <w:b/>
          <w:i/>
        </w:rPr>
        <w:t xml:space="preserve"> annexe</w:t>
      </w:r>
      <w:r w:rsidR="007B0CFB" w:rsidRPr="007C74FE">
        <w:rPr>
          <w:b/>
          <w:i/>
        </w:rPr>
        <w:t xml:space="preserve"> telle</w:t>
      </w:r>
      <w:r w:rsidR="00D3023D" w:rsidRPr="007C74FE">
        <w:rPr>
          <w:b/>
          <w:i/>
        </w:rPr>
        <w:t xml:space="preserve"> que demandée en pièce n°2 du présent article</w:t>
      </w:r>
      <w:r w:rsidR="00BC5274" w:rsidRPr="007C74FE">
        <w:rPr>
          <w:b/>
          <w:i/>
        </w:rPr>
        <w:t xml:space="preserve"> ainsi que, s’ils ne sont pas disponibles sur PLACE, les certificats fiscaux et sociaux attestant du paiement de leurs cotisations</w:t>
      </w:r>
      <w:r w:rsidR="00F40A0B" w:rsidRPr="007C74FE">
        <w:rPr>
          <w:b/>
          <w:i/>
        </w:rPr>
        <w:t>, y compris celles relatives à l’obligation d’emploi des travailleurs handicapés.</w:t>
      </w:r>
      <w:r w:rsidR="00D3023D" w:rsidRPr="007C74FE">
        <w:rPr>
          <w:b/>
          <w:i/>
        </w:rPr>
        <w:t xml:space="preserve"> </w:t>
      </w:r>
    </w:p>
    <w:p w14:paraId="4E9F1E34" w14:textId="77777777" w:rsidR="00D3023D" w:rsidRPr="00D3023D" w:rsidRDefault="00D3023D" w:rsidP="008A162C">
      <w:pPr>
        <w:rPr>
          <w:i/>
        </w:rPr>
      </w:pPr>
    </w:p>
    <w:p w14:paraId="49569FB6" w14:textId="77777777" w:rsidR="00D3023D" w:rsidRPr="00D3023D" w:rsidRDefault="00D3023D" w:rsidP="008A162C">
      <w:pPr>
        <w:rPr>
          <w:b/>
          <w:i/>
        </w:rPr>
      </w:pPr>
      <w:r w:rsidRPr="00D3023D">
        <w:rPr>
          <w:b/>
          <w:i/>
        </w:rPr>
        <w:t>De même, pour justifier de leurs capacités, les soumissionnaires peuvent faire appel aux capacités d’autres opérateurs économiques quel</w:t>
      </w:r>
      <w:r>
        <w:rPr>
          <w:b/>
          <w:i/>
        </w:rPr>
        <w:t>le</w:t>
      </w:r>
      <w:r w:rsidRPr="00D3023D">
        <w:rPr>
          <w:b/>
          <w:i/>
        </w:rPr>
        <w:t xml:space="preserve"> que soit la nature du lien juridique les associant. </w:t>
      </w:r>
    </w:p>
    <w:p w14:paraId="1B39D566" w14:textId="77777777" w:rsidR="00D3023D" w:rsidRPr="00D3023D" w:rsidRDefault="00D3023D" w:rsidP="008A162C">
      <w:pPr>
        <w:rPr>
          <w:b/>
          <w:i/>
        </w:rPr>
      </w:pPr>
      <w:r w:rsidRPr="00D3023D">
        <w:rPr>
          <w:b/>
          <w:i/>
        </w:rPr>
        <w:t>Pour le cas où la nature du lien juridique les associant ne relève ni de la cotraitance ni de la sous-</w:t>
      </w:r>
      <w:r w:rsidR="002139C4">
        <w:rPr>
          <w:b/>
          <w:i/>
        </w:rPr>
        <w:t>traitance, et en application de l’article</w:t>
      </w:r>
      <w:r w:rsidRPr="00D3023D">
        <w:rPr>
          <w:b/>
          <w:i/>
        </w:rPr>
        <w:t xml:space="preserve"> </w:t>
      </w:r>
      <w:r w:rsidR="00015DC4">
        <w:rPr>
          <w:b/>
          <w:i/>
        </w:rPr>
        <w:t>R</w:t>
      </w:r>
      <w:r w:rsidR="00A76475">
        <w:rPr>
          <w:b/>
          <w:i/>
        </w:rPr>
        <w:t xml:space="preserve">. </w:t>
      </w:r>
      <w:r w:rsidR="00015DC4">
        <w:rPr>
          <w:b/>
          <w:i/>
        </w:rPr>
        <w:t xml:space="preserve">2143-12 </w:t>
      </w:r>
      <w:r w:rsidR="00B679C2">
        <w:rPr>
          <w:b/>
          <w:i/>
        </w:rPr>
        <w:t>du code de la commande publique</w:t>
      </w:r>
      <w:r w:rsidRPr="00D3023D">
        <w:rPr>
          <w:b/>
          <w:i/>
        </w:rPr>
        <w:t xml:space="preserve">, les soumissionnaires doivent </w:t>
      </w:r>
      <w:r w:rsidR="00890C27">
        <w:rPr>
          <w:b/>
          <w:i/>
        </w:rPr>
        <w:t>apporter</w:t>
      </w:r>
      <w:r w:rsidRPr="00D3023D">
        <w:rPr>
          <w:b/>
          <w:i/>
        </w:rPr>
        <w:t xml:space="preserve">, outre l’ensemble des pièces obligatoires de candidature énumérées dans le présent article, </w:t>
      </w:r>
      <w:r w:rsidR="00890C27">
        <w:rPr>
          <w:b/>
          <w:i/>
        </w:rPr>
        <w:t>une preuve par tout moyen approprié</w:t>
      </w:r>
      <w:r w:rsidRPr="00D3023D">
        <w:rPr>
          <w:b/>
          <w:i/>
        </w:rPr>
        <w:t>, justifiant qu’ils disposeront effectivement des capacités présentées à l’appui de leur candidature pour la réalisation du marché.</w:t>
      </w:r>
    </w:p>
    <w:p w14:paraId="14BC5A16" w14:textId="77777777" w:rsidR="00607180" w:rsidRDefault="00607180" w:rsidP="00AC7856">
      <w:pPr>
        <w:widowControl w:val="0"/>
        <w:tabs>
          <w:tab w:val="left" w:pos="9040"/>
        </w:tabs>
        <w:overflowPunct w:val="0"/>
        <w:autoSpaceDE w:val="0"/>
        <w:autoSpaceDN w:val="0"/>
        <w:adjustRightInd w:val="0"/>
        <w:spacing w:line="241" w:lineRule="auto"/>
        <w:ind w:right="-32"/>
        <w:rPr>
          <w:rFonts w:ascii="Arial" w:eastAsia="Calibri" w:hAnsi="Arial" w:cs="Arial"/>
          <w:i/>
        </w:rPr>
      </w:pPr>
    </w:p>
    <w:p w14:paraId="18D8C208" w14:textId="77777777" w:rsidR="009B1727" w:rsidRDefault="00EA0AE6">
      <w:pPr>
        <w:pStyle w:val="Titre3"/>
        <w:ind w:left="708"/>
        <w:rPr>
          <w:rFonts w:cs="Arial"/>
          <w:i/>
          <w:iCs/>
          <w:sz w:val="22"/>
          <w:szCs w:val="22"/>
        </w:rPr>
      </w:pPr>
      <w:bookmarkStart w:id="20" w:name="_Toc219111016"/>
      <w:bookmarkStart w:id="21" w:name="_Toc384796608"/>
      <w:r>
        <w:rPr>
          <w:rFonts w:cs="Arial"/>
          <w:i/>
          <w:iCs/>
          <w:sz w:val="22"/>
          <w:szCs w:val="22"/>
        </w:rPr>
        <w:t xml:space="preserve"> </w:t>
      </w:r>
      <w:bookmarkStart w:id="22" w:name="_Toc98227275"/>
      <w:r>
        <w:rPr>
          <w:rFonts w:cs="Arial"/>
          <w:i/>
          <w:iCs/>
          <w:sz w:val="22"/>
          <w:szCs w:val="22"/>
        </w:rPr>
        <w:t>– Pour la partie « O</w:t>
      </w:r>
      <w:r w:rsidR="009B1727">
        <w:rPr>
          <w:rFonts w:cs="Arial"/>
          <w:i/>
          <w:iCs/>
          <w:sz w:val="22"/>
          <w:szCs w:val="22"/>
        </w:rPr>
        <w:t>ffre »</w:t>
      </w:r>
      <w:bookmarkEnd w:id="19"/>
      <w:bookmarkEnd w:id="20"/>
      <w:bookmarkEnd w:id="21"/>
      <w:bookmarkEnd w:id="22"/>
    </w:p>
    <w:p w14:paraId="464EE5EE" w14:textId="16828106" w:rsidR="00EC51A4" w:rsidRPr="007C74FE" w:rsidRDefault="00EC51A4" w:rsidP="007C74FE">
      <w:r w:rsidRPr="00EC51A4">
        <w:t>Le dossier à remettre par chaque soumissionnaire doit comporter :</w:t>
      </w:r>
    </w:p>
    <w:p w14:paraId="5BD7AFC1" w14:textId="1C060FBA" w:rsidR="00EC51A4" w:rsidRPr="00EC51A4" w:rsidRDefault="00EC51A4" w:rsidP="00EC51A4">
      <w:pPr>
        <w:numPr>
          <w:ilvl w:val="0"/>
          <w:numId w:val="15"/>
        </w:numPr>
        <w:spacing w:before="0" w:after="0"/>
        <w:jc w:val="left"/>
      </w:pPr>
      <w:r w:rsidRPr="00EC51A4">
        <w:t xml:space="preserve">L’Acte d’Engagement et </w:t>
      </w:r>
      <w:r w:rsidR="004E08BA">
        <w:t>la liste des équipements (</w:t>
      </w:r>
      <w:r w:rsidR="004459AD">
        <w:t>annexe 1</w:t>
      </w:r>
      <w:r w:rsidR="004E08BA">
        <w:t>)</w:t>
      </w:r>
      <w:r w:rsidRPr="00EC51A4">
        <w:t>,</w:t>
      </w:r>
    </w:p>
    <w:p w14:paraId="7C7E6636" w14:textId="74A4B175" w:rsidR="00EC51A4" w:rsidRPr="00EC51A4" w:rsidRDefault="00EC51A4" w:rsidP="00EC51A4">
      <w:pPr>
        <w:numPr>
          <w:ilvl w:val="0"/>
          <w:numId w:val="15"/>
        </w:numPr>
        <w:spacing w:before="0" w:after="0"/>
        <w:jc w:val="left"/>
      </w:pPr>
      <w:r w:rsidRPr="00EC51A4">
        <w:t>L’offre tarifaire du soumissionnaire</w:t>
      </w:r>
      <w:r w:rsidR="004E08BA">
        <w:t>, bordereau des prix</w:t>
      </w:r>
      <w:r w:rsidRPr="00EC51A4">
        <w:t xml:space="preserve"> (annexe 2)</w:t>
      </w:r>
      <w:r w:rsidR="004E08BA">
        <w:t>.</w:t>
      </w:r>
    </w:p>
    <w:p w14:paraId="1824236D" w14:textId="77777777" w:rsidR="009B1727" w:rsidRPr="00F40A0B" w:rsidRDefault="009B1727">
      <w:pPr>
        <w:rPr>
          <w:rFonts w:ascii="Arial" w:hAnsi="Arial" w:cs="Arial"/>
          <w:b/>
          <w:i/>
          <w:color w:val="FF0000"/>
        </w:rPr>
      </w:pPr>
    </w:p>
    <w:p w14:paraId="3D6FBF2D" w14:textId="77777777" w:rsidR="009B1727" w:rsidRDefault="009B1727">
      <w:pPr>
        <w:pStyle w:val="Titre2"/>
        <w:rPr>
          <w:rFonts w:cs="Arial"/>
          <w:i/>
          <w:iCs/>
          <w:sz w:val="22"/>
          <w:szCs w:val="22"/>
        </w:rPr>
      </w:pPr>
      <w:bookmarkStart w:id="23" w:name="_Toc219111017"/>
      <w:bookmarkStart w:id="24" w:name="_Toc384796609"/>
      <w:bookmarkStart w:id="25" w:name="_Toc98227276"/>
      <w:r>
        <w:rPr>
          <w:rFonts w:cs="Arial"/>
          <w:iCs/>
          <w:sz w:val="22"/>
          <w:szCs w:val="22"/>
        </w:rPr>
        <w:t>Transmission et réception des offres</w:t>
      </w:r>
      <w:bookmarkEnd w:id="23"/>
      <w:bookmarkEnd w:id="24"/>
      <w:bookmarkEnd w:id="25"/>
    </w:p>
    <w:p w14:paraId="0305EC21" w14:textId="77777777" w:rsidR="00B22D14" w:rsidRPr="00B22D14" w:rsidRDefault="008B731E" w:rsidP="008A162C">
      <w:r>
        <w:t>En application de</w:t>
      </w:r>
      <w:r w:rsidR="00ED0755">
        <w:t>s</w:t>
      </w:r>
      <w:r w:rsidR="00B22D14" w:rsidRPr="00B22D14">
        <w:t xml:space="preserve"> article</w:t>
      </w:r>
      <w:r w:rsidR="00ED0755">
        <w:t>s</w:t>
      </w:r>
      <w:r w:rsidR="00B22D14" w:rsidRPr="00B22D14">
        <w:t xml:space="preserve"> </w:t>
      </w:r>
      <w:r w:rsidR="00A76475">
        <w:t xml:space="preserve">R. 2132-7 et R. 2132-13 du </w:t>
      </w:r>
      <w:r w:rsidR="00F751C9">
        <w:t>Code de la Commande Publique</w:t>
      </w:r>
      <w:r w:rsidR="00574BA1">
        <w:t xml:space="preserve">, </w:t>
      </w:r>
      <w:r w:rsidR="00B22D14" w:rsidRPr="00B22D14">
        <w:t xml:space="preserve">la transmission des candidatures et des offres </w:t>
      </w:r>
      <w:r w:rsidR="00B22D14" w:rsidRPr="00B22D14">
        <w:rPr>
          <w:b/>
        </w:rPr>
        <w:t>se fera obligatoirement par voie électronique</w:t>
      </w:r>
      <w:r w:rsidR="00B22D14" w:rsidRPr="00B22D14">
        <w:t xml:space="preserve"> sur </w:t>
      </w:r>
      <w:r w:rsidR="00EE7BD0">
        <w:t xml:space="preserve">le profil d’acheteur </w:t>
      </w:r>
      <w:r w:rsidR="008313D7">
        <w:t>d’INRAE</w:t>
      </w:r>
      <w:r w:rsidR="00B22D14" w:rsidRPr="00B22D14">
        <w:t xml:space="preserve"> (</w:t>
      </w:r>
      <w:hyperlink r:id="rId11" w:history="1">
        <w:r w:rsidR="00245D45" w:rsidRPr="00B07DBE">
          <w:rPr>
            <w:rStyle w:val="Lienhypertexte"/>
            <w:rFonts w:ascii="Arial" w:hAnsi="Arial" w:cs="Arial"/>
          </w:rPr>
          <w:t>https://www.marches-publics.gouv.fr</w:t>
        </w:r>
      </w:hyperlink>
      <w:r w:rsidR="00B22D14" w:rsidRPr="00B22D14">
        <w:t>) dans les conditions ex</w:t>
      </w:r>
      <w:r w:rsidR="00EE7BD0">
        <w:t>posées ci-dessous. Les soumissionnaires</w:t>
      </w:r>
      <w:r w:rsidR="00B22D14" w:rsidRPr="00B22D14">
        <w:t xml:space="preserve"> ont toutefois la possibilité d’y aj</w:t>
      </w:r>
      <w:r w:rsidR="00FA03F0">
        <w:t xml:space="preserve">outer une copie de sauvegarde </w:t>
      </w:r>
      <w:r w:rsidR="00B22D14" w:rsidRPr="00B22D14">
        <w:t xml:space="preserve">par </w:t>
      </w:r>
      <w:r w:rsidR="00FA03F0">
        <w:t>voie traditionnelle</w:t>
      </w:r>
      <w:r w:rsidR="00B22D14" w:rsidRPr="00B22D14">
        <w:t>.</w:t>
      </w:r>
    </w:p>
    <w:p w14:paraId="15406C1B" w14:textId="77777777" w:rsidR="00B22D14" w:rsidRDefault="00B22D14" w:rsidP="00B22D14">
      <w:pPr>
        <w:rPr>
          <w:rFonts w:ascii="Arial" w:hAnsi="Arial"/>
          <w:szCs w:val="20"/>
        </w:rPr>
      </w:pPr>
    </w:p>
    <w:p w14:paraId="6380118A" w14:textId="77777777" w:rsidR="00B22D14" w:rsidRPr="00EB0916" w:rsidRDefault="00B22D14" w:rsidP="00EB0916">
      <w:pPr>
        <w:pStyle w:val="Titre3"/>
        <w:ind w:left="709"/>
        <w:rPr>
          <w:i/>
          <w:sz w:val="22"/>
          <w:szCs w:val="22"/>
        </w:rPr>
      </w:pPr>
      <w:bookmarkStart w:id="26" w:name="_Toc219111019"/>
      <w:bookmarkStart w:id="27" w:name="_Toc250962291"/>
      <w:bookmarkStart w:id="28" w:name="_Toc299529520"/>
      <w:bookmarkStart w:id="29" w:name="_Toc98227277"/>
      <w:r w:rsidRPr="00EB0916">
        <w:rPr>
          <w:bCs/>
          <w:i/>
          <w:iCs/>
          <w:sz w:val="22"/>
          <w:szCs w:val="22"/>
        </w:rPr>
        <w:t>Transmission</w:t>
      </w:r>
      <w:r w:rsidRPr="00EB0916">
        <w:rPr>
          <w:i/>
          <w:sz w:val="22"/>
          <w:szCs w:val="22"/>
        </w:rPr>
        <w:t xml:space="preserve"> </w:t>
      </w:r>
      <w:bookmarkEnd w:id="26"/>
      <w:r w:rsidRPr="00EB0916">
        <w:rPr>
          <w:i/>
          <w:sz w:val="22"/>
          <w:szCs w:val="22"/>
        </w:rPr>
        <w:t>électronique dématérialisée obligatoire</w:t>
      </w:r>
      <w:bookmarkEnd w:id="27"/>
      <w:bookmarkEnd w:id="28"/>
      <w:bookmarkEnd w:id="29"/>
    </w:p>
    <w:p w14:paraId="432DC1C9" w14:textId="77777777" w:rsidR="002D6649" w:rsidRDefault="00722283" w:rsidP="008A162C">
      <w:r>
        <w:t>Les soumissionnaires</w:t>
      </w:r>
      <w:r w:rsidR="00B22D14" w:rsidRPr="00B22D14">
        <w:t xml:space="preserve"> disposent d’une aide techni</w:t>
      </w:r>
      <w:r w:rsidR="00B22D14">
        <w:t>que à l’utilisation de la plate</w:t>
      </w:r>
      <w:r w:rsidR="00B22D14" w:rsidRPr="00B22D14">
        <w:t>fo</w:t>
      </w:r>
      <w:r w:rsidR="00B22D14">
        <w:t>rme à l’adresse URL de la plate</w:t>
      </w:r>
      <w:r w:rsidR="00B22D14" w:rsidRPr="00B22D14">
        <w:t>forme (</w:t>
      </w:r>
      <w:hyperlink r:id="rId12" w:history="1">
        <w:r w:rsidR="00245D45" w:rsidRPr="00B07DBE">
          <w:rPr>
            <w:rStyle w:val="Lienhypertexte"/>
            <w:rFonts w:ascii="Arial" w:hAnsi="Arial" w:cs="Arial"/>
          </w:rPr>
          <w:t>https://www.marches-publics.gouv.fr</w:t>
        </w:r>
      </w:hyperlink>
      <w:r w:rsidR="00B22D14" w:rsidRPr="00B22D14">
        <w:t>).</w:t>
      </w:r>
      <w:r w:rsidR="002D6649">
        <w:t xml:space="preserve"> </w:t>
      </w:r>
    </w:p>
    <w:p w14:paraId="4D701003" w14:textId="77777777" w:rsidR="000659E1" w:rsidRDefault="000659E1" w:rsidP="008A162C"/>
    <w:p w14:paraId="5F2334AE" w14:textId="77777777" w:rsidR="00B22D14" w:rsidRPr="002D6649" w:rsidRDefault="002D6649" w:rsidP="008A162C">
      <w:pPr>
        <w:rPr>
          <w:b/>
        </w:rPr>
      </w:pPr>
      <w:r w:rsidRPr="002D6649">
        <w:rPr>
          <w:b/>
        </w:rPr>
        <w:t>En cas de difficulté</w:t>
      </w:r>
      <w:r w:rsidR="00996331">
        <w:rPr>
          <w:b/>
        </w:rPr>
        <w:t>s techniques rencontrées</w:t>
      </w:r>
      <w:r w:rsidRPr="002D6649">
        <w:rPr>
          <w:b/>
        </w:rPr>
        <w:t xml:space="preserve"> lors du dépôt </w:t>
      </w:r>
      <w:r w:rsidR="00996331">
        <w:rPr>
          <w:b/>
        </w:rPr>
        <w:t>d’un pli</w:t>
      </w:r>
      <w:r w:rsidRPr="002D6649">
        <w:rPr>
          <w:b/>
        </w:rPr>
        <w:t>, l’</w:t>
      </w:r>
      <w:r w:rsidR="00E92A72">
        <w:rPr>
          <w:b/>
        </w:rPr>
        <w:t>INRAE</w:t>
      </w:r>
      <w:r w:rsidRPr="002D6649">
        <w:rPr>
          <w:b/>
        </w:rPr>
        <w:t xml:space="preserve"> recommande l’ouverture d’un ticket au support de la plateforme attestant </w:t>
      </w:r>
      <w:r w:rsidR="00996331">
        <w:rPr>
          <w:b/>
        </w:rPr>
        <w:t xml:space="preserve">des </w:t>
      </w:r>
      <w:r w:rsidRPr="002D6649">
        <w:rPr>
          <w:b/>
        </w:rPr>
        <w:t>problèmes techniques rencontrés. Seule cette démarche permet d’attester d’un dysfonctionnement rencontré par le candidat.</w:t>
      </w:r>
    </w:p>
    <w:p w14:paraId="64A8DF22" w14:textId="77777777" w:rsidR="00604E9F" w:rsidRDefault="00604E9F">
      <w:pPr>
        <w:spacing w:before="0" w:after="0"/>
        <w:jc w:val="left"/>
        <w:rPr>
          <w:rFonts w:ascii="Arial" w:hAnsi="Arial" w:cs="Arial"/>
        </w:rPr>
      </w:pPr>
      <w:r>
        <w:rPr>
          <w:rFonts w:ascii="Arial" w:hAnsi="Arial" w:cs="Arial"/>
        </w:rPr>
        <w:br w:type="page"/>
      </w:r>
    </w:p>
    <w:p w14:paraId="3D851915" w14:textId="77777777" w:rsidR="00FA03F0" w:rsidRPr="00B22D14" w:rsidRDefault="00FA03F0" w:rsidP="00B22D14">
      <w:pPr>
        <w:tabs>
          <w:tab w:val="left" w:pos="5940"/>
        </w:tabs>
        <w:rPr>
          <w:rFonts w:ascii="Arial" w:hAnsi="Arial" w:cs="Arial"/>
        </w:rPr>
      </w:pPr>
    </w:p>
    <w:p w14:paraId="36200C87" w14:textId="77777777" w:rsidR="00B22D14" w:rsidRPr="00B22D14" w:rsidRDefault="00B22D14" w:rsidP="008A162C">
      <w:pPr>
        <w:pBdr>
          <w:top w:val="single" w:sz="4" w:space="1" w:color="auto"/>
          <w:left w:val="single" w:sz="4" w:space="4" w:color="auto"/>
          <w:bottom w:val="single" w:sz="4" w:space="1" w:color="auto"/>
          <w:right w:val="single" w:sz="4" w:space="4" w:color="auto"/>
        </w:pBdr>
      </w:pPr>
      <w:r w:rsidRPr="00B22D14">
        <w:t>Horodatage :</w:t>
      </w:r>
    </w:p>
    <w:p w14:paraId="068D5EFA" w14:textId="77777777" w:rsidR="00245D45" w:rsidRPr="00245D45" w:rsidRDefault="00245D45" w:rsidP="008A162C">
      <w:pPr>
        <w:pBdr>
          <w:top w:val="single" w:sz="4" w:space="1" w:color="auto"/>
          <w:left w:val="single" w:sz="4" w:space="4" w:color="auto"/>
          <w:bottom w:val="single" w:sz="4" w:space="1" w:color="auto"/>
          <w:right w:val="single" w:sz="4" w:space="4" w:color="auto"/>
        </w:pBdr>
      </w:pPr>
      <w:r w:rsidRPr="00245D45">
        <w:t>Les plis transmis par voie électronique sont horodatés. La date et l’heure pris en compte pour la remise des candidatures et des offres sont celles données sur la plate-forme pour l’</w:t>
      </w:r>
      <w:r w:rsidR="00E92A72">
        <w:t>INRAE</w:t>
      </w:r>
      <w:r w:rsidRPr="00245D45">
        <w:t xml:space="preserve"> à réception des documents envoyés par les soumissionnaires.</w:t>
      </w:r>
    </w:p>
    <w:p w14:paraId="78815EAE" w14:textId="77777777" w:rsidR="00245D45" w:rsidRPr="00245D45" w:rsidRDefault="00245D45" w:rsidP="008A162C">
      <w:pPr>
        <w:pBdr>
          <w:top w:val="single" w:sz="4" w:space="1" w:color="auto"/>
          <w:left w:val="single" w:sz="4" w:space="4" w:color="auto"/>
          <w:bottom w:val="single" w:sz="4" w:space="1" w:color="auto"/>
          <w:right w:val="single" w:sz="4" w:space="4" w:color="auto"/>
        </w:pBdr>
      </w:pPr>
      <w:r w:rsidRPr="00245D45">
        <w:t>Cette heure est consultable à l’adresse URL évoquée ci-dessus: (heure de Paris).</w:t>
      </w:r>
    </w:p>
    <w:p w14:paraId="161A2C74" w14:textId="77777777" w:rsidR="00B22D14" w:rsidRPr="00B22D14" w:rsidRDefault="00B22D14" w:rsidP="008A162C"/>
    <w:p w14:paraId="05281FB5" w14:textId="77777777" w:rsidR="00245D45" w:rsidRPr="00245D45" w:rsidRDefault="00245D45" w:rsidP="008A162C">
      <w:r>
        <w:t>L</w:t>
      </w:r>
      <w:r w:rsidRPr="00245D45">
        <w:t xml:space="preserve">es </w:t>
      </w:r>
      <w:r>
        <w:t xml:space="preserve">soumissionnaires </w:t>
      </w:r>
      <w:r w:rsidRPr="00245D45">
        <w:t xml:space="preserve">devront impérativement adresser leur candidature et leur offre dans les formats ci-après précisés, sous peine de rejet de leur candidature et de leur offre : </w:t>
      </w:r>
    </w:p>
    <w:p w14:paraId="6F5513C1" w14:textId="77777777" w:rsidR="00245D45" w:rsidRDefault="00245D45" w:rsidP="008A162C"/>
    <w:p w14:paraId="2DE3CB60" w14:textId="77777777" w:rsidR="00B22D14" w:rsidRPr="00B22D14" w:rsidRDefault="00B22D14" w:rsidP="008A162C">
      <w:pPr>
        <w:rPr>
          <w:b/>
        </w:rPr>
      </w:pPr>
      <w:r w:rsidRPr="00B22D14">
        <w:rPr>
          <w:u w:val="single"/>
        </w:rPr>
        <w:t>Format des fichiers</w:t>
      </w:r>
      <w:r w:rsidRPr="00B22D14">
        <w:t xml:space="preserve"> : </w:t>
      </w:r>
      <w:r w:rsidRPr="00B22D14">
        <w:rPr>
          <w:b/>
        </w:rPr>
        <w:t>XLS</w:t>
      </w:r>
      <w:r w:rsidRPr="00B22D14">
        <w:t xml:space="preserve">(x), </w:t>
      </w:r>
      <w:r w:rsidRPr="00B22D14">
        <w:rPr>
          <w:b/>
        </w:rPr>
        <w:t>DOC</w:t>
      </w:r>
      <w:r w:rsidRPr="00B22D14">
        <w:t>(x),</w:t>
      </w:r>
      <w:r w:rsidRPr="00B22D14">
        <w:rPr>
          <w:b/>
        </w:rPr>
        <w:t xml:space="preserve"> RTF</w:t>
      </w:r>
      <w:r w:rsidRPr="00B22D14">
        <w:t xml:space="preserve">, </w:t>
      </w:r>
      <w:r w:rsidRPr="00B22D14">
        <w:rPr>
          <w:b/>
        </w:rPr>
        <w:t>PPT</w:t>
      </w:r>
      <w:r w:rsidRPr="00B22D14">
        <w:t xml:space="preserve">(x), </w:t>
      </w:r>
      <w:r w:rsidRPr="00B22D14">
        <w:rPr>
          <w:b/>
        </w:rPr>
        <w:t>PDF, ou équivalents</w:t>
      </w:r>
    </w:p>
    <w:p w14:paraId="16FDE9E2" w14:textId="77777777" w:rsidR="00B22D14" w:rsidRPr="00B22D14" w:rsidRDefault="00B22D14" w:rsidP="008A162C"/>
    <w:p w14:paraId="26024BEF" w14:textId="77777777" w:rsidR="00B22D14" w:rsidRPr="00B22D14" w:rsidRDefault="00B22D14" w:rsidP="008A162C">
      <w:r w:rsidRPr="00B22D14">
        <w:t xml:space="preserve">Le </w:t>
      </w:r>
      <w:r w:rsidR="00245D45">
        <w:t xml:space="preserve">soumissionnaire </w:t>
      </w:r>
      <w:r w:rsidRPr="00B22D14">
        <w:t>est invité à :</w:t>
      </w:r>
    </w:p>
    <w:p w14:paraId="4127D894" w14:textId="77777777" w:rsidR="00245D45" w:rsidRPr="008A162C" w:rsidRDefault="00245D45" w:rsidP="008A162C">
      <w:pPr>
        <w:pStyle w:val="Paragraphedeliste"/>
        <w:numPr>
          <w:ilvl w:val="0"/>
          <w:numId w:val="10"/>
        </w:numPr>
      </w:pPr>
      <w:r w:rsidRPr="008A162C">
        <w:t xml:space="preserve">ne pas utiliser d’extension </w:t>
      </w:r>
      <w:r w:rsidRPr="008A162C">
        <w:rPr>
          <w:i/>
        </w:rPr>
        <w:t>.exe</w:t>
      </w:r>
      <w:r w:rsidRPr="008A162C">
        <w:t xml:space="preserve"> ou similaire ;</w:t>
      </w:r>
    </w:p>
    <w:p w14:paraId="30AC8DEB" w14:textId="77777777" w:rsidR="00245D45" w:rsidRPr="008A162C" w:rsidRDefault="00245D45" w:rsidP="008A162C">
      <w:pPr>
        <w:pStyle w:val="Paragraphedeliste"/>
        <w:numPr>
          <w:ilvl w:val="0"/>
          <w:numId w:val="10"/>
        </w:numPr>
      </w:pPr>
      <w:r w:rsidRPr="008A162C">
        <w:t>ne pas envoyer de fichier contenant des macros ;</w:t>
      </w:r>
    </w:p>
    <w:p w14:paraId="66CD3647" w14:textId="77777777" w:rsidR="00245D45" w:rsidRPr="008A162C" w:rsidRDefault="00245D45" w:rsidP="008A162C">
      <w:pPr>
        <w:pStyle w:val="Paragraphedeliste"/>
        <w:numPr>
          <w:ilvl w:val="0"/>
          <w:numId w:val="10"/>
        </w:numPr>
        <w:rPr>
          <w:u w:val="single"/>
        </w:rPr>
      </w:pPr>
      <w:r w:rsidRPr="008A162C">
        <w:t>vérifier que le pli comprend bien les documents demandés au format évoqué plus haut</w:t>
      </w:r>
      <w:r w:rsidR="00BC62B8" w:rsidRPr="008A162C">
        <w:t>.</w:t>
      </w:r>
    </w:p>
    <w:p w14:paraId="69A82DB0" w14:textId="77777777" w:rsidR="00245D45" w:rsidRPr="00245D45" w:rsidRDefault="00245D45" w:rsidP="008A162C">
      <w:pPr>
        <w:rPr>
          <w:u w:val="single"/>
        </w:rPr>
      </w:pPr>
    </w:p>
    <w:p w14:paraId="73EDA85A" w14:textId="77777777" w:rsidR="00245D45" w:rsidRPr="00245D45" w:rsidRDefault="00245D45" w:rsidP="008A162C">
      <w:pPr>
        <w:rPr>
          <w:b/>
        </w:rPr>
      </w:pPr>
      <w:r w:rsidRPr="00245D45">
        <w:rPr>
          <w:b/>
          <w:u w:val="single"/>
        </w:rPr>
        <w:t>Signature électronique</w:t>
      </w:r>
      <w:r w:rsidRPr="00245D45">
        <w:rPr>
          <w:b/>
        </w:rPr>
        <w:t> :</w:t>
      </w:r>
      <w:r w:rsidR="00BC62B8">
        <w:rPr>
          <w:b/>
        </w:rPr>
        <w:t xml:space="preserve"> La signature électronique n’est pas requise. </w:t>
      </w:r>
    </w:p>
    <w:p w14:paraId="7F6088B7" w14:textId="77777777" w:rsidR="00245D45" w:rsidRPr="00245D45" w:rsidRDefault="00245D45" w:rsidP="00245D45">
      <w:pPr>
        <w:tabs>
          <w:tab w:val="left" w:pos="5940"/>
        </w:tabs>
        <w:rPr>
          <w:rFonts w:ascii="Arial" w:hAnsi="Arial" w:cs="Arial"/>
        </w:rPr>
      </w:pPr>
    </w:p>
    <w:p w14:paraId="3569D6C8" w14:textId="77777777" w:rsidR="00B22D14" w:rsidRDefault="00B22D14" w:rsidP="004B6E96">
      <w:pPr>
        <w:pStyle w:val="Titre3"/>
        <w:ind w:left="567"/>
        <w:rPr>
          <w:i/>
          <w:sz w:val="22"/>
          <w:szCs w:val="22"/>
        </w:rPr>
      </w:pPr>
      <w:bookmarkStart w:id="30" w:name="_Toc260412373"/>
      <w:bookmarkStart w:id="31" w:name="_Toc299529521"/>
      <w:bookmarkStart w:id="32" w:name="_Toc98227278"/>
      <w:r w:rsidRPr="00425C92">
        <w:rPr>
          <w:i/>
          <w:sz w:val="22"/>
          <w:szCs w:val="22"/>
        </w:rPr>
        <w:t>Copie de sauvegarde - non obligatoire</w:t>
      </w:r>
      <w:bookmarkEnd w:id="30"/>
      <w:bookmarkEnd w:id="31"/>
      <w:r w:rsidR="00FA03F0" w:rsidRPr="00425C92">
        <w:rPr>
          <w:i/>
          <w:sz w:val="22"/>
          <w:szCs w:val="22"/>
        </w:rPr>
        <w:t xml:space="preserve"> mais recommandée</w:t>
      </w:r>
      <w:bookmarkEnd w:id="32"/>
    </w:p>
    <w:p w14:paraId="38618BB3" w14:textId="77777777" w:rsidR="00B22D14" w:rsidRPr="00B22D14" w:rsidRDefault="00B22D14" w:rsidP="008A162C">
      <w:r w:rsidRPr="00B22D14">
        <w:rPr>
          <w:rFonts w:cs="Arial"/>
          <w:bCs/>
        </w:rPr>
        <w:t xml:space="preserve">Les </w:t>
      </w:r>
      <w:r w:rsidR="00607A27">
        <w:rPr>
          <w:rFonts w:cs="Arial"/>
          <w:bCs/>
        </w:rPr>
        <w:t xml:space="preserve">soumissionnaires </w:t>
      </w:r>
      <w:r w:rsidRPr="00B22D14">
        <w:rPr>
          <w:rFonts w:cs="Arial"/>
          <w:bCs/>
        </w:rPr>
        <w:t>peuvent transmettre à titre de copie de sauvegarde une réponse sur support papier</w:t>
      </w:r>
      <w:r w:rsidR="00FA03F0">
        <w:rPr>
          <w:rFonts w:cs="Arial"/>
          <w:bCs/>
        </w:rPr>
        <w:t xml:space="preserve"> ou sur support physique électronique (clé USB, etc.)</w:t>
      </w:r>
      <w:r w:rsidR="00607A27">
        <w:rPr>
          <w:rFonts w:cs="Arial"/>
          <w:bCs/>
        </w:rPr>
        <w:t xml:space="preserve">, </w:t>
      </w:r>
      <w:r w:rsidR="007B0CFB">
        <w:rPr>
          <w:rFonts w:cs="Arial"/>
          <w:bCs/>
          <w:u w:val="single"/>
        </w:rPr>
        <w:t>dans le même délai</w:t>
      </w:r>
      <w:r w:rsidRPr="00B22D14">
        <w:rPr>
          <w:rFonts w:cs="Arial"/>
          <w:bCs/>
          <w:u w:val="single"/>
        </w:rPr>
        <w:t xml:space="preserve"> </w:t>
      </w:r>
      <w:r w:rsidR="007B0CFB">
        <w:rPr>
          <w:rFonts w:cs="Arial"/>
          <w:bCs/>
          <w:u w:val="single"/>
        </w:rPr>
        <w:t xml:space="preserve">que le pli électronique </w:t>
      </w:r>
      <w:r w:rsidR="00FA03F0">
        <w:rPr>
          <w:rFonts w:cs="Arial"/>
          <w:bCs/>
          <w:u w:val="single"/>
        </w:rPr>
        <w:t xml:space="preserve">dématérialisé </w:t>
      </w:r>
      <w:r w:rsidR="007B0CFB">
        <w:rPr>
          <w:rFonts w:cs="Arial"/>
          <w:bCs/>
          <w:u w:val="single"/>
        </w:rPr>
        <w:t>(spécifié en page de garde du présent document)</w:t>
      </w:r>
      <w:r w:rsidRPr="00B22D14">
        <w:rPr>
          <w:rFonts w:cs="Arial"/>
          <w:bCs/>
          <w:u w:val="single"/>
        </w:rPr>
        <w:t>.</w:t>
      </w:r>
    </w:p>
    <w:p w14:paraId="11393217" w14:textId="77777777" w:rsidR="00B22D14" w:rsidRPr="00B22D14" w:rsidRDefault="00B22D14" w:rsidP="008A162C"/>
    <w:p w14:paraId="5A434A96" w14:textId="77777777" w:rsidR="00D3023D" w:rsidRPr="00D3023D" w:rsidRDefault="00D3023D" w:rsidP="008A162C">
      <w:pPr>
        <w:rPr>
          <w:rFonts w:cs="Arial"/>
          <w:bCs/>
        </w:rPr>
      </w:pPr>
      <w:r w:rsidRPr="00D3023D">
        <w:rPr>
          <w:rFonts w:cs="Arial"/>
          <w:bCs/>
        </w:rPr>
        <w:t xml:space="preserve">Cette copie de sauvegarde ne sera ouverte que dans les cas suivants : </w:t>
      </w:r>
    </w:p>
    <w:p w14:paraId="6291391A" w14:textId="77777777" w:rsidR="00D3023D" w:rsidRPr="00D3023D" w:rsidRDefault="00D3023D" w:rsidP="008A162C">
      <w:pPr>
        <w:rPr>
          <w:rFonts w:cs="Arial"/>
          <w:bCs/>
        </w:rPr>
      </w:pPr>
      <w:r w:rsidRPr="00D3023D">
        <w:rPr>
          <w:rFonts w:cs="Arial"/>
          <w:bCs/>
        </w:rPr>
        <w:t>-</w:t>
      </w:r>
      <w:r w:rsidRPr="00D3023D">
        <w:rPr>
          <w:rFonts w:cs="Arial"/>
          <w:bCs/>
        </w:rPr>
        <w:tab/>
        <w:t>lorsqu’un programme informatique malveillant est détecté dans les candidatures et / ou les offres transmises par voie électronique sur le profil d’acheteur ;</w:t>
      </w:r>
    </w:p>
    <w:p w14:paraId="784887C3" w14:textId="77777777" w:rsidR="00D3023D" w:rsidRPr="00D3023D" w:rsidRDefault="00D3023D" w:rsidP="008A162C">
      <w:pPr>
        <w:rPr>
          <w:rFonts w:cs="Arial"/>
          <w:bCs/>
        </w:rPr>
      </w:pPr>
      <w:r w:rsidRPr="00D3023D">
        <w:rPr>
          <w:rFonts w:cs="Arial"/>
          <w:bCs/>
        </w:rPr>
        <w:t>-</w:t>
      </w:r>
      <w:r w:rsidRPr="00D3023D">
        <w:rPr>
          <w:rFonts w:cs="Arial"/>
          <w:bCs/>
        </w:rPr>
        <w:tab/>
        <w:t xml:space="preserve">lorsqu’une </w:t>
      </w:r>
      <w:r w:rsidR="00FA03F0">
        <w:rPr>
          <w:rFonts w:cs="Arial"/>
          <w:bCs/>
        </w:rPr>
        <w:t xml:space="preserve">candidature ou une </w:t>
      </w:r>
      <w:r w:rsidRPr="00D3023D">
        <w:rPr>
          <w:rFonts w:cs="Arial"/>
          <w:bCs/>
        </w:rPr>
        <w:t xml:space="preserve">offre </w:t>
      </w:r>
      <w:r w:rsidR="00FA03F0">
        <w:rPr>
          <w:rFonts w:cs="Arial"/>
          <w:bCs/>
        </w:rPr>
        <w:t xml:space="preserve">dématérialisée </w:t>
      </w:r>
      <w:r w:rsidRPr="00D3023D">
        <w:rPr>
          <w:rFonts w:cs="Arial"/>
          <w:bCs/>
        </w:rPr>
        <w:t xml:space="preserve">est parvenue par voie électronique sur le profil d’acheteur </w:t>
      </w:r>
      <w:r w:rsidR="00FA03F0">
        <w:rPr>
          <w:rFonts w:cs="Arial"/>
          <w:bCs/>
        </w:rPr>
        <w:t>de façon incomplète, hors délai ou sans pouvoir être</w:t>
      </w:r>
      <w:r w:rsidRPr="00D3023D">
        <w:rPr>
          <w:rFonts w:cs="Arial"/>
          <w:bCs/>
        </w:rPr>
        <w:t xml:space="preserve"> ouverte</w:t>
      </w:r>
      <w:r w:rsidR="00FA03F0">
        <w:rPr>
          <w:rFonts w:cs="Arial"/>
          <w:bCs/>
        </w:rPr>
        <w:t xml:space="preserve">, sous réserve que la transmission ait </w:t>
      </w:r>
      <w:r w:rsidR="00F40A0B">
        <w:rPr>
          <w:rFonts w:cs="Arial"/>
          <w:bCs/>
        </w:rPr>
        <w:t>commencée</w:t>
      </w:r>
      <w:r w:rsidR="00FA03F0">
        <w:rPr>
          <w:rFonts w:cs="Arial"/>
          <w:bCs/>
        </w:rPr>
        <w:t xml:space="preserve"> avant l’heure limite de remise des plis figurant en page de garde</w:t>
      </w:r>
      <w:r w:rsidRPr="00D3023D">
        <w:rPr>
          <w:rFonts w:cs="Arial"/>
          <w:bCs/>
        </w:rPr>
        <w:t xml:space="preserve"> ;</w:t>
      </w:r>
    </w:p>
    <w:p w14:paraId="118D4492" w14:textId="77777777" w:rsidR="00B22D14" w:rsidRDefault="00FA03F0" w:rsidP="008A162C">
      <w:pPr>
        <w:rPr>
          <w:rFonts w:cs="Arial"/>
          <w:bCs/>
        </w:rPr>
      </w:pPr>
      <w:r>
        <w:rPr>
          <w:rFonts w:cs="Arial"/>
          <w:bCs/>
        </w:rPr>
        <w:t>La copie de sauvegarde comporte toutes les pièces de la candidature et de l’offre. Elle est</w:t>
      </w:r>
      <w:r w:rsidR="00B22D14" w:rsidRPr="00B22D14">
        <w:rPr>
          <w:rFonts w:cs="Arial"/>
          <w:bCs/>
        </w:rPr>
        <w:t xml:space="preserve"> placée sous enveloppe cachetée (ou tout autre emballage adapté et scellé).</w:t>
      </w:r>
    </w:p>
    <w:p w14:paraId="738C4AE9" w14:textId="77777777" w:rsidR="00FA03F0" w:rsidRPr="00B22D14" w:rsidRDefault="00FA03F0" w:rsidP="008A162C">
      <w:r>
        <w:rPr>
          <w:rFonts w:cs="Arial"/>
          <w:bCs/>
        </w:rPr>
        <w:t>En cas de copie de sauvegarde électronique elle-même vérolée, celle-ci sera écartée par l’acheteur.</w:t>
      </w:r>
    </w:p>
    <w:p w14:paraId="6822BD7C" w14:textId="77777777" w:rsidR="007B0CFB" w:rsidRPr="00B22D14" w:rsidRDefault="007B0CFB" w:rsidP="008A162C">
      <w:r w:rsidRPr="00B22D14">
        <w:t>Cette copie de sauvegarde doit être envoyée à l’adresse indiquée ci-dessous.</w:t>
      </w:r>
    </w:p>
    <w:p w14:paraId="17CC2D2B" w14:textId="77777777" w:rsidR="00B22D14" w:rsidRPr="00B22D14" w:rsidRDefault="00B22D14" w:rsidP="008A162C">
      <w:r w:rsidRPr="00B22D14">
        <w:t xml:space="preserve">L’enveloppe cachetée contiendra tous les </w:t>
      </w:r>
      <w:r w:rsidR="002D09F6">
        <w:t>do</w:t>
      </w:r>
      <w:r w:rsidR="00DA36B3">
        <w:t>cuments énoncés aux articles 7</w:t>
      </w:r>
      <w:r w:rsidR="009E0729">
        <w:t>.1</w:t>
      </w:r>
      <w:r w:rsidR="002D09F6">
        <w:t xml:space="preserve">.1 et </w:t>
      </w:r>
      <w:r w:rsidR="00DA36B3">
        <w:t>7</w:t>
      </w:r>
      <w:r w:rsidR="009E0729">
        <w:t>.1</w:t>
      </w:r>
      <w:r w:rsidRPr="00B22D14">
        <w:t>.2 du présent règlement et portera les mentions suivantes :</w:t>
      </w:r>
    </w:p>
    <w:p w14:paraId="0EED8C69" w14:textId="2F8E7B59" w:rsidR="00B22D14" w:rsidRDefault="00B22D14" w:rsidP="008A162C"/>
    <w:p w14:paraId="081ED7D5" w14:textId="224AB955" w:rsidR="0008160F" w:rsidRDefault="0008160F" w:rsidP="008A162C"/>
    <w:p w14:paraId="27B4B923" w14:textId="77777777" w:rsidR="0008160F" w:rsidRPr="00B22D14" w:rsidRDefault="0008160F" w:rsidP="008A162C"/>
    <w:p w14:paraId="4A305E0D" w14:textId="77777777" w:rsidR="00EC51A4" w:rsidRPr="00EC51A4" w:rsidRDefault="00EC51A4" w:rsidP="00EC51A4">
      <w:pPr>
        <w:spacing w:before="0" w:after="0"/>
        <w:jc w:val="center"/>
        <w:rPr>
          <w:rFonts w:ascii="Arial" w:eastAsia="Times New Roman" w:hAnsi="Arial" w:cs="Arial"/>
          <w:b/>
          <w:bCs/>
          <w:color w:val="000000"/>
          <w:lang w:eastAsia="fr-FR"/>
        </w:rPr>
      </w:pPr>
      <w:r w:rsidRPr="00EC51A4">
        <w:rPr>
          <w:rFonts w:ascii="Arial" w:eastAsia="Times New Roman" w:hAnsi="Arial" w:cs="Arial"/>
          <w:b/>
          <w:bCs/>
          <w:lang w:eastAsia="fr-FR"/>
        </w:rPr>
        <w:lastRenderedPageBreak/>
        <w:t>MAPA -</w:t>
      </w:r>
      <w:r w:rsidRPr="00EC51A4">
        <w:rPr>
          <w:rFonts w:ascii="Times New Roman" w:eastAsia="Times New Roman" w:hAnsi="Times New Roman" w:cs="Times New Roman"/>
          <w:sz w:val="24"/>
          <w:szCs w:val="24"/>
          <w:lang w:eastAsia="fr-FR"/>
        </w:rPr>
        <w:t xml:space="preserve"> </w:t>
      </w:r>
      <w:r w:rsidRPr="00EC51A4">
        <w:rPr>
          <w:rFonts w:ascii="Arial" w:eastAsia="Times New Roman" w:hAnsi="Arial" w:cs="Arial"/>
          <w:b/>
          <w:bCs/>
          <w:color w:val="000000"/>
          <w:lang w:eastAsia="fr-FR"/>
        </w:rPr>
        <w:t>Contrat de maintenance des ascenseurs</w:t>
      </w:r>
    </w:p>
    <w:p w14:paraId="3C95049F" w14:textId="32CBFD8C" w:rsidR="00EC51A4" w:rsidRPr="00EC51A4" w:rsidRDefault="00EC51A4" w:rsidP="00EC51A4">
      <w:pPr>
        <w:spacing w:before="0" w:after="0"/>
        <w:jc w:val="center"/>
        <w:rPr>
          <w:rFonts w:ascii="Arial" w:eastAsia="Times New Roman" w:hAnsi="Arial" w:cs="Arial"/>
          <w:b/>
          <w:bCs/>
          <w:color w:val="000000"/>
          <w:lang w:eastAsia="fr-FR"/>
        </w:rPr>
      </w:pPr>
      <w:r w:rsidRPr="00EC51A4">
        <w:rPr>
          <w:rFonts w:ascii="Arial" w:eastAsia="Times New Roman" w:hAnsi="Arial" w:cs="Arial"/>
          <w:b/>
          <w:bCs/>
          <w:color w:val="000000"/>
          <w:lang w:eastAsia="fr-FR"/>
        </w:rPr>
        <w:t>du Centre INRA</w:t>
      </w:r>
      <w:r w:rsidR="00BC260C">
        <w:rPr>
          <w:rFonts w:ascii="Arial" w:eastAsia="Times New Roman" w:hAnsi="Arial" w:cs="Arial"/>
          <w:b/>
          <w:bCs/>
          <w:color w:val="000000"/>
          <w:lang w:eastAsia="fr-FR"/>
        </w:rPr>
        <w:t>E</w:t>
      </w:r>
      <w:r w:rsidRPr="00EC51A4">
        <w:rPr>
          <w:rFonts w:ascii="Arial" w:eastAsia="Times New Roman" w:hAnsi="Arial" w:cs="Arial"/>
          <w:b/>
          <w:bCs/>
          <w:color w:val="000000"/>
          <w:lang w:eastAsia="fr-FR"/>
        </w:rPr>
        <w:t xml:space="preserve"> PACA site</w:t>
      </w:r>
      <w:r w:rsidR="007C74FE">
        <w:rPr>
          <w:rFonts w:ascii="Arial" w:eastAsia="Times New Roman" w:hAnsi="Arial" w:cs="Arial"/>
          <w:b/>
          <w:bCs/>
          <w:color w:val="000000"/>
          <w:lang w:eastAsia="fr-FR"/>
        </w:rPr>
        <w:t>s</w:t>
      </w:r>
      <w:r w:rsidRPr="00EC51A4">
        <w:rPr>
          <w:rFonts w:ascii="Arial" w:eastAsia="Times New Roman" w:hAnsi="Arial" w:cs="Arial"/>
          <w:b/>
          <w:bCs/>
          <w:color w:val="000000"/>
          <w:lang w:eastAsia="fr-FR"/>
        </w:rPr>
        <w:t xml:space="preserve"> de Sophia-Antipolis</w:t>
      </w:r>
      <w:r w:rsidR="001F0B60">
        <w:rPr>
          <w:rFonts w:ascii="Arial" w:eastAsia="Times New Roman" w:hAnsi="Arial" w:cs="Arial"/>
          <w:b/>
          <w:bCs/>
          <w:color w:val="000000"/>
          <w:lang w:eastAsia="fr-FR"/>
        </w:rPr>
        <w:t xml:space="preserve"> et Antibes</w:t>
      </w:r>
    </w:p>
    <w:p w14:paraId="3BDF10D1" w14:textId="77777777" w:rsidR="00EC51A4" w:rsidRPr="00EC51A4" w:rsidRDefault="00EC51A4" w:rsidP="00EC51A4">
      <w:pPr>
        <w:spacing w:before="0" w:after="0"/>
        <w:jc w:val="center"/>
        <w:rPr>
          <w:rFonts w:ascii="Arial" w:eastAsia="Times New Roman" w:hAnsi="Arial" w:cs="Arial"/>
          <w:b/>
          <w:bCs/>
          <w:lang w:eastAsia="fr-FR"/>
        </w:rPr>
      </w:pPr>
      <w:r w:rsidRPr="00EC51A4">
        <w:rPr>
          <w:rFonts w:ascii="Arial" w:eastAsia="Times New Roman" w:hAnsi="Arial" w:cs="Arial"/>
          <w:b/>
          <w:bCs/>
          <w:color w:val="C00000"/>
          <w:lang w:eastAsia="fr-FR"/>
        </w:rPr>
        <w:t xml:space="preserve"> </w:t>
      </w:r>
      <w:r w:rsidRPr="00EC51A4">
        <w:rPr>
          <w:rFonts w:ascii="Arial" w:eastAsia="Times New Roman" w:hAnsi="Arial" w:cs="Arial"/>
          <w:b/>
          <w:bCs/>
          <w:lang w:eastAsia="fr-FR"/>
        </w:rPr>
        <w:t>COPIE DE SAUVEGARDE</w:t>
      </w:r>
    </w:p>
    <w:p w14:paraId="7794FF95" w14:textId="77777777" w:rsidR="00EC51A4" w:rsidRPr="00EC51A4" w:rsidRDefault="00EC51A4" w:rsidP="00EC51A4">
      <w:pPr>
        <w:widowControl w:val="0"/>
        <w:autoSpaceDE w:val="0"/>
        <w:autoSpaceDN w:val="0"/>
        <w:adjustRightInd w:val="0"/>
        <w:spacing w:before="0" w:after="0" w:line="1" w:lineRule="exact"/>
        <w:jc w:val="left"/>
        <w:rPr>
          <w:rFonts w:ascii="Arial" w:eastAsia="Times New Roman" w:hAnsi="Arial" w:cs="Arial"/>
          <w:b/>
          <w:szCs w:val="20"/>
          <w:lang w:eastAsia="fr-FR"/>
        </w:rPr>
      </w:pPr>
    </w:p>
    <w:p w14:paraId="2A1DF948" w14:textId="77777777" w:rsidR="00EC51A4" w:rsidRPr="00EC51A4" w:rsidRDefault="00EC51A4" w:rsidP="00EC51A4">
      <w:pPr>
        <w:widowControl w:val="0"/>
        <w:autoSpaceDE w:val="0"/>
        <w:autoSpaceDN w:val="0"/>
        <w:adjustRightInd w:val="0"/>
        <w:spacing w:before="0" w:after="0"/>
        <w:ind w:left="3540"/>
        <w:jc w:val="left"/>
        <w:rPr>
          <w:rFonts w:ascii="Arial" w:eastAsia="Times New Roman" w:hAnsi="Arial" w:cs="Arial"/>
          <w:b/>
          <w:szCs w:val="20"/>
          <w:lang w:eastAsia="fr-FR"/>
        </w:rPr>
      </w:pPr>
      <w:r w:rsidRPr="00EC51A4">
        <w:rPr>
          <w:rFonts w:ascii="Arial" w:eastAsia="Times New Roman" w:hAnsi="Arial" w:cs="Arial"/>
          <w:b/>
          <w:bCs/>
          <w:lang w:eastAsia="fr-FR"/>
        </w:rPr>
        <w:t>« NE PAS OUVRIR »</w:t>
      </w:r>
    </w:p>
    <w:p w14:paraId="5AF10643" w14:textId="77777777" w:rsidR="00EC51A4" w:rsidRPr="00EC51A4" w:rsidRDefault="00EC51A4" w:rsidP="00EC51A4">
      <w:pPr>
        <w:widowControl w:val="0"/>
        <w:autoSpaceDE w:val="0"/>
        <w:autoSpaceDN w:val="0"/>
        <w:adjustRightInd w:val="0"/>
        <w:spacing w:before="0" w:after="0"/>
        <w:ind w:left="3260"/>
        <w:jc w:val="left"/>
        <w:rPr>
          <w:rFonts w:ascii="Arial" w:eastAsia="Times New Roman" w:hAnsi="Arial" w:cs="Arial"/>
          <w:b/>
          <w:szCs w:val="20"/>
          <w:lang w:eastAsia="fr-FR"/>
        </w:rPr>
      </w:pPr>
      <w:r w:rsidRPr="00EC51A4">
        <w:rPr>
          <w:rFonts w:ascii="Arial" w:eastAsia="Times New Roman" w:hAnsi="Arial" w:cs="Arial"/>
          <w:b/>
          <w:bCs/>
          <w:lang w:eastAsia="fr-FR"/>
        </w:rPr>
        <w:t>(NOM DE L’ENTREPRISE)</w:t>
      </w:r>
    </w:p>
    <w:p w14:paraId="6B8A20A3" w14:textId="77777777" w:rsidR="00607180" w:rsidRDefault="00607180" w:rsidP="008A162C">
      <w:pPr>
        <w:rPr>
          <w:rFonts w:ascii="Arial" w:hAnsi="Arial"/>
        </w:rPr>
      </w:pPr>
    </w:p>
    <w:p w14:paraId="2D13076D" w14:textId="77777777" w:rsidR="00B22D14" w:rsidRPr="00B22D14" w:rsidRDefault="00B22D14" w:rsidP="008A162C">
      <w:pPr>
        <w:rPr>
          <w:rFonts w:ascii="Arial" w:hAnsi="Arial"/>
          <w:szCs w:val="20"/>
        </w:rPr>
      </w:pPr>
      <w:r w:rsidRPr="00B22D14">
        <w:rPr>
          <w:rFonts w:ascii="Arial" w:hAnsi="Arial"/>
        </w:rPr>
        <w:t>Elle sera adressée par lettre recommandée avec avis de réception postale à :</w:t>
      </w:r>
    </w:p>
    <w:p w14:paraId="4E109DF7" w14:textId="77777777" w:rsidR="00B22D14" w:rsidRPr="00B22D14" w:rsidRDefault="00B22D14" w:rsidP="008A162C"/>
    <w:p w14:paraId="6E88DD80" w14:textId="77777777" w:rsidR="00B969E7" w:rsidRPr="00B969E7" w:rsidRDefault="00B969E7" w:rsidP="00B969E7">
      <w:pPr>
        <w:contextualSpacing/>
        <w:jc w:val="center"/>
      </w:pPr>
      <w:r w:rsidRPr="00B969E7">
        <w:t>Centre INRAE PACA</w:t>
      </w:r>
    </w:p>
    <w:p w14:paraId="13A6705D" w14:textId="77777777" w:rsidR="00B969E7" w:rsidRPr="00B969E7" w:rsidRDefault="00B969E7" w:rsidP="00B969E7">
      <w:pPr>
        <w:contextualSpacing/>
        <w:jc w:val="center"/>
      </w:pPr>
      <w:r w:rsidRPr="00B969E7">
        <w:t>Jérôme VEYSSIER</w:t>
      </w:r>
    </w:p>
    <w:p w14:paraId="733152CF" w14:textId="77777777" w:rsidR="00B969E7" w:rsidRPr="00B969E7" w:rsidRDefault="00B969E7" w:rsidP="00B969E7">
      <w:pPr>
        <w:contextualSpacing/>
        <w:jc w:val="center"/>
      </w:pPr>
      <w:r w:rsidRPr="00B969E7">
        <w:t>228 route de l’aérodrome</w:t>
      </w:r>
    </w:p>
    <w:p w14:paraId="4642C3CA" w14:textId="77777777" w:rsidR="00B969E7" w:rsidRPr="00B969E7" w:rsidRDefault="00B969E7" w:rsidP="00B969E7">
      <w:pPr>
        <w:contextualSpacing/>
        <w:jc w:val="center"/>
      </w:pPr>
      <w:r w:rsidRPr="00B969E7">
        <w:t xml:space="preserve">Domaine St Paul – Site </w:t>
      </w:r>
      <w:proofErr w:type="spellStart"/>
      <w:r w:rsidRPr="00B969E7">
        <w:t>Agroparc</w:t>
      </w:r>
      <w:proofErr w:type="spellEnd"/>
      <w:r w:rsidR="007D7EE4">
        <w:t xml:space="preserve"> - </w:t>
      </w:r>
      <w:r w:rsidRPr="00B969E7">
        <w:t>CS 40509</w:t>
      </w:r>
    </w:p>
    <w:p w14:paraId="0A5DE824" w14:textId="77777777" w:rsidR="00B969E7" w:rsidRPr="00B969E7" w:rsidRDefault="00B969E7" w:rsidP="00B969E7">
      <w:pPr>
        <w:contextualSpacing/>
        <w:jc w:val="center"/>
      </w:pPr>
      <w:r w:rsidRPr="00B969E7">
        <w:t>84914 AVIGNON Cedex 9</w:t>
      </w:r>
    </w:p>
    <w:p w14:paraId="4F9F52B1" w14:textId="77777777" w:rsidR="00B22D14" w:rsidRPr="00B22D14" w:rsidRDefault="00B22D14" w:rsidP="008A162C"/>
    <w:p w14:paraId="2E34312F" w14:textId="77777777" w:rsidR="00B22D14" w:rsidRPr="00B22D14" w:rsidRDefault="00B22D14" w:rsidP="008A162C">
      <w:r w:rsidRPr="007B0CFB">
        <w:rPr>
          <w:rFonts w:cs="Arial"/>
          <w:b/>
          <w:bCs/>
          <w:u w:val="single"/>
        </w:rPr>
        <w:t>ou</w:t>
      </w:r>
      <w:r w:rsidRPr="00B22D14">
        <w:rPr>
          <w:rFonts w:cs="Arial"/>
          <w:bCs/>
        </w:rPr>
        <w:t xml:space="preserve"> remise à l’adresse indiquée ci- dessus contre récépissé </w:t>
      </w:r>
      <w:r w:rsidRPr="00B22D14">
        <w:rPr>
          <w:rFonts w:cs="Arial"/>
          <w:bCs/>
          <w:u w:val="single"/>
        </w:rPr>
        <w:t>avant la date limite fixée en page</w:t>
      </w:r>
      <w:r w:rsidRPr="00B22D14">
        <w:rPr>
          <w:rFonts w:cs="Arial"/>
          <w:bCs/>
        </w:rPr>
        <w:t xml:space="preserve"> </w:t>
      </w:r>
      <w:r w:rsidRPr="00B22D14">
        <w:rPr>
          <w:rFonts w:cs="Arial"/>
          <w:bCs/>
          <w:u w:val="single"/>
        </w:rPr>
        <w:t>de garde du présent document.</w:t>
      </w:r>
    </w:p>
    <w:p w14:paraId="234FAC98" w14:textId="77777777" w:rsidR="00B22D14" w:rsidRPr="00B22D14" w:rsidRDefault="00B22D14" w:rsidP="008A162C"/>
    <w:p w14:paraId="429D18DD" w14:textId="77777777" w:rsidR="000A7615" w:rsidRDefault="00B22D14" w:rsidP="000A7615">
      <w:pPr>
        <w:contextualSpacing/>
        <w:rPr>
          <w:rFonts w:cs="Arial"/>
          <w:bCs/>
        </w:rPr>
      </w:pPr>
      <w:r w:rsidRPr="00B22D14">
        <w:rPr>
          <w:rFonts w:cs="Arial"/>
          <w:bCs/>
        </w:rPr>
        <w:t xml:space="preserve">La réception des </w:t>
      </w:r>
      <w:r w:rsidR="00D72520">
        <w:rPr>
          <w:rFonts w:cs="Arial"/>
          <w:bCs/>
        </w:rPr>
        <w:t>copies de sauvegarde</w:t>
      </w:r>
      <w:r w:rsidRPr="00B22D14">
        <w:rPr>
          <w:rFonts w:cs="Arial"/>
          <w:bCs/>
        </w:rPr>
        <w:t xml:space="preserve"> est a</w:t>
      </w:r>
      <w:r w:rsidR="00EC51A4">
        <w:rPr>
          <w:rFonts w:cs="Arial"/>
          <w:bCs/>
        </w:rPr>
        <w:t>ssurée du lundi au vendredi de 8</w:t>
      </w:r>
      <w:r w:rsidRPr="00B22D14">
        <w:rPr>
          <w:rFonts w:cs="Arial"/>
          <w:bCs/>
        </w:rPr>
        <w:t>h</w:t>
      </w:r>
      <w:r w:rsidR="00EC51A4">
        <w:rPr>
          <w:rFonts w:cs="Arial"/>
          <w:bCs/>
        </w:rPr>
        <w:t>30</w:t>
      </w:r>
      <w:r w:rsidRPr="00B22D14">
        <w:rPr>
          <w:rFonts w:cs="Arial"/>
          <w:bCs/>
        </w:rPr>
        <w:t xml:space="preserve"> à 12h</w:t>
      </w:r>
      <w:r w:rsidR="00EC51A4">
        <w:rPr>
          <w:rFonts w:cs="Arial"/>
          <w:bCs/>
        </w:rPr>
        <w:t>15 et de 13</w:t>
      </w:r>
      <w:r w:rsidRPr="00B22D14">
        <w:rPr>
          <w:rFonts w:cs="Arial"/>
          <w:bCs/>
        </w:rPr>
        <w:t>h</w:t>
      </w:r>
      <w:r w:rsidR="00EC51A4">
        <w:rPr>
          <w:rFonts w:cs="Arial"/>
          <w:bCs/>
        </w:rPr>
        <w:t>30</w:t>
      </w:r>
      <w:r w:rsidRPr="00B22D14">
        <w:rPr>
          <w:rFonts w:cs="Arial"/>
          <w:bCs/>
        </w:rPr>
        <w:t xml:space="preserve"> à 16h</w:t>
      </w:r>
      <w:r w:rsidR="000A7615">
        <w:rPr>
          <w:rFonts w:cs="Arial"/>
          <w:bCs/>
        </w:rPr>
        <w:t xml:space="preserve">45. </w:t>
      </w:r>
    </w:p>
    <w:p w14:paraId="1FCFA15E" w14:textId="77777777" w:rsidR="008A162C" w:rsidRDefault="00B22D14" w:rsidP="000A7615">
      <w:pPr>
        <w:contextualSpacing/>
        <w:rPr>
          <w:rFonts w:cs="Arial"/>
          <w:bCs/>
        </w:rPr>
      </w:pPr>
      <w:r w:rsidRPr="00B22D14">
        <w:rPr>
          <w:rFonts w:cs="Arial"/>
          <w:bCs/>
        </w:rPr>
        <w:t>Les dossiers qui parviendraient après la date et l’heure fixées en page de garde du présent document ainsi que ceux parvenus sous enveloppe non cachetée ne seront pas retenus et seront retournés à leurs expéditeurs.</w:t>
      </w:r>
    </w:p>
    <w:p w14:paraId="7B6E46C5" w14:textId="77777777" w:rsidR="00B969E7" w:rsidRDefault="00B969E7" w:rsidP="00604E9F">
      <w:pPr>
        <w:spacing w:before="0" w:after="0"/>
        <w:jc w:val="left"/>
        <w:rPr>
          <w:rFonts w:cs="Arial"/>
          <w:bCs/>
        </w:rPr>
      </w:pPr>
    </w:p>
    <w:p w14:paraId="509DF98A" w14:textId="77777777" w:rsidR="00604E9F" w:rsidRPr="00604E9F" w:rsidRDefault="00EE7BD0">
      <w:pPr>
        <w:pStyle w:val="Titre1"/>
      </w:pPr>
      <w:bookmarkStart w:id="33" w:name="_Toc384796610"/>
      <w:bookmarkStart w:id="34" w:name="_Toc98227279"/>
      <w:r>
        <w:rPr>
          <w:szCs w:val="24"/>
        </w:rPr>
        <w:t>APPRÉCIATION DES CAPACITÉS</w:t>
      </w:r>
      <w:r w:rsidR="009B1727">
        <w:rPr>
          <w:szCs w:val="24"/>
        </w:rPr>
        <w:t xml:space="preserve"> ET JUGEMENT DES </w:t>
      </w:r>
    </w:p>
    <w:p w14:paraId="577AF447" w14:textId="77777777" w:rsidR="009B1727" w:rsidRDefault="00604E9F" w:rsidP="00604E9F">
      <w:pPr>
        <w:pStyle w:val="Titre1"/>
        <w:numPr>
          <w:ilvl w:val="0"/>
          <w:numId w:val="0"/>
        </w:numPr>
        <w:ind w:left="360"/>
      </w:pPr>
      <w:r>
        <w:rPr>
          <w:szCs w:val="24"/>
        </w:rPr>
        <w:t>O</w:t>
      </w:r>
      <w:r w:rsidR="009B1727">
        <w:rPr>
          <w:szCs w:val="24"/>
        </w:rPr>
        <w:t>FFRES</w:t>
      </w:r>
      <w:bookmarkEnd w:id="33"/>
      <w:bookmarkEnd w:id="34"/>
      <w:r w:rsidR="009B1727">
        <w:t xml:space="preserve"> </w:t>
      </w:r>
    </w:p>
    <w:p w14:paraId="22FA3D22" w14:textId="77777777" w:rsidR="009B1727" w:rsidRDefault="009A4336" w:rsidP="008A162C">
      <w:pPr>
        <w:rPr>
          <w:rFonts w:cs="Arial"/>
        </w:rPr>
      </w:pPr>
      <w:r w:rsidRPr="008A162C">
        <w:rPr>
          <w:rFonts w:cs="Arial"/>
        </w:rPr>
        <w:t>L</w:t>
      </w:r>
      <w:r w:rsidR="009B1727" w:rsidRPr="008A162C">
        <w:rPr>
          <w:rFonts w:cs="Arial"/>
        </w:rPr>
        <w:t>e jugement donnera lieu à un classement des offres.</w:t>
      </w:r>
    </w:p>
    <w:p w14:paraId="7508060F" w14:textId="77777777" w:rsidR="00251901" w:rsidRDefault="00251901">
      <w:pPr>
        <w:rPr>
          <w:rFonts w:ascii="Arial" w:hAnsi="Arial" w:cs="Arial"/>
        </w:rPr>
      </w:pPr>
    </w:p>
    <w:p w14:paraId="4FDD5CF1" w14:textId="77777777" w:rsidR="009B1727" w:rsidRDefault="00EE7BD0">
      <w:pPr>
        <w:pStyle w:val="Titre2"/>
      </w:pPr>
      <w:bookmarkStart w:id="35" w:name="_Toc384796611"/>
      <w:bookmarkStart w:id="36" w:name="_Toc98227280"/>
      <w:r>
        <w:t>Appréciation des capacités</w:t>
      </w:r>
      <w:bookmarkEnd w:id="35"/>
      <w:bookmarkEnd w:id="36"/>
    </w:p>
    <w:p w14:paraId="7A436E2D" w14:textId="77777777" w:rsidR="009B1727" w:rsidRDefault="009B1727" w:rsidP="008A162C">
      <w:r>
        <w:t xml:space="preserve">Les critères intervenant pour l’appréciation des </w:t>
      </w:r>
      <w:r w:rsidR="00214529">
        <w:t>capacités</w:t>
      </w:r>
      <w:r w:rsidR="009A4336">
        <w:t xml:space="preserve"> sont </w:t>
      </w:r>
      <w:r>
        <w:t>les garanties et capac</w:t>
      </w:r>
      <w:r w:rsidR="009A4336">
        <w:t xml:space="preserve">ités techniques et financières ainsi que </w:t>
      </w:r>
      <w:r w:rsidR="00C271C1">
        <w:t>la capacité professionnelle</w:t>
      </w:r>
      <w:r>
        <w:t>.</w:t>
      </w:r>
    </w:p>
    <w:p w14:paraId="07E6B261" w14:textId="77777777" w:rsidR="002F575A" w:rsidRDefault="002F575A" w:rsidP="008A162C">
      <w:pPr>
        <w:rPr>
          <w:b/>
          <w:bCs/>
          <w:u w:val="single"/>
        </w:rPr>
      </w:pPr>
    </w:p>
    <w:p w14:paraId="3855FACC" w14:textId="0DAD4A08" w:rsidR="009B1727" w:rsidRDefault="009B1727" w:rsidP="008A162C">
      <w:r>
        <w:t xml:space="preserve">Suite </w:t>
      </w:r>
      <w:r w:rsidR="008A162C">
        <w:t>à cette analyse, sont éliminés</w:t>
      </w:r>
      <w:r w:rsidR="007C74FE">
        <w:t> :</w:t>
      </w:r>
    </w:p>
    <w:p w14:paraId="5583297E" w14:textId="77777777" w:rsidR="009B1727" w:rsidRDefault="009B1727" w:rsidP="008A162C">
      <w:pPr>
        <w:pStyle w:val="Paragraphedeliste"/>
        <w:numPr>
          <w:ilvl w:val="0"/>
          <w:numId w:val="11"/>
        </w:numPr>
      </w:pPr>
      <w:r>
        <w:t>les candidatures qui ne sont pas recevables ;</w:t>
      </w:r>
    </w:p>
    <w:p w14:paraId="23DBA842" w14:textId="77777777" w:rsidR="009B1727" w:rsidRDefault="00722283" w:rsidP="008A162C">
      <w:pPr>
        <w:pStyle w:val="Paragraphedeliste"/>
        <w:numPr>
          <w:ilvl w:val="0"/>
          <w:numId w:val="11"/>
        </w:numPr>
      </w:pPr>
      <w:r>
        <w:t>les soumissionnaires</w:t>
      </w:r>
      <w:r w:rsidR="009B1727">
        <w:t xml:space="preserve"> d</w:t>
      </w:r>
      <w:r w:rsidR="00C271C1">
        <w:t xml:space="preserve">ont les capacités techniques, </w:t>
      </w:r>
      <w:r w:rsidR="009B1727">
        <w:t>financières</w:t>
      </w:r>
      <w:r w:rsidR="00C271C1">
        <w:t xml:space="preserve"> et professionnelles</w:t>
      </w:r>
      <w:r w:rsidR="009B1727">
        <w:t xml:space="preserve"> pour la réalisation des prestations du ou des marchés seront jugées insuffisantes, après analyse des éléments fournis </w:t>
      </w:r>
      <w:r w:rsidR="002D09F6">
        <w:t xml:space="preserve">dans la partie candidature du pli (cf. article </w:t>
      </w:r>
      <w:r w:rsidR="00DA36B3">
        <w:t>7</w:t>
      </w:r>
      <w:r w:rsidR="00EA0AE6">
        <w:t>.1</w:t>
      </w:r>
      <w:r w:rsidR="009B1727">
        <w:t>.1).</w:t>
      </w:r>
    </w:p>
    <w:p w14:paraId="790AC1FD" w14:textId="77777777" w:rsidR="00604E9F" w:rsidRDefault="00604E9F">
      <w:pPr>
        <w:pStyle w:val="Corpsdetexte"/>
        <w:rPr>
          <w:b/>
          <w:bCs/>
          <w:szCs w:val="22"/>
          <w:u w:val="single"/>
        </w:rPr>
      </w:pPr>
    </w:p>
    <w:p w14:paraId="2CC0FB5A" w14:textId="77777777" w:rsidR="009B1727" w:rsidRDefault="009B1727">
      <w:pPr>
        <w:pStyle w:val="Titre2"/>
      </w:pPr>
      <w:bookmarkStart w:id="37" w:name="_Toc219111022"/>
      <w:bookmarkStart w:id="38" w:name="_Toc384796612"/>
      <w:bookmarkStart w:id="39" w:name="_Toc98227281"/>
      <w:r>
        <w:t>Critères d’attribution</w:t>
      </w:r>
      <w:bookmarkEnd w:id="37"/>
      <w:bookmarkEnd w:id="38"/>
      <w:bookmarkEnd w:id="39"/>
      <w:r>
        <w:t xml:space="preserve"> </w:t>
      </w:r>
    </w:p>
    <w:p w14:paraId="027769AA" w14:textId="77777777" w:rsidR="000A7615" w:rsidRPr="00425C92" w:rsidRDefault="000A7615" w:rsidP="000A7615">
      <w:pPr>
        <w:spacing w:before="0" w:after="0"/>
        <w:jc w:val="left"/>
        <w:rPr>
          <w:rFonts w:eastAsia="Times New Roman" w:cs="Arial"/>
          <w:lang w:eastAsia="fr-FR"/>
        </w:rPr>
      </w:pPr>
      <w:r w:rsidRPr="00425C92">
        <w:rPr>
          <w:rFonts w:eastAsia="Times New Roman" w:cs="Arial"/>
          <w:lang w:eastAsia="fr-FR"/>
        </w:rPr>
        <w:t>Les offres seront jugées en fonction des critères pondérés suivants :</w:t>
      </w:r>
    </w:p>
    <w:p w14:paraId="3A1D5A8D" w14:textId="77777777" w:rsidR="000A7615" w:rsidRPr="00425C92" w:rsidRDefault="000A7615" w:rsidP="000A7615">
      <w:pPr>
        <w:spacing w:before="0" w:after="0"/>
        <w:jc w:val="left"/>
        <w:rPr>
          <w:rFonts w:eastAsia="Times New Roman" w:cs="Arial"/>
          <w:lang w:eastAsia="fr-FR"/>
        </w:rPr>
      </w:pPr>
    </w:p>
    <w:p w14:paraId="1327AB1E" w14:textId="72600B80" w:rsidR="000A7615" w:rsidRPr="007C74FE" w:rsidRDefault="007C74FE" w:rsidP="007C74FE">
      <w:pPr>
        <w:pStyle w:val="Paragraphedeliste"/>
        <w:numPr>
          <w:ilvl w:val="0"/>
          <w:numId w:val="17"/>
        </w:numPr>
        <w:spacing w:before="0" w:after="0"/>
        <w:jc w:val="left"/>
        <w:rPr>
          <w:rFonts w:eastAsia="Times New Roman" w:cs="Arial"/>
          <w:b/>
          <w:bCs/>
          <w:lang w:eastAsia="fr-FR"/>
        </w:rPr>
      </w:pPr>
      <w:bookmarkStart w:id="40" w:name="_Hlk220947724"/>
      <w:r>
        <w:rPr>
          <w:rFonts w:eastAsia="Times New Roman" w:cs="Arial"/>
          <w:b/>
          <w:bCs/>
          <w:lang w:eastAsia="fr-FR"/>
        </w:rPr>
        <w:t>p</w:t>
      </w:r>
      <w:r w:rsidR="000A7615" w:rsidRPr="007C74FE">
        <w:rPr>
          <w:rFonts w:eastAsia="Times New Roman" w:cs="Arial"/>
          <w:b/>
          <w:bCs/>
          <w:lang w:eastAsia="fr-FR"/>
        </w:rPr>
        <w:t>rix des prestations au vu du montant forfaitaire annuel et des conditions tarifaires pour les interventions et travaux hors contrat (</w:t>
      </w:r>
      <w:r w:rsidR="00935B51">
        <w:rPr>
          <w:rFonts w:eastAsia="Times New Roman" w:cs="Arial"/>
          <w:b/>
          <w:bCs/>
          <w:lang w:eastAsia="fr-FR"/>
        </w:rPr>
        <w:t>50</w:t>
      </w:r>
      <w:r w:rsidR="000A7615" w:rsidRPr="007C74FE">
        <w:rPr>
          <w:rFonts w:eastAsia="Times New Roman" w:cs="Arial"/>
          <w:b/>
          <w:bCs/>
          <w:lang w:eastAsia="fr-FR"/>
        </w:rPr>
        <w:t>%)</w:t>
      </w:r>
      <w:r>
        <w:rPr>
          <w:rFonts w:eastAsia="Times New Roman" w:cs="Arial"/>
          <w:b/>
          <w:bCs/>
          <w:lang w:eastAsia="fr-FR"/>
        </w:rPr>
        <w:t> ;</w:t>
      </w:r>
    </w:p>
    <w:bookmarkEnd w:id="40"/>
    <w:p w14:paraId="73DC6AD9" w14:textId="77777777" w:rsidR="000A7615" w:rsidRPr="00425C92" w:rsidRDefault="000A7615" w:rsidP="000A7615">
      <w:pPr>
        <w:spacing w:before="0" w:after="0"/>
        <w:jc w:val="left"/>
        <w:rPr>
          <w:rFonts w:eastAsia="Times New Roman" w:cs="Arial"/>
          <w:lang w:eastAsia="fr-FR"/>
        </w:rPr>
      </w:pPr>
    </w:p>
    <w:p w14:paraId="69FBF593" w14:textId="48062372" w:rsidR="000A7615" w:rsidRPr="007C74FE" w:rsidRDefault="007C74FE" w:rsidP="007C74FE">
      <w:pPr>
        <w:pStyle w:val="Paragraphedeliste"/>
        <w:numPr>
          <w:ilvl w:val="0"/>
          <w:numId w:val="17"/>
        </w:numPr>
        <w:tabs>
          <w:tab w:val="left" w:pos="2385"/>
        </w:tabs>
        <w:spacing w:before="0" w:after="0"/>
        <w:jc w:val="left"/>
        <w:rPr>
          <w:rFonts w:eastAsia="Times New Roman" w:cs="Arial"/>
          <w:b/>
          <w:bCs/>
          <w:lang w:eastAsia="fr-FR"/>
        </w:rPr>
      </w:pPr>
      <w:bookmarkStart w:id="41" w:name="_Hlk220947755"/>
      <w:r>
        <w:rPr>
          <w:rFonts w:eastAsia="Times New Roman" w:cs="Arial"/>
          <w:b/>
          <w:bCs/>
          <w:lang w:eastAsia="fr-FR"/>
        </w:rPr>
        <w:lastRenderedPageBreak/>
        <w:t>v</w:t>
      </w:r>
      <w:r w:rsidR="000A7615" w:rsidRPr="007C74FE">
        <w:rPr>
          <w:rFonts w:eastAsia="Times New Roman" w:cs="Arial"/>
          <w:b/>
          <w:bCs/>
          <w:lang w:eastAsia="fr-FR"/>
        </w:rPr>
        <w:t>aleur technique appréciée au vu de la nature des prestations prévues au contrat, des conditions d’intervention, de la formation et de la qualification du personnel, des moyens humains et techniques mis à disposition (</w:t>
      </w:r>
      <w:r w:rsidR="00935B51">
        <w:rPr>
          <w:rFonts w:eastAsia="Times New Roman" w:cs="Arial"/>
          <w:b/>
          <w:bCs/>
          <w:lang w:eastAsia="fr-FR"/>
        </w:rPr>
        <w:t>45</w:t>
      </w:r>
      <w:r w:rsidR="000A7615" w:rsidRPr="007C74FE">
        <w:rPr>
          <w:rFonts w:eastAsia="Times New Roman" w:cs="Arial"/>
          <w:b/>
          <w:bCs/>
          <w:lang w:eastAsia="fr-FR"/>
        </w:rPr>
        <w:t>%)</w:t>
      </w:r>
      <w:r>
        <w:rPr>
          <w:rFonts w:eastAsia="Times New Roman" w:cs="Arial"/>
          <w:b/>
          <w:bCs/>
          <w:lang w:eastAsia="fr-FR"/>
        </w:rPr>
        <w:t> ;</w:t>
      </w:r>
    </w:p>
    <w:bookmarkEnd w:id="41"/>
    <w:p w14:paraId="0208F43A" w14:textId="77777777" w:rsidR="000A7615" w:rsidRPr="00425C92" w:rsidRDefault="000A7615" w:rsidP="000A7615">
      <w:pPr>
        <w:tabs>
          <w:tab w:val="left" w:pos="2385"/>
        </w:tabs>
        <w:spacing w:before="0" w:after="0"/>
        <w:jc w:val="left"/>
        <w:rPr>
          <w:rFonts w:eastAsia="Times New Roman" w:cs="Arial"/>
          <w:b/>
          <w:bCs/>
          <w:lang w:eastAsia="fr-FR"/>
        </w:rPr>
      </w:pPr>
    </w:p>
    <w:p w14:paraId="2C8E1729" w14:textId="72A13B20" w:rsidR="000A7615" w:rsidRPr="007C74FE" w:rsidRDefault="000A7615" w:rsidP="007C74FE">
      <w:pPr>
        <w:pStyle w:val="Paragraphedeliste"/>
        <w:numPr>
          <w:ilvl w:val="0"/>
          <w:numId w:val="17"/>
        </w:numPr>
        <w:spacing w:before="0" w:after="0"/>
        <w:jc w:val="left"/>
        <w:rPr>
          <w:rFonts w:eastAsia="Times New Roman" w:cs="Arial"/>
          <w:lang w:eastAsia="fr-FR"/>
        </w:rPr>
      </w:pPr>
      <w:r w:rsidRPr="007C74FE">
        <w:rPr>
          <w:rFonts w:eastAsia="Times New Roman" w:cs="Arial"/>
          <w:b/>
          <w:bCs/>
          <w:lang w:eastAsia="fr-FR"/>
        </w:rPr>
        <w:t>Engagement de l’entreprise dans le cadre d’une démarche de développement durable (</w:t>
      </w:r>
      <w:r w:rsidR="006740EC">
        <w:rPr>
          <w:rFonts w:eastAsia="Times New Roman" w:cs="Arial"/>
          <w:b/>
          <w:bCs/>
          <w:lang w:eastAsia="fr-FR"/>
        </w:rPr>
        <w:t>5</w:t>
      </w:r>
      <w:r w:rsidRPr="007C74FE">
        <w:rPr>
          <w:rFonts w:eastAsia="Times New Roman" w:cs="Arial"/>
          <w:b/>
          <w:bCs/>
          <w:lang w:eastAsia="fr-FR"/>
        </w:rPr>
        <w:t>%)</w:t>
      </w:r>
      <w:r w:rsidR="007C74FE">
        <w:rPr>
          <w:rFonts w:eastAsia="Times New Roman" w:cs="Arial"/>
          <w:b/>
          <w:bCs/>
          <w:lang w:eastAsia="fr-FR"/>
        </w:rPr>
        <w:t>.</w:t>
      </w:r>
    </w:p>
    <w:p w14:paraId="621B3B50" w14:textId="77777777" w:rsidR="00F01E47" w:rsidRPr="00425C92" w:rsidRDefault="00F01E47" w:rsidP="008A162C">
      <w:pPr>
        <w:rPr>
          <w:b/>
          <w:color w:val="C00000"/>
        </w:rPr>
      </w:pPr>
    </w:p>
    <w:p w14:paraId="49BF5E7A" w14:textId="77777777" w:rsidR="00607A27" w:rsidRPr="00425C92" w:rsidRDefault="00607A27" w:rsidP="008A162C">
      <w:r w:rsidRPr="00425C92">
        <w:t>L’administrati</w:t>
      </w:r>
      <w:r w:rsidR="00722283" w:rsidRPr="00425C92">
        <w:t>on pourra demander aux soumissionnaires</w:t>
      </w:r>
      <w:r w:rsidRPr="00425C92">
        <w:t xml:space="preserve"> de préciser le contenu de leur proposition.</w:t>
      </w:r>
    </w:p>
    <w:p w14:paraId="4D98562C" w14:textId="77777777" w:rsidR="00425C92" w:rsidRPr="00425C92" w:rsidRDefault="00425C92" w:rsidP="008A162C">
      <w:pPr>
        <w:rPr>
          <w:rFonts w:ascii="AvenirNext LT Pro Light" w:hAnsi="AvenirNext LT Pro Light"/>
        </w:rPr>
      </w:pPr>
    </w:p>
    <w:p w14:paraId="682EA661" w14:textId="77777777" w:rsidR="0027253D" w:rsidRDefault="0027253D" w:rsidP="0027253D">
      <w:pPr>
        <w:pStyle w:val="Titre1"/>
      </w:pPr>
      <w:bookmarkStart w:id="42" w:name="_Toc384796613"/>
      <w:bookmarkStart w:id="43" w:name="_Toc98227282"/>
      <w:r>
        <w:t>NÉGOCIATION</w:t>
      </w:r>
      <w:bookmarkEnd w:id="42"/>
      <w:bookmarkEnd w:id="43"/>
      <w:r>
        <w:t xml:space="preserve"> </w:t>
      </w:r>
    </w:p>
    <w:p w14:paraId="60B1D39E" w14:textId="77777777" w:rsidR="007D7EE4" w:rsidRDefault="007D7EE4" w:rsidP="008A162C"/>
    <w:p w14:paraId="21104252" w14:textId="77777777" w:rsidR="00C360A7" w:rsidRDefault="00E92A72" w:rsidP="008A162C">
      <w:r>
        <w:t>INRAE</w:t>
      </w:r>
      <w:r w:rsidR="00C360A7">
        <w:t xml:space="preserve"> se réserve la possibilité de négocier le marché. </w:t>
      </w:r>
    </w:p>
    <w:p w14:paraId="07CD092D" w14:textId="77777777" w:rsidR="004C6DE3" w:rsidRPr="00C42C0D" w:rsidRDefault="004C6DE3" w:rsidP="008A162C">
      <w:pPr>
        <w:rPr>
          <w:b/>
        </w:rPr>
      </w:pPr>
      <w:r w:rsidRPr="00C42C0D">
        <w:rPr>
          <w:b/>
        </w:rPr>
        <w:t xml:space="preserve">Les soumissionnaires préciseront impérativement dans leur offre le nom et l’adresse e-mail de la personne à contacter pour la négociation. </w:t>
      </w:r>
    </w:p>
    <w:p w14:paraId="5FE5BE77" w14:textId="3E668F07" w:rsidR="00865DD4" w:rsidRPr="00C42C0D" w:rsidRDefault="000A7615" w:rsidP="008A162C">
      <w:r w:rsidRPr="00C42C0D">
        <w:t>Une</w:t>
      </w:r>
      <w:r w:rsidR="009A20DD" w:rsidRPr="00C42C0D">
        <w:t xml:space="preserve"> </w:t>
      </w:r>
      <w:r w:rsidR="00865DD4" w:rsidRPr="00C42C0D">
        <w:t xml:space="preserve">négociation sera engagée avec les 3 meilleurs soumissionnaires sélectionnés sur la base des critères spécifiés à l’article </w:t>
      </w:r>
      <w:r w:rsidR="00DA36B3" w:rsidRPr="00C42C0D">
        <w:t>8</w:t>
      </w:r>
      <w:r w:rsidR="00865DD4" w:rsidRPr="00C42C0D">
        <w:t xml:space="preserve">.2. De même le choix final du </w:t>
      </w:r>
      <w:r w:rsidR="007C74FE">
        <w:t>t</w:t>
      </w:r>
      <w:r w:rsidR="00865DD4" w:rsidRPr="00C42C0D">
        <w:t>itulaire du marché se fera sur la base de ces critères en fonction des éléments obtenus ou non lors de la négociation.</w:t>
      </w:r>
    </w:p>
    <w:p w14:paraId="0BC8C123" w14:textId="65DB5C7B" w:rsidR="00865DD4" w:rsidRPr="00C42C0D" w:rsidRDefault="00865DD4" w:rsidP="008A162C">
      <w:r w:rsidRPr="00C42C0D">
        <w:t>La négociation prendra la forme d’un jeu de questions/réponses adressé par courriel à chacun des trois soumissionnaires sélectionnés</w:t>
      </w:r>
      <w:r w:rsidR="008A162C" w:rsidRPr="00C42C0D">
        <w:t>.</w:t>
      </w:r>
    </w:p>
    <w:p w14:paraId="2FA61064" w14:textId="77777777" w:rsidR="00923DF3" w:rsidRDefault="00923DF3" w:rsidP="004C6DE3">
      <w:pPr>
        <w:pStyle w:val="Corpsdetexte"/>
      </w:pPr>
    </w:p>
    <w:p w14:paraId="10CF9A68" w14:textId="77777777" w:rsidR="009B1727" w:rsidRDefault="009B1727">
      <w:pPr>
        <w:pStyle w:val="Titre1"/>
      </w:pPr>
      <w:bookmarkStart w:id="44" w:name="_Toc384796614"/>
      <w:bookmarkStart w:id="45" w:name="_Toc98227283"/>
      <w:r>
        <w:t>MODE DE REGLEMENT</w:t>
      </w:r>
      <w:bookmarkEnd w:id="44"/>
      <w:bookmarkEnd w:id="45"/>
    </w:p>
    <w:p w14:paraId="0763459A" w14:textId="77777777" w:rsidR="009B1727" w:rsidRDefault="009B1727" w:rsidP="004C7E22">
      <w:r>
        <w:t>Le mode de règlement du marché est le virement administratif. Le paiement interviendra sous un délai de 30 Jours maximum a</w:t>
      </w:r>
      <w:r w:rsidR="0077712A">
        <w:t>u compte indiqué par le soumissionnaire dans l’Acte d’E</w:t>
      </w:r>
      <w:r>
        <w:t xml:space="preserve">ngagement. </w:t>
      </w:r>
    </w:p>
    <w:p w14:paraId="0671D2CE" w14:textId="77777777" w:rsidR="00C60639" w:rsidRDefault="00C60639" w:rsidP="004C7E22"/>
    <w:p w14:paraId="57B0E29B" w14:textId="77777777" w:rsidR="00042F25" w:rsidRDefault="009B1727" w:rsidP="004C7E22">
      <w:r>
        <w:t>Le taux des 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w:t>
      </w:r>
      <w:r w:rsidR="00C60639">
        <w:t>ommencé à courir, majoré de huit</w:t>
      </w:r>
      <w:r>
        <w:t xml:space="preserve"> points. </w:t>
      </w:r>
      <w:r w:rsidR="002853A9" w:rsidRPr="002853A9">
        <w:t>Une indemnité forfaitaire de 40 € correspondant aux frais de recouvrement sera versée.</w:t>
      </w:r>
    </w:p>
    <w:p w14:paraId="37F22FDF" w14:textId="77777777" w:rsidR="00865DD4" w:rsidRDefault="00865DD4">
      <w:pPr>
        <w:rPr>
          <w:rFonts w:ascii="Arial" w:hAnsi="Arial" w:cs="Arial"/>
          <w:b/>
          <w:bCs/>
          <w:u w:val="single"/>
        </w:rPr>
      </w:pPr>
    </w:p>
    <w:p w14:paraId="61235680" w14:textId="77777777" w:rsidR="009B1727" w:rsidRDefault="009B1727">
      <w:pPr>
        <w:pStyle w:val="Titre1"/>
        <w:rPr>
          <w:szCs w:val="24"/>
        </w:rPr>
      </w:pPr>
      <w:bookmarkStart w:id="46" w:name="_Toc384796615"/>
      <w:bookmarkStart w:id="47" w:name="_Toc98227284"/>
      <w:r>
        <w:rPr>
          <w:szCs w:val="24"/>
        </w:rPr>
        <w:t>MODALITÉS DE NOTIFICATION DU MARCHÉ :</w:t>
      </w:r>
      <w:bookmarkEnd w:id="46"/>
      <w:bookmarkEnd w:id="47"/>
    </w:p>
    <w:p w14:paraId="23BA5A32" w14:textId="77777777" w:rsidR="007D70CF" w:rsidRDefault="008C6480" w:rsidP="004C7E22">
      <w:r>
        <w:t xml:space="preserve">Pour le cas où la procédure comprend un </w:t>
      </w:r>
      <w:r w:rsidR="00617564" w:rsidRPr="00617564">
        <w:t>Acte d’Engagement</w:t>
      </w:r>
      <w:r>
        <w:t>, ce dernier</w:t>
      </w:r>
      <w:r w:rsidR="00617564" w:rsidRPr="00617564">
        <w:t xml:space="preserve"> sera rematérialisé et signé </w:t>
      </w:r>
      <w:r w:rsidR="00C60639">
        <w:t xml:space="preserve">physiquement par l’attributaire </w:t>
      </w:r>
      <w:r w:rsidR="00F93A2E">
        <w:t>du marché puis adressé à l’</w:t>
      </w:r>
      <w:r w:rsidR="00E92A72">
        <w:t>INRAE</w:t>
      </w:r>
      <w:r w:rsidR="00617564" w:rsidRPr="00617564">
        <w:t>.</w:t>
      </w:r>
      <w:r w:rsidR="009A20DD">
        <w:t xml:space="preserve"> L’</w:t>
      </w:r>
      <w:r w:rsidR="00E92A72">
        <w:t>INRAE</w:t>
      </w:r>
      <w:r w:rsidR="009A20DD">
        <w:t xml:space="preserve"> le signera, puis notifiera le marché au titulaire. La notification consiste en la réception par la titulaire d’une copie du marché signé des deux parties. La notification pourra être électronique.</w:t>
      </w:r>
    </w:p>
    <w:p w14:paraId="3F230702" w14:textId="77777777" w:rsidR="008A162C" w:rsidRDefault="008A162C" w:rsidP="004C7E22"/>
    <w:p w14:paraId="3DD09F35" w14:textId="77777777" w:rsidR="009B1727" w:rsidRDefault="00B969E7">
      <w:pPr>
        <w:pStyle w:val="Titre1"/>
      </w:pPr>
      <w:bookmarkStart w:id="48" w:name="_Toc384796616"/>
      <w:bookmarkStart w:id="49" w:name="_Toc98227285"/>
      <w:r>
        <w:t xml:space="preserve">VISITE ET </w:t>
      </w:r>
      <w:r w:rsidR="009B1727">
        <w:t>RENSEIGNEMENTS COMPLEMENTAIRES</w:t>
      </w:r>
      <w:bookmarkEnd w:id="48"/>
      <w:bookmarkEnd w:id="49"/>
    </w:p>
    <w:p w14:paraId="07789909" w14:textId="77777777" w:rsidR="00B969E7" w:rsidRDefault="00B969E7" w:rsidP="00B969E7">
      <w:r>
        <w:t>Le dossier de consultation comprend : le règlement de consultation, l’acte d’engagement valant cahier des charges, 2 annexes.</w:t>
      </w:r>
    </w:p>
    <w:p w14:paraId="3893AD83" w14:textId="77777777" w:rsidR="004459AD" w:rsidRDefault="004459AD" w:rsidP="004459AD">
      <w:r>
        <w:t>Une visite des locaux et des installations est facultative pendant la durée de la consultation des entreprises.</w:t>
      </w:r>
    </w:p>
    <w:p w14:paraId="147439C2" w14:textId="77777777" w:rsidR="004459AD" w:rsidRDefault="004459AD" w:rsidP="00B969E7">
      <w:r>
        <w:lastRenderedPageBreak/>
        <w:t xml:space="preserve">Néanmoins les entreprises qui le souhaitent peuvent visiter les lieux. </w:t>
      </w:r>
      <w:r w:rsidRPr="004459AD">
        <w:t>Les rendez-vous seront pris auprès de MM. Cédric BIGI ou Philippe</w:t>
      </w:r>
      <w:r>
        <w:t xml:space="preserve"> BORDON, coordonnées ci-dessous :</w:t>
      </w:r>
    </w:p>
    <w:p w14:paraId="49D87FAC" w14:textId="77777777" w:rsidR="004459AD" w:rsidRDefault="00B969E7" w:rsidP="00B969E7">
      <w:r>
        <w:t xml:space="preserve">Email : </w:t>
      </w:r>
      <w:hyperlink r:id="rId13" w:history="1">
        <w:r w:rsidRPr="00B969E7">
          <w:rPr>
            <w:rStyle w:val="Lienhypertexte"/>
          </w:rPr>
          <w:t>cedric.bigi@inrae.fr</w:t>
        </w:r>
      </w:hyperlink>
      <w:r>
        <w:t xml:space="preserve">          Portable : 06 86 76 80 28</w:t>
      </w:r>
    </w:p>
    <w:p w14:paraId="11A6CC2B" w14:textId="77777777" w:rsidR="00B969E7" w:rsidRDefault="004459AD" w:rsidP="00B969E7">
      <w:r w:rsidRPr="004459AD">
        <w:t xml:space="preserve">Email : </w:t>
      </w:r>
      <w:hyperlink r:id="rId14" w:history="1">
        <w:r w:rsidR="005F5FE7" w:rsidRPr="00C734CC">
          <w:rPr>
            <w:rStyle w:val="Lienhypertexte"/>
          </w:rPr>
          <w:t>philippe.bordon@inrae.fr</w:t>
        </w:r>
      </w:hyperlink>
      <w:r w:rsidRPr="004459AD">
        <w:t xml:space="preserve">          Portable : 06 </w:t>
      </w:r>
      <w:r>
        <w:t>76 12 07 19</w:t>
      </w:r>
      <w:r w:rsidR="00B969E7">
        <w:tab/>
      </w:r>
    </w:p>
    <w:p w14:paraId="46F34990" w14:textId="77777777" w:rsidR="00BF1112" w:rsidRDefault="00BF1112" w:rsidP="00B969E7"/>
    <w:p w14:paraId="7E59FF23" w14:textId="77777777" w:rsidR="00B969E7" w:rsidRDefault="00B969E7" w:rsidP="00B969E7">
      <w:r>
        <w:t>Pour obtenir des renseignements complémentaires qui seraient nécessaires à la préparation de leur offre, les soumissionnaires doivent s’adresser en temps utile à INRAE et de telle sorte que l’Institut puisse répondre, au plus tard, 4 jours avant la date limite de remise des offres, sur le prof</w:t>
      </w:r>
      <w:r w:rsidR="001526B2">
        <w:t>il d’acheteur de INRAE (PLACE).</w:t>
      </w:r>
    </w:p>
    <w:p w14:paraId="5D9DDC25" w14:textId="77777777" w:rsidR="00B969E7" w:rsidRDefault="00B969E7" w:rsidP="00B969E7"/>
    <w:p w14:paraId="0C137028" w14:textId="329743E9" w:rsidR="009B1727" w:rsidRPr="0050331B" w:rsidRDefault="009B1727" w:rsidP="004C7E22">
      <w:pPr>
        <w:rPr>
          <w:b/>
          <w:color w:val="FF0000"/>
        </w:rPr>
      </w:pPr>
      <w:r w:rsidRPr="0050331B">
        <w:rPr>
          <w:b/>
          <w:color w:val="FF0000"/>
        </w:rPr>
        <w:tab/>
      </w:r>
      <w:r w:rsidRPr="0050331B">
        <w:rPr>
          <w:b/>
          <w:color w:val="FF0000"/>
        </w:rPr>
        <w:tab/>
      </w:r>
      <w:r w:rsidRPr="0050331B">
        <w:rPr>
          <w:b/>
          <w:color w:val="FF0000"/>
        </w:rPr>
        <w:tab/>
      </w:r>
      <w:r w:rsidRPr="0050331B">
        <w:rPr>
          <w:b/>
          <w:color w:val="FF0000"/>
        </w:rPr>
        <w:tab/>
      </w:r>
      <w:r w:rsidRPr="0050331B">
        <w:rPr>
          <w:b/>
          <w:color w:val="FF0000"/>
        </w:rPr>
        <w:tab/>
      </w:r>
      <w:r w:rsidRPr="0050331B">
        <w:rPr>
          <w:b/>
          <w:color w:val="FF0000"/>
        </w:rPr>
        <w:tab/>
        <w:t xml:space="preserve">               </w:t>
      </w:r>
      <w:r w:rsidR="008A4856" w:rsidRPr="0050331B">
        <w:rPr>
          <w:b/>
          <w:color w:val="FF0000"/>
        </w:rPr>
        <w:tab/>
      </w:r>
      <w:r w:rsidR="00AE6295" w:rsidRPr="00B969E7">
        <w:rPr>
          <w:b/>
        </w:rPr>
        <w:t>É</w:t>
      </w:r>
      <w:r w:rsidR="00F93A2E" w:rsidRPr="00B969E7">
        <w:rPr>
          <w:b/>
        </w:rPr>
        <w:t xml:space="preserve">tabli à </w:t>
      </w:r>
      <w:r w:rsidR="00023BEB">
        <w:rPr>
          <w:b/>
        </w:rPr>
        <w:t>Avignon</w:t>
      </w:r>
      <w:r w:rsidR="00F93A2E" w:rsidRPr="00B969E7">
        <w:rPr>
          <w:b/>
        </w:rPr>
        <w:t xml:space="preserve">, le </w:t>
      </w:r>
      <w:r w:rsidR="0008160F">
        <w:rPr>
          <w:b/>
        </w:rPr>
        <w:t>19</w:t>
      </w:r>
      <w:r w:rsidR="004E08BA">
        <w:rPr>
          <w:b/>
        </w:rPr>
        <w:t xml:space="preserve"> février</w:t>
      </w:r>
      <w:r w:rsidR="00023BEB">
        <w:rPr>
          <w:b/>
        </w:rPr>
        <w:t xml:space="preserve"> 202</w:t>
      </w:r>
      <w:r w:rsidR="00703BA4">
        <w:rPr>
          <w:b/>
        </w:rPr>
        <w:t>6</w:t>
      </w:r>
      <w:r w:rsidRPr="0050331B">
        <w:rPr>
          <w:b/>
          <w:color w:val="FF0000"/>
        </w:rPr>
        <w:tab/>
      </w:r>
      <w:r w:rsidRPr="0050331B">
        <w:rPr>
          <w:b/>
          <w:color w:val="FF0000"/>
        </w:rPr>
        <w:tab/>
      </w:r>
      <w:r w:rsidRPr="0050331B">
        <w:rPr>
          <w:b/>
          <w:color w:val="FF0000"/>
        </w:rPr>
        <w:tab/>
      </w:r>
    </w:p>
    <w:sectPr w:rsidR="009B1727" w:rsidRPr="0050331B">
      <w:footerReference w:type="even"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A7C4" w14:textId="77777777" w:rsidR="00F75D1D" w:rsidRDefault="00F75D1D">
      <w:r>
        <w:separator/>
      </w:r>
    </w:p>
  </w:endnote>
  <w:endnote w:type="continuationSeparator" w:id="0">
    <w:p w14:paraId="5E9769BA" w14:textId="77777777" w:rsidR="00F75D1D" w:rsidRDefault="00F7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Next LT Pro Cn">
    <w:panose1 w:val="020B0506020202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venirNext LT Pro Light">
    <w:panose1 w:val="020B0403020202020204"/>
    <w:charset w:val="00"/>
    <w:family w:val="swiss"/>
    <w:notTrueType/>
    <w:pitch w:val="variable"/>
    <w:sig w:usb0="A00000A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CF49" w14:textId="77777777" w:rsidR="004459AD" w:rsidRDefault="004459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3BF5B8" w14:textId="77777777" w:rsidR="004459AD" w:rsidRDefault="004459A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3543" w14:textId="77777777" w:rsidR="004459AD" w:rsidRDefault="004459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D17CA">
      <w:rPr>
        <w:rStyle w:val="Numrodepage"/>
        <w:noProof/>
      </w:rPr>
      <w:t>9</w:t>
    </w:r>
    <w:r>
      <w:rPr>
        <w:rStyle w:val="Numrodepage"/>
      </w:rPr>
      <w:fldChar w:fldCharType="end"/>
    </w:r>
  </w:p>
  <w:p w14:paraId="4AB519B7" w14:textId="77777777" w:rsidR="004459AD" w:rsidRDefault="004459A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9554" w14:textId="77777777" w:rsidR="00F75D1D" w:rsidRDefault="00F75D1D">
      <w:r>
        <w:separator/>
      </w:r>
    </w:p>
  </w:footnote>
  <w:footnote w:type="continuationSeparator" w:id="0">
    <w:p w14:paraId="6DE5F469" w14:textId="77777777" w:rsidR="00F75D1D" w:rsidRDefault="00F75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131722D"/>
    <w:multiLevelType w:val="hybridMultilevel"/>
    <w:tmpl w:val="FD6A6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1768A8"/>
    <w:multiLevelType w:val="hybridMultilevel"/>
    <w:tmpl w:val="C3EA9D10"/>
    <w:lvl w:ilvl="0" w:tplc="040C000F">
      <w:start w:val="1"/>
      <w:numFmt w:val="decimal"/>
      <w:lvlText w:val="%1."/>
      <w:lvlJc w:val="left"/>
      <w:pPr>
        <w:tabs>
          <w:tab w:val="num" w:pos="720"/>
        </w:tabs>
        <w:ind w:left="720" w:hanging="360"/>
      </w:pPr>
    </w:lvl>
    <w:lvl w:ilvl="1" w:tplc="8AFE976E">
      <w:start w:val="1"/>
      <w:numFmt w:val="bullet"/>
      <w:lvlText w:val="-"/>
      <w:lvlJc w:val="left"/>
      <w:pPr>
        <w:tabs>
          <w:tab w:val="num" w:pos="1440"/>
        </w:tabs>
        <w:ind w:left="1440" w:hanging="360"/>
      </w:pPr>
      <w:rPr>
        <w:rFonts w:ascii="Arial" w:hAnsi="Arial" w:hint="default"/>
        <w:b w:val="0"/>
        <w:i w:val="0"/>
        <w:caps w:val="0"/>
        <w:strike w:val="0"/>
        <w:dstrike w:val="0"/>
        <w:vanish w:val="0"/>
        <w:color w:val="000000"/>
        <w:sz w:val="20"/>
        <w:szCs w:val="20"/>
        <w:u w:color="FF99CC"/>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AAB4963"/>
    <w:multiLevelType w:val="hybridMultilevel"/>
    <w:tmpl w:val="377270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35E91"/>
    <w:multiLevelType w:val="hybridMultilevel"/>
    <w:tmpl w:val="BC6618C4"/>
    <w:lvl w:ilvl="0" w:tplc="21C03376">
      <w:numFmt w:val="bullet"/>
      <w:lvlText w:val="-"/>
      <w:lvlJc w:val="left"/>
      <w:pPr>
        <w:ind w:left="720" w:hanging="360"/>
      </w:pPr>
      <w:rPr>
        <w:rFonts w:ascii="AvenirNext LT Pro Cn" w:eastAsia="Calibr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720F64"/>
    <w:multiLevelType w:val="hybridMultilevel"/>
    <w:tmpl w:val="217CE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BC6D94"/>
    <w:multiLevelType w:val="hybridMultilevel"/>
    <w:tmpl w:val="11122A9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F9E4807"/>
    <w:multiLevelType w:val="multilevel"/>
    <w:tmpl w:val="048A8108"/>
    <w:styleLink w:val="ModleTitre"/>
    <w:lvl w:ilvl="0">
      <w:start w:val="1"/>
      <w:numFmt w:val="decimal"/>
      <w:pStyle w:val="Titre1"/>
      <w:lvlText w:val="%1."/>
      <w:lvlJc w:val="left"/>
      <w:pPr>
        <w:ind w:left="360" w:hanging="360"/>
      </w:pPr>
      <w:rPr>
        <w:rFonts w:hint="default"/>
        <w:b/>
        <w:color w:val="00A6A3"/>
      </w:rPr>
    </w:lvl>
    <w:lvl w:ilvl="1">
      <w:start w:val="1"/>
      <w:numFmt w:val="decimal"/>
      <w:pStyle w:val="Titre2"/>
      <w:lvlText w:val="%1.%2."/>
      <w:lvlJc w:val="left"/>
      <w:pPr>
        <w:ind w:left="792" w:hanging="432"/>
      </w:pPr>
      <w:rPr>
        <w:rFonts w:hint="default"/>
        <w:b/>
        <w:color w:val="00A6A3"/>
      </w:rPr>
    </w:lvl>
    <w:lvl w:ilvl="2">
      <w:start w:val="1"/>
      <w:numFmt w:val="decimal"/>
      <w:pStyle w:val="Titre3"/>
      <w:lvlText w:val="%1.%2.%3."/>
      <w:lvlJc w:val="left"/>
      <w:pPr>
        <w:ind w:left="1224" w:hanging="504"/>
      </w:pPr>
      <w:rPr>
        <w:rFonts w:hint="default"/>
        <w:b/>
        <w:color w:val="00A6A3"/>
      </w:rPr>
    </w:lvl>
    <w:lvl w:ilvl="3">
      <w:start w:val="1"/>
      <w:numFmt w:val="decimal"/>
      <w:pStyle w:val="Titre4"/>
      <w:lvlText w:val="%1.%2.%3.%4."/>
      <w:lvlJc w:val="left"/>
      <w:pPr>
        <w:ind w:left="1728" w:hanging="648"/>
      </w:pPr>
      <w:rPr>
        <w:rFonts w:hint="default"/>
        <w:b/>
        <w:color w:val="00A6A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3C00C1"/>
    <w:multiLevelType w:val="hybridMultilevel"/>
    <w:tmpl w:val="2DFC98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BD5193"/>
    <w:multiLevelType w:val="hybridMultilevel"/>
    <w:tmpl w:val="647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4D126D"/>
    <w:multiLevelType w:val="hybridMultilevel"/>
    <w:tmpl w:val="3A8A1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C03E83"/>
    <w:multiLevelType w:val="hybridMultilevel"/>
    <w:tmpl w:val="BA864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372985"/>
    <w:multiLevelType w:val="hybridMultilevel"/>
    <w:tmpl w:val="40ECECCA"/>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72EB64EC"/>
    <w:multiLevelType w:val="hybridMultilevel"/>
    <w:tmpl w:val="F4562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436DDA"/>
    <w:multiLevelType w:val="hybridMultilevel"/>
    <w:tmpl w:val="3536B724"/>
    <w:lvl w:ilvl="0" w:tplc="1FCC37B2">
      <w:start w:val="4"/>
      <w:numFmt w:val="bullet"/>
      <w:lvlText w:val="-"/>
      <w:lvlJc w:val="left"/>
      <w:pPr>
        <w:ind w:left="1420" w:hanging="360"/>
      </w:pPr>
      <w:rPr>
        <w:rFonts w:ascii="Times New Roman" w:eastAsia="Times New Roman" w:hAnsi="Times New Roman" w:cs="Times New Roman"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6" w15:restartNumberingAfterBreak="0">
    <w:nsid w:val="7C406DBB"/>
    <w:multiLevelType w:val="hybridMultilevel"/>
    <w:tmpl w:val="FD1CB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3"/>
  </w:num>
  <w:num w:numId="4">
    <w:abstractNumId w:val="4"/>
  </w:num>
  <w:num w:numId="5">
    <w:abstractNumId w:val="15"/>
  </w:num>
  <w:num w:numId="6">
    <w:abstractNumId w:val="7"/>
  </w:num>
  <w:num w:numId="7">
    <w:abstractNumId w:val="8"/>
  </w:num>
  <w:num w:numId="8">
    <w:abstractNumId w:val="10"/>
  </w:num>
  <w:num w:numId="9">
    <w:abstractNumId w:val="6"/>
  </w:num>
  <w:num w:numId="10">
    <w:abstractNumId w:val="16"/>
  </w:num>
  <w:num w:numId="11">
    <w:abstractNumId w:val="14"/>
  </w:num>
  <w:num w:numId="12">
    <w:abstractNumId w:val="12"/>
  </w:num>
  <w:num w:numId="13">
    <w:abstractNumId w:val="9"/>
  </w:num>
  <w:num w:numId="14">
    <w:abstractNumId w:val="11"/>
  </w:num>
  <w:num w:numId="15">
    <w:abstractNumId w:val="2"/>
  </w:num>
  <w:num w:numId="16">
    <w:abstractNumId w:val="8"/>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79"/>
    <w:rsid w:val="000061B0"/>
    <w:rsid w:val="000116AE"/>
    <w:rsid w:val="00015DC4"/>
    <w:rsid w:val="00023BEB"/>
    <w:rsid w:val="00024827"/>
    <w:rsid w:val="00026FAD"/>
    <w:rsid w:val="00042F25"/>
    <w:rsid w:val="000469BE"/>
    <w:rsid w:val="00050093"/>
    <w:rsid w:val="00057143"/>
    <w:rsid w:val="000659E1"/>
    <w:rsid w:val="0008160F"/>
    <w:rsid w:val="000935CB"/>
    <w:rsid w:val="00096F71"/>
    <w:rsid w:val="000A7615"/>
    <w:rsid w:val="000B0516"/>
    <w:rsid w:val="000C5AE0"/>
    <w:rsid w:val="000E2FFA"/>
    <w:rsid w:val="000E66B6"/>
    <w:rsid w:val="001022C8"/>
    <w:rsid w:val="00104895"/>
    <w:rsid w:val="001051E5"/>
    <w:rsid w:val="001236DF"/>
    <w:rsid w:val="00135DAF"/>
    <w:rsid w:val="00142428"/>
    <w:rsid w:val="00143C43"/>
    <w:rsid w:val="0015155D"/>
    <w:rsid w:val="001526B2"/>
    <w:rsid w:val="00154CDF"/>
    <w:rsid w:val="0016538A"/>
    <w:rsid w:val="00176F97"/>
    <w:rsid w:val="0018402D"/>
    <w:rsid w:val="00187785"/>
    <w:rsid w:val="001906C8"/>
    <w:rsid w:val="0019138D"/>
    <w:rsid w:val="001A06B3"/>
    <w:rsid w:val="001A0B74"/>
    <w:rsid w:val="001A5755"/>
    <w:rsid w:val="001B524F"/>
    <w:rsid w:val="001B53B6"/>
    <w:rsid w:val="001B5F19"/>
    <w:rsid w:val="001D2482"/>
    <w:rsid w:val="001D33E8"/>
    <w:rsid w:val="001D586F"/>
    <w:rsid w:val="001D7FC6"/>
    <w:rsid w:val="001F0B60"/>
    <w:rsid w:val="0020010B"/>
    <w:rsid w:val="00206C0A"/>
    <w:rsid w:val="00211EA2"/>
    <w:rsid w:val="002139C4"/>
    <w:rsid w:val="00214529"/>
    <w:rsid w:val="0021535F"/>
    <w:rsid w:val="002171F3"/>
    <w:rsid w:val="0023429E"/>
    <w:rsid w:val="00235457"/>
    <w:rsid w:val="0024362B"/>
    <w:rsid w:val="0024368B"/>
    <w:rsid w:val="00245D45"/>
    <w:rsid w:val="00251901"/>
    <w:rsid w:val="002537DD"/>
    <w:rsid w:val="0026624E"/>
    <w:rsid w:val="0027253D"/>
    <w:rsid w:val="00284094"/>
    <w:rsid w:val="002853A9"/>
    <w:rsid w:val="00287B2A"/>
    <w:rsid w:val="0029409E"/>
    <w:rsid w:val="002A6929"/>
    <w:rsid w:val="002B3903"/>
    <w:rsid w:val="002B6255"/>
    <w:rsid w:val="002D09F6"/>
    <w:rsid w:val="002D0BCD"/>
    <w:rsid w:val="002D17CA"/>
    <w:rsid w:val="002D4086"/>
    <w:rsid w:val="002D6649"/>
    <w:rsid w:val="002E0591"/>
    <w:rsid w:val="002F40CC"/>
    <w:rsid w:val="002F575A"/>
    <w:rsid w:val="002F5D92"/>
    <w:rsid w:val="002F6125"/>
    <w:rsid w:val="002F779F"/>
    <w:rsid w:val="0030461B"/>
    <w:rsid w:val="003153CF"/>
    <w:rsid w:val="0031733B"/>
    <w:rsid w:val="00317A60"/>
    <w:rsid w:val="00317B74"/>
    <w:rsid w:val="0033097B"/>
    <w:rsid w:val="00331B62"/>
    <w:rsid w:val="0033305B"/>
    <w:rsid w:val="00336EBD"/>
    <w:rsid w:val="00346228"/>
    <w:rsid w:val="00355748"/>
    <w:rsid w:val="00361ACE"/>
    <w:rsid w:val="00362605"/>
    <w:rsid w:val="00366028"/>
    <w:rsid w:val="00366D27"/>
    <w:rsid w:val="0037663A"/>
    <w:rsid w:val="003848B1"/>
    <w:rsid w:val="00384B49"/>
    <w:rsid w:val="00393C8F"/>
    <w:rsid w:val="003A0C30"/>
    <w:rsid w:val="003A1C63"/>
    <w:rsid w:val="003A2A52"/>
    <w:rsid w:val="003A3B3F"/>
    <w:rsid w:val="003D396D"/>
    <w:rsid w:val="003E35B8"/>
    <w:rsid w:val="003F5C56"/>
    <w:rsid w:val="00400369"/>
    <w:rsid w:val="004208F5"/>
    <w:rsid w:val="00423FB9"/>
    <w:rsid w:val="00425C92"/>
    <w:rsid w:val="00434770"/>
    <w:rsid w:val="004459AD"/>
    <w:rsid w:val="00446434"/>
    <w:rsid w:val="004520E8"/>
    <w:rsid w:val="004555C8"/>
    <w:rsid w:val="004702C6"/>
    <w:rsid w:val="00470F03"/>
    <w:rsid w:val="0048047E"/>
    <w:rsid w:val="00482E94"/>
    <w:rsid w:val="00484C12"/>
    <w:rsid w:val="00485961"/>
    <w:rsid w:val="00487B7A"/>
    <w:rsid w:val="004A1E5C"/>
    <w:rsid w:val="004B32A0"/>
    <w:rsid w:val="004B385A"/>
    <w:rsid w:val="004C6DE3"/>
    <w:rsid w:val="004C6EBB"/>
    <w:rsid w:val="004C7E22"/>
    <w:rsid w:val="004D1D9F"/>
    <w:rsid w:val="004E08BA"/>
    <w:rsid w:val="004E2E96"/>
    <w:rsid w:val="004E396F"/>
    <w:rsid w:val="004E4039"/>
    <w:rsid w:val="004E768C"/>
    <w:rsid w:val="004F2EC8"/>
    <w:rsid w:val="0050331B"/>
    <w:rsid w:val="00505F3E"/>
    <w:rsid w:val="00507A43"/>
    <w:rsid w:val="005241F4"/>
    <w:rsid w:val="005270D9"/>
    <w:rsid w:val="0053501B"/>
    <w:rsid w:val="00546D90"/>
    <w:rsid w:val="005515A4"/>
    <w:rsid w:val="00570541"/>
    <w:rsid w:val="00574BA1"/>
    <w:rsid w:val="005949A8"/>
    <w:rsid w:val="005A4CC2"/>
    <w:rsid w:val="005A7BC3"/>
    <w:rsid w:val="005B563A"/>
    <w:rsid w:val="005C06E0"/>
    <w:rsid w:val="005D2039"/>
    <w:rsid w:val="005E526F"/>
    <w:rsid w:val="005F5FE7"/>
    <w:rsid w:val="005F7B84"/>
    <w:rsid w:val="00602B54"/>
    <w:rsid w:val="00604E9F"/>
    <w:rsid w:val="00607180"/>
    <w:rsid w:val="00607A27"/>
    <w:rsid w:val="00612691"/>
    <w:rsid w:val="006126B5"/>
    <w:rsid w:val="0061342D"/>
    <w:rsid w:val="00615C1B"/>
    <w:rsid w:val="00615F10"/>
    <w:rsid w:val="00617041"/>
    <w:rsid w:val="00617564"/>
    <w:rsid w:val="006376AA"/>
    <w:rsid w:val="00643AC8"/>
    <w:rsid w:val="00646697"/>
    <w:rsid w:val="006740EC"/>
    <w:rsid w:val="006754C4"/>
    <w:rsid w:val="00681D26"/>
    <w:rsid w:val="006854B9"/>
    <w:rsid w:val="006B2186"/>
    <w:rsid w:val="006C3ABF"/>
    <w:rsid w:val="006D34D7"/>
    <w:rsid w:val="006F3FB2"/>
    <w:rsid w:val="006F4477"/>
    <w:rsid w:val="00703BA4"/>
    <w:rsid w:val="00704289"/>
    <w:rsid w:val="00704B6C"/>
    <w:rsid w:val="0071381B"/>
    <w:rsid w:val="00714721"/>
    <w:rsid w:val="00717401"/>
    <w:rsid w:val="00722283"/>
    <w:rsid w:val="00724B04"/>
    <w:rsid w:val="00725BF6"/>
    <w:rsid w:val="00726BA4"/>
    <w:rsid w:val="007549C6"/>
    <w:rsid w:val="00756D6B"/>
    <w:rsid w:val="0077712A"/>
    <w:rsid w:val="007A0A67"/>
    <w:rsid w:val="007A1576"/>
    <w:rsid w:val="007B0CFB"/>
    <w:rsid w:val="007C1089"/>
    <w:rsid w:val="007C3C98"/>
    <w:rsid w:val="007C74FE"/>
    <w:rsid w:val="007D6E75"/>
    <w:rsid w:val="007D70CF"/>
    <w:rsid w:val="007D7EE4"/>
    <w:rsid w:val="007E4B79"/>
    <w:rsid w:val="007E736D"/>
    <w:rsid w:val="007F03F6"/>
    <w:rsid w:val="00814499"/>
    <w:rsid w:val="00826483"/>
    <w:rsid w:val="008313D7"/>
    <w:rsid w:val="008336AF"/>
    <w:rsid w:val="0083382B"/>
    <w:rsid w:val="00846451"/>
    <w:rsid w:val="008501BA"/>
    <w:rsid w:val="008503F2"/>
    <w:rsid w:val="00850EF6"/>
    <w:rsid w:val="0085632C"/>
    <w:rsid w:val="00864652"/>
    <w:rsid w:val="00865DD4"/>
    <w:rsid w:val="008744DB"/>
    <w:rsid w:val="00881E87"/>
    <w:rsid w:val="008827AF"/>
    <w:rsid w:val="00883A5F"/>
    <w:rsid w:val="00884254"/>
    <w:rsid w:val="00890C27"/>
    <w:rsid w:val="00895FC7"/>
    <w:rsid w:val="008A162C"/>
    <w:rsid w:val="008A4856"/>
    <w:rsid w:val="008A708B"/>
    <w:rsid w:val="008B57F0"/>
    <w:rsid w:val="008B731E"/>
    <w:rsid w:val="008C07D7"/>
    <w:rsid w:val="008C1D92"/>
    <w:rsid w:val="008C5FA8"/>
    <w:rsid w:val="008C6480"/>
    <w:rsid w:val="008D0A6E"/>
    <w:rsid w:val="008D1B34"/>
    <w:rsid w:val="008F3825"/>
    <w:rsid w:val="00915273"/>
    <w:rsid w:val="009170FB"/>
    <w:rsid w:val="00923DF3"/>
    <w:rsid w:val="009274C4"/>
    <w:rsid w:val="00930EDD"/>
    <w:rsid w:val="00935B51"/>
    <w:rsid w:val="009422C3"/>
    <w:rsid w:val="0094599F"/>
    <w:rsid w:val="009526C9"/>
    <w:rsid w:val="00960E9A"/>
    <w:rsid w:val="009840FC"/>
    <w:rsid w:val="0099386A"/>
    <w:rsid w:val="00994FC8"/>
    <w:rsid w:val="00996331"/>
    <w:rsid w:val="009966DE"/>
    <w:rsid w:val="009A20DD"/>
    <w:rsid w:val="009A4336"/>
    <w:rsid w:val="009B07BB"/>
    <w:rsid w:val="009B1727"/>
    <w:rsid w:val="009B364F"/>
    <w:rsid w:val="009B4260"/>
    <w:rsid w:val="009C66F4"/>
    <w:rsid w:val="009C6BC4"/>
    <w:rsid w:val="009D30A0"/>
    <w:rsid w:val="009D5996"/>
    <w:rsid w:val="009D6A42"/>
    <w:rsid w:val="009E0729"/>
    <w:rsid w:val="009E7C82"/>
    <w:rsid w:val="009F202E"/>
    <w:rsid w:val="009F7D76"/>
    <w:rsid w:val="00A101B1"/>
    <w:rsid w:val="00A2618E"/>
    <w:rsid w:val="00A279A6"/>
    <w:rsid w:val="00A45533"/>
    <w:rsid w:val="00A47221"/>
    <w:rsid w:val="00A67DE9"/>
    <w:rsid w:val="00A737D3"/>
    <w:rsid w:val="00A73E48"/>
    <w:rsid w:val="00A74FF6"/>
    <w:rsid w:val="00A76475"/>
    <w:rsid w:val="00AB6EE3"/>
    <w:rsid w:val="00AC423B"/>
    <w:rsid w:val="00AC7856"/>
    <w:rsid w:val="00AD155A"/>
    <w:rsid w:val="00AE48D7"/>
    <w:rsid w:val="00AE6295"/>
    <w:rsid w:val="00AF23B8"/>
    <w:rsid w:val="00AF6068"/>
    <w:rsid w:val="00B026B6"/>
    <w:rsid w:val="00B22D14"/>
    <w:rsid w:val="00B232C8"/>
    <w:rsid w:val="00B25559"/>
    <w:rsid w:val="00B344D9"/>
    <w:rsid w:val="00B433E0"/>
    <w:rsid w:val="00B466B2"/>
    <w:rsid w:val="00B54F5B"/>
    <w:rsid w:val="00B55AEC"/>
    <w:rsid w:val="00B57BE0"/>
    <w:rsid w:val="00B64C7F"/>
    <w:rsid w:val="00B679C2"/>
    <w:rsid w:val="00B75466"/>
    <w:rsid w:val="00B8722C"/>
    <w:rsid w:val="00B90F86"/>
    <w:rsid w:val="00B96544"/>
    <w:rsid w:val="00B969E7"/>
    <w:rsid w:val="00B97976"/>
    <w:rsid w:val="00BA02FE"/>
    <w:rsid w:val="00BA1D5C"/>
    <w:rsid w:val="00BC1CE8"/>
    <w:rsid w:val="00BC260C"/>
    <w:rsid w:val="00BC5274"/>
    <w:rsid w:val="00BC582E"/>
    <w:rsid w:val="00BC62B8"/>
    <w:rsid w:val="00BD53F8"/>
    <w:rsid w:val="00BD6079"/>
    <w:rsid w:val="00BF03C6"/>
    <w:rsid w:val="00BF1112"/>
    <w:rsid w:val="00BF3F28"/>
    <w:rsid w:val="00C03520"/>
    <w:rsid w:val="00C036A5"/>
    <w:rsid w:val="00C118E0"/>
    <w:rsid w:val="00C25C3F"/>
    <w:rsid w:val="00C271C1"/>
    <w:rsid w:val="00C34041"/>
    <w:rsid w:val="00C360A7"/>
    <w:rsid w:val="00C42480"/>
    <w:rsid w:val="00C42C0D"/>
    <w:rsid w:val="00C60639"/>
    <w:rsid w:val="00C81090"/>
    <w:rsid w:val="00C84419"/>
    <w:rsid w:val="00C85E7A"/>
    <w:rsid w:val="00C9066B"/>
    <w:rsid w:val="00C91770"/>
    <w:rsid w:val="00CA3063"/>
    <w:rsid w:val="00CA3CE7"/>
    <w:rsid w:val="00CB0811"/>
    <w:rsid w:val="00CB09CF"/>
    <w:rsid w:val="00CD0D76"/>
    <w:rsid w:val="00CD19E1"/>
    <w:rsid w:val="00CD23C8"/>
    <w:rsid w:val="00CD4A48"/>
    <w:rsid w:val="00CE1E5A"/>
    <w:rsid w:val="00CF1D2B"/>
    <w:rsid w:val="00CF4843"/>
    <w:rsid w:val="00CF652D"/>
    <w:rsid w:val="00CF6755"/>
    <w:rsid w:val="00D003C7"/>
    <w:rsid w:val="00D2011C"/>
    <w:rsid w:val="00D3023D"/>
    <w:rsid w:val="00D35055"/>
    <w:rsid w:val="00D4024D"/>
    <w:rsid w:val="00D41202"/>
    <w:rsid w:val="00D470FD"/>
    <w:rsid w:val="00D565A9"/>
    <w:rsid w:val="00D640F0"/>
    <w:rsid w:val="00D6513C"/>
    <w:rsid w:val="00D71409"/>
    <w:rsid w:val="00D72520"/>
    <w:rsid w:val="00D92308"/>
    <w:rsid w:val="00D94AF9"/>
    <w:rsid w:val="00DA36B3"/>
    <w:rsid w:val="00DA7684"/>
    <w:rsid w:val="00DB1C15"/>
    <w:rsid w:val="00DC23FD"/>
    <w:rsid w:val="00DC3BA0"/>
    <w:rsid w:val="00DC753A"/>
    <w:rsid w:val="00DD72E5"/>
    <w:rsid w:val="00DF3C6D"/>
    <w:rsid w:val="00DF4945"/>
    <w:rsid w:val="00E04635"/>
    <w:rsid w:val="00E32C1B"/>
    <w:rsid w:val="00E34611"/>
    <w:rsid w:val="00E559B0"/>
    <w:rsid w:val="00E566CE"/>
    <w:rsid w:val="00E56DF2"/>
    <w:rsid w:val="00E62884"/>
    <w:rsid w:val="00E647BA"/>
    <w:rsid w:val="00E73E7C"/>
    <w:rsid w:val="00E74382"/>
    <w:rsid w:val="00E92A72"/>
    <w:rsid w:val="00E9784F"/>
    <w:rsid w:val="00EA0AE6"/>
    <w:rsid w:val="00EA2951"/>
    <w:rsid w:val="00EB0916"/>
    <w:rsid w:val="00EB28CD"/>
    <w:rsid w:val="00EB6C17"/>
    <w:rsid w:val="00EC1FD5"/>
    <w:rsid w:val="00EC51A4"/>
    <w:rsid w:val="00ED0755"/>
    <w:rsid w:val="00ED6BC7"/>
    <w:rsid w:val="00ED7E57"/>
    <w:rsid w:val="00EE0BF3"/>
    <w:rsid w:val="00EE4F9B"/>
    <w:rsid w:val="00EE5745"/>
    <w:rsid w:val="00EE7BD0"/>
    <w:rsid w:val="00EF2D42"/>
    <w:rsid w:val="00F01E47"/>
    <w:rsid w:val="00F108AC"/>
    <w:rsid w:val="00F165D8"/>
    <w:rsid w:val="00F178CC"/>
    <w:rsid w:val="00F26CD7"/>
    <w:rsid w:val="00F3151C"/>
    <w:rsid w:val="00F3218D"/>
    <w:rsid w:val="00F36523"/>
    <w:rsid w:val="00F40A0B"/>
    <w:rsid w:val="00F4243A"/>
    <w:rsid w:val="00F44930"/>
    <w:rsid w:val="00F458E9"/>
    <w:rsid w:val="00F46795"/>
    <w:rsid w:val="00F576DD"/>
    <w:rsid w:val="00F64458"/>
    <w:rsid w:val="00F64D70"/>
    <w:rsid w:val="00F67C5D"/>
    <w:rsid w:val="00F72048"/>
    <w:rsid w:val="00F73581"/>
    <w:rsid w:val="00F751C9"/>
    <w:rsid w:val="00F75D1D"/>
    <w:rsid w:val="00F86B51"/>
    <w:rsid w:val="00F92C5E"/>
    <w:rsid w:val="00F93A2E"/>
    <w:rsid w:val="00FA03F0"/>
    <w:rsid w:val="00FA278F"/>
    <w:rsid w:val="00FA29EA"/>
    <w:rsid w:val="00FA470C"/>
    <w:rsid w:val="00FA685F"/>
    <w:rsid w:val="00FD6BF8"/>
    <w:rsid w:val="00FE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C73E0"/>
  <w15:chartTrackingRefBased/>
  <w15:docId w15:val="{1AB80216-0CA5-41B6-B53B-1C2F7B3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E22"/>
    <w:pPr>
      <w:spacing w:before="120" w:after="120"/>
      <w:jc w:val="both"/>
    </w:pPr>
    <w:rPr>
      <w:rFonts w:ascii="AvenirNext LT Pro Cn" w:eastAsiaTheme="minorHAnsi" w:hAnsi="AvenirNext LT Pro Cn" w:cstheme="minorBidi"/>
      <w:sz w:val="22"/>
      <w:szCs w:val="22"/>
      <w:lang w:eastAsia="en-US"/>
    </w:rPr>
  </w:style>
  <w:style w:type="paragraph" w:styleId="Titre1">
    <w:name w:val="heading 1"/>
    <w:basedOn w:val="Normal"/>
    <w:next w:val="Normal"/>
    <w:link w:val="Titre1Car"/>
    <w:uiPriority w:val="9"/>
    <w:qFormat/>
    <w:rsid w:val="004C7E22"/>
    <w:pPr>
      <w:keepNext/>
      <w:keepLines/>
      <w:numPr>
        <w:numId w:val="7"/>
      </w:numPr>
      <w:spacing w:before="240" w:after="0"/>
      <w:outlineLvl w:val="0"/>
    </w:pPr>
    <w:rPr>
      <w:rFonts w:ascii="Raleway" w:eastAsiaTheme="majorEastAsia" w:hAnsi="Raleway" w:cstheme="majorBidi"/>
      <w:color w:val="00A3A6"/>
      <w:sz w:val="32"/>
      <w:szCs w:val="32"/>
    </w:rPr>
  </w:style>
  <w:style w:type="paragraph" w:styleId="Titre2">
    <w:name w:val="heading 2"/>
    <w:basedOn w:val="Titre1"/>
    <w:next w:val="Normal"/>
    <w:link w:val="Titre2Car"/>
    <w:autoRedefine/>
    <w:uiPriority w:val="9"/>
    <w:unhideWhenUsed/>
    <w:qFormat/>
    <w:rsid w:val="004C7E22"/>
    <w:pPr>
      <w:numPr>
        <w:ilvl w:val="1"/>
      </w:numPr>
      <w:spacing w:before="40"/>
      <w:outlineLvl w:val="1"/>
    </w:pPr>
    <w:rPr>
      <w:sz w:val="26"/>
      <w:szCs w:val="26"/>
    </w:rPr>
  </w:style>
  <w:style w:type="paragraph" w:styleId="Titre3">
    <w:name w:val="heading 3"/>
    <w:basedOn w:val="Titre2"/>
    <w:next w:val="Normal"/>
    <w:link w:val="Titre3Car"/>
    <w:uiPriority w:val="9"/>
    <w:unhideWhenUsed/>
    <w:qFormat/>
    <w:rsid w:val="004C7E22"/>
    <w:pPr>
      <w:numPr>
        <w:ilvl w:val="2"/>
      </w:numPr>
      <w:outlineLvl w:val="2"/>
    </w:pPr>
    <w:rPr>
      <w:rFonts w:ascii="AvenirNext LT Pro Cn" w:hAnsi="AvenirNext LT Pro Cn"/>
      <w:sz w:val="24"/>
      <w:szCs w:val="24"/>
    </w:rPr>
  </w:style>
  <w:style w:type="paragraph" w:styleId="Titre4">
    <w:name w:val="heading 4"/>
    <w:basedOn w:val="Normal"/>
    <w:next w:val="Normal"/>
    <w:link w:val="Titre4Car"/>
    <w:uiPriority w:val="9"/>
    <w:unhideWhenUsed/>
    <w:qFormat/>
    <w:rsid w:val="004C7E22"/>
    <w:pPr>
      <w:keepNext/>
      <w:keepLines/>
      <w:numPr>
        <w:ilvl w:val="3"/>
        <w:numId w:val="7"/>
      </w:numPr>
      <w:spacing w:before="40" w:after="0"/>
      <w:outlineLvl w:val="3"/>
    </w:pPr>
    <w:rPr>
      <w:rFonts w:ascii="Raleway" w:eastAsiaTheme="majorEastAsia" w:hAnsi="Raleway" w:cstheme="majorBidi"/>
      <w:i/>
      <w:iCs/>
      <w:color w:val="00A6A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C7E22"/>
    <w:pPr>
      <w:spacing w:after="0"/>
      <w:contextualSpacing/>
      <w:jc w:val="center"/>
    </w:pPr>
    <w:rPr>
      <w:rFonts w:ascii="Raleway" w:eastAsiaTheme="majorEastAsia" w:hAnsi="Raleway" w:cstheme="majorBidi"/>
      <w:b/>
      <w:spacing w:val="-10"/>
      <w:kern w:val="28"/>
      <w:sz w:val="56"/>
      <w:szCs w:val="56"/>
    </w:rPr>
  </w:style>
  <w:style w:type="paragraph" w:styleId="Corpsdetexte2">
    <w:name w:val="Body Text 2"/>
    <w:basedOn w:val="Normal"/>
    <w:pPr>
      <w:jc w:val="center"/>
    </w:pPr>
    <w:rPr>
      <w:rFonts w:ascii="Arial" w:hAnsi="Arial"/>
      <w:szCs w:val="20"/>
    </w:rPr>
  </w:style>
  <w:style w:type="paragraph" w:styleId="TM1">
    <w:name w:val="toc 1"/>
    <w:basedOn w:val="Normal"/>
    <w:next w:val="Normal"/>
    <w:autoRedefine/>
    <w:uiPriority w:val="39"/>
    <w:rPr>
      <w:szCs w:val="20"/>
    </w:rPr>
  </w:style>
  <w:style w:type="paragraph" w:styleId="TM2">
    <w:name w:val="toc 2"/>
    <w:basedOn w:val="Normal"/>
    <w:next w:val="Normal"/>
    <w:autoRedefine/>
    <w:uiPriority w:val="39"/>
    <w:pPr>
      <w:ind w:left="240"/>
    </w:pPr>
    <w:rPr>
      <w:szCs w:val="20"/>
    </w:rPr>
  </w:style>
  <w:style w:type="paragraph" w:styleId="TM3">
    <w:name w:val="toc 3"/>
    <w:basedOn w:val="Normal"/>
    <w:next w:val="Normal"/>
    <w:autoRedefine/>
    <w:uiPriority w:val="39"/>
    <w:pPr>
      <w:ind w:left="480"/>
    </w:pPr>
    <w:rPr>
      <w:szCs w:val="20"/>
    </w:rPr>
  </w:style>
  <w:style w:type="paragraph" w:styleId="Corpsdetexte">
    <w:name w:val="Body Text"/>
    <w:basedOn w:val="Normal"/>
    <w:link w:val="CorpsdetexteCar"/>
    <w:rPr>
      <w:rFonts w:ascii="Arial" w:hAnsi="Arial"/>
      <w:szCs w:val="20"/>
    </w:rPr>
  </w:style>
  <w:style w:type="paragraph" w:styleId="Corpsdetexte3">
    <w:name w:val="Body Text 3"/>
    <w:basedOn w:val="Normal"/>
    <w:link w:val="Corpsdetexte3Car"/>
    <w:rPr>
      <w:rFonts w:ascii="Arial" w:hAnsi="Arial"/>
      <w:szCs w:val="20"/>
    </w:rPr>
  </w:style>
  <w:style w:type="paragraph" w:customStyle="1" w:styleId="Titre21">
    <w:name w:val="Titre 21"/>
    <w:basedOn w:val="Normal"/>
    <w:pPr>
      <w:keepNext/>
      <w:widowControl w:val="0"/>
      <w:suppressAutoHyphens/>
      <w:autoSpaceDE w:val="0"/>
      <w:spacing w:after="144"/>
      <w:jc w:val="center"/>
    </w:pPr>
    <w:rPr>
      <w:rFonts w:ascii="Times" w:hAnsi="Times"/>
      <w:b/>
      <w:bCs/>
      <w:smallCaps/>
      <w:color w:val="000000"/>
      <w:sz w:val="40"/>
      <w:szCs w:val="40"/>
      <w:lang w:val="en-US" w:eastAsia="ar-SA"/>
    </w:rPr>
  </w:style>
  <w:style w:type="paragraph" w:customStyle="1" w:styleId="Paragraphe">
    <w:name w:val="Paragraphe"/>
    <w:basedOn w:val="Normal"/>
    <w:pPr>
      <w:widowControl w:val="0"/>
      <w:autoSpaceDE w:val="0"/>
      <w:autoSpaceDN w:val="0"/>
      <w:spacing w:after="144"/>
    </w:pPr>
    <w:rPr>
      <w:rFonts w:ascii="Times" w:hAnsi="Times"/>
      <w:noProof/>
      <w:color w:val="000000"/>
      <w:lang w:val="en-US"/>
    </w:rPr>
  </w:style>
  <w:style w:type="character" w:styleId="Lienhypertexte">
    <w:name w:val="Hyperlink"/>
    <w:uiPriority w:val="99"/>
    <w:rPr>
      <w:color w:val="0000FF"/>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customStyle="1" w:styleId="RedTxt">
    <w:name w:val="RedTxt"/>
    <w:basedOn w:val="Normal"/>
    <w:rPr>
      <w:rFonts w:ascii="Arial" w:hAnsi="Arial"/>
      <w:sz w:val="18"/>
      <w:szCs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Paragraphedeliste">
    <w:name w:val="List Paragraph"/>
    <w:basedOn w:val="Normal"/>
    <w:uiPriority w:val="34"/>
    <w:qFormat/>
    <w:rsid w:val="00154CDF"/>
    <w:pPr>
      <w:ind w:left="708"/>
    </w:pPr>
  </w:style>
  <w:style w:type="paragraph" w:styleId="Retraitnormal">
    <w:name w:val="Normal Indent"/>
    <w:basedOn w:val="Normal"/>
    <w:pPr>
      <w:suppressAutoHyphens/>
      <w:overflowPunct w:val="0"/>
      <w:autoSpaceDE w:val="0"/>
      <w:spacing w:before="60" w:after="60"/>
      <w:ind w:left="284"/>
      <w:textAlignment w:val="baseline"/>
    </w:pPr>
    <w:rPr>
      <w:rFonts w:ascii="Verdana" w:hAnsi="Verdana"/>
      <w:sz w:val="20"/>
      <w:szCs w:val="20"/>
      <w:lang w:eastAsia="ar-SA"/>
    </w:rPr>
  </w:style>
  <w:style w:type="paragraph" w:customStyle="1" w:styleId="Corpsdetexte21">
    <w:name w:val="Corps de texte 21"/>
    <w:basedOn w:val="Normal"/>
    <w:pPr>
      <w:suppressAutoHyphens/>
    </w:pPr>
    <w:rPr>
      <w:i/>
      <w:iCs/>
      <w:sz w:val="16"/>
      <w:szCs w:val="16"/>
      <w:lang w:eastAsia="ar-SA"/>
    </w:rPr>
  </w:style>
  <w:style w:type="paragraph" w:styleId="NormalWeb">
    <w:name w:val="Normal (Web)"/>
    <w:basedOn w:val="Normal"/>
  </w:style>
  <w:style w:type="character" w:customStyle="1" w:styleId="CorpsdetexteCar">
    <w:name w:val="Corps de texte Car"/>
    <w:link w:val="Corpsdetexte"/>
    <w:rsid w:val="00214529"/>
    <w:rPr>
      <w:rFonts w:ascii="Arial" w:hAnsi="Arial"/>
      <w:sz w:val="22"/>
    </w:rPr>
  </w:style>
  <w:style w:type="paragraph" w:styleId="En-ttedetabledesmatires">
    <w:name w:val="TOC Heading"/>
    <w:basedOn w:val="Titre1"/>
    <w:next w:val="Normal"/>
    <w:uiPriority w:val="39"/>
    <w:semiHidden/>
    <w:unhideWhenUsed/>
    <w:qFormat/>
    <w:rsid w:val="00EB0916"/>
    <w:pPr>
      <w:spacing w:before="480" w:line="276" w:lineRule="auto"/>
      <w:outlineLvl w:val="9"/>
    </w:pPr>
    <w:rPr>
      <w:rFonts w:ascii="Cambria" w:hAnsi="Cambria"/>
      <w:bCs/>
      <w:color w:val="365F91"/>
      <w:sz w:val="28"/>
      <w:szCs w:val="28"/>
    </w:rPr>
  </w:style>
  <w:style w:type="character" w:customStyle="1" w:styleId="Titre3Car">
    <w:name w:val="Titre 3 Car"/>
    <w:basedOn w:val="Policepardfaut"/>
    <w:link w:val="Titre3"/>
    <w:uiPriority w:val="9"/>
    <w:rsid w:val="004C7E22"/>
    <w:rPr>
      <w:rFonts w:ascii="AvenirNext LT Pro Cn" w:eastAsiaTheme="majorEastAsia" w:hAnsi="AvenirNext LT Pro Cn" w:cstheme="majorBidi"/>
      <w:color w:val="00A3A6"/>
      <w:sz w:val="24"/>
      <w:szCs w:val="24"/>
      <w:lang w:eastAsia="en-US"/>
    </w:rPr>
  </w:style>
  <w:style w:type="paragraph" w:styleId="Notedefin">
    <w:name w:val="endnote text"/>
    <w:basedOn w:val="Normal"/>
    <w:link w:val="NotedefinCar"/>
    <w:rsid w:val="00D71409"/>
    <w:rPr>
      <w:sz w:val="20"/>
      <w:szCs w:val="20"/>
    </w:rPr>
  </w:style>
  <w:style w:type="character" w:customStyle="1" w:styleId="NotedefinCar">
    <w:name w:val="Note de fin Car"/>
    <w:basedOn w:val="Policepardfaut"/>
    <w:link w:val="Notedefin"/>
    <w:rsid w:val="00D71409"/>
  </w:style>
  <w:style w:type="character" w:styleId="Appeldenotedefin">
    <w:name w:val="endnote reference"/>
    <w:rsid w:val="00D71409"/>
    <w:rPr>
      <w:vertAlign w:val="superscript"/>
    </w:rPr>
  </w:style>
  <w:style w:type="paragraph" w:styleId="Notedebasdepage">
    <w:name w:val="footnote text"/>
    <w:basedOn w:val="Normal"/>
    <w:link w:val="NotedebasdepageCar"/>
    <w:rsid w:val="00D71409"/>
    <w:rPr>
      <w:sz w:val="20"/>
      <w:szCs w:val="20"/>
    </w:rPr>
  </w:style>
  <w:style w:type="character" w:customStyle="1" w:styleId="NotedebasdepageCar">
    <w:name w:val="Note de bas de page Car"/>
    <w:basedOn w:val="Policepardfaut"/>
    <w:link w:val="Notedebasdepage"/>
    <w:rsid w:val="00D71409"/>
  </w:style>
  <w:style w:type="character" w:styleId="Appelnotedebasdep">
    <w:name w:val="footnote reference"/>
    <w:rsid w:val="00D71409"/>
    <w:rPr>
      <w:vertAlign w:val="superscript"/>
    </w:rPr>
  </w:style>
  <w:style w:type="character" w:customStyle="1" w:styleId="Corpsdetexte3Car">
    <w:name w:val="Corps de texte 3 Car"/>
    <w:link w:val="Corpsdetexte3"/>
    <w:rsid w:val="00865DD4"/>
    <w:rPr>
      <w:rFonts w:ascii="Arial" w:hAnsi="Arial"/>
      <w:sz w:val="22"/>
    </w:rPr>
  </w:style>
  <w:style w:type="character" w:customStyle="1" w:styleId="Titre1Car">
    <w:name w:val="Titre 1 Car"/>
    <w:basedOn w:val="Policepardfaut"/>
    <w:link w:val="Titre1"/>
    <w:uiPriority w:val="9"/>
    <w:rsid w:val="004C7E22"/>
    <w:rPr>
      <w:rFonts w:ascii="Raleway" w:eastAsiaTheme="majorEastAsia" w:hAnsi="Raleway" w:cstheme="majorBidi"/>
      <w:color w:val="00A3A6"/>
      <w:sz w:val="32"/>
      <w:szCs w:val="32"/>
      <w:lang w:eastAsia="en-US"/>
    </w:rPr>
  </w:style>
  <w:style w:type="character" w:customStyle="1" w:styleId="Titre2Car">
    <w:name w:val="Titre 2 Car"/>
    <w:basedOn w:val="Policepardfaut"/>
    <w:link w:val="Titre2"/>
    <w:uiPriority w:val="9"/>
    <w:rsid w:val="004C7E22"/>
    <w:rPr>
      <w:rFonts w:ascii="Raleway" w:eastAsiaTheme="majorEastAsia" w:hAnsi="Raleway" w:cstheme="majorBidi"/>
      <w:color w:val="00A3A6"/>
      <w:sz w:val="26"/>
      <w:szCs w:val="26"/>
      <w:lang w:eastAsia="en-US"/>
    </w:rPr>
  </w:style>
  <w:style w:type="character" w:customStyle="1" w:styleId="TitreCar">
    <w:name w:val="Titre Car"/>
    <w:basedOn w:val="Policepardfaut"/>
    <w:link w:val="Titre"/>
    <w:uiPriority w:val="10"/>
    <w:rsid w:val="004C7E22"/>
    <w:rPr>
      <w:rFonts w:ascii="Raleway" w:eastAsiaTheme="majorEastAsia" w:hAnsi="Raleway" w:cstheme="majorBidi"/>
      <w:b/>
      <w:spacing w:val="-10"/>
      <w:kern w:val="28"/>
      <w:sz w:val="56"/>
      <w:szCs w:val="56"/>
      <w:lang w:eastAsia="en-US"/>
    </w:rPr>
  </w:style>
  <w:style w:type="character" w:customStyle="1" w:styleId="Titre4Car">
    <w:name w:val="Titre 4 Car"/>
    <w:basedOn w:val="Policepardfaut"/>
    <w:link w:val="Titre4"/>
    <w:uiPriority w:val="9"/>
    <w:rsid w:val="004C7E22"/>
    <w:rPr>
      <w:rFonts w:ascii="Raleway" w:eastAsiaTheme="majorEastAsia" w:hAnsi="Raleway" w:cstheme="majorBidi"/>
      <w:i/>
      <w:iCs/>
      <w:color w:val="00A6A3"/>
      <w:sz w:val="22"/>
      <w:szCs w:val="22"/>
      <w:lang w:eastAsia="en-US"/>
    </w:rPr>
  </w:style>
  <w:style w:type="numbering" w:customStyle="1" w:styleId="ModleTitre">
    <w:name w:val="Modèle Titre"/>
    <w:uiPriority w:val="99"/>
    <w:rsid w:val="004C7E2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8718">
      <w:bodyDiv w:val="1"/>
      <w:marLeft w:val="0"/>
      <w:marRight w:val="0"/>
      <w:marTop w:val="0"/>
      <w:marBottom w:val="0"/>
      <w:divBdr>
        <w:top w:val="none" w:sz="0" w:space="0" w:color="auto"/>
        <w:left w:val="none" w:sz="0" w:space="0" w:color="auto"/>
        <w:bottom w:val="none" w:sz="0" w:space="0" w:color="auto"/>
        <w:right w:val="none" w:sz="0" w:space="0" w:color="auto"/>
      </w:divBdr>
    </w:div>
    <w:div w:id="316154692">
      <w:bodyDiv w:val="1"/>
      <w:marLeft w:val="0"/>
      <w:marRight w:val="0"/>
      <w:marTop w:val="0"/>
      <w:marBottom w:val="0"/>
      <w:divBdr>
        <w:top w:val="none" w:sz="0" w:space="0" w:color="auto"/>
        <w:left w:val="none" w:sz="0" w:space="0" w:color="auto"/>
        <w:bottom w:val="none" w:sz="0" w:space="0" w:color="auto"/>
        <w:right w:val="none" w:sz="0" w:space="0" w:color="auto"/>
      </w:divBdr>
    </w:div>
    <w:div w:id="824663422">
      <w:bodyDiv w:val="1"/>
      <w:marLeft w:val="0"/>
      <w:marRight w:val="0"/>
      <w:marTop w:val="0"/>
      <w:marBottom w:val="0"/>
      <w:divBdr>
        <w:top w:val="none" w:sz="0" w:space="0" w:color="auto"/>
        <w:left w:val="none" w:sz="0" w:space="0" w:color="auto"/>
        <w:bottom w:val="none" w:sz="0" w:space="0" w:color="auto"/>
        <w:right w:val="none" w:sz="0" w:space="0" w:color="auto"/>
      </w:divBdr>
    </w:div>
    <w:div w:id="14915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cedric.bigi@inra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onomie.gouv.fr/daj/formulaires-declaration-du-candidat" TargetMode="External"/><Relationship Id="rId4" Type="http://schemas.openxmlformats.org/officeDocument/2006/relationships/settings" Target="settings.xml"/><Relationship Id="rId9" Type="http://schemas.openxmlformats.org/officeDocument/2006/relationships/hyperlink" Target="https://annuaire-entreprises.data.gouv.fr/%20" TargetMode="External"/><Relationship Id="rId14" Type="http://schemas.openxmlformats.org/officeDocument/2006/relationships/hyperlink" Target="mailto:philippe.bordon@inra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arre\AppData\Roaming\Microsoft\Templates\Normal%20INRAE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939A-74C6-4C52-878D-6FA56ADB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INRAEV2.dotm</Template>
  <TotalTime>8</TotalTime>
  <Pages>9</Pages>
  <Words>2291</Words>
  <Characters>14229</Characters>
  <Application>Microsoft Office Word</Application>
  <DocSecurity>0</DocSecurity>
  <Lines>118</Lines>
  <Paragraphs>32</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16488</CharactersWithSpaces>
  <SharedDoc>false</SharedDoc>
  <HLinks>
    <vt:vector size="138" baseType="variant">
      <vt:variant>
        <vt:i4>393218</vt:i4>
      </vt:variant>
      <vt:variant>
        <vt:i4>129</vt:i4>
      </vt:variant>
      <vt:variant>
        <vt:i4>0</vt:i4>
      </vt:variant>
      <vt:variant>
        <vt:i4>5</vt:i4>
      </vt:variant>
      <vt:variant>
        <vt:lpwstr>https://www.marches-publics.gouv.fr/</vt:lpwstr>
      </vt:variant>
      <vt:variant>
        <vt:lpwstr/>
      </vt:variant>
      <vt:variant>
        <vt:i4>393218</vt:i4>
      </vt:variant>
      <vt:variant>
        <vt:i4>126</vt:i4>
      </vt:variant>
      <vt:variant>
        <vt:i4>0</vt:i4>
      </vt:variant>
      <vt:variant>
        <vt:i4>5</vt:i4>
      </vt:variant>
      <vt:variant>
        <vt:lpwstr>https://www.marches-publics.gouv.fr/</vt:lpwstr>
      </vt:variant>
      <vt:variant>
        <vt:lpwstr/>
      </vt:variant>
      <vt:variant>
        <vt:i4>6619196</vt:i4>
      </vt:variant>
      <vt:variant>
        <vt:i4>123</vt:i4>
      </vt:variant>
      <vt:variant>
        <vt:i4>0</vt:i4>
      </vt:variant>
      <vt:variant>
        <vt:i4>5</vt:i4>
      </vt:variant>
      <vt:variant>
        <vt:lpwstr>http://www.economie.gouv.fr/daj/formulaires-declaration-du-candidat</vt:lpwstr>
      </vt:variant>
      <vt:variant>
        <vt:lpwstr/>
      </vt:variant>
      <vt:variant>
        <vt:i4>2818051</vt:i4>
      </vt:variant>
      <vt:variant>
        <vt:i4>116</vt:i4>
      </vt:variant>
      <vt:variant>
        <vt:i4>0</vt:i4>
      </vt:variant>
      <vt:variant>
        <vt:i4>5</vt:i4>
      </vt:variant>
      <vt:variant>
        <vt:lpwstr/>
      </vt:variant>
      <vt:variant>
        <vt:lpwstr>_Toc3451590</vt:lpwstr>
      </vt:variant>
      <vt:variant>
        <vt:i4>2752515</vt:i4>
      </vt:variant>
      <vt:variant>
        <vt:i4>110</vt:i4>
      </vt:variant>
      <vt:variant>
        <vt:i4>0</vt:i4>
      </vt:variant>
      <vt:variant>
        <vt:i4>5</vt:i4>
      </vt:variant>
      <vt:variant>
        <vt:lpwstr/>
      </vt:variant>
      <vt:variant>
        <vt:lpwstr>_Toc3451589</vt:lpwstr>
      </vt:variant>
      <vt:variant>
        <vt:i4>2752515</vt:i4>
      </vt:variant>
      <vt:variant>
        <vt:i4>104</vt:i4>
      </vt:variant>
      <vt:variant>
        <vt:i4>0</vt:i4>
      </vt:variant>
      <vt:variant>
        <vt:i4>5</vt:i4>
      </vt:variant>
      <vt:variant>
        <vt:lpwstr/>
      </vt:variant>
      <vt:variant>
        <vt:lpwstr>_Toc3451588</vt:lpwstr>
      </vt:variant>
      <vt:variant>
        <vt:i4>2752515</vt:i4>
      </vt:variant>
      <vt:variant>
        <vt:i4>98</vt:i4>
      </vt:variant>
      <vt:variant>
        <vt:i4>0</vt:i4>
      </vt:variant>
      <vt:variant>
        <vt:i4>5</vt:i4>
      </vt:variant>
      <vt:variant>
        <vt:lpwstr/>
      </vt:variant>
      <vt:variant>
        <vt:lpwstr>_Toc3451587</vt:lpwstr>
      </vt:variant>
      <vt:variant>
        <vt:i4>2752515</vt:i4>
      </vt:variant>
      <vt:variant>
        <vt:i4>92</vt:i4>
      </vt:variant>
      <vt:variant>
        <vt:i4>0</vt:i4>
      </vt:variant>
      <vt:variant>
        <vt:i4>5</vt:i4>
      </vt:variant>
      <vt:variant>
        <vt:lpwstr/>
      </vt:variant>
      <vt:variant>
        <vt:lpwstr>_Toc3451586</vt:lpwstr>
      </vt:variant>
      <vt:variant>
        <vt:i4>2752515</vt:i4>
      </vt:variant>
      <vt:variant>
        <vt:i4>86</vt:i4>
      </vt:variant>
      <vt:variant>
        <vt:i4>0</vt:i4>
      </vt:variant>
      <vt:variant>
        <vt:i4>5</vt:i4>
      </vt:variant>
      <vt:variant>
        <vt:lpwstr/>
      </vt:variant>
      <vt:variant>
        <vt:lpwstr>_Toc3451585</vt:lpwstr>
      </vt:variant>
      <vt:variant>
        <vt:i4>2752515</vt:i4>
      </vt:variant>
      <vt:variant>
        <vt:i4>80</vt:i4>
      </vt:variant>
      <vt:variant>
        <vt:i4>0</vt:i4>
      </vt:variant>
      <vt:variant>
        <vt:i4>5</vt:i4>
      </vt:variant>
      <vt:variant>
        <vt:lpwstr/>
      </vt:variant>
      <vt:variant>
        <vt:lpwstr>_Toc3451584</vt:lpwstr>
      </vt:variant>
      <vt:variant>
        <vt:i4>2752515</vt:i4>
      </vt:variant>
      <vt:variant>
        <vt:i4>74</vt:i4>
      </vt:variant>
      <vt:variant>
        <vt:i4>0</vt:i4>
      </vt:variant>
      <vt:variant>
        <vt:i4>5</vt:i4>
      </vt:variant>
      <vt:variant>
        <vt:lpwstr/>
      </vt:variant>
      <vt:variant>
        <vt:lpwstr>_Toc3451583</vt:lpwstr>
      </vt:variant>
      <vt:variant>
        <vt:i4>2752515</vt:i4>
      </vt:variant>
      <vt:variant>
        <vt:i4>68</vt:i4>
      </vt:variant>
      <vt:variant>
        <vt:i4>0</vt:i4>
      </vt:variant>
      <vt:variant>
        <vt:i4>5</vt:i4>
      </vt:variant>
      <vt:variant>
        <vt:lpwstr/>
      </vt:variant>
      <vt:variant>
        <vt:lpwstr>_Toc3451582</vt:lpwstr>
      </vt:variant>
      <vt:variant>
        <vt:i4>2752515</vt:i4>
      </vt:variant>
      <vt:variant>
        <vt:i4>62</vt:i4>
      </vt:variant>
      <vt:variant>
        <vt:i4>0</vt:i4>
      </vt:variant>
      <vt:variant>
        <vt:i4>5</vt:i4>
      </vt:variant>
      <vt:variant>
        <vt:lpwstr/>
      </vt:variant>
      <vt:variant>
        <vt:lpwstr>_Toc3451581</vt:lpwstr>
      </vt:variant>
      <vt:variant>
        <vt:i4>2752515</vt:i4>
      </vt:variant>
      <vt:variant>
        <vt:i4>56</vt:i4>
      </vt:variant>
      <vt:variant>
        <vt:i4>0</vt:i4>
      </vt:variant>
      <vt:variant>
        <vt:i4>5</vt:i4>
      </vt:variant>
      <vt:variant>
        <vt:lpwstr/>
      </vt:variant>
      <vt:variant>
        <vt:lpwstr>_Toc3451580</vt:lpwstr>
      </vt:variant>
      <vt:variant>
        <vt:i4>2424835</vt:i4>
      </vt:variant>
      <vt:variant>
        <vt:i4>50</vt:i4>
      </vt:variant>
      <vt:variant>
        <vt:i4>0</vt:i4>
      </vt:variant>
      <vt:variant>
        <vt:i4>5</vt:i4>
      </vt:variant>
      <vt:variant>
        <vt:lpwstr/>
      </vt:variant>
      <vt:variant>
        <vt:lpwstr>_Toc3451579</vt:lpwstr>
      </vt:variant>
      <vt:variant>
        <vt:i4>2424835</vt:i4>
      </vt:variant>
      <vt:variant>
        <vt:i4>44</vt:i4>
      </vt:variant>
      <vt:variant>
        <vt:i4>0</vt:i4>
      </vt:variant>
      <vt:variant>
        <vt:i4>5</vt:i4>
      </vt:variant>
      <vt:variant>
        <vt:lpwstr/>
      </vt:variant>
      <vt:variant>
        <vt:lpwstr>_Toc3451578</vt:lpwstr>
      </vt:variant>
      <vt:variant>
        <vt:i4>2424835</vt:i4>
      </vt:variant>
      <vt:variant>
        <vt:i4>38</vt:i4>
      </vt:variant>
      <vt:variant>
        <vt:i4>0</vt:i4>
      </vt:variant>
      <vt:variant>
        <vt:i4>5</vt:i4>
      </vt:variant>
      <vt:variant>
        <vt:lpwstr/>
      </vt:variant>
      <vt:variant>
        <vt:lpwstr>_Toc3451577</vt:lpwstr>
      </vt:variant>
      <vt:variant>
        <vt:i4>2424835</vt:i4>
      </vt:variant>
      <vt:variant>
        <vt:i4>32</vt:i4>
      </vt:variant>
      <vt:variant>
        <vt:i4>0</vt:i4>
      </vt:variant>
      <vt:variant>
        <vt:i4>5</vt:i4>
      </vt:variant>
      <vt:variant>
        <vt:lpwstr/>
      </vt:variant>
      <vt:variant>
        <vt:lpwstr>_Toc3451576</vt:lpwstr>
      </vt:variant>
      <vt:variant>
        <vt:i4>2424835</vt:i4>
      </vt:variant>
      <vt:variant>
        <vt:i4>26</vt:i4>
      </vt:variant>
      <vt:variant>
        <vt:i4>0</vt:i4>
      </vt:variant>
      <vt:variant>
        <vt:i4>5</vt:i4>
      </vt:variant>
      <vt:variant>
        <vt:lpwstr/>
      </vt:variant>
      <vt:variant>
        <vt:lpwstr>_Toc3451575</vt:lpwstr>
      </vt:variant>
      <vt:variant>
        <vt:i4>2424835</vt:i4>
      </vt:variant>
      <vt:variant>
        <vt:i4>20</vt:i4>
      </vt:variant>
      <vt:variant>
        <vt:i4>0</vt:i4>
      </vt:variant>
      <vt:variant>
        <vt:i4>5</vt:i4>
      </vt:variant>
      <vt:variant>
        <vt:lpwstr/>
      </vt:variant>
      <vt:variant>
        <vt:lpwstr>_Toc3451574</vt:lpwstr>
      </vt:variant>
      <vt:variant>
        <vt:i4>2424835</vt:i4>
      </vt:variant>
      <vt:variant>
        <vt:i4>14</vt:i4>
      </vt:variant>
      <vt:variant>
        <vt:i4>0</vt:i4>
      </vt:variant>
      <vt:variant>
        <vt:i4>5</vt:i4>
      </vt:variant>
      <vt:variant>
        <vt:lpwstr/>
      </vt:variant>
      <vt:variant>
        <vt:lpwstr>_Toc3451573</vt:lpwstr>
      </vt:variant>
      <vt:variant>
        <vt:i4>2424835</vt:i4>
      </vt:variant>
      <vt:variant>
        <vt:i4>8</vt:i4>
      </vt:variant>
      <vt:variant>
        <vt:i4>0</vt:i4>
      </vt:variant>
      <vt:variant>
        <vt:i4>5</vt:i4>
      </vt:variant>
      <vt:variant>
        <vt:lpwstr/>
      </vt:variant>
      <vt:variant>
        <vt:lpwstr>_Toc3451572</vt:lpwstr>
      </vt:variant>
      <vt:variant>
        <vt:i4>2424835</vt:i4>
      </vt:variant>
      <vt:variant>
        <vt:i4>2</vt:i4>
      </vt:variant>
      <vt:variant>
        <vt:i4>0</vt:i4>
      </vt:variant>
      <vt:variant>
        <vt:i4>5</vt:i4>
      </vt:variant>
      <vt:variant>
        <vt:lpwstr/>
      </vt:variant>
      <vt:variant>
        <vt:lpwstr>_Toc3451571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Matériel S2I-D1</dc:subject>
  <dc:creator>Xavier de Châteaucroc</dc:creator>
  <cp:keywords/>
  <cp:lastModifiedBy>Jerome Veyssier</cp:lastModifiedBy>
  <cp:revision>7</cp:revision>
  <cp:lastPrinted>2015-10-20T12:55:00Z</cp:lastPrinted>
  <dcterms:created xsi:type="dcterms:W3CDTF">2026-02-04T07:43:00Z</dcterms:created>
  <dcterms:modified xsi:type="dcterms:W3CDTF">2026-02-19T13:25:00Z</dcterms:modified>
</cp:coreProperties>
</file>