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F8EA" w14:textId="75B8508F" w:rsidR="00F64641" w:rsidRPr="00DF29C7" w:rsidRDefault="00993DA2" w:rsidP="00DF29C7">
      <w:pPr>
        <w:pStyle w:val="OBJEXIGENCE"/>
        <w:spacing w:before="0"/>
        <w:jc w:val="center"/>
        <w:rPr>
          <w:rFonts w:ascii="Arial" w:hAnsi="Arial" w:cs="Arial"/>
          <w:sz w:val="20"/>
          <w:szCs w:val="20"/>
        </w:rPr>
      </w:pPr>
      <w:r w:rsidRPr="0066744A">
        <w:rPr>
          <w:rFonts w:ascii="Arial" w:hAnsi="Arial" w:cs="Arial"/>
          <w:b/>
          <w:sz w:val="16"/>
        </w:rPr>
        <w:drawing>
          <wp:anchor distT="0" distB="0" distL="114300" distR="114300" simplePos="0" relativeHeight="251659264" behindDoc="0" locked="0" layoutInCell="1" allowOverlap="1" wp14:anchorId="374479DA" wp14:editId="5B94AF12">
            <wp:simplePos x="0" y="0"/>
            <wp:positionH relativeFrom="margin">
              <wp:posOffset>4146176</wp:posOffset>
            </wp:positionH>
            <wp:positionV relativeFrom="paragraph">
              <wp:posOffset>-758825</wp:posOffset>
            </wp:positionV>
            <wp:extent cx="1904961" cy="931653"/>
            <wp:effectExtent l="0" t="0" r="635" b="1905"/>
            <wp:wrapNone/>
            <wp:docPr id="1" name="Image 1" descr="C:\Users\j.henry1\Desktop\SID_2024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nry1\Desktop\SID_2024_logo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4961" cy="9316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F7579" w14:textId="55424C56" w:rsidR="00AE55F5" w:rsidRDefault="00AE55F5"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u w:val="single"/>
        </w:rPr>
      </w:pPr>
    </w:p>
    <w:p w14:paraId="726E010C" w14:textId="481D396E" w:rsidR="00F64641" w:rsidRDefault="00242C10"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u w:val="single"/>
        </w:rPr>
      </w:pPr>
      <w:r w:rsidRPr="00AE55F5">
        <w:rPr>
          <w:rFonts w:ascii="Arial" w:hAnsi="Arial" w:cs="Arial"/>
          <w:b/>
          <w:sz w:val="28"/>
          <w:szCs w:val="28"/>
          <w:u w:val="single"/>
        </w:rPr>
        <w:t>A</w:t>
      </w:r>
      <w:r w:rsidR="003F30A4" w:rsidRPr="00AE55F5">
        <w:rPr>
          <w:rFonts w:ascii="Arial" w:hAnsi="Arial" w:cs="Arial"/>
          <w:b/>
          <w:sz w:val="28"/>
          <w:szCs w:val="28"/>
          <w:u w:val="single"/>
        </w:rPr>
        <w:t>VIS D’APPEL PUBLIC A</w:t>
      </w:r>
      <w:r w:rsidR="00B14C48">
        <w:rPr>
          <w:rFonts w:ascii="Arial" w:hAnsi="Arial" w:cs="Arial"/>
          <w:b/>
          <w:sz w:val="28"/>
          <w:szCs w:val="28"/>
          <w:u w:val="single"/>
        </w:rPr>
        <w:t xml:space="preserve"> LA</w:t>
      </w:r>
      <w:r w:rsidR="003F30A4" w:rsidRPr="00AE55F5">
        <w:rPr>
          <w:rFonts w:ascii="Arial" w:hAnsi="Arial" w:cs="Arial"/>
          <w:b/>
          <w:sz w:val="28"/>
          <w:szCs w:val="28"/>
          <w:u w:val="single"/>
        </w:rPr>
        <w:t xml:space="preserve"> CONCURRENCE</w:t>
      </w:r>
    </w:p>
    <w:p w14:paraId="5C020848" w14:textId="65AC2B29" w:rsidR="00AE55F5" w:rsidRPr="00AE55F5" w:rsidRDefault="00AE55F5" w:rsidP="00AE55F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8"/>
          <w:szCs w:val="28"/>
        </w:rPr>
      </w:pPr>
    </w:p>
    <w:p w14:paraId="012B139D" w14:textId="293042FF" w:rsidR="00F64641" w:rsidRPr="00DF29C7" w:rsidRDefault="00F64641" w:rsidP="00DF29C7">
      <w:pPr>
        <w:spacing w:after="0" w:line="240" w:lineRule="auto"/>
        <w:rPr>
          <w:rFonts w:ascii="Arial" w:hAnsi="Arial" w:cs="Arial"/>
          <w:sz w:val="20"/>
          <w:szCs w:val="20"/>
        </w:rPr>
      </w:pPr>
    </w:p>
    <w:p w14:paraId="0765680E" w14:textId="6D5952C3" w:rsidR="003F30A4" w:rsidRDefault="003F30A4" w:rsidP="00DF29C7">
      <w:pPr>
        <w:spacing w:after="0" w:line="240" w:lineRule="auto"/>
        <w:rPr>
          <w:rFonts w:ascii="Arial" w:hAnsi="Arial" w:cs="Arial"/>
          <w:b/>
          <w:sz w:val="20"/>
          <w:szCs w:val="20"/>
          <w:u w:val="single"/>
        </w:rPr>
      </w:pPr>
    </w:p>
    <w:p w14:paraId="38E3EA7B" w14:textId="56918E8A" w:rsidR="00E22834" w:rsidRDefault="003F30A4" w:rsidP="00E22834">
      <w:pPr>
        <w:pStyle w:val="OBJEXIGENCE"/>
        <w:rPr>
          <w:rFonts w:ascii="Arial" w:hAnsi="Arial" w:cs="Arial"/>
          <w:b/>
          <w:u w:val="single"/>
          <w:lang w:val="en-US"/>
        </w:rPr>
      </w:pPr>
      <w:r w:rsidRPr="0085427C">
        <w:rPr>
          <w:rFonts w:ascii="Arial" w:hAnsi="Arial" w:cs="Arial"/>
          <w:b/>
          <w:u w:val="single"/>
        </w:rPr>
        <w:t>Consultation n°</w:t>
      </w:r>
      <w:r w:rsidR="007840D7" w:rsidRPr="0085427C">
        <w:rPr>
          <w:rFonts w:ascii="Arial" w:hAnsi="Arial" w:cs="Arial"/>
          <w:b/>
          <w:caps/>
          <w:u w:val="single"/>
        </w:rPr>
        <w:t>8558</w:t>
      </w:r>
      <w:r w:rsidRPr="0085427C">
        <w:rPr>
          <w:rFonts w:ascii="Arial" w:hAnsi="Arial" w:cs="Arial"/>
          <w:b/>
          <w:u w:val="single"/>
        </w:rPr>
        <w:t xml:space="preserve"> – </w:t>
      </w:r>
      <w:r w:rsidRPr="0085427C">
        <w:rPr>
          <w:rFonts w:ascii="Arial" w:hAnsi="Arial" w:cs="Arial"/>
          <w:b/>
          <w:u w:val="single"/>
          <w:lang w:val="en-US"/>
        </w:rPr>
        <w:t>Accord-cadre à bons de commande</w:t>
      </w:r>
      <w:r w:rsidR="00E22834" w:rsidRPr="0085427C">
        <w:rPr>
          <w:rFonts w:ascii="Arial" w:hAnsi="Arial" w:cs="Arial"/>
          <w:b/>
          <w:u w:val="single"/>
          <w:lang w:val="en-US"/>
        </w:rPr>
        <w:t xml:space="preserve"> par carte achat</w:t>
      </w:r>
      <w:r w:rsidRPr="0085427C">
        <w:rPr>
          <w:rFonts w:ascii="Arial" w:hAnsi="Arial" w:cs="Arial"/>
          <w:b/>
          <w:u w:val="single"/>
          <w:lang w:val="en-US"/>
        </w:rPr>
        <w:t xml:space="preserve"> relatif </w:t>
      </w:r>
      <w:r w:rsidR="00E22834" w:rsidRPr="0085427C">
        <w:rPr>
          <w:rFonts w:ascii="Arial" w:hAnsi="Arial" w:cs="Arial"/>
          <w:b/>
          <w:u w:val="single"/>
          <w:lang w:val="en-US"/>
        </w:rPr>
        <w:t xml:space="preserve">à la fourniture </w:t>
      </w:r>
      <w:r w:rsidR="007840D7" w:rsidRPr="0085427C">
        <w:rPr>
          <w:rFonts w:ascii="Arial" w:hAnsi="Arial" w:cs="Arial"/>
          <w:b/>
          <w:u w:val="single"/>
          <w:lang w:val="en-US"/>
        </w:rPr>
        <w:t xml:space="preserve">et livraison de matériels pour les réseaux de distribution d'eau potable </w:t>
      </w:r>
      <w:r w:rsidR="00E22834" w:rsidRPr="0085427C">
        <w:rPr>
          <w:rFonts w:ascii="Arial" w:hAnsi="Arial" w:cs="Arial"/>
          <w:b/>
          <w:u w:val="single"/>
          <w:lang w:val="en-US"/>
        </w:rPr>
        <w:t>au profit du SID Atlantique</w:t>
      </w:r>
    </w:p>
    <w:p w14:paraId="03E99EBE" w14:textId="77777777" w:rsidR="00201845" w:rsidRPr="00201845" w:rsidRDefault="00201845" w:rsidP="00201845">
      <w:pPr>
        <w:autoSpaceDE w:val="0"/>
        <w:autoSpaceDN w:val="0"/>
        <w:adjustRightInd w:val="0"/>
        <w:spacing w:after="0" w:line="240" w:lineRule="auto"/>
        <w:rPr>
          <w:rFonts w:ascii="Arial" w:hAnsi="Arial" w:cs="Arial"/>
          <w:color w:val="000000"/>
          <w:sz w:val="24"/>
          <w:szCs w:val="24"/>
        </w:rPr>
      </w:pPr>
    </w:p>
    <w:p w14:paraId="5CEF568E" w14:textId="6A1D00BF" w:rsidR="00201845" w:rsidRPr="0085427C" w:rsidRDefault="00201845" w:rsidP="00201845">
      <w:pPr>
        <w:pStyle w:val="OBJEXIGENCE"/>
        <w:rPr>
          <w:rFonts w:ascii="Arial" w:hAnsi="Arial" w:cs="Arial"/>
          <w:b/>
          <w:u w:val="single"/>
          <w:lang w:val="en-US"/>
        </w:rPr>
      </w:pPr>
      <w:r w:rsidRPr="00201845">
        <w:rPr>
          <w:rFonts w:ascii="Arial" w:eastAsiaTheme="minorHAnsi" w:hAnsi="Arial" w:cs="Arial"/>
          <w:b/>
          <w:bCs/>
          <w:noProof w:val="0"/>
          <w:color w:val="000000"/>
          <w:sz w:val="23"/>
          <w:szCs w:val="23"/>
          <w:lang w:eastAsia="en-US"/>
        </w:rPr>
        <w:t>AAPC – Pièce-jointe n°1 – Informations complémentaires à la publicité</w:t>
      </w:r>
    </w:p>
    <w:p w14:paraId="60DC7F7E" w14:textId="135FF2E6" w:rsidR="00B14C48" w:rsidRPr="0085427C" w:rsidRDefault="00B14C48" w:rsidP="003F30A4">
      <w:pPr>
        <w:pStyle w:val="OBJEXIGENCE"/>
        <w:spacing w:before="0"/>
        <w:ind w:left="0"/>
        <w:jc w:val="center"/>
        <w:rPr>
          <w:rFonts w:ascii="Arial" w:hAnsi="Arial" w:cs="Arial"/>
          <w:b/>
          <w:caps/>
          <w:sz w:val="20"/>
          <w:szCs w:val="20"/>
          <w:u w:val="single"/>
        </w:rPr>
      </w:pPr>
    </w:p>
    <w:p w14:paraId="476EEF3F" w14:textId="36880A22" w:rsidR="00B14C48" w:rsidRPr="0085427C" w:rsidRDefault="00B14C48" w:rsidP="003F30A4">
      <w:pPr>
        <w:pStyle w:val="OBJEXIGENCE"/>
        <w:spacing w:before="0"/>
        <w:ind w:left="0"/>
        <w:jc w:val="center"/>
        <w:rPr>
          <w:rFonts w:ascii="Arial" w:hAnsi="Arial" w:cs="Arial"/>
          <w:b/>
          <w:sz w:val="20"/>
          <w:szCs w:val="20"/>
          <w:u w:val="single"/>
          <w:lang w:val="en-US"/>
        </w:rPr>
      </w:pPr>
    </w:p>
    <w:p w14:paraId="3AF77FE0" w14:textId="77777777" w:rsidR="00993DA2" w:rsidRPr="00993DA2" w:rsidRDefault="00993DA2" w:rsidP="00993DA2">
      <w:pPr>
        <w:spacing w:after="0" w:line="240" w:lineRule="auto"/>
        <w:rPr>
          <w:rFonts w:ascii="Arial" w:hAnsi="Arial" w:cs="Arial"/>
          <w:b/>
          <w:u w:val="single"/>
        </w:rPr>
      </w:pPr>
    </w:p>
    <w:p w14:paraId="43F18D04" w14:textId="77777777" w:rsidR="00993DA2" w:rsidRPr="00993DA2" w:rsidRDefault="00993DA2" w:rsidP="00993DA2">
      <w:pPr>
        <w:spacing w:after="0" w:line="240" w:lineRule="auto"/>
        <w:rPr>
          <w:rFonts w:ascii="Arial" w:hAnsi="Arial" w:cs="Arial"/>
          <w:b/>
          <w:u w:val="single"/>
        </w:rPr>
      </w:pPr>
      <w:r w:rsidRPr="00993DA2">
        <w:rPr>
          <w:rFonts w:ascii="Arial" w:hAnsi="Arial" w:cs="Arial"/>
          <w:b/>
          <w:u w:val="single"/>
        </w:rPr>
        <w:t>ARTICLE 1</w:t>
      </w:r>
      <w:r w:rsidRPr="00993DA2">
        <w:rPr>
          <w:rFonts w:ascii="Arial" w:hAnsi="Arial" w:cs="Arial"/>
          <w:b/>
          <w:u w:val="single"/>
          <w:vertAlign w:val="superscript"/>
        </w:rPr>
        <w:t>er</w:t>
      </w:r>
      <w:r w:rsidRPr="00993DA2">
        <w:rPr>
          <w:rFonts w:ascii="Arial" w:hAnsi="Arial" w:cs="Arial"/>
          <w:b/>
          <w:u w:val="single"/>
        </w:rPr>
        <w:t xml:space="preserve"> : Présentation de la procédure </w:t>
      </w:r>
    </w:p>
    <w:p w14:paraId="24BBA7B9" w14:textId="77777777" w:rsidR="00993DA2" w:rsidRPr="00993DA2" w:rsidRDefault="00993DA2" w:rsidP="00993DA2">
      <w:pPr>
        <w:spacing w:after="0" w:line="240" w:lineRule="auto"/>
        <w:jc w:val="both"/>
        <w:rPr>
          <w:rFonts w:ascii="Arial" w:hAnsi="Arial" w:cs="Arial"/>
        </w:rPr>
      </w:pPr>
    </w:p>
    <w:p w14:paraId="4E1E32CE" w14:textId="77777777" w:rsidR="00993DA2" w:rsidRPr="00993DA2" w:rsidRDefault="00993DA2" w:rsidP="00993DA2">
      <w:pPr>
        <w:spacing w:after="0" w:line="240" w:lineRule="auto"/>
        <w:jc w:val="both"/>
        <w:rPr>
          <w:rFonts w:ascii="Arial" w:hAnsi="Arial" w:cs="Arial"/>
        </w:rPr>
      </w:pPr>
      <w:r w:rsidRPr="00993DA2">
        <w:rPr>
          <w:rFonts w:ascii="Arial" w:hAnsi="Arial" w:cs="Arial"/>
        </w:rPr>
        <w:t xml:space="preserve">Cette consultation est un appel d’offre ouvert. </w:t>
      </w:r>
    </w:p>
    <w:p w14:paraId="778FF76D" w14:textId="77777777" w:rsidR="00993DA2" w:rsidRPr="00993DA2" w:rsidRDefault="00993DA2" w:rsidP="00993DA2">
      <w:pPr>
        <w:spacing w:after="0" w:line="240" w:lineRule="auto"/>
        <w:jc w:val="both"/>
        <w:rPr>
          <w:rFonts w:ascii="Arial" w:hAnsi="Arial" w:cs="Arial"/>
        </w:rPr>
      </w:pPr>
    </w:p>
    <w:p w14:paraId="691414B2" w14:textId="5B65AFEF" w:rsidR="00993DA2" w:rsidRPr="00993DA2" w:rsidRDefault="00993DA2" w:rsidP="00993DA2">
      <w:pPr>
        <w:spacing w:after="0" w:line="240" w:lineRule="auto"/>
        <w:jc w:val="both"/>
        <w:rPr>
          <w:rFonts w:ascii="Arial" w:hAnsi="Arial" w:cs="Arial"/>
        </w:rPr>
      </w:pPr>
      <w:r w:rsidRPr="00993DA2">
        <w:rPr>
          <w:rFonts w:ascii="Arial" w:hAnsi="Arial" w:cs="Arial"/>
        </w:rPr>
        <w:t xml:space="preserve">Le dossier de consultation des entreprises est transmis aux candidats afin que ceux-ci puissent </w:t>
      </w:r>
      <w:r w:rsidR="00B459C3">
        <w:rPr>
          <w:rFonts w:ascii="Arial" w:hAnsi="Arial" w:cs="Arial"/>
          <w:b/>
          <w:u w:val="single"/>
        </w:rPr>
        <w:t>remettre leur</w:t>
      </w:r>
      <w:bookmarkStart w:id="0" w:name="_GoBack"/>
      <w:bookmarkEnd w:id="0"/>
      <w:r w:rsidR="00B459C3">
        <w:rPr>
          <w:rFonts w:ascii="Arial" w:hAnsi="Arial" w:cs="Arial"/>
          <w:b/>
          <w:u w:val="single"/>
        </w:rPr>
        <w:t xml:space="preserve"> </w:t>
      </w:r>
      <w:r w:rsidRPr="00993DA2">
        <w:rPr>
          <w:rFonts w:ascii="Arial" w:hAnsi="Arial" w:cs="Arial"/>
          <w:b/>
          <w:u w:val="single"/>
        </w:rPr>
        <w:t>candidature et offre</w:t>
      </w:r>
      <w:r w:rsidRPr="00993DA2">
        <w:rPr>
          <w:rFonts w:ascii="Arial" w:hAnsi="Arial" w:cs="Arial"/>
        </w:rPr>
        <w:t xml:space="preserve"> conformément à l’article 5.1 du règlement de consultation. Celles-ci devront être déposées sur la PLACE avant la date indiquée dans la lettre de consultation. </w:t>
      </w:r>
    </w:p>
    <w:p w14:paraId="426AD37F" w14:textId="77777777" w:rsidR="00993DA2" w:rsidRPr="00993DA2" w:rsidRDefault="00993DA2" w:rsidP="00993DA2">
      <w:pPr>
        <w:spacing w:after="0" w:line="240" w:lineRule="auto"/>
        <w:jc w:val="both"/>
        <w:rPr>
          <w:rFonts w:ascii="Arial" w:hAnsi="Arial" w:cs="Arial"/>
        </w:rPr>
      </w:pPr>
    </w:p>
    <w:p w14:paraId="17407905" w14:textId="77777777" w:rsidR="00993DA2" w:rsidRPr="00993DA2" w:rsidRDefault="00993DA2" w:rsidP="00993DA2">
      <w:pPr>
        <w:spacing w:after="0" w:line="240" w:lineRule="auto"/>
        <w:jc w:val="both"/>
        <w:rPr>
          <w:rFonts w:ascii="Arial" w:hAnsi="Arial" w:cs="Arial"/>
          <w:b/>
          <w:u w:val="single"/>
        </w:rPr>
      </w:pPr>
      <w:r w:rsidRPr="00993DA2">
        <w:rPr>
          <w:rFonts w:ascii="Arial" w:hAnsi="Arial" w:cs="Arial"/>
          <w:b/>
          <w:u w:val="single"/>
        </w:rPr>
        <w:t xml:space="preserve">ARTICLE 2 : Informations relatives à la négociation </w:t>
      </w:r>
    </w:p>
    <w:p w14:paraId="1F6F6C0A" w14:textId="77777777" w:rsidR="00993DA2" w:rsidRPr="00993DA2" w:rsidRDefault="00993DA2" w:rsidP="00993DA2">
      <w:pPr>
        <w:spacing w:after="0" w:line="240" w:lineRule="auto"/>
        <w:jc w:val="both"/>
        <w:rPr>
          <w:rFonts w:ascii="Arial" w:hAnsi="Arial" w:cs="Arial"/>
        </w:rPr>
      </w:pPr>
      <w:r w:rsidRPr="00993DA2">
        <w:rPr>
          <w:rFonts w:ascii="Arial" w:hAnsi="Arial" w:cs="Arial"/>
        </w:rPr>
        <w:t>Au regard de la procédure, la négociation est interdite.</w:t>
      </w:r>
    </w:p>
    <w:p w14:paraId="10909074" w14:textId="77777777" w:rsidR="00993DA2" w:rsidRPr="00993DA2" w:rsidRDefault="00993DA2" w:rsidP="00993DA2">
      <w:pPr>
        <w:spacing w:after="0" w:line="240" w:lineRule="auto"/>
        <w:jc w:val="both"/>
        <w:rPr>
          <w:rFonts w:ascii="Arial" w:hAnsi="Arial" w:cs="Arial"/>
        </w:rPr>
      </w:pPr>
    </w:p>
    <w:p w14:paraId="15027D4C" w14:textId="77777777" w:rsidR="00993DA2" w:rsidRPr="00993DA2" w:rsidRDefault="00993DA2" w:rsidP="00993DA2">
      <w:pPr>
        <w:spacing w:after="0" w:line="240" w:lineRule="auto"/>
        <w:rPr>
          <w:rFonts w:ascii="Arial" w:hAnsi="Arial" w:cs="Arial"/>
          <w:b/>
          <w:u w:val="single"/>
        </w:rPr>
      </w:pPr>
      <w:r w:rsidRPr="00993DA2">
        <w:rPr>
          <w:rFonts w:ascii="Arial" w:hAnsi="Arial" w:cs="Arial"/>
          <w:b/>
          <w:u w:val="single"/>
        </w:rPr>
        <w:t xml:space="preserve">ARTICLE 3 : Montant maximum de l’accord-cadre </w:t>
      </w:r>
    </w:p>
    <w:p w14:paraId="4C708002" w14:textId="60CE31D4" w:rsidR="00391074" w:rsidRPr="00993DA2" w:rsidRDefault="00391074" w:rsidP="00391074">
      <w:pPr>
        <w:spacing w:after="0" w:line="240" w:lineRule="auto"/>
        <w:jc w:val="both"/>
        <w:rPr>
          <w:rFonts w:ascii="Arial" w:hAnsi="Arial" w:cs="Arial"/>
        </w:rPr>
      </w:pPr>
    </w:p>
    <w:tbl>
      <w:tblPr>
        <w:tblStyle w:val="Grilledutableau"/>
        <w:tblW w:w="0" w:type="auto"/>
        <w:jc w:val="center"/>
        <w:tblLook w:val="04A0" w:firstRow="1" w:lastRow="0" w:firstColumn="1" w:lastColumn="0" w:noHBand="0" w:noVBand="1"/>
      </w:tblPr>
      <w:tblGrid>
        <w:gridCol w:w="4248"/>
        <w:gridCol w:w="3969"/>
      </w:tblGrid>
      <w:tr w:rsidR="0085427C" w:rsidRPr="00993DA2" w14:paraId="729073DE" w14:textId="77777777" w:rsidTr="00A45115">
        <w:trPr>
          <w:jc w:val="center"/>
        </w:trPr>
        <w:tc>
          <w:tcPr>
            <w:tcW w:w="4248" w:type="dxa"/>
            <w:vAlign w:val="center"/>
          </w:tcPr>
          <w:p w14:paraId="7ED45DEE" w14:textId="77777777" w:rsidR="0085427C" w:rsidRPr="00993DA2" w:rsidRDefault="0085427C" w:rsidP="00C326C8">
            <w:pPr>
              <w:jc w:val="center"/>
              <w:rPr>
                <w:rFonts w:ascii="Arial" w:hAnsi="Arial" w:cs="Arial"/>
                <w:b/>
              </w:rPr>
            </w:pPr>
            <w:r w:rsidRPr="00993DA2">
              <w:rPr>
                <w:rFonts w:ascii="Arial" w:hAnsi="Arial" w:cs="Arial"/>
                <w:b/>
              </w:rPr>
              <w:t>Montant minimum</w:t>
            </w:r>
          </w:p>
        </w:tc>
        <w:tc>
          <w:tcPr>
            <w:tcW w:w="3969" w:type="dxa"/>
            <w:vAlign w:val="center"/>
          </w:tcPr>
          <w:p w14:paraId="34246055" w14:textId="29731740" w:rsidR="0085427C" w:rsidRPr="00993DA2" w:rsidRDefault="0085427C" w:rsidP="00C326C8">
            <w:pPr>
              <w:jc w:val="center"/>
              <w:rPr>
                <w:rFonts w:ascii="Arial" w:hAnsi="Arial" w:cs="Arial"/>
                <w:b/>
              </w:rPr>
            </w:pPr>
            <w:r w:rsidRPr="00311588">
              <w:rPr>
                <w:rFonts w:ascii="Arial" w:hAnsi="Arial" w:cs="Arial"/>
                <w:b/>
              </w:rPr>
              <w:t>Montant maximum sur la durée maximale de l’accord-cadre (4 ans)</w:t>
            </w:r>
          </w:p>
        </w:tc>
      </w:tr>
      <w:tr w:rsidR="0085427C" w:rsidRPr="00993DA2" w14:paraId="3F294AE5" w14:textId="77777777" w:rsidTr="00A45115">
        <w:trPr>
          <w:jc w:val="center"/>
        </w:trPr>
        <w:tc>
          <w:tcPr>
            <w:tcW w:w="4248" w:type="dxa"/>
            <w:vAlign w:val="center"/>
          </w:tcPr>
          <w:p w14:paraId="3DBBE37F" w14:textId="77777777" w:rsidR="0085427C" w:rsidRPr="00993DA2" w:rsidRDefault="0085427C" w:rsidP="00C326C8">
            <w:pPr>
              <w:jc w:val="center"/>
              <w:rPr>
                <w:rFonts w:ascii="Arial" w:hAnsi="Arial" w:cs="Arial"/>
              </w:rPr>
            </w:pPr>
            <w:r w:rsidRPr="00993DA2">
              <w:rPr>
                <w:rFonts w:ascii="Arial" w:hAnsi="Arial" w:cs="Arial"/>
              </w:rPr>
              <w:t>Sans minimum</w:t>
            </w:r>
          </w:p>
        </w:tc>
        <w:tc>
          <w:tcPr>
            <w:tcW w:w="3969" w:type="dxa"/>
            <w:vAlign w:val="center"/>
          </w:tcPr>
          <w:p w14:paraId="6C13657D" w14:textId="2101DE46" w:rsidR="0085427C" w:rsidRPr="00993DA2" w:rsidRDefault="0085427C" w:rsidP="00177278">
            <w:pPr>
              <w:jc w:val="center"/>
              <w:rPr>
                <w:rFonts w:ascii="Arial" w:hAnsi="Arial" w:cs="Arial"/>
              </w:rPr>
            </w:pPr>
            <w:r w:rsidRPr="00993DA2">
              <w:rPr>
                <w:rFonts w:ascii="Arial" w:hAnsi="Arial" w:cs="Arial"/>
              </w:rPr>
              <w:t>400 000 € H.T</w:t>
            </w:r>
          </w:p>
        </w:tc>
      </w:tr>
    </w:tbl>
    <w:p w14:paraId="35CBC7AB" w14:textId="77777777" w:rsidR="004E104E" w:rsidRPr="00993DA2" w:rsidRDefault="004E104E" w:rsidP="00391074">
      <w:pPr>
        <w:spacing w:after="0" w:line="240" w:lineRule="auto"/>
        <w:jc w:val="both"/>
        <w:rPr>
          <w:rFonts w:ascii="Arial" w:hAnsi="Arial" w:cs="Arial"/>
        </w:rPr>
      </w:pPr>
    </w:p>
    <w:p w14:paraId="4A0A8F46" w14:textId="77777777" w:rsidR="00E61113" w:rsidRPr="00993DA2" w:rsidRDefault="00E61113" w:rsidP="00E61113">
      <w:pPr>
        <w:spacing w:after="0" w:line="240" w:lineRule="auto"/>
        <w:jc w:val="both"/>
        <w:rPr>
          <w:rFonts w:ascii="Arial" w:hAnsi="Arial" w:cs="Arial"/>
        </w:rPr>
      </w:pPr>
      <w:r w:rsidRPr="00993DA2">
        <w:rPr>
          <w:rFonts w:ascii="Arial" w:hAnsi="Arial" w:cs="Arial"/>
        </w:rPr>
        <w:t xml:space="preserve">Une fois le montant maximum atteint, l’accord-cadre n’est plus valide et la notification des bons de commande cessera. </w:t>
      </w:r>
    </w:p>
    <w:p w14:paraId="743407ED" w14:textId="6598D13F" w:rsidR="00391074" w:rsidRPr="00993DA2" w:rsidRDefault="00391074" w:rsidP="00391074">
      <w:pPr>
        <w:spacing w:after="0" w:line="240" w:lineRule="auto"/>
        <w:jc w:val="both"/>
        <w:rPr>
          <w:rFonts w:ascii="Arial" w:hAnsi="Arial" w:cs="Arial"/>
        </w:rPr>
      </w:pPr>
    </w:p>
    <w:p w14:paraId="555BE75B" w14:textId="77777777" w:rsidR="00993DA2" w:rsidRPr="00993DA2" w:rsidRDefault="00993DA2" w:rsidP="00993DA2">
      <w:pPr>
        <w:spacing w:after="0" w:line="240" w:lineRule="auto"/>
        <w:jc w:val="both"/>
        <w:rPr>
          <w:rFonts w:ascii="Arial" w:hAnsi="Arial" w:cs="Arial"/>
          <w:b/>
          <w:u w:val="single"/>
        </w:rPr>
      </w:pPr>
      <w:r w:rsidRPr="00993DA2">
        <w:rPr>
          <w:rFonts w:ascii="Arial" w:hAnsi="Arial" w:cs="Arial"/>
          <w:b/>
          <w:u w:val="single"/>
        </w:rPr>
        <w:t>ARTICLE 4 : Durée de l’accord-cadre</w:t>
      </w:r>
    </w:p>
    <w:p w14:paraId="41C7802D" w14:textId="77777777" w:rsidR="00993DA2" w:rsidRPr="00993DA2" w:rsidRDefault="00993DA2" w:rsidP="00993DA2">
      <w:pPr>
        <w:spacing w:after="0" w:line="240" w:lineRule="auto"/>
        <w:jc w:val="both"/>
        <w:rPr>
          <w:rFonts w:ascii="Arial" w:hAnsi="Arial" w:cs="Arial"/>
          <w:highlight w:val="yellow"/>
        </w:rPr>
      </w:pPr>
    </w:p>
    <w:p w14:paraId="1D8D0A54" w14:textId="77777777" w:rsidR="00993DA2" w:rsidRPr="00993DA2" w:rsidRDefault="00993DA2" w:rsidP="00993DA2">
      <w:pPr>
        <w:spacing w:after="0" w:line="240" w:lineRule="auto"/>
        <w:jc w:val="both"/>
        <w:rPr>
          <w:rFonts w:ascii="Arial" w:hAnsi="Arial" w:cs="Arial"/>
        </w:rPr>
      </w:pPr>
      <w:r w:rsidRPr="00993DA2">
        <w:rPr>
          <w:rFonts w:ascii="Arial" w:hAnsi="Arial" w:cs="Arial"/>
        </w:rPr>
        <w:t xml:space="preserve">La durée initiale est de </w:t>
      </w:r>
      <w:r w:rsidRPr="00993DA2">
        <w:rPr>
          <w:rFonts w:ascii="Arial" w:hAnsi="Arial" w:cs="Arial"/>
          <w:caps/>
        </w:rPr>
        <w:t>12</w:t>
      </w:r>
      <w:r w:rsidRPr="00993DA2">
        <w:rPr>
          <w:rFonts w:ascii="Arial" w:hAnsi="Arial" w:cs="Arial"/>
        </w:rPr>
        <w:t xml:space="preserve"> mois, reconductible </w:t>
      </w:r>
      <w:r w:rsidRPr="00993DA2">
        <w:rPr>
          <w:rFonts w:ascii="Arial" w:hAnsi="Arial" w:cs="Arial"/>
          <w:caps/>
        </w:rPr>
        <w:t>3</w:t>
      </w:r>
      <w:r w:rsidRPr="00993DA2">
        <w:rPr>
          <w:rFonts w:ascii="Arial" w:hAnsi="Arial" w:cs="Arial"/>
        </w:rPr>
        <w:t xml:space="preserve"> fois par tacite reconduction. Chaque reconduction ayant une durée de </w:t>
      </w:r>
      <w:r w:rsidRPr="00993DA2">
        <w:rPr>
          <w:rFonts w:ascii="Arial" w:hAnsi="Arial" w:cs="Arial"/>
          <w:caps/>
        </w:rPr>
        <w:t>12</w:t>
      </w:r>
      <w:r w:rsidRPr="00993DA2">
        <w:rPr>
          <w:rFonts w:ascii="Arial" w:hAnsi="Arial" w:cs="Arial"/>
        </w:rPr>
        <w:t xml:space="preserve"> mois. La durée maximale du marché ne pouvant excéder </w:t>
      </w:r>
      <w:r w:rsidRPr="00993DA2">
        <w:rPr>
          <w:rFonts w:ascii="Arial" w:hAnsi="Arial" w:cs="Arial"/>
          <w:caps/>
        </w:rPr>
        <w:t>48</w:t>
      </w:r>
      <w:r w:rsidRPr="00993DA2">
        <w:rPr>
          <w:rFonts w:ascii="Arial" w:hAnsi="Arial" w:cs="Arial"/>
        </w:rPr>
        <w:t xml:space="preserve"> mois.</w:t>
      </w:r>
    </w:p>
    <w:p w14:paraId="46D1F309" w14:textId="77777777" w:rsidR="00993DA2" w:rsidRPr="00993DA2" w:rsidRDefault="00993DA2" w:rsidP="00993DA2">
      <w:pPr>
        <w:spacing w:after="0" w:line="240" w:lineRule="auto"/>
        <w:jc w:val="both"/>
        <w:rPr>
          <w:rFonts w:ascii="Arial" w:hAnsi="Arial" w:cs="Arial"/>
        </w:rPr>
      </w:pPr>
    </w:p>
    <w:p w14:paraId="7F6574C9" w14:textId="77777777" w:rsidR="00993DA2" w:rsidRPr="00993DA2" w:rsidRDefault="00993DA2" w:rsidP="00993DA2">
      <w:pPr>
        <w:spacing w:after="0" w:line="240" w:lineRule="auto"/>
        <w:rPr>
          <w:rFonts w:ascii="Arial" w:hAnsi="Arial" w:cs="Arial"/>
          <w:b/>
          <w:u w:val="single"/>
        </w:rPr>
      </w:pPr>
      <w:r w:rsidRPr="00993DA2">
        <w:rPr>
          <w:rFonts w:ascii="Arial" w:hAnsi="Arial" w:cs="Arial"/>
          <w:b/>
          <w:u w:val="single"/>
        </w:rPr>
        <w:t xml:space="preserve">ARTICLE 5 : Forme juridique </w:t>
      </w:r>
    </w:p>
    <w:p w14:paraId="723E3F06" w14:textId="77777777" w:rsidR="00993DA2" w:rsidRPr="00993DA2" w:rsidRDefault="00993DA2" w:rsidP="00993DA2">
      <w:pPr>
        <w:spacing w:after="0" w:line="240" w:lineRule="auto"/>
        <w:jc w:val="both"/>
        <w:rPr>
          <w:rFonts w:ascii="Arial" w:hAnsi="Arial" w:cs="Arial"/>
        </w:rPr>
      </w:pPr>
    </w:p>
    <w:p w14:paraId="5904BAB2" w14:textId="77777777" w:rsidR="00993DA2" w:rsidRPr="00993DA2" w:rsidRDefault="00993DA2" w:rsidP="00993DA2">
      <w:pPr>
        <w:spacing w:after="0" w:line="240" w:lineRule="auto"/>
        <w:jc w:val="both"/>
        <w:rPr>
          <w:rFonts w:ascii="Arial" w:hAnsi="Arial" w:cs="Arial"/>
        </w:rPr>
      </w:pPr>
      <w:r w:rsidRPr="00993DA2">
        <w:rPr>
          <w:rFonts w:ascii="Arial" w:hAnsi="Arial" w:cs="Arial"/>
        </w:rPr>
        <w:t>Conformément aux articles R. 2142-19 à R.2142-27 du Décret 2018-1075 du 03.12.2018, les candidats doivent indiquer dans leur dossier de candidature s’ils se présentent en tant que candidat individuel ou en tant que groupement d’opérateurs économiques. La forme du groupement n’est pas imposée. Toutefois, si le candidat souhaite se présenter sous la forme d’un groupement conjoint, le mandataire sera solidaire de chacun des membres du groupement pour ses obligations contractuelles à l’égard du pouvoir adjudicateur pour l’exécution de la totalité du marché.</w:t>
      </w:r>
    </w:p>
    <w:p w14:paraId="257B1FB3" w14:textId="77777777" w:rsidR="00993DA2" w:rsidRPr="00993DA2" w:rsidRDefault="00993DA2" w:rsidP="00993DA2">
      <w:pPr>
        <w:spacing w:after="0" w:line="240" w:lineRule="auto"/>
        <w:jc w:val="both"/>
        <w:rPr>
          <w:rFonts w:ascii="Arial" w:hAnsi="Arial" w:cs="Arial"/>
        </w:rPr>
      </w:pPr>
    </w:p>
    <w:p w14:paraId="7F7BD21E" w14:textId="77777777" w:rsidR="00993DA2" w:rsidRPr="0084105F" w:rsidRDefault="00993DA2" w:rsidP="00993DA2">
      <w:pPr>
        <w:spacing w:after="0" w:line="240" w:lineRule="auto"/>
        <w:jc w:val="both"/>
        <w:rPr>
          <w:rFonts w:ascii="Arial" w:hAnsi="Arial" w:cs="Arial"/>
          <w:color w:val="FF0000"/>
          <w:szCs w:val="24"/>
        </w:rPr>
      </w:pPr>
    </w:p>
    <w:p w14:paraId="039A6A46" w14:textId="6CF385AB" w:rsidR="00346614" w:rsidRPr="00346614" w:rsidRDefault="00346614" w:rsidP="00993DA2">
      <w:pPr>
        <w:spacing w:after="0" w:line="240" w:lineRule="auto"/>
        <w:jc w:val="both"/>
        <w:rPr>
          <w:rFonts w:ascii="Arial" w:hAnsi="Arial" w:cs="Arial"/>
          <w:sz w:val="20"/>
          <w:szCs w:val="20"/>
        </w:rPr>
      </w:pPr>
    </w:p>
    <w:sectPr w:rsidR="00346614" w:rsidRPr="00346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2429AFE"/>
    <w:lvl w:ilvl="0">
      <w:start w:val="1"/>
      <w:numFmt w:val="decimal"/>
      <w:pStyle w:val="Listenumros4"/>
      <w:lvlText w:val="%1."/>
      <w:lvlJc w:val="left"/>
      <w:pPr>
        <w:tabs>
          <w:tab w:val="num" w:pos="1209"/>
        </w:tabs>
        <w:ind w:left="1209" w:hanging="360"/>
      </w:pPr>
    </w:lvl>
  </w:abstractNum>
  <w:abstractNum w:abstractNumId="1" w15:restartNumberingAfterBreak="0">
    <w:nsid w:val="024D0512"/>
    <w:multiLevelType w:val="hybridMultilevel"/>
    <w:tmpl w:val="74BCCE84"/>
    <w:lvl w:ilvl="0" w:tplc="425075E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77D89"/>
    <w:multiLevelType w:val="hybridMultilevel"/>
    <w:tmpl w:val="0CBE3512"/>
    <w:lvl w:ilvl="0" w:tplc="275665E8">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E1F7CB2"/>
    <w:multiLevelType w:val="hybridMultilevel"/>
    <w:tmpl w:val="A106F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0405B"/>
    <w:multiLevelType w:val="hybridMultilevel"/>
    <w:tmpl w:val="5016E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A4414"/>
    <w:multiLevelType w:val="hybridMultilevel"/>
    <w:tmpl w:val="EC2AA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243F6"/>
    <w:multiLevelType w:val="hybridMultilevel"/>
    <w:tmpl w:val="CCC63BF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6B26D8"/>
    <w:multiLevelType w:val="hybridMultilevel"/>
    <w:tmpl w:val="E2B48E02"/>
    <w:lvl w:ilvl="0" w:tplc="6188FAC2">
      <w:start w:val="1"/>
      <w:numFmt w:val="bullet"/>
      <w:lvlText w:val=""/>
      <w:lvlJc w:val="left"/>
      <w:pPr>
        <w:ind w:left="2211" w:hanging="360"/>
      </w:pPr>
      <w:rPr>
        <w:rFonts w:ascii="Wingdings" w:hAnsi="Wingdings" w:hint="default"/>
        <w:color w:val="auto"/>
      </w:rPr>
    </w:lvl>
    <w:lvl w:ilvl="1" w:tplc="040C0003" w:tentative="1">
      <w:start w:val="1"/>
      <w:numFmt w:val="bullet"/>
      <w:lvlText w:val="o"/>
      <w:lvlJc w:val="left"/>
      <w:pPr>
        <w:ind w:left="2931" w:hanging="360"/>
      </w:pPr>
      <w:rPr>
        <w:rFonts w:ascii="Courier New" w:hAnsi="Courier New" w:cs="Courier New" w:hint="default"/>
      </w:rPr>
    </w:lvl>
    <w:lvl w:ilvl="2" w:tplc="040C0005" w:tentative="1">
      <w:start w:val="1"/>
      <w:numFmt w:val="bullet"/>
      <w:lvlText w:val=""/>
      <w:lvlJc w:val="left"/>
      <w:pPr>
        <w:ind w:left="3651" w:hanging="360"/>
      </w:pPr>
      <w:rPr>
        <w:rFonts w:ascii="Wingdings" w:hAnsi="Wingdings" w:hint="default"/>
      </w:rPr>
    </w:lvl>
    <w:lvl w:ilvl="3" w:tplc="040C0001" w:tentative="1">
      <w:start w:val="1"/>
      <w:numFmt w:val="bullet"/>
      <w:lvlText w:val=""/>
      <w:lvlJc w:val="left"/>
      <w:pPr>
        <w:ind w:left="4371" w:hanging="360"/>
      </w:pPr>
      <w:rPr>
        <w:rFonts w:ascii="Symbol" w:hAnsi="Symbol" w:hint="default"/>
      </w:rPr>
    </w:lvl>
    <w:lvl w:ilvl="4" w:tplc="040C0003" w:tentative="1">
      <w:start w:val="1"/>
      <w:numFmt w:val="bullet"/>
      <w:lvlText w:val="o"/>
      <w:lvlJc w:val="left"/>
      <w:pPr>
        <w:ind w:left="5091" w:hanging="360"/>
      </w:pPr>
      <w:rPr>
        <w:rFonts w:ascii="Courier New" w:hAnsi="Courier New" w:cs="Courier New" w:hint="default"/>
      </w:rPr>
    </w:lvl>
    <w:lvl w:ilvl="5" w:tplc="040C0005" w:tentative="1">
      <w:start w:val="1"/>
      <w:numFmt w:val="bullet"/>
      <w:lvlText w:val=""/>
      <w:lvlJc w:val="left"/>
      <w:pPr>
        <w:ind w:left="5811" w:hanging="360"/>
      </w:pPr>
      <w:rPr>
        <w:rFonts w:ascii="Wingdings" w:hAnsi="Wingdings" w:hint="default"/>
      </w:rPr>
    </w:lvl>
    <w:lvl w:ilvl="6" w:tplc="040C0001" w:tentative="1">
      <w:start w:val="1"/>
      <w:numFmt w:val="bullet"/>
      <w:lvlText w:val=""/>
      <w:lvlJc w:val="left"/>
      <w:pPr>
        <w:ind w:left="6531" w:hanging="360"/>
      </w:pPr>
      <w:rPr>
        <w:rFonts w:ascii="Symbol" w:hAnsi="Symbol" w:hint="default"/>
      </w:rPr>
    </w:lvl>
    <w:lvl w:ilvl="7" w:tplc="040C0003" w:tentative="1">
      <w:start w:val="1"/>
      <w:numFmt w:val="bullet"/>
      <w:lvlText w:val="o"/>
      <w:lvlJc w:val="left"/>
      <w:pPr>
        <w:ind w:left="7251" w:hanging="360"/>
      </w:pPr>
      <w:rPr>
        <w:rFonts w:ascii="Courier New" w:hAnsi="Courier New" w:cs="Courier New" w:hint="default"/>
      </w:rPr>
    </w:lvl>
    <w:lvl w:ilvl="8" w:tplc="040C0005" w:tentative="1">
      <w:start w:val="1"/>
      <w:numFmt w:val="bullet"/>
      <w:lvlText w:val=""/>
      <w:lvlJc w:val="left"/>
      <w:pPr>
        <w:ind w:left="7971" w:hanging="360"/>
      </w:pPr>
      <w:rPr>
        <w:rFonts w:ascii="Wingdings" w:hAnsi="Wingdings" w:hint="default"/>
      </w:rPr>
    </w:lvl>
  </w:abstractNum>
  <w:abstractNum w:abstractNumId="8" w15:restartNumberingAfterBreak="0">
    <w:nsid w:val="13C46AD1"/>
    <w:multiLevelType w:val="hybridMultilevel"/>
    <w:tmpl w:val="830848EC"/>
    <w:lvl w:ilvl="0" w:tplc="921262E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BB824A4"/>
    <w:multiLevelType w:val="multilevel"/>
    <w:tmpl w:val="DCB24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82369"/>
    <w:multiLevelType w:val="hybridMultilevel"/>
    <w:tmpl w:val="635A0D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4972D2"/>
    <w:multiLevelType w:val="hybridMultilevel"/>
    <w:tmpl w:val="C032ECDE"/>
    <w:lvl w:ilvl="0" w:tplc="64F22AE4">
      <w:numFmt w:val="bullet"/>
      <w:lvlText w:val=""/>
      <w:lvlJc w:val="left"/>
      <w:pPr>
        <w:ind w:left="1920" w:hanging="360"/>
      </w:pPr>
      <w:rPr>
        <w:rFonts w:ascii="Symbol" w:eastAsia="Times New Roman" w:hAnsi="Symbol" w:cs="Times New Roma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2" w15:restartNumberingAfterBreak="0">
    <w:nsid w:val="22F97214"/>
    <w:multiLevelType w:val="hybridMultilevel"/>
    <w:tmpl w:val="4E544DD6"/>
    <w:lvl w:ilvl="0" w:tplc="425075E2">
      <w:start w:val="1"/>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0C5F76"/>
    <w:multiLevelType w:val="hybridMultilevel"/>
    <w:tmpl w:val="F17852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532B9F"/>
    <w:multiLevelType w:val="hybridMultilevel"/>
    <w:tmpl w:val="9C1094A6"/>
    <w:lvl w:ilvl="0" w:tplc="639E054C">
      <w:start w:val="700"/>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DC10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2656F"/>
    <w:multiLevelType w:val="multilevel"/>
    <w:tmpl w:val="1AC20A6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3A41E2F"/>
    <w:multiLevelType w:val="hybridMultilevel"/>
    <w:tmpl w:val="30B29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A6B93"/>
    <w:multiLevelType w:val="multilevel"/>
    <w:tmpl w:val="7ABE5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2944D66"/>
    <w:multiLevelType w:val="multilevel"/>
    <w:tmpl w:val="2932B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563EBF"/>
    <w:multiLevelType w:val="hybridMultilevel"/>
    <w:tmpl w:val="72F24F90"/>
    <w:lvl w:ilvl="0" w:tplc="C134816C">
      <w:start w:val="2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17"/>
  </w:num>
  <w:num w:numId="4">
    <w:abstractNumId w:val="8"/>
  </w:num>
  <w:num w:numId="5">
    <w:abstractNumId w:val="2"/>
  </w:num>
  <w:num w:numId="6">
    <w:abstractNumId w:val="11"/>
  </w:num>
  <w:num w:numId="7">
    <w:abstractNumId w:val="7"/>
  </w:num>
  <w:num w:numId="8">
    <w:abstractNumId w:val="10"/>
  </w:num>
  <w:num w:numId="9">
    <w:abstractNumId w:val="0"/>
  </w:num>
  <w:num w:numId="10">
    <w:abstractNumId w:val="12"/>
  </w:num>
  <w:num w:numId="11">
    <w:abstractNumId w:val="20"/>
  </w:num>
  <w:num w:numId="12">
    <w:abstractNumId w:val="5"/>
  </w:num>
  <w:num w:numId="13">
    <w:abstractNumId w:val="3"/>
  </w:num>
  <w:num w:numId="14">
    <w:abstractNumId w:val="13"/>
  </w:num>
  <w:num w:numId="15">
    <w:abstractNumId w:val="9"/>
  </w:num>
  <w:num w:numId="16">
    <w:abstractNumId w:val="15"/>
  </w:num>
  <w:num w:numId="17">
    <w:abstractNumId w:val="19"/>
  </w:num>
  <w:num w:numId="18">
    <w:abstractNumId w:val="16"/>
  </w:num>
  <w:num w:numId="19">
    <w:abstractNumId w:val="18"/>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41"/>
    <w:rsid w:val="00004374"/>
    <w:rsid w:val="0003704A"/>
    <w:rsid w:val="0004550F"/>
    <w:rsid w:val="00055190"/>
    <w:rsid w:val="00064C84"/>
    <w:rsid w:val="000A11DD"/>
    <w:rsid w:val="000A2AB6"/>
    <w:rsid w:val="000D76A0"/>
    <w:rsid w:val="00107166"/>
    <w:rsid w:val="00130B50"/>
    <w:rsid w:val="00130F62"/>
    <w:rsid w:val="00136382"/>
    <w:rsid w:val="001607DB"/>
    <w:rsid w:val="00177278"/>
    <w:rsid w:val="00197C0C"/>
    <w:rsid w:val="001E1097"/>
    <w:rsid w:val="001E2A30"/>
    <w:rsid w:val="001F2818"/>
    <w:rsid w:val="001F6B98"/>
    <w:rsid w:val="00201845"/>
    <w:rsid w:val="00203B46"/>
    <w:rsid w:val="00204D71"/>
    <w:rsid w:val="00212C03"/>
    <w:rsid w:val="00216DF9"/>
    <w:rsid w:val="00224D71"/>
    <w:rsid w:val="00242C10"/>
    <w:rsid w:val="00295C12"/>
    <w:rsid w:val="002A76E7"/>
    <w:rsid w:val="002B43BF"/>
    <w:rsid w:val="002B4EB7"/>
    <w:rsid w:val="002E601A"/>
    <w:rsid w:val="003408E6"/>
    <w:rsid w:val="003437A6"/>
    <w:rsid w:val="00344813"/>
    <w:rsid w:val="00346614"/>
    <w:rsid w:val="00391074"/>
    <w:rsid w:val="003A2015"/>
    <w:rsid w:val="003E05F5"/>
    <w:rsid w:val="003E18CF"/>
    <w:rsid w:val="003F30A4"/>
    <w:rsid w:val="004076D7"/>
    <w:rsid w:val="00417D1F"/>
    <w:rsid w:val="00423933"/>
    <w:rsid w:val="00431422"/>
    <w:rsid w:val="004478AC"/>
    <w:rsid w:val="00484BBD"/>
    <w:rsid w:val="004A3183"/>
    <w:rsid w:val="004A47A0"/>
    <w:rsid w:val="004B0488"/>
    <w:rsid w:val="004B6D26"/>
    <w:rsid w:val="004E104E"/>
    <w:rsid w:val="0053023D"/>
    <w:rsid w:val="00540998"/>
    <w:rsid w:val="00543031"/>
    <w:rsid w:val="00547282"/>
    <w:rsid w:val="00554400"/>
    <w:rsid w:val="00555359"/>
    <w:rsid w:val="005600D8"/>
    <w:rsid w:val="00587A21"/>
    <w:rsid w:val="005A098A"/>
    <w:rsid w:val="005A742E"/>
    <w:rsid w:val="005C3A19"/>
    <w:rsid w:val="005D534C"/>
    <w:rsid w:val="00614969"/>
    <w:rsid w:val="006351A7"/>
    <w:rsid w:val="0067458B"/>
    <w:rsid w:val="00696DAF"/>
    <w:rsid w:val="006A7DA7"/>
    <w:rsid w:val="006C1633"/>
    <w:rsid w:val="006C4E79"/>
    <w:rsid w:val="006D7887"/>
    <w:rsid w:val="00704881"/>
    <w:rsid w:val="00707955"/>
    <w:rsid w:val="00713321"/>
    <w:rsid w:val="007210DA"/>
    <w:rsid w:val="00730F41"/>
    <w:rsid w:val="00744212"/>
    <w:rsid w:val="00764A9D"/>
    <w:rsid w:val="0077007D"/>
    <w:rsid w:val="007702B0"/>
    <w:rsid w:val="00774FAD"/>
    <w:rsid w:val="007840D7"/>
    <w:rsid w:val="007C1378"/>
    <w:rsid w:val="007E68EF"/>
    <w:rsid w:val="007F1C70"/>
    <w:rsid w:val="0084105F"/>
    <w:rsid w:val="0085427C"/>
    <w:rsid w:val="00856482"/>
    <w:rsid w:val="00867F6F"/>
    <w:rsid w:val="008B3FCA"/>
    <w:rsid w:val="008C7AC4"/>
    <w:rsid w:val="008D1F0D"/>
    <w:rsid w:val="008E4092"/>
    <w:rsid w:val="008F1383"/>
    <w:rsid w:val="008F330E"/>
    <w:rsid w:val="00920A7D"/>
    <w:rsid w:val="00993DA2"/>
    <w:rsid w:val="009D7D19"/>
    <w:rsid w:val="009E2A60"/>
    <w:rsid w:val="009F1E30"/>
    <w:rsid w:val="00A00548"/>
    <w:rsid w:val="00A07D3F"/>
    <w:rsid w:val="00A45115"/>
    <w:rsid w:val="00A474A2"/>
    <w:rsid w:val="00A55E87"/>
    <w:rsid w:val="00A5784D"/>
    <w:rsid w:val="00A61652"/>
    <w:rsid w:val="00A82C6F"/>
    <w:rsid w:val="00A907C4"/>
    <w:rsid w:val="00A95804"/>
    <w:rsid w:val="00AA1B9A"/>
    <w:rsid w:val="00AA46CB"/>
    <w:rsid w:val="00AC416B"/>
    <w:rsid w:val="00AD7FBB"/>
    <w:rsid w:val="00AE55F5"/>
    <w:rsid w:val="00AF1A5D"/>
    <w:rsid w:val="00B07980"/>
    <w:rsid w:val="00B14C48"/>
    <w:rsid w:val="00B3524B"/>
    <w:rsid w:val="00B36686"/>
    <w:rsid w:val="00B42456"/>
    <w:rsid w:val="00B459C3"/>
    <w:rsid w:val="00B50EA2"/>
    <w:rsid w:val="00B5367A"/>
    <w:rsid w:val="00B76653"/>
    <w:rsid w:val="00BD754C"/>
    <w:rsid w:val="00BE670F"/>
    <w:rsid w:val="00BF3A79"/>
    <w:rsid w:val="00C0057E"/>
    <w:rsid w:val="00C10BA9"/>
    <w:rsid w:val="00C15BD5"/>
    <w:rsid w:val="00C31ADB"/>
    <w:rsid w:val="00C36B99"/>
    <w:rsid w:val="00C371A0"/>
    <w:rsid w:val="00C449DC"/>
    <w:rsid w:val="00C4757E"/>
    <w:rsid w:val="00C52BBC"/>
    <w:rsid w:val="00C86E93"/>
    <w:rsid w:val="00CC7A55"/>
    <w:rsid w:val="00CD00B3"/>
    <w:rsid w:val="00D00F7E"/>
    <w:rsid w:val="00D2058B"/>
    <w:rsid w:val="00D43F48"/>
    <w:rsid w:val="00D6003F"/>
    <w:rsid w:val="00DA41BF"/>
    <w:rsid w:val="00DC56CA"/>
    <w:rsid w:val="00DD272D"/>
    <w:rsid w:val="00DF29C7"/>
    <w:rsid w:val="00DF3345"/>
    <w:rsid w:val="00DF3E1C"/>
    <w:rsid w:val="00E22834"/>
    <w:rsid w:val="00E2318E"/>
    <w:rsid w:val="00E2349C"/>
    <w:rsid w:val="00E61113"/>
    <w:rsid w:val="00EC02F3"/>
    <w:rsid w:val="00ED2178"/>
    <w:rsid w:val="00ED3602"/>
    <w:rsid w:val="00EE0BD5"/>
    <w:rsid w:val="00EF0F9C"/>
    <w:rsid w:val="00EF355F"/>
    <w:rsid w:val="00EF49CD"/>
    <w:rsid w:val="00F60639"/>
    <w:rsid w:val="00F62FED"/>
    <w:rsid w:val="00F64641"/>
    <w:rsid w:val="00F64F54"/>
    <w:rsid w:val="00F72024"/>
    <w:rsid w:val="00F82E53"/>
    <w:rsid w:val="00FA02AD"/>
    <w:rsid w:val="00FA4D8F"/>
    <w:rsid w:val="00FD7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7DA"/>
  <w15:chartTrackingRefBased/>
  <w15:docId w15:val="{8D5DFD27-61AE-4F57-8007-891739D5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64641"/>
    <w:pPr>
      <w:keepNext/>
      <w:spacing w:before="120" w:after="120" w:line="240" w:lineRule="auto"/>
      <w:outlineLvl w:val="0"/>
    </w:pPr>
    <w:rPr>
      <w:rFonts w:ascii="Times New Roman" w:eastAsia="Times New Roman" w:hAnsi="Times New Roman" w:cs="Times New Roman"/>
      <w:b/>
      <w:caps/>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4641"/>
    <w:rPr>
      <w:rFonts w:ascii="Times New Roman" w:eastAsia="Times New Roman" w:hAnsi="Times New Roman" w:cs="Times New Roman"/>
      <w:b/>
      <w:caps/>
      <w:sz w:val="28"/>
      <w:szCs w:val="20"/>
      <w:u w:val="single"/>
    </w:rPr>
  </w:style>
  <w:style w:type="character" w:styleId="Lienhypertexte">
    <w:name w:val="Hyperlink"/>
    <w:basedOn w:val="Policepardfaut"/>
    <w:uiPriority w:val="99"/>
    <w:unhideWhenUsed/>
    <w:rsid w:val="00431422"/>
    <w:rPr>
      <w:color w:val="0563C1" w:themeColor="hyperlink"/>
      <w:u w:val="single"/>
    </w:rPr>
  </w:style>
  <w:style w:type="paragraph" w:styleId="Paragraphedeliste">
    <w:name w:val="List Paragraph"/>
    <w:basedOn w:val="Normal"/>
    <w:uiPriority w:val="34"/>
    <w:qFormat/>
    <w:rsid w:val="003A2015"/>
    <w:pPr>
      <w:ind w:left="720"/>
      <w:contextualSpacing/>
    </w:pPr>
  </w:style>
  <w:style w:type="paragraph" w:customStyle="1" w:styleId="OBJEXIGENCE">
    <w:name w:val="*OBJ EXIGENCE"/>
    <w:basedOn w:val="Normal"/>
    <w:qFormat/>
    <w:rsid w:val="0084105F"/>
    <w:pPr>
      <w:tabs>
        <w:tab w:val="left" w:pos="5670"/>
      </w:tabs>
      <w:spacing w:before="120" w:after="0" w:line="240" w:lineRule="auto"/>
      <w:ind w:left="567"/>
      <w:jc w:val="both"/>
    </w:pPr>
    <w:rPr>
      <w:rFonts w:ascii="Times New Roman" w:eastAsia="Times New Roman" w:hAnsi="Times New Roman" w:cs="Times New Roman"/>
      <w:noProof/>
      <w:lang w:eastAsia="fr-FR"/>
    </w:rPr>
  </w:style>
  <w:style w:type="character" w:styleId="Marquedecommentaire">
    <w:name w:val="annotation reference"/>
    <w:basedOn w:val="Policepardfaut"/>
    <w:uiPriority w:val="99"/>
    <w:semiHidden/>
    <w:unhideWhenUsed/>
    <w:rsid w:val="00A5784D"/>
    <w:rPr>
      <w:sz w:val="16"/>
      <w:szCs w:val="16"/>
    </w:rPr>
  </w:style>
  <w:style w:type="paragraph" w:styleId="Commentaire">
    <w:name w:val="annotation text"/>
    <w:basedOn w:val="Normal"/>
    <w:link w:val="CommentaireCar"/>
    <w:uiPriority w:val="99"/>
    <w:semiHidden/>
    <w:unhideWhenUsed/>
    <w:rsid w:val="00A5784D"/>
    <w:pPr>
      <w:spacing w:line="240" w:lineRule="auto"/>
    </w:pPr>
    <w:rPr>
      <w:sz w:val="20"/>
      <w:szCs w:val="20"/>
    </w:rPr>
  </w:style>
  <w:style w:type="character" w:customStyle="1" w:styleId="CommentaireCar">
    <w:name w:val="Commentaire Car"/>
    <w:basedOn w:val="Policepardfaut"/>
    <w:link w:val="Commentaire"/>
    <w:uiPriority w:val="99"/>
    <w:semiHidden/>
    <w:rsid w:val="00A5784D"/>
    <w:rPr>
      <w:sz w:val="20"/>
      <w:szCs w:val="20"/>
    </w:rPr>
  </w:style>
  <w:style w:type="paragraph" w:styleId="Objetducommentaire">
    <w:name w:val="annotation subject"/>
    <w:basedOn w:val="Commentaire"/>
    <w:next w:val="Commentaire"/>
    <w:link w:val="ObjetducommentaireCar"/>
    <w:uiPriority w:val="99"/>
    <w:semiHidden/>
    <w:unhideWhenUsed/>
    <w:rsid w:val="00A5784D"/>
    <w:rPr>
      <w:b/>
      <w:bCs/>
    </w:rPr>
  </w:style>
  <w:style w:type="character" w:customStyle="1" w:styleId="ObjetducommentaireCar">
    <w:name w:val="Objet du commentaire Car"/>
    <w:basedOn w:val="CommentaireCar"/>
    <w:link w:val="Objetducommentaire"/>
    <w:uiPriority w:val="99"/>
    <w:semiHidden/>
    <w:rsid w:val="00A5784D"/>
    <w:rPr>
      <w:b/>
      <w:bCs/>
      <w:sz w:val="20"/>
      <w:szCs w:val="20"/>
    </w:rPr>
  </w:style>
  <w:style w:type="paragraph" w:styleId="Textedebulles">
    <w:name w:val="Balloon Text"/>
    <w:basedOn w:val="Normal"/>
    <w:link w:val="TextedebullesCar"/>
    <w:uiPriority w:val="99"/>
    <w:semiHidden/>
    <w:unhideWhenUsed/>
    <w:rsid w:val="00A578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784D"/>
    <w:rPr>
      <w:rFonts w:ascii="Segoe UI" w:hAnsi="Segoe UI" w:cs="Segoe UI"/>
      <w:sz w:val="18"/>
      <w:szCs w:val="18"/>
    </w:rPr>
  </w:style>
  <w:style w:type="paragraph" w:customStyle="1" w:styleId="REFEXIGENCEREC">
    <w:name w:val="*REF EXIGENCE REC"/>
    <w:basedOn w:val="Normal"/>
    <w:qFormat/>
    <w:rsid w:val="008F330E"/>
    <w:pPr>
      <w:tabs>
        <w:tab w:val="left" w:pos="1590"/>
      </w:tabs>
      <w:spacing w:before="120" w:after="0" w:line="240" w:lineRule="auto"/>
      <w:jc w:val="both"/>
    </w:pPr>
    <w:rPr>
      <w:rFonts w:ascii="Times New Roman" w:eastAsia="Times New Roman" w:hAnsi="Times New Roman" w:cs="Times New Roman"/>
      <w:b/>
      <w:noProof/>
      <w:color w:val="FF0000"/>
      <w:lang w:eastAsia="fr-FR"/>
    </w:rPr>
  </w:style>
  <w:style w:type="paragraph" w:customStyle="1" w:styleId="Default">
    <w:name w:val="Default"/>
    <w:rsid w:val="000A2AB6"/>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FA02AD"/>
    <w:rPr>
      <w:color w:val="954F72" w:themeColor="followedHyperlink"/>
      <w:u w:val="single"/>
    </w:rPr>
  </w:style>
  <w:style w:type="table" w:styleId="Grilledutableau">
    <w:name w:val="Table Grid"/>
    <w:basedOn w:val="TableauNormal"/>
    <w:uiPriority w:val="39"/>
    <w:rsid w:val="00FA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alibri">
    <w:name w:val="Normal calibri"/>
    <w:basedOn w:val="Normal"/>
    <w:link w:val="NormalcalibriCar"/>
    <w:autoRedefine/>
    <w:qFormat/>
    <w:rsid w:val="002E601A"/>
    <w:pPr>
      <w:spacing w:after="0" w:line="240" w:lineRule="auto"/>
      <w:jc w:val="center"/>
    </w:pPr>
    <w:rPr>
      <w:rFonts w:ascii="Arial" w:eastAsiaTheme="minorEastAsia" w:hAnsi="Arial" w:cs="Arial"/>
      <w:szCs w:val="20"/>
      <w:lang w:eastAsia="fr-FR"/>
    </w:rPr>
  </w:style>
  <w:style w:type="character" w:customStyle="1" w:styleId="NormalcalibriCar">
    <w:name w:val="Normal calibri Car"/>
    <w:basedOn w:val="Policepardfaut"/>
    <w:link w:val="Normalcalibri"/>
    <w:rsid w:val="002E601A"/>
    <w:rPr>
      <w:rFonts w:ascii="Arial" w:eastAsiaTheme="minorEastAsia" w:hAnsi="Arial" w:cs="Arial"/>
      <w:szCs w:val="20"/>
      <w:lang w:eastAsia="fr-FR"/>
    </w:rPr>
  </w:style>
  <w:style w:type="paragraph" w:styleId="TM2">
    <w:name w:val="toc 2"/>
    <w:basedOn w:val="Liste"/>
    <w:next w:val="Normal"/>
    <w:autoRedefine/>
    <w:uiPriority w:val="39"/>
    <w:qFormat/>
    <w:rsid w:val="001E2A30"/>
    <w:pPr>
      <w:tabs>
        <w:tab w:val="left" w:pos="880"/>
        <w:tab w:val="right" w:leader="dot" w:pos="9854"/>
      </w:tabs>
      <w:spacing w:after="0" w:line="240" w:lineRule="auto"/>
      <w:ind w:left="0" w:firstLine="0"/>
      <w:contextualSpacing w:val="0"/>
      <w:jc w:val="both"/>
    </w:pPr>
    <w:rPr>
      <w:rFonts w:eastAsia="Times New Roman" w:cs="Times New Roman"/>
      <w:b/>
      <w:bCs/>
      <w:smallCaps/>
      <w:noProof/>
      <w:lang w:eastAsia="fr-FR"/>
    </w:rPr>
  </w:style>
  <w:style w:type="paragraph" w:styleId="Listenumros4">
    <w:name w:val="List Number 4"/>
    <w:basedOn w:val="Normal"/>
    <w:unhideWhenUsed/>
    <w:rsid w:val="001E2A30"/>
    <w:pPr>
      <w:numPr>
        <w:numId w:val="9"/>
      </w:numPr>
      <w:spacing w:before="120" w:after="120" w:line="240" w:lineRule="auto"/>
      <w:contextualSpacing/>
      <w:jc w:val="both"/>
    </w:pPr>
    <w:rPr>
      <w:rFonts w:ascii="Arial" w:eastAsia="Times New Roman" w:hAnsi="Arial" w:cs="Times New Roman"/>
      <w:szCs w:val="20"/>
      <w:lang w:eastAsia="fr-FR"/>
    </w:rPr>
  </w:style>
  <w:style w:type="paragraph" w:styleId="Liste">
    <w:name w:val="List"/>
    <w:basedOn w:val="Normal"/>
    <w:uiPriority w:val="99"/>
    <w:semiHidden/>
    <w:unhideWhenUsed/>
    <w:rsid w:val="001E2A3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4DFB-0C92-44DB-9B1F-598B930A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MALAKE Eva ASC NIV 2 OA</dc:creator>
  <cp:keywords/>
  <dc:description/>
  <cp:lastModifiedBy>LE SAUX Claire INGE CIVI DIVI DEF</cp:lastModifiedBy>
  <cp:revision>7</cp:revision>
  <dcterms:created xsi:type="dcterms:W3CDTF">2025-08-20T11:44:00Z</dcterms:created>
  <dcterms:modified xsi:type="dcterms:W3CDTF">2026-02-04T10:45:00Z</dcterms:modified>
</cp:coreProperties>
</file>