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C6B65" w14:textId="77777777" w:rsidR="00775857" w:rsidRPr="00D25FF1" w:rsidRDefault="00775857" w:rsidP="00775857">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rFonts w:ascii="Garamond" w:hAnsi="Garamond" w:cs="Arial"/>
          <w:b/>
          <w:bCs/>
        </w:rPr>
      </w:pPr>
    </w:p>
    <w:p w14:paraId="4B30BA56" w14:textId="77777777" w:rsidR="00775857" w:rsidRPr="00D25FF1" w:rsidRDefault="00775857" w:rsidP="00775857">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rFonts w:ascii="Garamond" w:hAnsi="Garamond" w:cs="Arial"/>
          <w:b/>
          <w:bCs/>
        </w:rPr>
      </w:pPr>
      <w:r w:rsidRPr="00D25FF1">
        <w:rPr>
          <w:rFonts w:ascii="Garamond" w:hAnsi="Garamond" w:cs="Arial"/>
          <w:b/>
          <w:bCs/>
        </w:rPr>
        <w:t>DECLARATION SUR L’HONNEUR</w:t>
      </w:r>
    </w:p>
    <w:p w14:paraId="27695B5F" w14:textId="77777777" w:rsidR="00775857" w:rsidRDefault="00775857" w:rsidP="00775857">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rFonts w:ascii="Garamond" w:hAnsi="Garamond" w:cs="Arial"/>
          <w:bCs/>
          <w:i/>
        </w:rPr>
      </w:pPr>
      <w:r w:rsidRPr="00775857">
        <w:rPr>
          <w:rFonts w:ascii="Garamond" w:hAnsi="Garamond" w:cs="Arial"/>
          <w:bCs/>
          <w:i/>
        </w:rPr>
        <w:t xml:space="preserve">(Selon </w:t>
      </w:r>
      <w:r>
        <w:rPr>
          <w:rFonts w:ascii="Garamond" w:hAnsi="Garamond" w:cs="Arial"/>
          <w:bCs/>
          <w:i/>
        </w:rPr>
        <w:t xml:space="preserve">les </w:t>
      </w:r>
      <w:r w:rsidRPr="00775857">
        <w:rPr>
          <w:rFonts w:ascii="Garamond" w:hAnsi="Garamond" w:cs="Arial"/>
          <w:bCs/>
          <w:i/>
        </w:rPr>
        <w:t xml:space="preserve">dispositions </w:t>
      </w:r>
      <w:r>
        <w:rPr>
          <w:rFonts w:ascii="Garamond" w:hAnsi="Garamond" w:cs="Arial"/>
          <w:bCs/>
          <w:i/>
        </w:rPr>
        <w:t>de l’o</w:t>
      </w:r>
      <w:r w:rsidRPr="00775857">
        <w:rPr>
          <w:rFonts w:ascii="Garamond" w:hAnsi="Garamond" w:cs="Arial"/>
          <w:bCs/>
          <w:i/>
        </w:rPr>
        <w:t xml:space="preserve">rdonnance </w:t>
      </w:r>
      <w:r>
        <w:rPr>
          <w:rFonts w:ascii="Garamond" w:hAnsi="Garamond" w:cs="Arial"/>
          <w:bCs/>
          <w:i/>
        </w:rPr>
        <w:t>n°</w:t>
      </w:r>
      <w:r w:rsidRPr="00775857">
        <w:rPr>
          <w:rFonts w:ascii="Garamond" w:hAnsi="Garamond" w:cs="Arial"/>
          <w:bCs/>
          <w:i/>
        </w:rPr>
        <w:t xml:space="preserve">2015-899, </w:t>
      </w:r>
      <w:r>
        <w:rPr>
          <w:rFonts w:ascii="Garamond" w:hAnsi="Garamond" w:cs="Arial"/>
          <w:bCs/>
          <w:i/>
        </w:rPr>
        <w:t xml:space="preserve">du </w:t>
      </w:r>
      <w:r w:rsidRPr="00775857">
        <w:rPr>
          <w:rFonts w:ascii="Garamond" w:hAnsi="Garamond" w:cs="Arial"/>
          <w:bCs/>
          <w:i/>
        </w:rPr>
        <w:t xml:space="preserve">Code du Travail et </w:t>
      </w:r>
      <w:r>
        <w:rPr>
          <w:rFonts w:ascii="Garamond" w:hAnsi="Garamond" w:cs="Arial"/>
          <w:bCs/>
          <w:i/>
        </w:rPr>
        <w:t xml:space="preserve">du </w:t>
      </w:r>
      <w:r w:rsidRPr="00775857">
        <w:rPr>
          <w:rFonts w:ascii="Garamond" w:hAnsi="Garamond" w:cs="Arial"/>
          <w:bCs/>
          <w:i/>
        </w:rPr>
        <w:t>Code de Sécurité Sociale)</w:t>
      </w:r>
    </w:p>
    <w:p w14:paraId="0FE31518" w14:textId="77777777" w:rsidR="00231E3A" w:rsidRDefault="00231E3A" w:rsidP="00775857">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rFonts w:ascii="Garamond" w:hAnsi="Garamond" w:cs="Arial"/>
          <w:bCs/>
          <w:i/>
        </w:rPr>
      </w:pPr>
    </w:p>
    <w:p w14:paraId="15ACFB6F" w14:textId="77777777" w:rsidR="0034096F" w:rsidRDefault="00EE4F12" w:rsidP="00F5543F">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rFonts w:ascii="Garamond" w:hAnsi="Garamond" w:cs="Arial"/>
          <w:b/>
          <w:bCs/>
          <w:color w:val="000099"/>
          <w:sz w:val="24"/>
        </w:rPr>
      </w:pPr>
      <w:r w:rsidRPr="00EE4F12">
        <w:rPr>
          <w:rFonts w:ascii="Garamond" w:hAnsi="Garamond" w:cs="Arial"/>
          <w:b/>
          <w:bCs/>
          <w:color w:val="000099"/>
          <w:sz w:val="24"/>
        </w:rPr>
        <w:t>FOURNITURE DE DIVERS MATERIELS INFORMATIQUES</w:t>
      </w:r>
    </w:p>
    <w:p w14:paraId="28369044" w14:textId="7FFC91DB" w:rsidR="00231E3A" w:rsidRPr="00F5543F" w:rsidRDefault="00E9525D" w:rsidP="00F5543F">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rFonts w:ascii="Garamond" w:hAnsi="Garamond" w:cs="Arial"/>
          <w:b/>
          <w:bCs/>
          <w:sz w:val="20"/>
        </w:rPr>
      </w:pPr>
      <w:r w:rsidRPr="00F5543F">
        <w:rPr>
          <w:rFonts w:ascii="Garamond" w:hAnsi="Garamond" w:cs="Arial"/>
          <w:b/>
          <w:bCs/>
          <w:sz w:val="20"/>
        </w:rPr>
        <w:t>MARCHE</w:t>
      </w:r>
      <w:r w:rsidR="00F5543F" w:rsidRPr="00F5543F">
        <w:rPr>
          <w:rFonts w:ascii="Garamond" w:hAnsi="Garamond" w:cs="Arial"/>
          <w:b/>
          <w:bCs/>
          <w:sz w:val="20"/>
        </w:rPr>
        <w:t xml:space="preserve"> N° </w:t>
      </w:r>
      <w:r w:rsidR="000F39C4">
        <w:rPr>
          <w:rFonts w:ascii="Garamond" w:hAnsi="Garamond" w:cs="Arial"/>
          <w:b/>
          <w:bCs/>
          <w:sz w:val="20"/>
        </w:rPr>
        <w:t>2026-05</w:t>
      </w:r>
    </w:p>
    <w:p w14:paraId="50494A5B" w14:textId="77777777" w:rsidR="00231E3A" w:rsidRPr="00231E3A" w:rsidRDefault="00231E3A" w:rsidP="00231E3A">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rFonts w:ascii="Garamond" w:hAnsi="Garamond" w:cs="Arial"/>
          <w:b/>
          <w:bCs/>
          <w:sz w:val="18"/>
        </w:rPr>
      </w:pPr>
    </w:p>
    <w:p w14:paraId="26B6741B" w14:textId="77777777" w:rsidR="00775857" w:rsidRDefault="00775857" w:rsidP="00775857">
      <w:pPr>
        <w:spacing w:after="0" w:line="240" w:lineRule="auto"/>
        <w:jc w:val="center"/>
        <w:rPr>
          <w:rFonts w:ascii="Garamond" w:eastAsia="Times New Roman" w:hAnsi="Garamond" w:cs="Arial"/>
          <w:b/>
          <w:bCs/>
          <w:sz w:val="24"/>
          <w:szCs w:val="24"/>
          <w:lang w:eastAsia="fr-FR"/>
        </w:rPr>
      </w:pPr>
    </w:p>
    <w:p w14:paraId="4090EAA1" w14:textId="77777777" w:rsidR="00B05944" w:rsidRDefault="00757B91" w:rsidP="00FE0D90">
      <w:pPr>
        <w:tabs>
          <w:tab w:val="left" w:pos="576"/>
        </w:tabs>
        <w:spacing w:after="0" w:line="240" w:lineRule="auto"/>
        <w:jc w:val="both"/>
        <w:rPr>
          <w:rFonts w:ascii="Garamond" w:eastAsia="Times New Roman" w:hAnsi="Garamond" w:cs="Arial"/>
          <w:b/>
          <w:sz w:val="24"/>
          <w:szCs w:val="24"/>
          <w:lang w:eastAsia="fr-FR"/>
        </w:rPr>
      </w:pPr>
      <w:r w:rsidRPr="00775857">
        <w:rPr>
          <w:rFonts w:ascii="Garamond" w:eastAsia="Times New Roman" w:hAnsi="Garamond" w:cs="Arial"/>
          <w:b/>
          <w:sz w:val="24"/>
          <w:szCs w:val="24"/>
          <w:lang w:eastAsia="fr-FR"/>
        </w:rPr>
        <w:t>Je déclare sur l’honneur</w:t>
      </w:r>
      <w:r w:rsidR="00775857">
        <w:rPr>
          <w:rFonts w:ascii="Garamond" w:eastAsia="Times New Roman" w:hAnsi="Garamond" w:cs="Arial"/>
          <w:b/>
          <w:sz w:val="24"/>
          <w:szCs w:val="24"/>
          <w:lang w:eastAsia="fr-FR"/>
        </w:rPr>
        <w:t> :</w:t>
      </w:r>
    </w:p>
    <w:p w14:paraId="1285EC85" w14:textId="77777777" w:rsidR="00880CAC" w:rsidRPr="00775857" w:rsidRDefault="00880CAC" w:rsidP="00FE0D90">
      <w:pPr>
        <w:tabs>
          <w:tab w:val="left" w:pos="576"/>
        </w:tabs>
        <w:spacing w:after="0" w:line="240" w:lineRule="auto"/>
        <w:jc w:val="both"/>
        <w:rPr>
          <w:rFonts w:ascii="Garamond" w:eastAsia="Times New Roman" w:hAnsi="Garamond" w:cs="Arial"/>
          <w:b/>
          <w:sz w:val="24"/>
          <w:szCs w:val="24"/>
          <w:lang w:eastAsia="fr-FR"/>
        </w:rPr>
      </w:pPr>
    </w:p>
    <w:p w14:paraId="36CF6F7A" w14:textId="77777777" w:rsidR="00757B91" w:rsidRDefault="00B05944" w:rsidP="00FE0D90">
      <w:pPr>
        <w:tabs>
          <w:tab w:val="left" w:pos="576"/>
        </w:tabs>
        <w:spacing w:after="0" w:line="240" w:lineRule="auto"/>
        <w:jc w:val="both"/>
        <w:rPr>
          <w:rFonts w:ascii="Garamond" w:eastAsia="Times New Roman" w:hAnsi="Garamond" w:cs="Arial"/>
          <w:b/>
          <w:sz w:val="24"/>
          <w:szCs w:val="24"/>
          <w:u w:val="single"/>
          <w:lang w:eastAsia="fr-FR"/>
        </w:rPr>
      </w:pPr>
      <w:r w:rsidRPr="00775857">
        <w:rPr>
          <w:rFonts w:ascii="Garamond" w:eastAsia="Times New Roman" w:hAnsi="Garamond" w:cs="Arial"/>
          <w:b/>
          <w:sz w:val="24"/>
          <w:szCs w:val="24"/>
          <w:u w:val="single"/>
          <w:lang w:eastAsia="fr-FR"/>
        </w:rPr>
        <w:t xml:space="preserve">I </w:t>
      </w:r>
      <w:r w:rsidR="00880CAC">
        <w:rPr>
          <w:rFonts w:ascii="Garamond" w:eastAsia="Times New Roman" w:hAnsi="Garamond" w:cs="Arial"/>
          <w:b/>
          <w:sz w:val="24"/>
          <w:szCs w:val="24"/>
          <w:u w:val="single"/>
          <w:lang w:eastAsia="fr-FR"/>
        </w:rPr>
        <w:t>–</w:t>
      </w:r>
      <w:r w:rsidRPr="00775857">
        <w:rPr>
          <w:rFonts w:ascii="Garamond" w:eastAsia="Times New Roman" w:hAnsi="Garamond" w:cs="Arial"/>
          <w:b/>
          <w:sz w:val="24"/>
          <w:szCs w:val="24"/>
          <w:u w:val="single"/>
          <w:lang w:eastAsia="fr-FR"/>
        </w:rPr>
        <w:t xml:space="preserve"> </w:t>
      </w:r>
      <w:r w:rsidR="00E7387D" w:rsidRPr="00775857">
        <w:rPr>
          <w:rFonts w:ascii="Garamond" w:eastAsia="Times New Roman" w:hAnsi="Garamond" w:cs="Arial"/>
          <w:b/>
          <w:sz w:val="24"/>
          <w:szCs w:val="24"/>
          <w:u w:val="single"/>
          <w:lang w:eastAsia="fr-FR"/>
        </w:rPr>
        <w:t xml:space="preserve">ne pas être sous le coup d’une interdiction </w:t>
      </w:r>
      <w:r w:rsidR="00880CAC">
        <w:rPr>
          <w:rFonts w:ascii="Garamond" w:eastAsia="Times New Roman" w:hAnsi="Garamond" w:cs="Arial"/>
          <w:b/>
          <w:sz w:val="24"/>
          <w:szCs w:val="24"/>
          <w:u w:val="single"/>
          <w:lang w:eastAsia="fr-FR"/>
        </w:rPr>
        <w:t>d</w:t>
      </w:r>
      <w:r w:rsidR="00E7387D" w:rsidRPr="00775857">
        <w:rPr>
          <w:rFonts w:ascii="Garamond" w:eastAsia="Times New Roman" w:hAnsi="Garamond" w:cs="Arial"/>
          <w:b/>
          <w:sz w:val="24"/>
          <w:szCs w:val="24"/>
          <w:u w:val="single"/>
          <w:lang w:eastAsia="fr-FR"/>
        </w:rPr>
        <w:t xml:space="preserve">‘accès à la commande publique visée </w:t>
      </w:r>
      <w:r w:rsidR="004B2C02">
        <w:rPr>
          <w:rFonts w:ascii="Garamond" w:eastAsia="Times New Roman" w:hAnsi="Garamond" w:cs="Arial"/>
          <w:b/>
          <w:sz w:val="24"/>
          <w:szCs w:val="24"/>
          <w:u w:val="single"/>
          <w:lang w:eastAsia="fr-FR"/>
        </w:rPr>
        <w:t>aux articles L. 2141-1 et suivants du code de la commande publique</w:t>
      </w:r>
      <w:r w:rsidR="00E7387D" w:rsidRPr="00775857">
        <w:rPr>
          <w:rFonts w:ascii="Garamond" w:eastAsia="Times New Roman" w:hAnsi="Garamond" w:cs="Arial"/>
          <w:b/>
          <w:sz w:val="24"/>
          <w:szCs w:val="24"/>
          <w:u w:val="single"/>
          <w:lang w:eastAsia="fr-FR"/>
        </w:rPr>
        <w:t xml:space="preserve"> </w:t>
      </w:r>
      <w:r w:rsidR="00757B91" w:rsidRPr="00775857">
        <w:rPr>
          <w:rFonts w:ascii="Garamond" w:eastAsia="Times New Roman" w:hAnsi="Garamond" w:cs="Arial"/>
          <w:b/>
          <w:sz w:val="24"/>
          <w:szCs w:val="24"/>
          <w:u w:val="single"/>
          <w:lang w:eastAsia="fr-FR"/>
        </w:rPr>
        <w:t>:</w:t>
      </w:r>
    </w:p>
    <w:p w14:paraId="4EF467E5" w14:textId="77777777" w:rsidR="004B2C02" w:rsidRDefault="004B2C02" w:rsidP="004B2C02">
      <w:pPr>
        <w:widowControl w:val="0"/>
        <w:autoSpaceDE w:val="0"/>
        <w:autoSpaceDN w:val="0"/>
        <w:adjustRightInd w:val="0"/>
        <w:spacing w:after="0" w:line="240" w:lineRule="auto"/>
        <w:jc w:val="both"/>
        <w:rPr>
          <w:rFonts w:ascii="Garamond" w:hAnsi="Garamond" w:cs="Arial"/>
          <w:sz w:val="24"/>
          <w:szCs w:val="24"/>
        </w:rPr>
      </w:pPr>
    </w:p>
    <w:p w14:paraId="1142AE76" w14:textId="77777777" w:rsidR="004B2C02" w:rsidRPr="004B2C02" w:rsidRDefault="004B2C02" w:rsidP="004B2C02">
      <w:pPr>
        <w:widowControl w:val="0"/>
        <w:autoSpaceDE w:val="0"/>
        <w:autoSpaceDN w:val="0"/>
        <w:adjustRightInd w:val="0"/>
        <w:spacing w:after="0" w:line="240" w:lineRule="auto"/>
        <w:jc w:val="both"/>
        <w:rPr>
          <w:rFonts w:ascii="Garamond" w:hAnsi="Garamond" w:cs="Arial"/>
          <w:sz w:val="24"/>
          <w:szCs w:val="24"/>
        </w:rPr>
      </w:pPr>
      <w:r w:rsidRPr="004B2C02">
        <w:rPr>
          <w:rFonts w:ascii="Garamond" w:hAnsi="Garamond" w:cs="Arial"/>
          <w:sz w:val="24"/>
          <w:szCs w:val="24"/>
        </w:rPr>
        <w:t>Sont exclues de la procédure de passation des marchés les personnes qui ont fait l'objet d'une condamnation définitive pour l'une des infractions prévues aux articles 222-34 à 222-40,225-4-1,225-4-7,313-1,313-3,314-1,324-1,324-5,324-6,421-1 à 421-2-4,421-5,432-10,432-11,432-12 à 432-16,433-1,433-2,434-9,434-9-1,435-3,435-4,435-9,435-10,441-1 à 441-7,441-9,445-1 à 445-2-1 ou 450-1 du code pénal, aux articles 1741 à 1743,1746 ou 1747 du code général des impôts, ou pour recel de telles infractions, ainsi que pour les infractions équivalentes prévues par la législation d'un autre Etat membre de l'Union européenne.</w:t>
      </w:r>
    </w:p>
    <w:p w14:paraId="462B986B" w14:textId="77777777" w:rsidR="004B2C02" w:rsidRPr="004B2C02" w:rsidRDefault="004B2C02" w:rsidP="004B2C02">
      <w:pPr>
        <w:widowControl w:val="0"/>
        <w:autoSpaceDE w:val="0"/>
        <w:autoSpaceDN w:val="0"/>
        <w:adjustRightInd w:val="0"/>
        <w:spacing w:after="0" w:line="240" w:lineRule="auto"/>
        <w:jc w:val="both"/>
        <w:rPr>
          <w:rFonts w:ascii="Garamond" w:hAnsi="Garamond" w:cs="Arial"/>
          <w:sz w:val="24"/>
          <w:szCs w:val="24"/>
        </w:rPr>
      </w:pPr>
      <w:r w:rsidRPr="004B2C02">
        <w:rPr>
          <w:rFonts w:ascii="Garamond" w:hAnsi="Garamond" w:cs="Arial"/>
          <w:sz w:val="24"/>
          <w:szCs w:val="24"/>
        </w:rPr>
        <w:t>La condamnation définitive pour l'une de ces infractions ou pour recel d'une de ces infractions d'un membre de l'organe de gestion, d'administration, de direction ou de surveillance ou d'une personne physique qui détient un pouvoir de représentation, de décision ou de contrôle d'une personne morale entraîne l'exclusion de la procédure de passation des marchés de cette personne morale, tant que cette personne physique exerce ces fonctions.</w:t>
      </w:r>
    </w:p>
    <w:p w14:paraId="11831984" w14:textId="77777777" w:rsidR="00E7387D" w:rsidRDefault="004B2C02" w:rsidP="004B2C02">
      <w:pPr>
        <w:widowControl w:val="0"/>
        <w:autoSpaceDE w:val="0"/>
        <w:autoSpaceDN w:val="0"/>
        <w:adjustRightInd w:val="0"/>
        <w:spacing w:after="0" w:line="240" w:lineRule="auto"/>
        <w:jc w:val="both"/>
        <w:rPr>
          <w:rFonts w:ascii="Garamond" w:hAnsi="Garamond" w:cs="Arial"/>
          <w:sz w:val="24"/>
          <w:szCs w:val="24"/>
        </w:rPr>
      </w:pPr>
      <w:r w:rsidRPr="004B2C02">
        <w:rPr>
          <w:rFonts w:ascii="Garamond" w:hAnsi="Garamond" w:cs="Arial"/>
          <w:sz w:val="24"/>
          <w:szCs w:val="24"/>
        </w:rPr>
        <w:t>Sauf lorsque la peine d'exclusion des marchés a été prononcée pour une durée différente par une décision de justice définitive, l'exclusion de la procédure de passation des marchés au titre du présent article s'applique pour une durée de cinq ans à compter du prononcé de la condamnation.</w:t>
      </w:r>
      <w:r w:rsidR="00E7387D" w:rsidRPr="00775857">
        <w:rPr>
          <w:rFonts w:ascii="Garamond" w:hAnsi="Garamond" w:cs="Arial"/>
          <w:sz w:val="24"/>
          <w:szCs w:val="24"/>
        </w:rPr>
        <w:t> </w:t>
      </w:r>
    </w:p>
    <w:p w14:paraId="6D768BDB" w14:textId="77777777" w:rsidR="004B2C02" w:rsidRPr="00775857" w:rsidRDefault="004B2C02" w:rsidP="004B2C02">
      <w:pPr>
        <w:widowControl w:val="0"/>
        <w:autoSpaceDE w:val="0"/>
        <w:autoSpaceDN w:val="0"/>
        <w:adjustRightInd w:val="0"/>
        <w:spacing w:after="0" w:line="240" w:lineRule="auto"/>
        <w:jc w:val="both"/>
        <w:rPr>
          <w:rFonts w:ascii="Garamond" w:hAnsi="Garamond" w:cs="Arial"/>
          <w:sz w:val="24"/>
          <w:szCs w:val="24"/>
        </w:rPr>
      </w:pPr>
    </w:p>
    <w:p w14:paraId="77E04585"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2° Les personnes qui n’ont pas souscrit les déclarations leur incombant en matière fiscale ou sociale ou n’ont pas acquitté les impôts, taxes, contributions ou cotisations sociales exigibles dont la liste est fixée par voie réglementaire.</w:t>
      </w:r>
    </w:p>
    <w:p w14:paraId="71D7EDFC"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14:paraId="03D1C154"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Toutefois, l’exclusion mentionnée au présent 2°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conclu un accord contraignant avec les organismes chargés du recouvrement en vue de payer les impôts, taxes, contributions ou cotisations, ainsi que les éventuels intérêts échus, pénalités ou amendes, à condition qu’elles respectent cet accord ;</w:t>
      </w:r>
    </w:p>
    <w:p w14:paraId="20F272D5"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14:paraId="102C1B84"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3° Les personnes :</w:t>
      </w:r>
    </w:p>
    <w:p w14:paraId="07284B08" w14:textId="77777777" w:rsidR="00E7387D" w:rsidRPr="00775857" w:rsidRDefault="00E7387D" w:rsidP="00FE0D90">
      <w:pPr>
        <w:widowControl w:val="0"/>
        <w:autoSpaceDE w:val="0"/>
        <w:autoSpaceDN w:val="0"/>
        <w:adjustRightInd w:val="0"/>
        <w:spacing w:after="0" w:line="240" w:lineRule="auto"/>
        <w:ind w:left="708" w:firstLine="45"/>
        <w:jc w:val="both"/>
        <w:rPr>
          <w:rFonts w:ascii="Garamond" w:hAnsi="Garamond" w:cs="Arial"/>
          <w:sz w:val="24"/>
          <w:szCs w:val="24"/>
        </w:rPr>
      </w:pPr>
      <w:r w:rsidRPr="00775857">
        <w:rPr>
          <w:rFonts w:ascii="Garamond" w:hAnsi="Garamond" w:cs="Arial"/>
          <w:sz w:val="24"/>
          <w:szCs w:val="24"/>
        </w:rPr>
        <w:t xml:space="preserve">a) Soumises à la procédure de liquidation judiciaire </w:t>
      </w:r>
      <w:r w:rsidR="0085395B" w:rsidRPr="00775857">
        <w:rPr>
          <w:rFonts w:ascii="Garamond" w:hAnsi="Garamond" w:cs="Arial"/>
          <w:sz w:val="24"/>
          <w:szCs w:val="24"/>
        </w:rPr>
        <w:t>prévue à l’article L. 640-1 du Code de Commerce</w:t>
      </w:r>
      <w:r w:rsidRPr="00775857">
        <w:rPr>
          <w:rFonts w:ascii="Garamond" w:hAnsi="Garamond" w:cs="Arial"/>
          <w:sz w:val="24"/>
          <w:szCs w:val="24"/>
        </w:rPr>
        <w:t xml:space="preserve"> ou faisant l’objet d’une procédure équivalente régie par un droit étranger ;</w:t>
      </w:r>
    </w:p>
    <w:p w14:paraId="2FD32E99" w14:textId="77777777" w:rsidR="00E7387D" w:rsidRPr="00775857" w:rsidRDefault="00E7387D" w:rsidP="00FE0D90">
      <w:pPr>
        <w:widowControl w:val="0"/>
        <w:autoSpaceDE w:val="0"/>
        <w:autoSpaceDN w:val="0"/>
        <w:adjustRightInd w:val="0"/>
        <w:spacing w:after="0" w:line="240" w:lineRule="auto"/>
        <w:ind w:left="708" w:firstLine="60"/>
        <w:jc w:val="both"/>
        <w:rPr>
          <w:rFonts w:ascii="Garamond" w:hAnsi="Garamond" w:cs="Arial"/>
          <w:sz w:val="24"/>
          <w:szCs w:val="24"/>
        </w:rPr>
      </w:pPr>
      <w:r w:rsidRPr="00775857">
        <w:rPr>
          <w:rFonts w:ascii="Garamond" w:hAnsi="Garamond" w:cs="Arial"/>
          <w:sz w:val="24"/>
          <w:szCs w:val="24"/>
        </w:rPr>
        <w:t>b) Qui font l’objet, à la date à laquelle l’acheteur se prononce sur la recevabilité de leur candidature, d’une mesure de faillite personnelle ou d’une interdiction de gérer en application des a</w:t>
      </w:r>
      <w:r w:rsidR="0085395B" w:rsidRPr="00775857">
        <w:rPr>
          <w:rFonts w:ascii="Garamond" w:hAnsi="Garamond" w:cs="Arial"/>
          <w:sz w:val="24"/>
          <w:szCs w:val="24"/>
        </w:rPr>
        <w:t>rticles L. 653-1 à L. 653-8 du Code de Commerce</w:t>
      </w:r>
      <w:r w:rsidRPr="00775857">
        <w:rPr>
          <w:rFonts w:ascii="Garamond" w:hAnsi="Garamond" w:cs="Arial"/>
          <w:sz w:val="24"/>
          <w:szCs w:val="24"/>
        </w:rPr>
        <w:t>, ou d’une mesure équivalente prévue par un droit étranger ;</w:t>
      </w:r>
    </w:p>
    <w:p w14:paraId="53AF825E" w14:textId="77777777" w:rsidR="00E7387D" w:rsidRPr="00775857" w:rsidRDefault="00E7387D" w:rsidP="00FE0D90">
      <w:pPr>
        <w:widowControl w:val="0"/>
        <w:autoSpaceDE w:val="0"/>
        <w:autoSpaceDN w:val="0"/>
        <w:adjustRightInd w:val="0"/>
        <w:spacing w:after="0" w:line="240" w:lineRule="auto"/>
        <w:ind w:left="708" w:firstLine="60"/>
        <w:jc w:val="both"/>
        <w:rPr>
          <w:rFonts w:ascii="Garamond" w:hAnsi="Garamond" w:cs="Arial"/>
          <w:sz w:val="24"/>
          <w:szCs w:val="24"/>
        </w:rPr>
      </w:pPr>
      <w:r w:rsidRPr="00775857">
        <w:rPr>
          <w:rFonts w:ascii="Garamond" w:hAnsi="Garamond" w:cs="Arial"/>
          <w:sz w:val="24"/>
          <w:szCs w:val="24"/>
        </w:rPr>
        <w:t>c) Admises à la procédure de redressement judiciaire insti</w:t>
      </w:r>
      <w:r w:rsidR="0085395B" w:rsidRPr="00775857">
        <w:rPr>
          <w:rFonts w:ascii="Garamond" w:hAnsi="Garamond" w:cs="Arial"/>
          <w:sz w:val="24"/>
          <w:szCs w:val="24"/>
        </w:rPr>
        <w:t>tuée par l’article L. 631-1 du Code de Commerce</w:t>
      </w:r>
      <w:r w:rsidRPr="00775857">
        <w:rPr>
          <w:rFonts w:ascii="Garamond" w:hAnsi="Garamond" w:cs="Arial"/>
          <w:sz w:val="24"/>
          <w:szCs w:val="24"/>
        </w:rPr>
        <w:t xml:space="preserve"> ou à une procédure équivalente régie par un droit étranger, qui ne justifient pas avoir été habilitées à poursuivre leurs activités pendant la durée prévisible d’exécution du marché public ; (</w:t>
      </w:r>
      <w:r w:rsidR="00DD46BC" w:rsidRPr="00775857">
        <w:rPr>
          <w:rFonts w:ascii="Garamond" w:hAnsi="Garamond" w:cs="Arial"/>
          <w:sz w:val="24"/>
          <w:szCs w:val="24"/>
        </w:rPr>
        <w:t>si habilitée à poursuivre apporter l</w:t>
      </w:r>
      <w:r w:rsidR="00FE0D90">
        <w:rPr>
          <w:rFonts w:ascii="Garamond" w:hAnsi="Garamond" w:cs="Arial"/>
          <w:sz w:val="24"/>
          <w:szCs w:val="24"/>
        </w:rPr>
        <w:t>a preuve par copie du jugement) ;</w:t>
      </w:r>
    </w:p>
    <w:p w14:paraId="0F292160"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14:paraId="37F20F75"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4° Les personnes qui :</w:t>
      </w:r>
    </w:p>
    <w:p w14:paraId="5C47BC17" w14:textId="77777777" w:rsidR="00E7387D" w:rsidRPr="00775857" w:rsidRDefault="00E7387D" w:rsidP="00FE0D90">
      <w:pPr>
        <w:widowControl w:val="0"/>
        <w:autoSpaceDE w:val="0"/>
        <w:autoSpaceDN w:val="0"/>
        <w:adjustRightInd w:val="0"/>
        <w:spacing w:after="0" w:line="240" w:lineRule="auto"/>
        <w:ind w:left="708" w:firstLine="45"/>
        <w:jc w:val="both"/>
        <w:rPr>
          <w:rFonts w:ascii="Garamond" w:hAnsi="Garamond" w:cs="Arial"/>
          <w:sz w:val="24"/>
          <w:szCs w:val="24"/>
        </w:rPr>
      </w:pPr>
      <w:r w:rsidRPr="00775857">
        <w:rPr>
          <w:rFonts w:ascii="Garamond" w:hAnsi="Garamond" w:cs="Arial"/>
          <w:sz w:val="24"/>
          <w:szCs w:val="24"/>
        </w:rPr>
        <w:t xml:space="preserve">a) Ont été sanctionnées pour méconnaissance des obligations prévues aux articles L. 8221-1, L. 8221-3, L. 8221-5, L. 8231-1, L. 8241-1, L. 8251-1 et L. 8251-2 du </w:t>
      </w:r>
      <w:r w:rsidR="0085395B" w:rsidRPr="00775857">
        <w:rPr>
          <w:rFonts w:ascii="Garamond" w:hAnsi="Garamond" w:cs="Arial"/>
          <w:sz w:val="24"/>
          <w:szCs w:val="24"/>
        </w:rPr>
        <w:t>Code du Travail</w:t>
      </w:r>
      <w:r w:rsidRPr="00775857">
        <w:rPr>
          <w:rFonts w:ascii="Garamond" w:hAnsi="Garamond" w:cs="Arial"/>
          <w:sz w:val="24"/>
          <w:szCs w:val="24"/>
        </w:rPr>
        <w:t xml:space="preserve"> ou qui ont été condamnées au titre </w:t>
      </w:r>
      <w:r w:rsidR="0085395B" w:rsidRPr="00775857">
        <w:rPr>
          <w:rFonts w:ascii="Garamond" w:hAnsi="Garamond" w:cs="Arial"/>
          <w:sz w:val="24"/>
          <w:szCs w:val="24"/>
        </w:rPr>
        <w:t>de l’article L. 1146-1 du même C</w:t>
      </w:r>
      <w:r w:rsidRPr="00775857">
        <w:rPr>
          <w:rFonts w:ascii="Garamond" w:hAnsi="Garamond" w:cs="Arial"/>
          <w:sz w:val="24"/>
          <w:szCs w:val="24"/>
        </w:rPr>
        <w:t xml:space="preserve">ode ou de l’article 225-1 du </w:t>
      </w:r>
      <w:r w:rsidR="0085395B" w:rsidRPr="00775857">
        <w:rPr>
          <w:rFonts w:ascii="Garamond" w:hAnsi="Garamond" w:cs="Arial"/>
          <w:sz w:val="24"/>
          <w:szCs w:val="24"/>
        </w:rPr>
        <w:t>Code Pénal</w:t>
      </w:r>
      <w:r w:rsidRPr="00775857">
        <w:rPr>
          <w:rFonts w:ascii="Garamond" w:hAnsi="Garamond" w:cs="Arial"/>
          <w:sz w:val="24"/>
          <w:szCs w:val="24"/>
        </w:rPr>
        <w:t xml:space="preserve"> ;</w:t>
      </w:r>
    </w:p>
    <w:p w14:paraId="4707AE39" w14:textId="77777777" w:rsidR="00E7387D" w:rsidRPr="00775857" w:rsidRDefault="00E7387D" w:rsidP="00FE0D90">
      <w:pPr>
        <w:widowControl w:val="0"/>
        <w:autoSpaceDE w:val="0"/>
        <w:autoSpaceDN w:val="0"/>
        <w:adjustRightInd w:val="0"/>
        <w:spacing w:after="0" w:line="240" w:lineRule="auto"/>
        <w:ind w:left="708"/>
        <w:jc w:val="both"/>
        <w:rPr>
          <w:rFonts w:ascii="Garamond" w:hAnsi="Garamond" w:cs="Arial"/>
          <w:sz w:val="24"/>
          <w:szCs w:val="24"/>
        </w:rPr>
      </w:pPr>
      <w:r w:rsidRPr="00775857">
        <w:rPr>
          <w:rFonts w:ascii="Garamond" w:hAnsi="Garamond" w:cs="Arial"/>
          <w:sz w:val="24"/>
          <w:szCs w:val="24"/>
        </w:rPr>
        <w:t>b) Au 31 décembre de l’année précédant celle au cours de laquelle a lieu le lancement de la procédure de passation du marché public, n’ont pas mis en œuvre l’obligation de négociation p</w:t>
      </w:r>
      <w:r w:rsidR="0085395B" w:rsidRPr="00775857">
        <w:rPr>
          <w:rFonts w:ascii="Garamond" w:hAnsi="Garamond" w:cs="Arial"/>
          <w:sz w:val="24"/>
          <w:szCs w:val="24"/>
        </w:rPr>
        <w:t>révue à l’article L. 2242-</w:t>
      </w:r>
      <w:r w:rsidR="0085395B" w:rsidRPr="00775857">
        <w:rPr>
          <w:rFonts w:ascii="Garamond" w:hAnsi="Garamond" w:cs="Arial"/>
          <w:sz w:val="24"/>
          <w:szCs w:val="24"/>
        </w:rPr>
        <w:lastRenderedPageBreak/>
        <w:t>5 du Code du Travail</w:t>
      </w:r>
      <w:r w:rsidRPr="00775857">
        <w:rPr>
          <w:rFonts w:ascii="Garamond" w:hAnsi="Garamond" w:cs="Arial"/>
          <w:sz w:val="24"/>
          <w:szCs w:val="24"/>
        </w:rPr>
        <w:t xml:space="preserve"> ;</w:t>
      </w:r>
    </w:p>
    <w:p w14:paraId="0CB3A1D1" w14:textId="77777777" w:rsidR="00E7387D" w:rsidRPr="00775857" w:rsidRDefault="00E7387D" w:rsidP="00FE0D90">
      <w:pPr>
        <w:widowControl w:val="0"/>
        <w:autoSpaceDE w:val="0"/>
        <w:autoSpaceDN w:val="0"/>
        <w:adjustRightInd w:val="0"/>
        <w:spacing w:after="0" w:line="240" w:lineRule="auto"/>
        <w:ind w:left="708"/>
        <w:jc w:val="both"/>
        <w:rPr>
          <w:rFonts w:ascii="Garamond" w:hAnsi="Garamond" w:cs="Arial"/>
          <w:sz w:val="24"/>
          <w:szCs w:val="24"/>
        </w:rPr>
      </w:pPr>
      <w:r w:rsidRPr="00775857">
        <w:rPr>
          <w:rFonts w:ascii="Garamond" w:hAnsi="Garamond" w:cs="Arial"/>
          <w:sz w:val="24"/>
          <w:szCs w:val="24"/>
        </w:rPr>
        <w:t>c) Ont été condamnées au titr</w:t>
      </w:r>
      <w:r w:rsidR="0085395B" w:rsidRPr="00775857">
        <w:rPr>
          <w:rFonts w:ascii="Garamond" w:hAnsi="Garamond" w:cs="Arial"/>
          <w:sz w:val="24"/>
          <w:szCs w:val="24"/>
        </w:rPr>
        <w:t>e du 5° de l’article 131-39 du Code Pénal</w:t>
      </w:r>
      <w:r w:rsidRPr="00775857">
        <w:rPr>
          <w:rFonts w:ascii="Garamond" w:hAnsi="Garamond" w:cs="Arial"/>
          <w:sz w:val="24"/>
          <w:szCs w:val="24"/>
        </w:rPr>
        <w:t xml:space="preserve"> ou qui sont des personnes physiques condamnées à une peine d’exclusion des marchés publics.</w:t>
      </w:r>
    </w:p>
    <w:p w14:paraId="625391FC"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p>
    <w:p w14:paraId="3B146031"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Sauf lorsque la peine d’exclusion des marchés publics a été prononcée pour une durée différente fixée par une décision de justice définitive, l’exclusion prévue au présent 4° s’applique pour une durée de trois ans à compter la date de la décision ou du jugement ayant constaté la commission de l’infraction.</w:t>
      </w:r>
    </w:p>
    <w:p w14:paraId="17BB0401"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p>
    <w:p w14:paraId="7C9569C9"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Toutefois, l’exclusion mentionnée au présent 4° n’est pas applicable à la personne qui établit : </w:t>
      </w:r>
    </w:p>
    <w:p w14:paraId="0B08328B" w14:textId="77777777" w:rsidR="00E7387D" w:rsidRPr="00775857" w:rsidRDefault="00E7387D" w:rsidP="00FE0D90">
      <w:pPr>
        <w:widowControl w:val="0"/>
        <w:numPr>
          <w:ilvl w:val="0"/>
          <w:numId w:val="8"/>
        </w:numPr>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soit qu’elle n’a pas fait l’objet d’une peine d’exclusion des marchés publics inscrite au bulletin n° 2 du casier judiciaire en app</w:t>
      </w:r>
      <w:r w:rsidR="0085395B" w:rsidRPr="00775857">
        <w:rPr>
          <w:rFonts w:ascii="Garamond" w:hAnsi="Garamond" w:cs="Arial"/>
          <w:sz w:val="24"/>
          <w:szCs w:val="24"/>
        </w:rPr>
        <w:t>lication de l’article 775-1 du Code de  Procédure Pénale</w:t>
      </w:r>
      <w:r w:rsidRPr="00775857">
        <w:rPr>
          <w:rFonts w:ascii="Garamond" w:hAnsi="Garamond" w:cs="Arial"/>
          <w:sz w:val="24"/>
          <w:szCs w:val="24"/>
        </w:rPr>
        <w:t xml:space="preserve">, qu’elle a régularisé sa situation, qu’elle a réglé l’ensemble des amendes et indemnités dues, qu’elle a collaboré activement avec les autorités chargées de l’enquête, qu’elle a, le cas échéant, réalisé ou engagé la régularisation de sa situation au regard de l’obligation de négociation de l’article L. 2242-5 du </w:t>
      </w:r>
      <w:r w:rsidR="0085395B" w:rsidRPr="00775857">
        <w:rPr>
          <w:rFonts w:ascii="Garamond" w:hAnsi="Garamond" w:cs="Arial"/>
          <w:sz w:val="24"/>
          <w:szCs w:val="24"/>
        </w:rPr>
        <w:t>Code du Travail</w:t>
      </w:r>
      <w:r w:rsidRPr="00775857">
        <w:rPr>
          <w:rFonts w:ascii="Garamond" w:hAnsi="Garamond" w:cs="Arial"/>
          <w:sz w:val="24"/>
          <w:szCs w:val="24"/>
        </w:rPr>
        <w:t>, et, enfin, qu’elle a pris des mesures concrètes de nature à prévenir la commission d’une nouvelle infraction pénale ou d’une nouvelle faute ;</w:t>
      </w:r>
    </w:p>
    <w:p w14:paraId="5487AEF9" w14:textId="77777777" w:rsidR="00E7387D" w:rsidRPr="00775857" w:rsidRDefault="00E7387D" w:rsidP="00FE0D90">
      <w:pPr>
        <w:widowControl w:val="0"/>
        <w:numPr>
          <w:ilvl w:val="0"/>
          <w:numId w:val="8"/>
        </w:numPr>
        <w:autoSpaceDE w:val="0"/>
        <w:autoSpaceDN w:val="0"/>
        <w:adjustRightInd w:val="0"/>
        <w:spacing w:after="0" w:line="240" w:lineRule="auto"/>
        <w:jc w:val="both"/>
        <w:rPr>
          <w:rFonts w:ascii="Garamond" w:hAnsi="Garamond" w:cs="Arial"/>
          <w:sz w:val="24"/>
          <w:szCs w:val="24"/>
        </w:rPr>
      </w:pPr>
      <w:proofErr w:type="gramStart"/>
      <w:r w:rsidRPr="00775857">
        <w:rPr>
          <w:rFonts w:ascii="Garamond" w:hAnsi="Garamond" w:cs="Arial"/>
          <w:sz w:val="24"/>
          <w:szCs w:val="24"/>
        </w:rPr>
        <w:t>soit</w:t>
      </w:r>
      <w:proofErr w:type="gramEnd"/>
      <w:r w:rsidRPr="00775857">
        <w:rPr>
          <w:rFonts w:ascii="Garamond" w:hAnsi="Garamond" w:cs="Arial"/>
          <w:sz w:val="24"/>
          <w:szCs w:val="24"/>
        </w:rPr>
        <w:t xml:space="preserve"> que la peine d’exclusion des marchés publics n’est pas opposable du fait de l’obtention d’un sursis en application des articles 132-31 ou 132-32 du </w:t>
      </w:r>
      <w:r w:rsidR="0085395B" w:rsidRPr="00775857">
        <w:rPr>
          <w:rFonts w:ascii="Garamond" w:hAnsi="Garamond" w:cs="Arial"/>
          <w:sz w:val="24"/>
          <w:szCs w:val="24"/>
        </w:rPr>
        <w:t>Code Pénal</w:t>
      </w:r>
      <w:r w:rsidRPr="00775857">
        <w:rPr>
          <w:rFonts w:ascii="Garamond" w:hAnsi="Garamond" w:cs="Arial"/>
          <w:sz w:val="24"/>
          <w:szCs w:val="24"/>
        </w:rPr>
        <w:t xml:space="preserve">, d’un ajournement du prononcé de la peine en application des articles 132-58 à 132-62 du </w:t>
      </w:r>
      <w:r w:rsidR="0085395B" w:rsidRPr="00775857">
        <w:rPr>
          <w:rFonts w:ascii="Garamond" w:hAnsi="Garamond" w:cs="Arial"/>
          <w:sz w:val="24"/>
          <w:szCs w:val="24"/>
        </w:rPr>
        <w:t>Code Pénal</w:t>
      </w:r>
      <w:r w:rsidRPr="00775857">
        <w:rPr>
          <w:rFonts w:ascii="Garamond" w:hAnsi="Garamond" w:cs="Arial"/>
          <w:sz w:val="24"/>
          <w:szCs w:val="24"/>
        </w:rPr>
        <w:t xml:space="preserve"> ou d’un relèvement de peine en application de l’article 132-21 du </w:t>
      </w:r>
      <w:r w:rsidR="0085395B" w:rsidRPr="00775857">
        <w:rPr>
          <w:rFonts w:ascii="Garamond" w:hAnsi="Garamond" w:cs="Arial"/>
          <w:sz w:val="24"/>
          <w:szCs w:val="24"/>
        </w:rPr>
        <w:t>Code Pénal</w:t>
      </w:r>
      <w:r w:rsidRPr="00775857">
        <w:rPr>
          <w:rFonts w:ascii="Garamond" w:hAnsi="Garamond" w:cs="Arial"/>
          <w:sz w:val="24"/>
          <w:szCs w:val="24"/>
        </w:rPr>
        <w:t xml:space="preserve"> ou des articles 702-1 ou 703 du </w:t>
      </w:r>
      <w:r w:rsidR="0085395B" w:rsidRPr="00775857">
        <w:rPr>
          <w:rFonts w:ascii="Garamond" w:hAnsi="Garamond" w:cs="Arial"/>
          <w:sz w:val="24"/>
          <w:szCs w:val="24"/>
        </w:rPr>
        <w:t>Code de  Procédure Pénale</w:t>
      </w:r>
      <w:r w:rsidRPr="00775857">
        <w:rPr>
          <w:rFonts w:ascii="Garamond" w:hAnsi="Garamond" w:cs="Arial"/>
          <w:sz w:val="24"/>
          <w:szCs w:val="24"/>
        </w:rPr>
        <w:t xml:space="preserve"> ; </w:t>
      </w:r>
    </w:p>
    <w:p w14:paraId="7450744D"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14:paraId="4D8A92C0"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xml:space="preserve">5° Les personnes qui font l’objet d’une mesure d’exclusion des contrats administratifs en vertu d’une décision administrative prise en application de l’article L. 8272-4 du </w:t>
      </w:r>
      <w:r w:rsidR="0085395B" w:rsidRPr="00775857">
        <w:rPr>
          <w:rFonts w:ascii="Garamond" w:hAnsi="Garamond" w:cs="Arial"/>
          <w:sz w:val="24"/>
          <w:szCs w:val="24"/>
        </w:rPr>
        <w:t>Code du Travail</w:t>
      </w:r>
      <w:r w:rsidRPr="00775857">
        <w:rPr>
          <w:rFonts w:ascii="Garamond" w:hAnsi="Garamond" w:cs="Arial"/>
          <w:sz w:val="24"/>
          <w:szCs w:val="24"/>
        </w:rPr>
        <w:t>.</w:t>
      </w:r>
    </w:p>
    <w:p w14:paraId="582CB56D"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14:paraId="46390318"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xml:space="preserve">Toutefois, l’exclusion mentionnée au présent 5° n’est pas applicable à la personne qui établit qu’elle n’a pas fait l’objet d’une peine d’exclusion des marchés publics inscrite au bulletin n° 2 du casier judiciaire en application de l’article 775-1 du </w:t>
      </w:r>
      <w:r w:rsidR="0085395B" w:rsidRPr="00775857">
        <w:rPr>
          <w:rFonts w:ascii="Garamond" w:hAnsi="Garamond" w:cs="Arial"/>
          <w:sz w:val="24"/>
          <w:szCs w:val="24"/>
        </w:rPr>
        <w:t>Code de  Procédure Pénale</w:t>
      </w:r>
      <w:r w:rsidRPr="00775857">
        <w:rPr>
          <w:rFonts w:ascii="Garamond" w:hAnsi="Garamond" w:cs="Arial"/>
          <w:sz w:val="24"/>
          <w:szCs w:val="24"/>
        </w:rPr>
        <w:t>, qu’elle a régularisé sa situation, qu’elle a réglé l’ensemble des amendes et indemnités dues, qu’elle a collaboré activement avec les autorités chargées de l’enquête, et qu’elle a pris des mesures concrètes de nature à prévenir la commission d’une nouvelle infraction pénale ou d’une nouvelle faute. </w:t>
      </w:r>
    </w:p>
    <w:p w14:paraId="14388A29" w14:textId="77777777" w:rsidR="00B74445" w:rsidRPr="00775857" w:rsidRDefault="00B74445" w:rsidP="00FE0D90">
      <w:pPr>
        <w:tabs>
          <w:tab w:val="left" w:pos="576"/>
        </w:tabs>
        <w:spacing w:after="0" w:line="240" w:lineRule="auto"/>
        <w:jc w:val="both"/>
        <w:rPr>
          <w:rFonts w:ascii="Garamond" w:eastAsia="Times New Roman" w:hAnsi="Garamond" w:cs="Arial"/>
          <w:sz w:val="24"/>
          <w:szCs w:val="24"/>
          <w:lang w:eastAsia="fr-FR"/>
        </w:rPr>
      </w:pPr>
    </w:p>
    <w:p w14:paraId="58190396" w14:textId="77777777" w:rsidR="00B74445" w:rsidRDefault="00B74445" w:rsidP="00FE0D90">
      <w:pPr>
        <w:tabs>
          <w:tab w:val="left" w:pos="576"/>
        </w:tabs>
        <w:spacing w:after="0" w:line="240" w:lineRule="auto"/>
        <w:jc w:val="both"/>
        <w:rPr>
          <w:rFonts w:ascii="Garamond" w:eastAsia="Times New Roman" w:hAnsi="Garamond" w:cs="Arial"/>
          <w:b/>
          <w:sz w:val="24"/>
          <w:szCs w:val="24"/>
          <w:u w:val="single"/>
          <w:lang w:eastAsia="fr-FR"/>
        </w:rPr>
      </w:pPr>
      <w:r w:rsidRPr="00775857">
        <w:rPr>
          <w:rFonts w:ascii="Garamond" w:eastAsia="Times New Roman" w:hAnsi="Garamond" w:cs="Arial"/>
          <w:b/>
          <w:sz w:val="24"/>
          <w:szCs w:val="24"/>
          <w:u w:val="single"/>
          <w:lang w:eastAsia="fr-FR"/>
        </w:rPr>
        <w:t xml:space="preserve">II </w:t>
      </w:r>
      <w:r w:rsidR="00FE0D90">
        <w:rPr>
          <w:rFonts w:ascii="Garamond" w:eastAsia="Times New Roman" w:hAnsi="Garamond" w:cs="Arial"/>
          <w:b/>
          <w:sz w:val="24"/>
          <w:szCs w:val="24"/>
          <w:u w:val="single"/>
          <w:lang w:eastAsia="fr-FR"/>
        </w:rPr>
        <w:t>–</w:t>
      </w:r>
      <w:r w:rsidRPr="00775857">
        <w:rPr>
          <w:rFonts w:ascii="Garamond" w:eastAsia="Times New Roman" w:hAnsi="Garamond" w:cs="Arial"/>
          <w:b/>
          <w:sz w:val="24"/>
          <w:szCs w:val="24"/>
          <w:u w:val="single"/>
          <w:lang w:eastAsia="fr-FR"/>
        </w:rPr>
        <w:t xml:space="preserve"> ne pas être sous le coup d’une interdiction </w:t>
      </w:r>
      <w:r w:rsidR="00FE0D90">
        <w:rPr>
          <w:rFonts w:ascii="Garamond" w:eastAsia="Times New Roman" w:hAnsi="Garamond" w:cs="Arial"/>
          <w:b/>
          <w:sz w:val="24"/>
          <w:szCs w:val="24"/>
          <w:u w:val="single"/>
          <w:lang w:eastAsia="fr-FR"/>
        </w:rPr>
        <w:t>d</w:t>
      </w:r>
      <w:r w:rsidRPr="00775857">
        <w:rPr>
          <w:rFonts w:ascii="Garamond" w:eastAsia="Times New Roman" w:hAnsi="Garamond" w:cs="Arial"/>
          <w:b/>
          <w:sz w:val="24"/>
          <w:szCs w:val="24"/>
          <w:u w:val="single"/>
          <w:lang w:eastAsia="fr-FR"/>
        </w:rPr>
        <w:t xml:space="preserve">‘accès </w:t>
      </w:r>
      <w:r w:rsidR="004B2C02">
        <w:rPr>
          <w:rFonts w:ascii="Garamond" w:eastAsia="Times New Roman" w:hAnsi="Garamond" w:cs="Arial"/>
          <w:b/>
          <w:sz w:val="24"/>
          <w:szCs w:val="24"/>
          <w:u w:val="single"/>
          <w:lang w:eastAsia="fr-FR"/>
        </w:rPr>
        <w:t xml:space="preserve">à la commande publique visée aux </w:t>
      </w:r>
      <w:r w:rsidRPr="00775857">
        <w:rPr>
          <w:rFonts w:ascii="Garamond" w:eastAsia="Times New Roman" w:hAnsi="Garamond" w:cs="Arial"/>
          <w:b/>
          <w:sz w:val="24"/>
          <w:szCs w:val="24"/>
          <w:u w:val="single"/>
          <w:lang w:eastAsia="fr-FR"/>
        </w:rPr>
        <w:t>art</w:t>
      </w:r>
      <w:r w:rsidR="00FE0D90">
        <w:rPr>
          <w:rFonts w:ascii="Garamond" w:eastAsia="Times New Roman" w:hAnsi="Garamond" w:cs="Arial"/>
          <w:b/>
          <w:sz w:val="24"/>
          <w:szCs w:val="24"/>
          <w:u w:val="single"/>
          <w:lang w:eastAsia="fr-FR"/>
        </w:rPr>
        <w:t>icle</w:t>
      </w:r>
      <w:r w:rsidR="004B2C02">
        <w:rPr>
          <w:rFonts w:ascii="Garamond" w:eastAsia="Times New Roman" w:hAnsi="Garamond" w:cs="Arial"/>
          <w:b/>
          <w:sz w:val="24"/>
          <w:szCs w:val="24"/>
          <w:u w:val="single"/>
          <w:lang w:eastAsia="fr-FR"/>
        </w:rPr>
        <w:t>s</w:t>
      </w:r>
      <w:r w:rsidRPr="00775857">
        <w:rPr>
          <w:rFonts w:ascii="Garamond" w:eastAsia="Times New Roman" w:hAnsi="Garamond" w:cs="Arial"/>
          <w:b/>
          <w:sz w:val="24"/>
          <w:szCs w:val="24"/>
          <w:u w:val="single"/>
          <w:lang w:eastAsia="fr-FR"/>
        </w:rPr>
        <w:t xml:space="preserve"> </w:t>
      </w:r>
      <w:r w:rsidR="004B2C02">
        <w:rPr>
          <w:rFonts w:ascii="Garamond" w:eastAsia="Times New Roman" w:hAnsi="Garamond" w:cs="Arial"/>
          <w:b/>
          <w:sz w:val="24"/>
          <w:szCs w:val="24"/>
          <w:u w:val="single"/>
          <w:lang w:eastAsia="fr-FR"/>
        </w:rPr>
        <w:t xml:space="preserve">L.2141-7 et suivants du code de la commande publique </w:t>
      </w:r>
      <w:r w:rsidRPr="00775857">
        <w:rPr>
          <w:rFonts w:ascii="Garamond" w:eastAsia="Times New Roman" w:hAnsi="Garamond" w:cs="Arial"/>
          <w:b/>
          <w:sz w:val="24"/>
          <w:szCs w:val="24"/>
          <w:u w:val="single"/>
          <w:lang w:eastAsia="fr-FR"/>
        </w:rPr>
        <w:t>:</w:t>
      </w:r>
    </w:p>
    <w:p w14:paraId="52AB7047" w14:textId="77777777" w:rsidR="00FE0D90" w:rsidRPr="00775857" w:rsidRDefault="00FE0D90" w:rsidP="00FE0D90">
      <w:pPr>
        <w:tabs>
          <w:tab w:val="left" w:pos="576"/>
        </w:tabs>
        <w:spacing w:after="0" w:line="240" w:lineRule="auto"/>
        <w:jc w:val="both"/>
        <w:rPr>
          <w:rFonts w:ascii="Garamond" w:eastAsia="Times New Roman" w:hAnsi="Garamond" w:cs="Arial"/>
          <w:b/>
          <w:sz w:val="24"/>
          <w:szCs w:val="24"/>
          <w:u w:val="single"/>
          <w:lang w:eastAsia="fr-FR"/>
        </w:rPr>
      </w:pPr>
    </w:p>
    <w:p w14:paraId="15FF2505" w14:textId="77777777"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1° Les personnes qui, au cours des trois années précédentes, ont dû verser des dommages et intérêts, ont été sanctionnées par une résiliation ou ont fait l’objet d’une sanction comparable du fait d’un manquement grave ou persistant à leurs obligations contractuelles lors de l’exécution d’un contrat de concession antérieur ou d’un marché public antérieur ;</w:t>
      </w:r>
    </w:p>
    <w:p w14:paraId="783BE065" w14:textId="77777777"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14:paraId="2C1C69A5" w14:textId="77777777"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2° Les personnes qui ont entrepris d’influer indûment sur le processus décisionnel de l’acheteur ou d’obtenir des informations confidentielles susceptibles de leur donner un avantage indu lors de la procédure de passation du marché public, ou ont fourni des informations trompeuses susceptibles d’avoir une influence déterminante sur les décisions d’exclusion, de sélection ou d’attribution ;</w:t>
      </w:r>
    </w:p>
    <w:p w14:paraId="590DA898" w14:textId="77777777"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14:paraId="7C09BE42" w14:textId="77777777"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3° Les personnes qui, par leur participation préalable directe ou indirecte à la préparation de la procédure de passation du marché public, ont eu accès à des informations susceptibles de créer une distorsion de concurrence par rapport aux autres candidats, lorsqu’il ne peut être remédié à cette situation par d’autres moyens ;</w:t>
      </w:r>
    </w:p>
    <w:p w14:paraId="1CD4F186" w14:textId="77777777"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14:paraId="30426BC9" w14:textId="77777777"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4° Les personnes à l’égard desquelles l’acheteur dispose d’éléments suffisamment probants ou constituant un faisceau d’indices graves, sérieux et concordants pour en déduire qu’elles ont conclu une entente avec d’autres opérateurs économiques en vue de fausser la concurrence ;</w:t>
      </w:r>
    </w:p>
    <w:p w14:paraId="7F2DCA25" w14:textId="77777777"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14:paraId="1AB0DC43" w14:textId="77777777"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5° Les personnes qui, par leur candidature, créent une situation de conflit d’intérêts, lorsqu’il ne peut y être remédié par d’autres moyens. Constitue une situation de conflit d’intérêts toute situation dans laquelle une personne qui participe au déroulement de la procédure de passation du marché public ou est susceptible d’en influencer l’issue a, directement ou indirectement, un intérêt financier, économique ou tout autre intérêt personnel qui pourrait compromettre son impartialité ou son indépendance dans le cadre de la procédure de passation du marché public.</w:t>
      </w:r>
    </w:p>
    <w:p w14:paraId="0DFEC2B2" w14:textId="17747253" w:rsidR="00B74445" w:rsidRPr="00775857" w:rsidRDefault="00B74445" w:rsidP="000F39C4">
      <w:pPr>
        <w:widowControl w:val="0"/>
        <w:tabs>
          <w:tab w:val="left" w:pos="928"/>
        </w:tabs>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r w:rsidR="000F39C4">
        <w:rPr>
          <w:rFonts w:ascii="Garamond" w:hAnsi="Garamond" w:cs="Arial"/>
          <w:sz w:val="24"/>
          <w:szCs w:val="24"/>
        </w:rPr>
        <w:tab/>
      </w:r>
    </w:p>
    <w:p w14:paraId="017FDDAA" w14:textId="77777777" w:rsidR="007422F0" w:rsidRPr="00775857" w:rsidRDefault="007422F0" w:rsidP="00FE0D90">
      <w:pPr>
        <w:widowControl w:val="0"/>
        <w:autoSpaceDE w:val="0"/>
        <w:autoSpaceDN w:val="0"/>
        <w:adjustRightInd w:val="0"/>
        <w:spacing w:after="0" w:line="240" w:lineRule="auto"/>
        <w:jc w:val="both"/>
        <w:rPr>
          <w:rFonts w:ascii="Garamond" w:hAnsi="Garamond" w:cs="Arial"/>
          <w:i/>
          <w:sz w:val="24"/>
          <w:szCs w:val="24"/>
        </w:rPr>
      </w:pPr>
      <w:r w:rsidRPr="00775857">
        <w:rPr>
          <w:rFonts w:ascii="Garamond" w:hAnsi="Garamond" w:cs="Arial"/>
          <w:i/>
          <w:sz w:val="24"/>
          <w:szCs w:val="24"/>
        </w:rPr>
        <w:lastRenderedPageBreak/>
        <w:t xml:space="preserve">Dans les cas visés à </w:t>
      </w:r>
      <w:r w:rsidR="00A55DBE">
        <w:rPr>
          <w:rFonts w:ascii="Garamond" w:hAnsi="Garamond" w:cs="Arial"/>
          <w:i/>
          <w:sz w:val="24"/>
          <w:szCs w:val="24"/>
        </w:rPr>
        <w:t>l’</w:t>
      </w:r>
      <w:r w:rsidRPr="00775857">
        <w:rPr>
          <w:rFonts w:ascii="Garamond" w:hAnsi="Garamond" w:cs="Arial"/>
          <w:i/>
          <w:sz w:val="24"/>
          <w:szCs w:val="24"/>
        </w:rPr>
        <w:t>article 48</w:t>
      </w:r>
      <w:r w:rsidR="00A55DBE">
        <w:rPr>
          <w:rFonts w:ascii="Garamond" w:hAnsi="Garamond" w:cs="Arial"/>
          <w:i/>
          <w:sz w:val="24"/>
          <w:szCs w:val="24"/>
        </w:rPr>
        <w:t xml:space="preserve"> précité</w:t>
      </w:r>
      <w:r w:rsidR="00FE0D90">
        <w:rPr>
          <w:rFonts w:ascii="Garamond" w:hAnsi="Garamond" w:cs="Arial"/>
          <w:i/>
          <w:sz w:val="24"/>
          <w:szCs w:val="24"/>
        </w:rPr>
        <w:t>,</w:t>
      </w:r>
      <w:r w:rsidRPr="00775857">
        <w:rPr>
          <w:rFonts w:ascii="Garamond" w:hAnsi="Garamond" w:cs="Arial"/>
          <w:i/>
          <w:sz w:val="24"/>
          <w:szCs w:val="24"/>
        </w:rPr>
        <w:t xml:space="preserve"> le candidat devra établir que son professionnalisme et sa fiabilité ne peuvent plus être remis en cause et, le cas échéant, que sa participation à la procédure de passation du marché public n’est pas susceptible de porter atteinte à l’égalité de traitement. </w:t>
      </w:r>
    </w:p>
    <w:p w14:paraId="216782AD" w14:textId="77777777" w:rsidR="007422F0" w:rsidRPr="00775857" w:rsidRDefault="007422F0" w:rsidP="00FE0D90">
      <w:pPr>
        <w:widowControl w:val="0"/>
        <w:autoSpaceDE w:val="0"/>
        <w:autoSpaceDN w:val="0"/>
        <w:adjustRightInd w:val="0"/>
        <w:spacing w:after="0" w:line="240" w:lineRule="auto"/>
        <w:jc w:val="both"/>
        <w:rPr>
          <w:rFonts w:ascii="Garamond" w:hAnsi="Garamond" w:cs="Arial"/>
          <w:sz w:val="24"/>
          <w:szCs w:val="24"/>
        </w:rPr>
      </w:pPr>
    </w:p>
    <w:p w14:paraId="1B0CD801" w14:textId="77777777" w:rsidR="00B74445" w:rsidRPr="00775857" w:rsidRDefault="00B74445" w:rsidP="00FE0D90">
      <w:pPr>
        <w:tabs>
          <w:tab w:val="left" w:pos="576"/>
        </w:tabs>
        <w:spacing w:after="0" w:line="240" w:lineRule="auto"/>
        <w:jc w:val="both"/>
        <w:rPr>
          <w:rFonts w:ascii="Garamond" w:eastAsia="Times New Roman" w:hAnsi="Garamond" w:cs="Arial"/>
          <w:b/>
          <w:sz w:val="24"/>
          <w:szCs w:val="24"/>
          <w:u w:val="single"/>
          <w:lang w:eastAsia="fr-FR"/>
        </w:rPr>
      </w:pPr>
      <w:r w:rsidRPr="00775857">
        <w:rPr>
          <w:rFonts w:ascii="Garamond" w:eastAsia="Times New Roman" w:hAnsi="Garamond" w:cs="Arial"/>
          <w:b/>
          <w:sz w:val="24"/>
          <w:szCs w:val="24"/>
          <w:u w:val="single"/>
          <w:lang w:eastAsia="fr-FR"/>
        </w:rPr>
        <w:t xml:space="preserve">III </w:t>
      </w:r>
      <w:r w:rsidR="00FE0D90">
        <w:rPr>
          <w:rFonts w:ascii="Garamond" w:eastAsia="Times New Roman" w:hAnsi="Garamond" w:cs="Arial"/>
          <w:b/>
          <w:sz w:val="24"/>
          <w:szCs w:val="24"/>
          <w:u w:val="single"/>
          <w:lang w:eastAsia="fr-FR"/>
        </w:rPr>
        <w:t xml:space="preserve">– </w:t>
      </w:r>
      <w:r w:rsidRPr="00775857">
        <w:rPr>
          <w:rFonts w:ascii="Garamond" w:eastAsia="Times New Roman" w:hAnsi="Garamond" w:cs="Arial"/>
          <w:b/>
          <w:sz w:val="24"/>
          <w:szCs w:val="24"/>
          <w:u w:val="single"/>
          <w:lang w:eastAsia="fr-FR"/>
        </w:rPr>
        <w:t>que je suis en règle au regard des</w:t>
      </w:r>
      <w:r w:rsidR="00FE0D90">
        <w:rPr>
          <w:rFonts w:ascii="Garamond" w:eastAsia="Times New Roman" w:hAnsi="Garamond" w:cs="Arial"/>
          <w:b/>
          <w:sz w:val="24"/>
          <w:szCs w:val="24"/>
          <w:u w:val="single"/>
          <w:lang w:eastAsia="fr-FR"/>
        </w:rPr>
        <w:t xml:space="preserve"> </w:t>
      </w:r>
      <w:hyperlink r:id="rId7" w:history="1">
        <w:r w:rsidRPr="00775857">
          <w:rPr>
            <w:rFonts w:ascii="Garamond" w:eastAsia="Times New Roman" w:hAnsi="Garamond" w:cs="Arial"/>
            <w:b/>
            <w:sz w:val="24"/>
            <w:szCs w:val="24"/>
            <w:u w:val="single"/>
            <w:lang w:eastAsia="fr-FR"/>
          </w:rPr>
          <w:t>articles L. 5212-1 à L. 5212-11 du Code du Travail</w:t>
        </w:r>
      </w:hyperlink>
      <w:r w:rsidR="00A55DBE">
        <w:rPr>
          <w:rFonts w:ascii="Garamond" w:eastAsia="Times New Roman" w:hAnsi="Garamond" w:cs="Arial"/>
          <w:b/>
          <w:sz w:val="24"/>
          <w:szCs w:val="24"/>
          <w:u w:val="single"/>
          <w:lang w:eastAsia="fr-FR"/>
        </w:rPr>
        <w:t xml:space="preserve"> </w:t>
      </w:r>
      <w:r w:rsidRPr="00775857">
        <w:rPr>
          <w:rFonts w:ascii="Garamond" w:eastAsia="Times New Roman" w:hAnsi="Garamond" w:cs="Arial"/>
          <w:b/>
          <w:sz w:val="24"/>
          <w:szCs w:val="24"/>
          <w:u w:val="single"/>
          <w:lang w:eastAsia="fr-FR"/>
        </w:rPr>
        <w:t>concernant l'emploi des travailleurs handicapés</w:t>
      </w:r>
      <w:r w:rsidR="00FE0D90">
        <w:rPr>
          <w:rFonts w:ascii="Garamond" w:eastAsia="Times New Roman" w:hAnsi="Garamond" w:cs="Arial"/>
          <w:b/>
          <w:sz w:val="24"/>
          <w:szCs w:val="24"/>
          <w:u w:val="single"/>
          <w:lang w:eastAsia="fr-FR"/>
        </w:rPr>
        <w:t> ;</w:t>
      </w:r>
    </w:p>
    <w:p w14:paraId="56C76355" w14:textId="77777777" w:rsidR="00B74445" w:rsidRPr="00775857" w:rsidRDefault="00B74445" w:rsidP="00FE0D90">
      <w:pPr>
        <w:tabs>
          <w:tab w:val="left" w:pos="576"/>
        </w:tabs>
        <w:spacing w:after="0" w:line="240" w:lineRule="auto"/>
        <w:jc w:val="both"/>
        <w:rPr>
          <w:rFonts w:ascii="Garamond" w:eastAsia="Times New Roman" w:hAnsi="Garamond" w:cs="Arial"/>
          <w:sz w:val="24"/>
          <w:szCs w:val="24"/>
          <w:lang w:eastAsia="fr-FR"/>
        </w:rPr>
      </w:pPr>
    </w:p>
    <w:p w14:paraId="3A3AA895" w14:textId="77777777" w:rsidR="00D50B37" w:rsidRPr="00775857" w:rsidRDefault="00B74445" w:rsidP="00FE0D90">
      <w:pPr>
        <w:tabs>
          <w:tab w:val="left" w:pos="576"/>
        </w:tabs>
        <w:spacing w:after="0" w:line="240" w:lineRule="auto"/>
        <w:jc w:val="both"/>
        <w:rPr>
          <w:rFonts w:ascii="Garamond" w:eastAsia="Times New Roman" w:hAnsi="Garamond" w:cs="Arial"/>
          <w:b/>
          <w:sz w:val="24"/>
          <w:szCs w:val="24"/>
          <w:u w:val="single"/>
          <w:lang w:eastAsia="fr-FR"/>
        </w:rPr>
      </w:pPr>
      <w:r w:rsidRPr="00775857">
        <w:rPr>
          <w:rFonts w:ascii="Garamond" w:eastAsia="Times New Roman" w:hAnsi="Garamond" w:cs="Arial"/>
          <w:b/>
          <w:sz w:val="24"/>
          <w:szCs w:val="24"/>
          <w:u w:val="single"/>
          <w:lang w:eastAsia="fr-FR"/>
        </w:rPr>
        <w:t>IV</w:t>
      </w:r>
      <w:r w:rsidR="00F04D61" w:rsidRPr="00775857">
        <w:rPr>
          <w:rFonts w:ascii="Garamond" w:eastAsia="Times New Roman" w:hAnsi="Garamond" w:cs="Arial"/>
          <w:b/>
          <w:sz w:val="24"/>
          <w:szCs w:val="24"/>
          <w:u w:val="single"/>
          <w:lang w:eastAsia="fr-FR"/>
        </w:rPr>
        <w:t xml:space="preserve"> </w:t>
      </w:r>
      <w:r w:rsidR="00FE0D90">
        <w:rPr>
          <w:rFonts w:ascii="Garamond" w:eastAsia="Times New Roman" w:hAnsi="Garamond" w:cs="Arial"/>
          <w:b/>
          <w:sz w:val="24"/>
          <w:szCs w:val="24"/>
          <w:u w:val="single"/>
          <w:lang w:eastAsia="fr-FR"/>
        </w:rPr>
        <w:t>–</w:t>
      </w:r>
      <w:r w:rsidR="00F04D61" w:rsidRPr="00775857">
        <w:rPr>
          <w:rFonts w:ascii="Garamond" w:eastAsia="Times New Roman" w:hAnsi="Garamond" w:cs="Arial"/>
          <w:b/>
          <w:sz w:val="24"/>
          <w:szCs w:val="24"/>
          <w:u w:val="single"/>
          <w:lang w:eastAsia="fr-FR"/>
        </w:rPr>
        <w:t xml:space="preserve"> </w:t>
      </w:r>
      <w:r w:rsidR="00B253E6" w:rsidRPr="00775857">
        <w:rPr>
          <w:rFonts w:ascii="Garamond" w:eastAsia="Times New Roman" w:hAnsi="Garamond" w:cs="Arial"/>
          <w:b/>
          <w:sz w:val="24"/>
          <w:szCs w:val="24"/>
          <w:u w:val="single"/>
          <w:lang w:eastAsia="fr-FR"/>
        </w:rPr>
        <w:t>que les renseignements fournis en annexe du présent document sont exacts.</w:t>
      </w:r>
    </w:p>
    <w:p w14:paraId="77621F1D" w14:textId="77777777" w:rsidR="00CA0BB0" w:rsidRDefault="00CA0BB0" w:rsidP="004B2C02">
      <w:pPr>
        <w:widowControl w:val="0"/>
        <w:autoSpaceDE w:val="0"/>
        <w:autoSpaceDN w:val="0"/>
        <w:adjustRightInd w:val="0"/>
        <w:spacing w:after="0" w:line="240" w:lineRule="auto"/>
        <w:jc w:val="both"/>
        <w:rPr>
          <w:rFonts w:ascii="Garamond" w:hAnsi="Garamond" w:cs="Arial"/>
          <w:sz w:val="24"/>
          <w:szCs w:val="24"/>
        </w:rPr>
      </w:pPr>
    </w:p>
    <w:p w14:paraId="0A508437" w14:textId="77777777" w:rsidR="00E34C07" w:rsidRPr="00775857" w:rsidRDefault="001A3958" w:rsidP="004B2C02">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xml:space="preserve">Le cas échéant, </w:t>
      </w:r>
      <w:r w:rsidR="004C569F" w:rsidRPr="00775857">
        <w:rPr>
          <w:rFonts w:ascii="Garamond" w:hAnsi="Garamond" w:cs="Arial"/>
          <w:sz w:val="24"/>
          <w:szCs w:val="24"/>
        </w:rPr>
        <w:t>le j</w:t>
      </w:r>
      <w:r w:rsidR="00E34C07" w:rsidRPr="00775857">
        <w:rPr>
          <w:rFonts w:ascii="Garamond" w:hAnsi="Garamond" w:cs="Arial"/>
          <w:sz w:val="24"/>
          <w:szCs w:val="24"/>
        </w:rPr>
        <w:t>ugement de r</w:t>
      </w:r>
      <w:r w:rsidRPr="00775857">
        <w:rPr>
          <w:rFonts w:ascii="Garamond" w:hAnsi="Garamond" w:cs="Arial"/>
          <w:sz w:val="24"/>
          <w:szCs w:val="24"/>
        </w:rPr>
        <w:t>edressement judiciaire institué</w:t>
      </w:r>
      <w:r w:rsidR="00E34C07" w:rsidRPr="00775857">
        <w:rPr>
          <w:rFonts w:ascii="Garamond" w:hAnsi="Garamond" w:cs="Arial"/>
          <w:sz w:val="24"/>
          <w:szCs w:val="24"/>
        </w:rPr>
        <w:t xml:space="preserve"> par l’article L. </w:t>
      </w:r>
      <w:r w:rsidRPr="00775857">
        <w:rPr>
          <w:rFonts w:ascii="Garamond" w:hAnsi="Garamond" w:cs="Arial"/>
          <w:sz w:val="24"/>
          <w:szCs w:val="24"/>
        </w:rPr>
        <w:t xml:space="preserve">631-1 du </w:t>
      </w:r>
      <w:r w:rsidR="0085395B" w:rsidRPr="00775857">
        <w:rPr>
          <w:rFonts w:ascii="Garamond" w:hAnsi="Garamond" w:cs="Arial"/>
          <w:sz w:val="24"/>
          <w:szCs w:val="24"/>
        </w:rPr>
        <w:t>Code de Commerce</w:t>
      </w:r>
      <w:r w:rsidRPr="00775857">
        <w:rPr>
          <w:rFonts w:ascii="Garamond" w:hAnsi="Garamond" w:cs="Arial"/>
          <w:sz w:val="24"/>
          <w:szCs w:val="24"/>
        </w:rPr>
        <w:t xml:space="preserve">, ou </w:t>
      </w:r>
      <w:r w:rsidR="00E34C07" w:rsidRPr="00775857">
        <w:rPr>
          <w:rFonts w:ascii="Garamond" w:hAnsi="Garamond" w:cs="Arial"/>
          <w:sz w:val="24"/>
          <w:szCs w:val="24"/>
        </w:rPr>
        <w:t xml:space="preserve">une procédure équivalente régie par un droit étranger, </w:t>
      </w:r>
      <w:r w:rsidR="004C569F" w:rsidRPr="00775857">
        <w:rPr>
          <w:rFonts w:ascii="Garamond" w:hAnsi="Garamond" w:cs="Arial"/>
          <w:sz w:val="24"/>
          <w:szCs w:val="24"/>
        </w:rPr>
        <w:t>prouvant que je suis</w:t>
      </w:r>
      <w:r w:rsidR="00E34C07" w:rsidRPr="00775857">
        <w:rPr>
          <w:rFonts w:ascii="Garamond" w:hAnsi="Garamond" w:cs="Arial"/>
          <w:sz w:val="24"/>
          <w:szCs w:val="24"/>
        </w:rPr>
        <w:t xml:space="preserve"> habilité à poursuivre mes activités pendant la durée prévisible d’exécution du marché public </w:t>
      </w:r>
    </w:p>
    <w:p w14:paraId="4DECDC04" w14:textId="77777777" w:rsidR="0085395B" w:rsidRPr="00775857" w:rsidRDefault="0085395B" w:rsidP="00FE0D90">
      <w:pPr>
        <w:spacing w:after="0" w:line="240" w:lineRule="auto"/>
        <w:jc w:val="both"/>
        <w:rPr>
          <w:rFonts w:ascii="Garamond" w:eastAsia="Times New Roman" w:hAnsi="Garamond" w:cs="Arial"/>
          <w:b/>
          <w:sz w:val="24"/>
          <w:szCs w:val="24"/>
          <w:u w:val="single"/>
          <w:lang w:eastAsia="fr-FR"/>
        </w:rPr>
      </w:pPr>
    </w:p>
    <w:p w14:paraId="12C15B79" w14:textId="77777777" w:rsidR="00F04D61" w:rsidRPr="00775857" w:rsidRDefault="0090385F" w:rsidP="00FE0D90">
      <w:pPr>
        <w:tabs>
          <w:tab w:val="left" w:pos="2742"/>
        </w:tabs>
        <w:spacing w:after="0" w:line="240" w:lineRule="auto"/>
        <w:jc w:val="both"/>
        <w:rPr>
          <w:rFonts w:ascii="Garamond" w:eastAsia="Times New Roman" w:hAnsi="Garamond" w:cs="Arial"/>
          <w:b/>
          <w:bCs/>
          <w:iCs/>
          <w:sz w:val="24"/>
          <w:szCs w:val="24"/>
          <w:lang w:eastAsia="fr-FR"/>
        </w:rPr>
      </w:pPr>
      <w:r w:rsidRPr="00775857">
        <w:rPr>
          <w:rFonts w:ascii="Garamond" w:eastAsia="Times New Roman" w:hAnsi="Garamond" w:cs="Arial"/>
          <w:b/>
          <w:bCs/>
          <w:iCs/>
          <w:sz w:val="24"/>
          <w:szCs w:val="24"/>
          <w:lang w:eastAsia="fr-FR"/>
        </w:rPr>
        <w:t>J</w:t>
      </w:r>
      <w:r w:rsidR="00757B91" w:rsidRPr="00775857">
        <w:rPr>
          <w:rFonts w:ascii="Garamond" w:eastAsia="Times New Roman" w:hAnsi="Garamond" w:cs="Arial"/>
          <w:b/>
          <w:bCs/>
          <w:iCs/>
          <w:sz w:val="24"/>
          <w:szCs w:val="24"/>
          <w:lang w:eastAsia="fr-FR"/>
        </w:rPr>
        <w:t>e m’engage à fournir</w:t>
      </w:r>
      <w:r w:rsidR="00FE0D90">
        <w:rPr>
          <w:rFonts w:ascii="Garamond" w:eastAsia="Times New Roman" w:hAnsi="Garamond" w:cs="Arial"/>
          <w:b/>
          <w:bCs/>
          <w:iCs/>
          <w:sz w:val="24"/>
          <w:szCs w:val="24"/>
          <w:lang w:eastAsia="fr-FR"/>
        </w:rPr>
        <w:t> :</w:t>
      </w:r>
    </w:p>
    <w:p w14:paraId="1EDEF884" w14:textId="77777777" w:rsidR="00F04D61" w:rsidRPr="00775857" w:rsidRDefault="00F04D61" w:rsidP="00FE0D90">
      <w:pPr>
        <w:numPr>
          <w:ilvl w:val="0"/>
          <w:numId w:val="9"/>
        </w:numPr>
        <w:spacing w:after="0" w:line="240" w:lineRule="auto"/>
        <w:jc w:val="both"/>
        <w:rPr>
          <w:rFonts w:ascii="Garamond" w:eastAsia="Times New Roman" w:hAnsi="Garamond" w:cs="Arial"/>
          <w:bCs/>
          <w:iCs/>
          <w:sz w:val="24"/>
          <w:szCs w:val="24"/>
          <w:lang w:eastAsia="fr-FR"/>
        </w:rPr>
      </w:pPr>
      <w:proofErr w:type="gramStart"/>
      <w:r w:rsidRPr="00775857">
        <w:rPr>
          <w:rFonts w:ascii="Garamond" w:eastAsia="Times New Roman" w:hAnsi="Garamond" w:cs="Arial"/>
          <w:bCs/>
          <w:iCs/>
          <w:sz w:val="24"/>
          <w:szCs w:val="24"/>
          <w:lang w:eastAsia="fr-FR"/>
        </w:rPr>
        <w:t>avant</w:t>
      </w:r>
      <w:proofErr w:type="gramEnd"/>
      <w:r w:rsidRPr="00775857">
        <w:rPr>
          <w:rFonts w:ascii="Garamond" w:eastAsia="Times New Roman" w:hAnsi="Garamond" w:cs="Arial"/>
          <w:bCs/>
          <w:iCs/>
          <w:sz w:val="24"/>
          <w:szCs w:val="24"/>
          <w:lang w:eastAsia="fr-FR"/>
        </w:rPr>
        <w:t xml:space="preserve"> le début de détachement éventuel de salariés (dans les conditions mentionnées aux articles L. 1262-1 et L. 1262-2), la preuve que je me suis acquitté des obligations mentionnées aux I et </w:t>
      </w:r>
      <w:r w:rsidR="0085395B" w:rsidRPr="00775857">
        <w:rPr>
          <w:rFonts w:ascii="Garamond" w:eastAsia="Times New Roman" w:hAnsi="Garamond" w:cs="Arial"/>
          <w:bCs/>
          <w:iCs/>
          <w:sz w:val="24"/>
          <w:szCs w:val="24"/>
          <w:lang w:eastAsia="fr-FR"/>
        </w:rPr>
        <w:t xml:space="preserve">II de l'article </w:t>
      </w:r>
      <w:r w:rsidR="00FE0D90">
        <w:rPr>
          <w:rFonts w:ascii="Garamond" w:eastAsia="Times New Roman" w:hAnsi="Garamond" w:cs="Arial"/>
          <w:bCs/>
          <w:iCs/>
          <w:sz w:val="24"/>
          <w:szCs w:val="24"/>
          <w:lang w:eastAsia="fr-FR"/>
        </w:rPr>
        <w:br/>
      </w:r>
      <w:r w:rsidR="0085395B" w:rsidRPr="00775857">
        <w:rPr>
          <w:rFonts w:ascii="Garamond" w:eastAsia="Times New Roman" w:hAnsi="Garamond" w:cs="Arial"/>
          <w:bCs/>
          <w:iCs/>
          <w:sz w:val="24"/>
          <w:szCs w:val="24"/>
          <w:lang w:eastAsia="fr-FR"/>
        </w:rPr>
        <w:t>L. 1262-2-1 du Code du Travail</w:t>
      </w:r>
      <w:r w:rsidR="00FE0D90">
        <w:rPr>
          <w:rFonts w:ascii="Garamond" w:eastAsia="Times New Roman" w:hAnsi="Garamond" w:cs="Arial"/>
          <w:bCs/>
          <w:iCs/>
          <w:sz w:val="24"/>
          <w:szCs w:val="24"/>
          <w:lang w:eastAsia="fr-FR"/>
        </w:rPr>
        <w:t> </w:t>
      </w:r>
      <w:r w:rsidRPr="00775857">
        <w:rPr>
          <w:rFonts w:ascii="Garamond" w:eastAsia="Times New Roman" w:hAnsi="Garamond" w:cs="Arial"/>
          <w:bCs/>
          <w:iCs/>
          <w:sz w:val="24"/>
          <w:szCs w:val="24"/>
          <w:lang w:eastAsia="fr-FR"/>
        </w:rPr>
        <w:t>;</w:t>
      </w:r>
    </w:p>
    <w:p w14:paraId="6AF0A556" w14:textId="77777777" w:rsidR="00757B91" w:rsidRPr="00775857" w:rsidRDefault="004C569F" w:rsidP="00FE0D90">
      <w:pPr>
        <w:numPr>
          <w:ilvl w:val="0"/>
          <w:numId w:val="9"/>
        </w:numPr>
        <w:spacing w:after="0" w:line="240" w:lineRule="auto"/>
        <w:jc w:val="both"/>
        <w:rPr>
          <w:rFonts w:ascii="Garamond" w:eastAsia="Times New Roman" w:hAnsi="Garamond" w:cs="Arial"/>
          <w:bCs/>
          <w:iCs/>
          <w:sz w:val="24"/>
          <w:szCs w:val="24"/>
          <w:lang w:eastAsia="fr-FR"/>
        </w:rPr>
      </w:pPr>
      <w:r w:rsidRPr="00775857">
        <w:rPr>
          <w:rFonts w:ascii="Garamond" w:eastAsia="Times New Roman" w:hAnsi="Garamond" w:cs="Arial"/>
          <w:bCs/>
          <w:iCs/>
          <w:sz w:val="24"/>
          <w:szCs w:val="24"/>
          <w:lang w:eastAsia="fr-FR"/>
        </w:rPr>
        <w:t xml:space="preserve">à </w:t>
      </w:r>
      <w:r w:rsidR="00F04D61" w:rsidRPr="00775857">
        <w:rPr>
          <w:rFonts w:ascii="Garamond" w:eastAsia="Times New Roman" w:hAnsi="Garamond" w:cs="Arial"/>
          <w:bCs/>
          <w:iCs/>
          <w:sz w:val="24"/>
          <w:szCs w:val="24"/>
          <w:lang w:eastAsia="fr-FR"/>
        </w:rPr>
        <w:t>la première demande du</w:t>
      </w:r>
      <w:r w:rsidR="00F23237">
        <w:rPr>
          <w:rFonts w:ascii="Garamond" w:eastAsia="Times New Roman" w:hAnsi="Garamond" w:cs="Arial"/>
          <w:bCs/>
          <w:iCs/>
          <w:sz w:val="24"/>
          <w:szCs w:val="24"/>
          <w:lang w:eastAsia="fr-FR"/>
        </w:rPr>
        <w:t xml:space="preserve"> client</w:t>
      </w:r>
      <w:r w:rsidR="00F04D61" w:rsidRPr="00775857">
        <w:rPr>
          <w:rFonts w:ascii="Garamond" w:eastAsia="Times New Roman" w:hAnsi="Garamond" w:cs="Arial"/>
          <w:bCs/>
          <w:iCs/>
          <w:sz w:val="24"/>
          <w:szCs w:val="24"/>
          <w:lang w:eastAsia="fr-FR"/>
        </w:rPr>
        <w:t xml:space="preserve">, </w:t>
      </w:r>
      <w:r w:rsidR="00757B91" w:rsidRPr="00775857">
        <w:rPr>
          <w:rFonts w:ascii="Garamond" w:eastAsia="Times New Roman" w:hAnsi="Garamond" w:cs="Arial"/>
          <w:bCs/>
          <w:iCs/>
          <w:sz w:val="24"/>
          <w:szCs w:val="24"/>
          <w:lang w:eastAsia="fr-FR"/>
        </w:rPr>
        <w:t xml:space="preserve">avant la conclusion du contrat et tous les six mois </w:t>
      </w:r>
      <w:r w:rsidR="0090385F" w:rsidRPr="00775857">
        <w:rPr>
          <w:rFonts w:ascii="Garamond" w:eastAsia="Times New Roman" w:hAnsi="Garamond" w:cs="Arial"/>
          <w:bCs/>
          <w:iCs/>
          <w:sz w:val="24"/>
          <w:szCs w:val="24"/>
          <w:lang w:eastAsia="fr-FR"/>
        </w:rPr>
        <w:t>jusqu</w:t>
      </w:r>
      <w:r w:rsidR="00FE0D90">
        <w:rPr>
          <w:rFonts w:ascii="Garamond" w:eastAsia="Times New Roman" w:hAnsi="Garamond" w:cs="Arial"/>
          <w:bCs/>
          <w:iCs/>
          <w:sz w:val="24"/>
          <w:szCs w:val="24"/>
          <w:lang w:eastAsia="fr-FR"/>
        </w:rPr>
        <w:t>’</w:t>
      </w:r>
      <w:r w:rsidR="0090385F" w:rsidRPr="00775857">
        <w:rPr>
          <w:rFonts w:ascii="Garamond" w:eastAsia="Times New Roman" w:hAnsi="Garamond" w:cs="Arial"/>
          <w:bCs/>
          <w:iCs/>
          <w:sz w:val="24"/>
          <w:szCs w:val="24"/>
          <w:lang w:eastAsia="fr-FR"/>
        </w:rPr>
        <w:t>à la fin de son exécution, les attestations et c</w:t>
      </w:r>
      <w:r w:rsidR="00A55DBE">
        <w:rPr>
          <w:rFonts w:ascii="Garamond" w:eastAsia="Times New Roman" w:hAnsi="Garamond" w:cs="Arial"/>
          <w:bCs/>
          <w:iCs/>
          <w:sz w:val="24"/>
          <w:szCs w:val="24"/>
          <w:lang w:eastAsia="fr-FR"/>
        </w:rPr>
        <w:t xml:space="preserve">ertificats </w:t>
      </w:r>
      <w:r w:rsidRPr="00775857">
        <w:rPr>
          <w:rFonts w:ascii="Garamond" w:eastAsia="Times New Roman" w:hAnsi="Garamond" w:cs="Arial"/>
          <w:bCs/>
          <w:iCs/>
          <w:sz w:val="24"/>
          <w:szCs w:val="24"/>
          <w:lang w:eastAsia="fr-FR"/>
        </w:rPr>
        <w:t xml:space="preserve">visés à l’article 45 de l’ordonnance </w:t>
      </w:r>
      <w:r w:rsidR="00FE0D90">
        <w:rPr>
          <w:rFonts w:ascii="Garamond" w:eastAsia="Times New Roman" w:hAnsi="Garamond" w:cs="Arial"/>
          <w:bCs/>
          <w:iCs/>
          <w:sz w:val="24"/>
          <w:szCs w:val="24"/>
          <w:lang w:eastAsia="fr-FR"/>
        </w:rPr>
        <w:t>n°</w:t>
      </w:r>
      <w:r w:rsidRPr="00775857">
        <w:rPr>
          <w:rFonts w:ascii="Garamond" w:eastAsia="Times New Roman" w:hAnsi="Garamond" w:cs="Arial"/>
          <w:bCs/>
          <w:iCs/>
          <w:sz w:val="24"/>
          <w:szCs w:val="24"/>
          <w:lang w:eastAsia="fr-FR"/>
        </w:rPr>
        <w:t xml:space="preserve">2015-899 du </w:t>
      </w:r>
      <w:r w:rsidR="00A55DBE">
        <w:rPr>
          <w:rFonts w:ascii="Garamond" w:eastAsia="Times New Roman" w:hAnsi="Garamond" w:cs="Arial"/>
          <w:bCs/>
          <w:iCs/>
          <w:sz w:val="24"/>
          <w:szCs w:val="24"/>
          <w:lang w:eastAsia="fr-FR"/>
        </w:rPr>
        <w:br/>
      </w:r>
      <w:r w:rsidRPr="00775857">
        <w:rPr>
          <w:rFonts w:ascii="Garamond" w:eastAsia="Times New Roman" w:hAnsi="Garamond" w:cs="Arial"/>
          <w:bCs/>
          <w:iCs/>
          <w:sz w:val="24"/>
          <w:szCs w:val="24"/>
          <w:lang w:eastAsia="fr-FR"/>
        </w:rPr>
        <w:t>23 juillet 2015 relative aux</w:t>
      </w:r>
      <w:r w:rsidR="0090385F" w:rsidRPr="00775857">
        <w:rPr>
          <w:rFonts w:ascii="Garamond" w:eastAsia="Times New Roman" w:hAnsi="Garamond" w:cs="Arial"/>
          <w:bCs/>
          <w:iCs/>
          <w:sz w:val="24"/>
          <w:szCs w:val="24"/>
          <w:lang w:eastAsia="fr-FR"/>
        </w:rPr>
        <w:t xml:space="preserve"> </w:t>
      </w:r>
      <w:r w:rsidR="00A55DBE">
        <w:rPr>
          <w:rFonts w:ascii="Garamond" w:eastAsia="Times New Roman" w:hAnsi="Garamond" w:cs="Arial"/>
          <w:bCs/>
          <w:iCs/>
          <w:sz w:val="24"/>
          <w:szCs w:val="24"/>
          <w:lang w:eastAsia="fr-FR"/>
        </w:rPr>
        <w:t>m</w:t>
      </w:r>
      <w:r w:rsidR="0090385F" w:rsidRPr="00775857">
        <w:rPr>
          <w:rFonts w:ascii="Garamond" w:eastAsia="Times New Roman" w:hAnsi="Garamond" w:cs="Arial"/>
          <w:bCs/>
          <w:iCs/>
          <w:sz w:val="24"/>
          <w:szCs w:val="24"/>
          <w:lang w:eastAsia="fr-FR"/>
        </w:rPr>
        <w:t xml:space="preserve">archés </w:t>
      </w:r>
      <w:r w:rsidR="00A55DBE">
        <w:rPr>
          <w:rFonts w:ascii="Garamond" w:eastAsia="Times New Roman" w:hAnsi="Garamond" w:cs="Arial"/>
          <w:bCs/>
          <w:iCs/>
          <w:sz w:val="24"/>
          <w:szCs w:val="24"/>
          <w:lang w:eastAsia="fr-FR"/>
        </w:rPr>
        <w:t>p</w:t>
      </w:r>
      <w:r w:rsidR="0090385F" w:rsidRPr="00775857">
        <w:rPr>
          <w:rFonts w:ascii="Garamond" w:eastAsia="Times New Roman" w:hAnsi="Garamond" w:cs="Arial"/>
          <w:bCs/>
          <w:iCs/>
          <w:sz w:val="24"/>
          <w:szCs w:val="24"/>
          <w:lang w:eastAsia="fr-FR"/>
        </w:rPr>
        <w:t>ublics</w:t>
      </w:r>
      <w:r w:rsidR="00B933E1" w:rsidRPr="00775857">
        <w:rPr>
          <w:rFonts w:ascii="Garamond" w:eastAsia="Times New Roman" w:hAnsi="Garamond" w:cs="Arial"/>
          <w:bCs/>
          <w:iCs/>
          <w:sz w:val="24"/>
          <w:szCs w:val="24"/>
          <w:lang w:eastAsia="fr-FR"/>
        </w:rPr>
        <w:t xml:space="preserve"> </w:t>
      </w:r>
      <w:r w:rsidR="0090385F" w:rsidRPr="00775857">
        <w:rPr>
          <w:rFonts w:ascii="Garamond" w:eastAsia="Times New Roman" w:hAnsi="Garamond" w:cs="Arial"/>
          <w:bCs/>
          <w:iCs/>
          <w:sz w:val="24"/>
          <w:szCs w:val="24"/>
          <w:lang w:eastAsia="fr-FR"/>
        </w:rPr>
        <w:t xml:space="preserve">et/ou au </w:t>
      </w:r>
      <w:r w:rsidR="0085395B" w:rsidRPr="00775857">
        <w:rPr>
          <w:rFonts w:ascii="Garamond" w:eastAsia="Times New Roman" w:hAnsi="Garamond" w:cs="Arial"/>
          <w:bCs/>
          <w:iCs/>
          <w:sz w:val="24"/>
          <w:szCs w:val="24"/>
          <w:lang w:eastAsia="fr-FR"/>
        </w:rPr>
        <w:t>Code du Travail</w:t>
      </w:r>
      <w:r w:rsidR="0090385F" w:rsidRPr="00775857">
        <w:rPr>
          <w:rFonts w:ascii="Garamond" w:eastAsia="Times New Roman" w:hAnsi="Garamond" w:cs="Arial"/>
          <w:bCs/>
          <w:iCs/>
          <w:sz w:val="24"/>
          <w:szCs w:val="24"/>
          <w:lang w:eastAsia="fr-FR"/>
        </w:rPr>
        <w:t xml:space="preserve"> (attestations de déclaration et paiement des obligations fiscales et sociales, preuves du respect des </w:t>
      </w:r>
      <w:r w:rsidR="00757B91" w:rsidRPr="00775857">
        <w:rPr>
          <w:rFonts w:ascii="Garamond" w:eastAsia="Times New Roman" w:hAnsi="Garamond" w:cs="Arial"/>
          <w:bCs/>
          <w:iCs/>
          <w:sz w:val="24"/>
          <w:szCs w:val="24"/>
          <w:lang w:eastAsia="fr-FR"/>
        </w:rPr>
        <w:t xml:space="preserve">obligations </w:t>
      </w:r>
      <w:r w:rsidR="0090385F" w:rsidRPr="00775857">
        <w:rPr>
          <w:rFonts w:ascii="Garamond" w:eastAsia="Times New Roman" w:hAnsi="Garamond" w:cs="Arial"/>
          <w:bCs/>
          <w:iCs/>
          <w:sz w:val="24"/>
          <w:szCs w:val="24"/>
          <w:lang w:eastAsia="fr-FR"/>
        </w:rPr>
        <w:t>mentionnées aux</w:t>
      </w:r>
      <w:r w:rsidR="00757B91" w:rsidRPr="00775857">
        <w:rPr>
          <w:rFonts w:ascii="Garamond" w:eastAsia="Times New Roman" w:hAnsi="Garamond" w:cs="Arial"/>
          <w:bCs/>
          <w:iCs/>
          <w:sz w:val="24"/>
          <w:szCs w:val="24"/>
          <w:lang w:eastAsia="fr-FR"/>
        </w:rPr>
        <w:t xml:space="preserve"> articles L1221-10 à L1221-12, L3243-1 &amp; 2, D8222-5, D8222-7 &amp; 8</w:t>
      </w:r>
      <w:r w:rsidR="00FE0D90">
        <w:rPr>
          <w:rFonts w:ascii="Garamond" w:eastAsia="Times New Roman" w:hAnsi="Garamond" w:cs="Arial"/>
          <w:bCs/>
          <w:iCs/>
          <w:sz w:val="24"/>
          <w:szCs w:val="24"/>
          <w:lang w:eastAsia="fr-FR"/>
        </w:rPr>
        <w:t>,</w:t>
      </w:r>
      <w:r w:rsidR="00757B91" w:rsidRPr="00775857">
        <w:rPr>
          <w:rFonts w:ascii="Garamond" w:eastAsia="Times New Roman" w:hAnsi="Garamond" w:cs="Arial"/>
          <w:bCs/>
          <w:iCs/>
          <w:sz w:val="24"/>
          <w:szCs w:val="24"/>
          <w:lang w:eastAsia="fr-FR"/>
        </w:rPr>
        <w:t xml:space="preserve"> D8254-2 &amp; 3,</w:t>
      </w:r>
      <w:r w:rsidR="0090385F" w:rsidRPr="00775857">
        <w:rPr>
          <w:rFonts w:ascii="Garamond" w:eastAsia="Times New Roman" w:hAnsi="Garamond" w:cs="Arial"/>
          <w:bCs/>
          <w:iCs/>
          <w:sz w:val="24"/>
          <w:szCs w:val="24"/>
          <w:lang w:eastAsia="fr-FR"/>
        </w:rPr>
        <w:t xml:space="preserve"> </w:t>
      </w:r>
      <w:r w:rsidR="00757B91" w:rsidRPr="00775857">
        <w:rPr>
          <w:rFonts w:ascii="Garamond" w:eastAsia="Times New Roman" w:hAnsi="Garamond" w:cs="Arial"/>
          <w:bCs/>
          <w:iCs/>
          <w:sz w:val="24"/>
          <w:szCs w:val="24"/>
          <w:lang w:eastAsia="fr-FR"/>
        </w:rPr>
        <w:t>et R3243-1</w:t>
      </w:r>
      <w:r w:rsidR="0090385F" w:rsidRPr="00775857">
        <w:rPr>
          <w:rFonts w:ascii="Garamond" w:eastAsia="Times New Roman" w:hAnsi="Garamond" w:cs="Arial"/>
          <w:bCs/>
          <w:iCs/>
          <w:sz w:val="24"/>
          <w:szCs w:val="24"/>
          <w:lang w:eastAsia="fr-FR"/>
        </w:rPr>
        <w:t xml:space="preserve"> </w:t>
      </w:r>
      <w:r w:rsidR="00757B91" w:rsidRPr="00775857">
        <w:rPr>
          <w:rFonts w:ascii="Garamond" w:eastAsia="Times New Roman" w:hAnsi="Garamond" w:cs="Arial"/>
          <w:bCs/>
          <w:iCs/>
          <w:sz w:val="24"/>
          <w:szCs w:val="24"/>
          <w:lang w:eastAsia="fr-FR"/>
        </w:rPr>
        <w:t xml:space="preserve">&amp; 2 du </w:t>
      </w:r>
      <w:r w:rsidR="0085395B" w:rsidRPr="00775857">
        <w:rPr>
          <w:rFonts w:ascii="Garamond" w:eastAsia="Times New Roman" w:hAnsi="Garamond" w:cs="Arial"/>
          <w:bCs/>
          <w:iCs/>
          <w:sz w:val="24"/>
          <w:szCs w:val="24"/>
          <w:lang w:eastAsia="fr-FR"/>
        </w:rPr>
        <w:t>Code du Travail</w:t>
      </w:r>
      <w:r w:rsidR="00757B91" w:rsidRPr="00775857">
        <w:rPr>
          <w:rFonts w:ascii="Garamond" w:eastAsia="Times New Roman" w:hAnsi="Garamond" w:cs="Arial"/>
          <w:bCs/>
          <w:iCs/>
          <w:sz w:val="24"/>
          <w:szCs w:val="24"/>
          <w:lang w:eastAsia="fr-FR"/>
        </w:rPr>
        <w:t xml:space="preserve">, </w:t>
      </w:r>
      <w:r w:rsidR="0090385F" w:rsidRPr="00775857">
        <w:rPr>
          <w:rFonts w:ascii="Garamond" w:eastAsia="Times New Roman" w:hAnsi="Garamond" w:cs="Arial"/>
          <w:bCs/>
          <w:iCs/>
          <w:sz w:val="24"/>
          <w:szCs w:val="24"/>
          <w:lang w:eastAsia="fr-FR"/>
        </w:rPr>
        <w:t xml:space="preserve">et </w:t>
      </w:r>
      <w:r w:rsidR="00757B91" w:rsidRPr="00775857">
        <w:rPr>
          <w:rFonts w:ascii="Garamond" w:eastAsia="Times New Roman" w:hAnsi="Garamond" w:cs="Arial"/>
          <w:bCs/>
          <w:iCs/>
          <w:sz w:val="24"/>
          <w:szCs w:val="24"/>
          <w:lang w:eastAsia="fr-FR"/>
        </w:rPr>
        <w:t xml:space="preserve">de l’article L 243-15 du </w:t>
      </w:r>
      <w:r w:rsidR="0085395B" w:rsidRPr="00775857">
        <w:rPr>
          <w:rFonts w:ascii="Garamond" w:eastAsia="Times New Roman" w:hAnsi="Garamond" w:cs="Arial"/>
          <w:bCs/>
          <w:iCs/>
          <w:sz w:val="24"/>
          <w:szCs w:val="24"/>
          <w:lang w:eastAsia="fr-FR"/>
        </w:rPr>
        <w:t>Code de  Sécurité Sociale</w:t>
      </w:r>
      <w:r w:rsidR="0090385F" w:rsidRPr="00775857">
        <w:rPr>
          <w:rFonts w:ascii="Garamond" w:eastAsia="Times New Roman" w:hAnsi="Garamond" w:cs="Arial"/>
          <w:bCs/>
          <w:iCs/>
          <w:sz w:val="24"/>
          <w:szCs w:val="24"/>
          <w:lang w:eastAsia="fr-FR"/>
        </w:rPr>
        <w:t>)</w:t>
      </w:r>
      <w:r w:rsidR="00757B91" w:rsidRPr="00775857">
        <w:rPr>
          <w:rFonts w:ascii="Garamond" w:eastAsia="Times New Roman" w:hAnsi="Garamond" w:cs="Arial"/>
          <w:bCs/>
          <w:iCs/>
          <w:sz w:val="24"/>
          <w:szCs w:val="24"/>
          <w:lang w:eastAsia="fr-FR"/>
        </w:rPr>
        <w:t xml:space="preserve"> et/ou règles d'effet équivalent</w:t>
      </w:r>
      <w:r w:rsidR="00FE0D90">
        <w:rPr>
          <w:rFonts w:ascii="Garamond" w:eastAsia="Times New Roman" w:hAnsi="Garamond" w:cs="Arial"/>
          <w:bCs/>
          <w:iCs/>
          <w:sz w:val="24"/>
          <w:szCs w:val="24"/>
          <w:lang w:eastAsia="fr-FR"/>
        </w:rPr>
        <w:t>s</w:t>
      </w:r>
      <w:r w:rsidR="00757B91" w:rsidRPr="00775857">
        <w:rPr>
          <w:rFonts w:ascii="Garamond" w:eastAsia="Times New Roman" w:hAnsi="Garamond" w:cs="Arial"/>
          <w:bCs/>
          <w:iCs/>
          <w:sz w:val="24"/>
          <w:szCs w:val="24"/>
          <w:lang w:eastAsia="fr-FR"/>
        </w:rPr>
        <w:t xml:space="preserve"> pour les candidats non établis en </w:t>
      </w:r>
      <w:r w:rsidR="0090385F" w:rsidRPr="00775857">
        <w:rPr>
          <w:rFonts w:ascii="Garamond" w:eastAsia="Times New Roman" w:hAnsi="Garamond" w:cs="Arial"/>
          <w:bCs/>
          <w:iCs/>
          <w:sz w:val="24"/>
          <w:szCs w:val="24"/>
          <w:lang w:eastAsia="fr-FR"/>
        </w:rPr>
        <w:t>France</w:t>
      </w:r>
      <w:r w:rsidR="00757B91" w:rsidRPr="00775857">
        <w:rPr>
          <w:rFonts w:ascii="Garamond" w:eastAsia="Times New Roman" w:hAnsi="Garamond" w:cs="Arial"/>
          <w:bCs/>
          <w:iCs/>
          <w:sz w:val="24"/>
          <w:szCs w:val="24"/>
          <w:lang w:eastAsia="fr-FR"/>
        </w:rPr>
        <w:t>.</w:t>
      </w:r>
    </w:p>
    <w:p w14:paraId="2D03B5BA" w14:textId="77777777" w:rsidR="00E34C07" w:rsidRPr="00775857" w:rsidRDefault="00E34C07" w:rsidP="00FE0D90">
      <w:pPr>
        <w:spacing w:after="0" w:line="240" w:lineRule="auto"/>
        <w:jc w:val="both"/>
        <w:rPr>
          <w:rFonts w:ascii="Garamond" w:eastAsia="Times New Roman" w:hAnsi="Garamond" w:cs="Arial"/>
          <w:bCs/>
          <w:iCs/>
          <w:sz w:val="24"/>
          <w:szCs w:val="24"/>
          <w:lang w:eastAsia="fr-FR"/>
        </w:rPr>
      </w:pPr>
    </w:p>
    <w:tbl>
      <w:tblPr>
        <w:tblW w:w="0" w:type="auto"/>
        <w:tblInd w:w="108" w:type="dxa"/>
        <w:tblBorders>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7"/>
        <w:gridCol w:w="4869"/>
      </w:tblGrid>
      <w:tr w:rsidR="00FE0D90" w:rsidRPr="00775857" w14:paraId="4D3D6896" w14:textId="77777777" w:rsidTr="00FE0D90">
        <w:tc>
          <w:tcPr>
            <w:tcW w:w="9746" w:type="dxa"/>
            <w:gridSpan w:val="2"/>
            <w:tcBorders>
              <w:bottom w:val="single" w:sz="4" w:space="0" w:color="auto"/>
              <w:right w:val="nil"/>
            </w:tcBorders>
            <w:shd w:val="clear" w:color="auto" w:fill="auto"/>
          </w:tcPr>
          <w:p w14:paraId="025F6030" w14:textId="77777777" w:rsidR="00FE0D90" w:rsidRDefault="00FE0D90"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r w:rsidRPr="00775857">
              <w:rPr>
                <w:rFonts w:ascii="Garamond" w:eastAsia="Times New Roman" w:hAnsi="Garamond" w:cs="Arial"/>
                <w:b/>
                <w:sz w:val="24"/>
                <w:szCs w:val="24"/>
                <w:lang w:eastAsia="fr-FR"/>
              </w:rPr>
              <w:t xml:space="preserve">A …………………………, </w:t>
            </w:r>
            <w:r>
              <w:rPr>
                <w:rFonts w:ascii="Garamond" w:eastAsia="Times New Roman" w:hAnsi="Garamond" w:cs="Arial"/>
                <w:b/>
                <w:sz w:val="24"/>
                <w:szCs w:val="24"/>
                <w:lang w:eastAsia="fr-FR"/>
              </w:rPr>
              <w:t>l</w:t>
            </w:r>
            <w:r w:rsidRPr="00775857">
              <w:rPr>
                <w:rFonts w:ascii="Garamond" w:eastAsia="Times New Roman" w:hAnsi="Garamond" w:cs="Arial"/>
                <w:b/>
                <w:sz w:val="24"/>
                <w:szCs w:val="24"/>
                <w:lang w:eastAsia="fr-FR"/>
              </w:rPr>
              <w:t>e …………………………</w:t>
            </w:r>
          </w:p>
          <w:p w14:paraId="1FF9CD15" w14:textId="77777777" w:rsidR="005D5DDB" w:rsidRPr="00775857" w:rsidRDefault="005D5DDB"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p>
        </w:tc>
      </w:tr>
      <w:tr w:rsidR="00757B91" w:rsidRPr="00775857" w14:paraId="58B44D39" w14:textId="77777777" w:rsidTr="00C71B1A">
        <w:tc>
          <w:tcPr>
            <w:tcW w:w="4877" w:type="dxa"/>
            <w:tcBorders>
              <w:top w:val="single" w:sz="4" w:space="0" w:color="auto"/>
              <w:left w:val="single" w:sz="4" w:space="0" w:color="auto"/>
            </w:tcBorders>
            <w:shd w:val="clear" w:color="auto" w:fill="auto"/>
          </w:tcPr>
          <w:p w14:paraId="47E217AF" w14:textId="77777777" w:rsidR="00757B91" w:rsidRPr="00775857" w:rsidRDefault="00757B91" w:rsidP="00FE0D90">
            <w:pPr>
              <w:tabs>
                <w:tab w:val="left" w:pos="5103"/>
                <w:tab w:val="left" w:pos="7088"/>
                <w:tab w:val="left" w:pos="7513"/>
              </w:tabs>
              <w:spacing w:after="0" w:line="240" w:lineRule="auto"/>
              <w:jc w:val="both"/>
              <w:rPr>
                <w:rFonts w:ascii="Garamond" w:eastAsia="Times New Roman" w:hAnsi="Garamond" w:cs="Arial"/>
                <w:b/>
                <w:sz w:val="24"/>
                <w:szCs w:val="24"/>
                <w:u w:val="single"/>
                <w:lang w:eastAsia="fr-FR"/>
              </w:rPr>
            </w:pPr>
            <w:r w:rsidRPr="00775857">
              <w:rPr>
                <w:rFonts w:ascii="Garamond" w:eastAsia="Times New Roman" w:hAnsi="Garamond" w:cs="Arial"/>
                <w:b/>
                <w:sz w:val="24"/>
                <w:szCs w:val="24"/>
                <w:u w:val="single"/>
                <w:lang w:eastAsia="fr-FR"/>
              </w:rPr>
              <w:t>Nom</w:t>
            </w:r>
            <w:r w:rsidR="00A71FBD">
              <w:rPr>
                <w:rFonts w:ascii="Garamond" w:eastAsia="Times New Roman" w:hAnsi="Garamond" w:cs="Arial"/>
                <w:b/>
                <w:sz w:val="24"/>
                <w:szCs w:val="24"/>
                <w:u w:val="single"/>
                <w:lang w:eastAsia="fr-FR"/>
              </w:rPr>
              <w:t>,</w:t>
            </w:r>
            <w:r w:rsidRPr="00775857">
              <w:rPr>
                <w:rFonts w:ascii="Garamond" w:eastAsia="Times New Roman" w:hAnsi="Garamond" w:cs="Arial"/>
                <w:b/>
                <w:sz w:val="24"/>
                <w:szCs w:val="24"/>
                <w:u w:val="single"/>
                <w:lang w:eastAsia="fr-FR"/>
              </w:rPr>
              <w:t xml:space="preserve"> qualité </w:t>
            </w:r>
            <w:r w:rsidR="00A71FBD">
              <w:rPr>
                <w:rFonts w:ascii="Garamond" w:eastAsia="Times New Roman" w:hAnsi="Garamond" w:cs="Arial"/>
                <w:b/>
                <w:sz w:val="24"/>
                <w:szCs w:val="24"/>
                <w:u w:val="single"/>
                <w:lang w:eastAsia="fr-FR"/>
              </w:rPr>
              <w:t xml:space="preserve">et tampon </w:t>
            </w:r>
            <w:r w:rsidRPr="00775857">
              <w:rPr>
                <w:rFonts w:ascii="Garamond" w:eastAsia="Times New Roman" w:hAnsi="Garamond" w:cs="Arial"/>
                <w:b/>
                <w:sz w:val="24"/>
                <w:szCs w:val="24"/>
                <w:u w:val="single"/>
                <w:lang w:eastAsia="fr-FR"/>
              </w:rPr>
              <w:t>du signataire (lisibles)</w:t>
            </w:r>
            <w:r w:rsidR="00A71FBD">
              <w:rPr>
                <w:rFonts w:ascii="Garamond" w:eastAsia="Times New Roman" w:hAnsi="Garamond" w:cs="Arial"/>
                <w:b/>
                <w:sz w:val="24"/>
                <w:szCs w:val="24"/>
                <w:u w:val="single"/>
                <w:lang w:eastAsia="fr-FR"/>
              </w:rPr>
              <w:t xml:space="preserve"> habilitée à engager la société</w:t>
            </w:r>
          </w:p>
          <w:p w14:paraId="47B38292" w14:textId="77777777" w:rsidR="00757B91" w:rsidRPr="00775857" w:rsidRDefault="00757B91" w:rsidP="00FE0D90">
            <w:pPr>
              <w:tabs>
                <w:tab w:val="left" w:pos="5103"/>
                <w:tab w:val="left" w:pos="7088"/>
                <w:tab w:val="left" w:pos="7513"/>
              </w:tabs>
              <w:spacing w:after="0" w:line="240" w:lineRule="auto"/>
              <w:jc w:val="both"/>
              <w:rPr>
                <w:rFonts w:ascii="Garamond" w:eastAsia="Times New Roman" w:hAnsi="Garamond" w:cs="Arial"/>
                <w:b/>
                <w:sz w:val="24"/>
                <w:szCs w:val="24"/>
                <w:u w:val="single"/>
                <w:lang w:eastAsia="fr-FR"/>
              </w:rPr>
            </w:pPr>
          </w:p>
          <w:p w14:paraId="4CA4E764" w14:textId="77777777" w:rsidR="00757B91" w:rsidRPr="00775857" w:rsidRDefault="00757B91"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r w:rsidRPr="00775857">
              <w:rPr>
                <w:rFonts w:ascii="Garamond" w:eastAsia="Times New Roman" w:hAnsi="Garamond" w:cs="Arial"/>
                <w:b/>
                <w:sz w:val="24"/>
                <w:szCs w:val="24"/>
                <w:lang w:eastAsia="fr-FR"/>
              </w:rPr>
              <w:t>M. …………………………………….</w:t>
            </w:r>
          </w:p>
          <w:p w14:paraId="6D4DC4B0" w14:textId="77777777" w:rsidR="00757B91" w:rsidRPr="00775857" w:rsidRDefault="00757B91"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r w:rsidRPr="00775857">
              <w:rPr>
                <w:rFonts w:ascii="Garamond" w:eastAsia="Times New Roman" w:hAnsi="Garamond" w:cs="Arial"/>
                <w:b/>
                <w:sz w:val="24"/>
                <w:szCs w:val="24"/>
                <w:lang w:eastAsia="fr-FR"/>
              </w:rPr>
              <w:t>………………………………………..</w:t>
            </w:r>
          </w:p>
          <w:p w14:paraId="5B7F7A37" w14:textId="77777777" w:rsidR="00E34C07" w:rsidRPr="00775857" w:rsidRDefault="00E34C07"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p>
          <w:p w14:paraId="44806792" w14:textId="77777777" w:rsidR="00E34C07" w:rsidRPr="00775857" w:rsidRDefault="00E34C07"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p>
          <w:p w14:paraId="0D1232D8" w14:textId="77777777" w:rsidR="004C77DE" w:rsidRPr="00775857" w:rsidRDefault="004C77DE"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p>
          <w:p w14:paraId="0E35440A" w14:textId="77777777" w:rsidR="00E34C07" w:rsidRPr="00775857" w:rsidRDefault="00E34C07"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p>
          <w:p w14:paraId="2C7FF69F" w14:textId="77777777" w:rsidR="00757B91" w:rsidRPr="00775857" w:rsidRDefault="00757B91"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p>
        </w:tc>
        <w:tc>
          <w:tcPr>
            <w:tcW w:w="4869" w:type="dxa"/>
            <w:shd w:val="clear" w:color="auto" w:fill="auto"/>
          </w:tcPr>
          <w:p w14:paraId="4424F413" w14:textId="77777777" w:rsidR="00757B91" w:rsidRPr="00775857" w:rsidRDefault="00757B91" w:rsidP="00FE0D90">
            <w:pPr>
              <w:tabs>
                <w:tab w:val="left" w:pos="5103"/>
                <w:tab w:val="left" w:pos="7088"/>
                <w:tab w:val="left" w:pos="7513"/>
              </w:tabs>
              <w:spacing w:after="0" w:line="240" w:lineRule="auto"/>
              <w:jc w:val="both"/>
              <w:rPr>
                <w:rFonts w:ascii="Garamond" w:eastAsia="Times New Roman" w:hAnsi="Garamond" w:cs="Arial"/>
                <w:b/>
                <w:sz w:val="24"/>
                <w:szCs w:val="24"/>
                <w:u w:val="single"/>
                <w:lang w:eastAsia="fr-FR"/>
              </w:rPr>
            </w:pPr>
            <w:r w:rsidRPr="00775857">
              <w:rPr>
                <w:rFonts w:ascii="Garamond" w:eastAsia="Times New Roman" w:hAnsi="Garamond" w:cs="Arial"/>
                <w:b/>
                <w:sz w:val="24"/>
                <w:szCs w:val="24"/>
                <w:u w:val="single"/>
                <w:lang w:eastAsia="fr-FR"/>
              </w:rPr>
              <w:t>Cachet de l’entreprise et Signature</w:t>
            </w:r>
          </w:p>
        </w:tc>
      </w:tr>
    </w:tbl>
    <w:p w14:paraId="1803791F" w14:textId="77777777" w:rsidR="00FE0D90" w:rsidRDefault="00FE0D90" w:rsidP="00FE0D90">
      <w:pPr>
        <w:spacing w:after="0" w:line="240" w:lineRule="auto"/>
        <w:jc w:val="both"/>
        <w:rPr>
          <w:rFonts w:ascii="Garamond" w:eastAsia="Times New Roman" w:hAnsi="Garamond" w:cs="Arial"/>
          <w:sz w:val="24"/>
          <w:szCs w:val="24"/>
          <w:lang w:eastAsia="fr-FR"/>
        </w:rPr>
      </w:pPr>
    </w:p>
    <w:p w14:paraId="584A65F0" w14:textId="77777777" w:rsidR="00E167A3" w:rsidRPr="00775857" w:rsidRDefault="00E167A3" w:rsidP="00D53DE4">
      <w:pPr>
        <w:spacing w:after="0" w:line="240" w:lineRule="auto"/>
        <w:jc w:val="both"/>
        <w:rPr>
          <w:rFonts w:ascii="Garamond" w:eastAsia="Times New Roman" w:hAnsi="Garamond" w:cs="Arial"/>
          <w:sz w:val="24"/>
          <w:szCs w:val="24"/>
          <w:lang w:eastAsia="fr-FR"/>
        </w:rPr>
      </w:pPr>
      <w:r w:rsidRPr="00775857">
        <w:rPr>
          <w:rFonts w:ascii="Garamond" w:eastAsia="Times New Roman" w:hAnsi="Garamond" w:cs="Arial"/>
          <w:sz w:val="24"/>
          <w:szCs w:val="24"/>
          <w:lang w:eastAsia="fr-FR"/>
        </w:rPr>
        <w:t>Cette déclar</w:t>
      </w:r>
      <w:r w:rsidR="00D53DE4">
        <w:rPr>
          <w:rFonts w:ascii="Garamond" w:eastAsia="Times New Roman" w:hAnsi="Garamond" w:cs="Arial"/>
          <w:sz w:val="24"/>
          <w:szCs w:val="24"/>
          <w:lang w:eastAsia="fr-FR"/>
        </w:rPr>
        <w:t>ation doit être complétée par l</w:t>
      </w:r>
      <w:r w:rsidRPr="00775857">
        <w:rPr>
          <w:rFonts w:ascii="Garamond" w:eastAsia="Times New Roman" w:hAnsi="Garamond" w:cs="Arial"/>
          <w:sz w:val="24"/>
          <w:szCs w:val="24"/>
          <w:lang w:eastAsia="fr-FR"/>
        </w:rPr>
        <w:t xml:space="preserve">es documents relatifs </w:t>
      </w:r>
      <w:r w:rsidR="00AF19C7" w:rsidRPr="00775857">
        <w:rPr>
          <w:rFonts w:ascii="Garamond" w:eastAsia="Times New Roman" w:hAnsi="Garamond" w:cs="Arial"/>
          <w:sz w:val="24"/>
          <w:szCs w:val="24"/>
          <w:lang w:eastAsia="fr-FR"/>
        </w:rPr>
        <w:t>aux pouvoirs de la personne habilitée pour l’engager.</w:t>
      </w:r>
    </w:p>
    <w:p w14:paraId="3935938F" w14:textId="77777777" w:rsidR="0035548D" w:rsidRPr="00775857" w:rsidRDefault="0035548D" w:rsidP="00FE0D90">
      <w:pPr>
        <w:spacing w:after="0" w:line="240" w:lineRule="auto"/>
        <w:jc w:val="both"/>
        <w:rPr>
          <w:rFonts w:ascii="Garamond" w:eastAsia="Times New Roman" w:hAnsi="Garamond" w:cs="Arial"/>
          <w:sz w:val="24"/>
          <w:szCs w:val="24"/>
          <w:lang w:eastAsia="fr-FR"/>
        </w:rPr>
      </w:pPr>
    </w:p>
    <w:p w14:paraId="576AB9F4" w14:textId="77777777" w:rsidR="00AF19C7" w:rsidRPr="00775857" w:rsidRDefault="00AF19C7" w:rsidP="00FE0D90">
      <w:pPr>
        <w:spacing w:after="0" w:line="240" w:lineRule="auto"/>
        <w:jc w:val="both"/>
        <w:rPr>
          <w:rFonts w:ascii="Garamond" w:eastAsia="Times New Roman" w:hAnsi="Garamond" w:cs="Arial"/>
          <w:sz w:val="24"/>
          <w:szCs w:val="24"/>
          <w:lang w:eastAsia="fr-FR"/>
        </w:rPr>
      </w:pPr>
      <w:r w:rsidRPr="00775857">
        <w:rPr>
          <w:rFonts w:ascii="Garamond" w:eastAsia="Times New Roman" w:hAnsi="Garamond" w:cs="Arial"/>
          <w:sz w:val="24"/>
          <w:szCs w:val="24"/>
          <w:lang w:eastAsia="fr-FR"/>
        </w:rPr>
        <w:t>E</w:t>
      </w:r>
      <w:r w:rsidR="00715BF3" w:rsidRPr="00775857">
        <w:rPr>
          <w:rFonts w:ascii="Garamond" w:eastAsia="Times New Roman" w:hAnsi="Garamond" w:cs="Arial"/>
          <w:sz w:val="24"/>
          <w:szCs w:val="24"/>
          <w:lang w:eastAsia="fr-FR"/>
        </w:rPr>
        <w:t xml:space="preserve">n cas de fausse déclaration, le </w:t>
      </w:r>
      <w:r w:rsidR="00D53DE4">
        <w:rPr>
          <w:rFonts w:ascii="Garamond" w:eastAsia="Times New Roman" w:hAnsi="Garamond" w:cs="Arial"/>
          <w:sz w:val="24"/>
          <w:szCs w:val="24"/>
          <w:lang w:eastAsia="fr-FR"/>
        </w:rPr>
        <w:t>contrat</w:t>
      </w:r>
      <w:r w:rsidR="00715BF3" w:rsidRPr="00775857">
        <w:rPr>
          <w:rFonts w:ascii="Garamond" w:eastAsia="Times New Roman" w:hAnsi="Garamond" w:cs="Arial"/>
          <w:sz w:val="24"/>
          <w:szCs w:val="24"/>
          <w:lang w:eastAsia="fr-FR"/>
        </w:rPr>
        <w:t xml:space="preserve"> pourra être résilié</w:t>
      </w:r>
      <w:r w:rsidRPr="00775857">
        <w:rPr>
          <w:rFonts w:ascii="Garamond" w:eastAsia="Times New Roman" w:hAnsi="Garamond" w:cs="Arial"/>
          <w:sz w:val="24"/>
          <w:szCs w:val="24"/>
          <w:lang w:eastAsia="fr-FR"/>
        </w:rPr>
        <w:t xml:space="preserve"> aux torts et risques du titulaire.</w:t>
      </w:r>
    </w:p>
    <w:p w14:paraId="346C99C9" w14:textId="77777777" w:rsidR="00CA0BB0" w:rsidRDefault="00CA0BB0" w:rsidP="00FE0D90">
      <w:pPr>
        <w:spacing w:after="0" w:line="240" w:lineRule="auto"/>
        <w:jc w:val="both"/>
        <w:rPr>
          <w:rFonts w:ascii="Garamond" w:eastAsia="Times New Roman" w:hAnsi="Garamond" w:cs="Arial"/>
          <w:i/>
          <w:sz w:val="24"/>
          <w:szCs w:val="24"/>
          <w:lang w:eastAsia="fr-FR"/>
        </w:rPr>
      </w:pPr>
    </w:p>
    <w:p w14:paraId="45548D2F" w14:textId="77777777" w:rsidR="00E9529C" w:rsidRDefault="00AF19C7" w:rsidP="00FE0D90">
      <w:pPr>
        <w:spacing w:after="0" w:line="240" w:lineRule="auto"/>
        <w:jc w:val="both"/>
        <w:rPr>
          <w:rFonts w:ascii="Garamond" w:eastAsia="Times New Roman" w:hAnsi="Garamond" w:cs="Arial"/>
          <w:i/>
          <w:sz w:val="24"/>
          <w:szCs w:val="24"/>
          <w:lang w:eastAsia="fr-FR"/>
        </w:rPr>
      </w:pPr>
      <w:r w:rsidRPr="00FE0D90">
        <w:rPr>
          <w:rFonts w:ascii="Garamond" w:eastAsia="Times New Roman" w:hAnsi="Garamond" w:cs="Arial"/>
          <w:i/>
          <w:sz w:val="24"/>
          <w:szCs w:val="24"/>
          <w:lang w:eastAsia="fr-FR"/>
        </w:rPr>
        <w:t>Nota : il appartient au titulaire de faire ce contrôle pour ses propres sous-traitants de rang 1 et ainsi de suite dans la chaîne de sous-traitance.</w:t>
      </w:r>
    </w:p>
    <w:p w14:paraId="57B923C2" w14:textId="77777777" w:rsidR="00E9529C" w:rsidRPr="00E9529C" w:rsidRDefault="00E9529C" w:rsidP="00E9529C">
      <w:pPr>
        <w:rPr>
          <w:rFonts w:ascii="Garamond" w:eastAsia="Times New Roman" w:hAnsi="Garamond" w:cs="Arial"/>
          <w:sz w:val="24"/>
          <w:szCs w:val="24"/>
          <w:lang w:eastAsia="fr-FR"/>
        </w:rPr>
      </w:pPr>
    </w:p>
    <w:p w14:paraId="749DA197" w14:textId="77777777" w:rsidR="00E9529C" w:rsidRPr="00E9529C" w:rsidRDefault="00E9529C" w:rsidP="00E9529C">
      <w:pPr>
        <w:rPr>
          <w:rFonts w:ascii="Garamond" w:eastAsia="Times New Roman" w:hAnsi="Garamond" w:cs="Arial"/>
          <w:sz w:val="24"/>
          <w:szCs w:val="24"/>
          <w:lang w:eastAsia="fr-FR"/>
        </w:rPr>
      </w:pPr>
    </w:p>
    <w:p w14:paraId="5E4D0F12" w14:textId="77777777" w:rsidR="00E9529C" w:rsidRPr="00E9529C" w:rsidRDefault="00E9529C" w:rsidP="00E9529C">
      <w:pPr>
        <w:rPr>
          <w:rFonts w:ascii="Garamond" w:eastAsia="Times New Roman" w:hAnsi="Garamond" w:cs="Arial"/>
          <w:sz w:val="24"/>
          <w:szCs w:val="24"/>
          <w:lang w:eastAsia="fr-FR"/>
        </w:rPr>
      </w:pPr>
    </w:p>
    <w:p w14:paraId="4D481110" w14:textId="77777777" w:rsidR="00AF19C7" w:rsidRPr="00E9529C" w:rsidRDefault="00E9529C" w:rsidP="00E9529C">
      <w:pPr>
        <w:tabs>
          <w:tab w:val="left" w:pos="1485"/>
        </w:tabs>
        <w:rPr>
          <w:rFonts w:ascii="Garamond" w:eastAsia="Times New Roman" w:hAnsi="Garamond" w:cs="Arial"/>
          <w:sz w:val="24"/>
          <w:szCs w:val="24"/>
          <w:lang w:eastAsia="fr-FR"/>
        </w:rPr>
      </w:pPr>
      <w:r>
        <w:rPr>
          <w:rFonts w:ascii="Garamond" w:eastAsia="Times New Roman" w:hAnsi="Garamond" w:cs="Arial"/>
          <w:sz w:val="24"/>
          <w:szCs w:val="24"/>
          <w:lang w:eastAsia="fr-FR"/>
        </w:rPr>
        <w:tab/>
      </w:r>
    </w:p>
    <w:sectPr w:rsidR="00AF19C7" w:rsidRPr="00E9529C" w:rsidSect="00775857">
      <w:footerReference w:type="default" r:id="rId8"/>
      <w:pgSz w:w="11906" w:h="16838" w:code="9"/>
      <w:pgMar w:top="907" w:right="720" w:bottom="567" w:left="72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FED2C" w14:textId="77777777" w:rsidR="00F83367" w:rsidRDefault="00F83367" w:rsidP="00757B91">
      <w:pPr>
        <w:spacing w:after="0" w:line="240" w:lineRule="auto"/>
      </w:pPr>
      <w:r>
        <w:separator/>
      </w:r>
    </w:p>
  </w:endnote>
  <w:endnote w:type="continuationSeparator" w:id="0">
    <w:p w14:paraId="46E0DCEE" w14:textId="77777777" w:rsidR="00F83367" w:rsidRDefault="00F83367" w:rsidP="00757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Alt One MT Light">
    <w:altName w:val="Vrinda"/>
    <w:charset w:val="00"/>
    <w:family w:val="swiss"/>
    <w:pitch w:val="variable"/>
    <w:sig w:usb0="00000003" w:usb1="00000000" w:usb2="00000000" w:usb3="00000000" w:csb0="00000001" w:csb1="00000000"/>
  </w:font>
  <w:font w:name="Gill Sans MT">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E1917" w14:textId="4AF00E0E" w:rsidR="004B2C02" w:rsidRPr="00FE0D90" w:rsidRDefault="004B2C02" w:rsidP="00775857">
    <w:pPr>
      <w:pStyle w:val="Pieddepage"/>
      <w:rPr>
        <w:rFonts w:ascii="Garamond" w:hAnsi="Garamond"/>
        <w:i/>
        <w:sz w:val="16"/>
        <w:szCs w:val="16"/>
        <w:lang w:val="fr-FR"/>
      </w:rPr>
    </w:pPr>
    <w:r w:rsidRPr="00FE0D90">
      <w:rPr>
        <w:rFonts w:ascii="Garamond" w:hAnsi="Garamond"/>
        <w:i/>
        <w:sz w:val="16"/>
        <w:szCs w:val="16"/>
        <w:lang w:val="fr-FR"/>
      </w:rPr>
      <w:t>DH</w:t>
    </w:r>
    <w:r>
      <w:rPr>
        <w:rFonts w:ascii="Garamond" w:hAnsi="Garamond"/>
        <w:i/>
        <w:sz w:val="16"/>
        <w:szCs w:val="16"/>
        <w:lang w:val="fr-FR"/>
      </w:rPr>
      <w:t xml:space="preserve"> </w:t>
    </w:r>
    <w:r w:rsidR="00231E3A">
      <w:rPr>
        <w:rFonts w:ascii="Garamond" w:hAnsi="Garamond"/>
        <w:i/>
        <w:sz w:val="16"/>
        <w:szCs w:val="16"/>
        <w:lang w:val="fr-FR"/>
      </w:rPr>
      <w:t xml:space="preserve">Marché </w:t>
    </w:r>
    <w:r w:rsidR="000F39C4">
      <w:rPr>
        <w:rFonts w:ascii="Garamond" w:hAnsi="Garamond"/>
        <w:i/>
        <w:sz w:val="16"/>
        <w:szCs w:val="16"/>
        <w:lang w:val="fr-FR"/>
      </w:rPr>
      <w:t>2026-05</w:t>
    </w:r>
    <w:r w:rsidRPr="00FE0D90">
      <w:rPr>
        <w:rFonts w:ascii="Garamond" w:hAnsi="Garamond"/>
        <w:i/>
        <w:sz w:val="16"/>
        <w:szCs w:val="16"/>
        <w:lang w:val="fr-FR"/>
      </w:rPr>
      <w:tab/>
    </w:r>
    <w:r w:rsidRPr="00FE0D90">
      <w:rPr>
        <w:rFonts w:ascii="Garamond" w:hAnsi="Garamond"/>
        <w:i/>
        <w:sz w:val="16"/>
        <w:szCs w:val="16"/>
        <w:lang w:val="fr-FR"/>
      </w:rPr>
      <w:tab/>
    </w:r>
    <w:r w:rsidRPr="00FE0D90">
      <w:rPr>
        <w:rFonts w:ascii="Garamond" w:hAnsi="Garamond"/>
        <w:i/>
        <w:sz w:val="16"/>
        <w:szCs w:val="16"/>
        <w:lang w:val="fr-FR"/>
      </w:rPr>
      <w:tab/>
    </w:r>
    <w:r w:rsidRPr="00FE0D90">
      <w:rPr>
        <w:rStyle w:val="Numrodepage"/>
        <w:rFonts w:ascii="Garamond" w:hAnsi="Garamond" w:cs="Arial"/>
        <w:i/>
        <w:iCs/>
        <w:sz w:val="16"/>
        <w:szCs w:val="16"/>
      </w:rPr>
      <w:fldChar w:fldCharType="begin"/>
    </w:r>
    <w:r w:rsidRPr="00FE0D90">
      <w:rPr>
        <w:rStyle w:val="Numrodepage"/>
        <w:rFonts w:ascii="Garamond" w:hAnsi="Garamond" w:cs="Arial"/>
        <w:i/>
        <w:iCs/>
        <w:sz w:val="16"/>
        <w:szCs w:val="16"/>
        <w:lang w:val="en-US"/>
      </w:rPr>
      <w:instrText xml:space="preserve"> PAGE </w:instrText>
    </w:r>
    <w:r w:rsidRPr="00FE0D90">
      <w:rPr>
        <w:rStyle w:val="Numrodepage"/>
        <w:rFonts w:ascii="Garamond" w:hAnsi="Garamond" w:cs="Arial"/>
        <w:i/>
        <w:iCs/>
        <w:sz w:val="16"/>
        <w:szCs w:val="16"/>
      </w:rPr>
      <w:fldChar w:fldCharType="separate"/>
    </w:r>
    <w:r w:rsidR="00EE4F12">
      <w:rPr>
        <w:rStyle w:val="Numrodepage"/>
        <w:rFonts w:ascii="Garamond" w:hAnsi="Garamond" w:cs="Arial"/>
        <w:i/>
        <w:iCs/>
        <w:noProof/>
        <w:sz w:val="16"/>
        <w:szCs w:val="16"/>
        <w:lang w:val="en-US"/>
      </w:rPr>
      <w:t>1</w:t>
    </w:r>
    <w:r w:rsidRPr="00FE0D90">
      <w:rPr>
        <w:rStyle w:val="Numrodepage"/>
        <w:rFonts w:ascii="Garamond" w:hAnsi="Garamond" w:cs="Arial"/>
        <w:i/>
        <w:iCs/>
        <w:sz w:val="16"/>
        <w:szCs w:val="16"/>
      </w:rPr>
      <w:fldChar w:fldCharType="end"/>
    </w:r>
    <w:r w:rsidRPr="00FE0D90">
      <w:rPr>
        <w:rStyle w:val="Numrodepage"/>
        <w:rFonts w:ascii="Garamond" w:hAnsi="Garamond" w:cs="Arial"/>
        <w:i/>
        <w:iCs/>
        <w:sz w:val="16"/>
        <w:szCs w:val="16"/>
      </w:rPr>
      <w:t>/</w:t>
    </w:r>
    <w:r w:rsidRPr="00FE0D90">
      <w:rPr>
        <w:rStyle w:val="Numrodepage"/>
        <w:rFonts w:ascii="Garamond" w:hAnsi="Garamond" w:cs="Arial"/>
        <w:i/>
        <w:iCs/>
        <w:sz w:val="16"/>
        <w:szCs w:val="16"/>
      </w:rPr>
      <w:fldChar w:fldCharType="begin"/>
    </w:r>
    <w:r w:rsidRPr="00FE0D90">
      <w:rPr>
        <w:rStyle w:val="Numrodepage"/>
        <w:rFonts w:ascii="Garamond" w:hAnsi="Garamond" w:cs="Arial"/>
        <w:i/>
        <w:iCs/>
        <w:sz w:val="16"/>
        <w:szCs w:val="16"/>
      </w:rPr>
      <w:instrText xml:space="preserve"> NUMPAGES </w:instrText>
    </w:r>
    <w:r w:rsidRPr="00FE0D90">
      <w:rPr>
        <w:rStyle w:val="Numrodepage"/>
        <w:rFonts w:ascii="Garamond" w:hAnsi="Garamond" w:cs="Arial"/>
        <w:i/>
        <w:iCs/>
        <w:sz w:val="16"/>
        <w:szCs w:val="16"/>
      </w:rPr>
      <w:fldChar w:fldCharType="separate"/>
    </w:r>
    <w:r w:rsidR="00EE4F12">
      <w:rPr>
        <w:rStyle w:val="Numrodepage"/>
        <w:rFonts w:ascii="Garamond" w:hAnsi="Garamond" w:cs="Arial"/>
        <w:i/>
        <w:iCs/>
        <w:noProof/>
        <w:sz w:val="16"/>
        <w:szCs w:val="16"/>
      </w:rPr>
      <w:t>3</w:t>
    </w:r>
    <w:r w:rsidRPr="00FE0D90">
      <w:rPr>
        <w:rStyle w:val="Numrodepage"/>
        <w:rFonts w:ascii="Garamond" w:hAnsi="Garamond" w:cs="Arial"/>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F4B3B" w14:textId="77777777" w:rsidR="00F83367" w:rsidRDefault="00F83367" w:rsidP="00757B91">
      <w:pPr>
        <w:spacing w:after="0" w:line="240" w:lineRule="auto"/>
      </w:pPr>
      <w:r>
        <w:separator/>
      </w:r>
    </w:p>
  </w:footnote>
  <w:footnote w:type="continuationSeparator" w:id="0">
    <w:p w14:paraId="00C25EFA" w14:textId="77777777" w:rsidR="00F83367" w:rsidRDefault="00F83367" w:rsidP="00757B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87796"/>
    <w:multiLevelType w:val="hybridMultilevel"/>
    <w:tmpl w:val="2A660070"/>
    <w:lvl w:ilvl="0" w:tplc="FF4EDD2A">
      <w:start w:val="1"/>
      <w:numFmt w:val="bullet"/>
      <w:lvlText w:val=""/>
      <w:lvlJc w:val="left"/>
      <w:pPr>
        <w:tabs>
          <w:tab w:val="num" w:pos="851"/>
        </w:tabs>
        <w:ind w:left="851" w:hanging="284"/>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124D3C53"/>
    <w:multiLevelType w:val="hybridMultilevel"/>
    <w:tmpl w:val="E18A19F2"/>
    <w:lvl w:ilvl="0" w:tplc="8702F8C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F460A3"/>
    <w:multiLevelType w:val="hybridMultilevel"/>
    <w:tmpl w:val="3C8876C8"/>
    <w:lvl w:ilvl="0" w:tplc="8702F8C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7060A"/>
    <w:multiLevelType w:val="hybridMultilevel"/>
    <w:tmpl w:val="D9A049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48603B"/>
    <w:multiLevelType w:val="hybridMultilevel"/>
    <w:tmpl w:val="EF7AAB0A"/>
    <w:lvl w:ilvl="0" w:tplc="AD2CF76E">
      <w:start w:val="1"/>
      <w:numFmt w:val="low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2680CC0"/>
    <w:multiLevelType w:val="hybridMultilevel"/>
    <w:tmpl w:val="ACD6178C"/>
    <w:lvl w:ilvl="0" w:tplc="8702F8C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92363C4"/>
    <w:multiLevelType w:val="hybridMultilevel"/>
    <w:tmpl w:val="323478E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902829"/>
    <w:multiLevelType w:val="multilevel"/>
    <w:tmpl w:val="FC3AC5A4"/>
    <w:lvl w:ilvl="0">
      <w:start w:val="1"/>
      <w:numFmt w:val="lowerLetter"/>
      <w:lvlText w:val="%1)"/>
      <w:lvlJc w:val="left"/>
      <w:pPr>
        <w:tabs>
          <w:tab w:val="num" w:pos="360"/>
        </w:tabs>
        <w:ind w:left="360" w:hanging="360"/>
      </w:pPr>
      <w:rPr>
        <w:rFonts w:ascii="Gill Alt One MT Light" w:hAnsi="Gill Alt One MT Light" w:cs="Times New Roman" w:hint="default"/>
        <w:b/>
        <w:bCs/>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8" w15:restartNumberingAfterBreak="0">
    <w:nsid w:val="743C7F25"/>
    <w:multiLevelType w:val="hybridMultilevel"/>
    <w:tmpl w:val="4DB46FF4"/>
    <w:lvl w:ilvl="0" w:tplc="CFACA304">
      <w:numFmt w:val="bullet"/>
      <w:lvlText w:val="-"/>
      <w:lvlJc w:val="left"/>
      <w:pPr>
        <w:ind w:left="720" w:hanging="360"/>
      </w:pPr>
      <w:rPr>
        <w:rFonts w:ascii="Gill Sans MT" w:eastAsia="Calibri" w:hAnsi="Gill Sans M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D100F72"/>
    <w:multiLevelType w:val="hybridMultilevel"/>
    <w:tmpl w:val="5FC6C22C"/>
    <w:lvl w:ilvl="0" w:tplc="34AE5D5E">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76775556">
    <w:abstractNumId w:val="7"/>
  </w:num>
  <w:num w:numId="2" w16cid:durableId="912084954">
    <w:abstractNumId w:val="6"/>
  </w:num>
  <w:num w:numId="3" w16cid:durableId="2017610251">
    <w:abstractNumId w:val="0"/>
  </w:num>
  <w:num w:numId="4" w16cid:durableId="2011785070">
    <w:abstractNumId w:val="3"/>
  </w:num>
  <w:num w:numId="5" w16cid:durableId="2110924643">
    <w:abstractNumId w:val="4"/>
  </w:num>
  <w:num w:numId="6" w16cid:durableId="1995716918">
    <w:abstractNumId w:val="9"/>
  </w:num>
  <w:num w:numId="7" w16cid:durableId="526600202">
    <w:abstractNumId w:val="8"/>
  </w:num>
  <w:num w:numId="8" w16cid:durableId="683631829">
    <w:abstractNumId w:val="1"/>
  </w:num>
  <w:num w:numId="9" w16cid:durableId="637997926">
    <w:abstractNumId w:val="5"/>
  </w:num>
  <w:num w:numId="10" w16cid:durableId="274171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B91"/>
    <w:rsid w:val="00005471"/>
    <w:rsid w:val="000058ED"/>
    <w:rsid w:val="00012835"/>
    <w:rsid w:val="000145EE"/>
    <w:rsid w:val="00017C3A"/>
    <w:rsid w:val="00021571"/>
    <w:rsid w:val="000429AA"/>
    <w:rsid w:val="00052790"/>
    <w:rsid w:val="00052FD3"/>
    <w:rsid w:val="000559CB"/>
    <w:rsid w:val="0009032C"/>
    <w:rsid w:val="00095D3D"/>
    <w:rsid w:val="0009786F"/>
    <w:rsid w:val="000C58C0"/>
    <w:rsid w:val="000D3ECB"/>
    <w:rsid w:val="000F39C4"/>
    <w:rsid w:val="000F6ED2"/>
    <w:rsid w:val="00103EF6"/>
    <w:rsid w:val="00112EDD"/>
    <w:rsid w:val="00115555"/>
    <w:rsid w:val="0012281B"/>
    <w:rsid w:val="00123A86"/>
    <w:rsid w:val="00126055"/>
    <w:rsid w:val="00131D04"/>
    <w:rsid w:val="00136023"/>
    <w:rsid w:val="00140725"/>
    <w:rsid w:val="00167A4F"/>
    <w:rsid w:val="00197D05"/>
    <w:rsid w:val="001A3958"/>
    <w:rsid w:val="001E0BB9"/>
    <w:rsid w:val="002177E2"/>
    <w:rsid w:val="00231E3A"/>
    <w:rsid w:val="00252491"/>
    <w:rsid w:val="00275704"/>
    <w:rsid w:val="00276CD5"/>
    <w:rsid w:val="00281F46"/>
    <w:rsid w:val="002973F3"/>
    <w:rsid w:val="002A3DE3"/>
    <w:rsid w:val="002B4061"/>
    <w:rsid w:val="002C4430"/>
    <w:rsid w:val="00302CA1"/>
    <w:rsid w:val="0030430B"/>
    <w:rsid w:val="003316DB"/>
    <w:rsid w:val="00333AF7"/>
    <w:rsid w:val="0034096F"/>
    <w:rsid w:val="003503F6"/>
    <w:rsid w:val="003547C6"/>
    <w:rsid w:val="0035548D"/>
    <w:rsid w:val="003B11E9"/>
    <w:rsid w:val="003F4B2F"/>
    <w:rsid w:val="00401CE3"/>
    <w:rsid w:val="00410F11"/>
    <w:rsid w:val="00415B36"/>
    <w:rsid w:val="004426D9"/>
    <w:rsid w:val="00467B27"/>
    <w:rsid w:val="00467EAD"/>
    <w:rsid w:val="00490452"/>
    <w:rsid w:val="004955FC"/>
    <w:rsid w:val="004B2970"/>
    <w:rsid w:val="004B2C02"/>
    <w:rsid w:val="004C569F"/>
    <w:rsid w:val="004C77DE"/>
    <w:rsid w:val="004D3F79"/>
    <w:rsid w:val="004E27AF"/>
    <w:rsid w:val="00513F8B"/>
    <w:rsid w:val="0053426C"/>
    <w:rsid w:val="00534E18"/>
    <w:rsid w:val="005401D5"/>
    <w:rsid w:val="0055540B"/>
    <w:rsid w:val="0057424B"/>
    <w:rsid w:val="00583631"/>
    <w:rsid w:val="005D5DDB"/>
    <w:rsid w:val="005D71FA"/>
    <w:rsid w:val="005F187A"/>
    <w:rsid w:val="005F7E82"/>
    <w:rsid w:val="00604A99"/>
    <w:rsid w:val="006266A2"/>
    <w:rsid w:val="006407D5"/>
    <w:rsid w:val="006566B0"/>
    <w:rsid w:val="00676032"/>
    <w:rsid w:val="00676FE6"/>
    <w:rsid w:val="0068706F"/>
    <w:rsid w:val="0069006E"/>
    <w:rsid w:val="006D3B11"/>
    <w:rsid w:val="006F32B6"/>
    <w:rsid w:val="00713F5E"/>
    <w:rsid w:val="00715BF3"/>
    <w:rsid w:val="00724E4F"/>
    <w:rsid w:val="00741C50"/>
    <w:rsid w:val="007422F0"/>
    <w:rsid w:val="00742565"/>
    <w:rsid w:val="0075681C"/>
    <w:rsid w:val="00757B91"/>
    <w:rsid w:val="00757CD8"/>
    <w:rsid w:val="00775857"/>
    <w:rsid w:val="007A3608"/>
    <w:rsid w:val="007A3C64"/>
    <w:rsid w:val="007B50EA"/>
    <w:rsid w:val="007B6E56"/>
    <w:rsid w:val="007C5249"/>
    <w:rsid w:val="007F282E"/>
    <w:rsid w:val="00816301"/>
    <w:rsid w:val="008344C8"/>
    <w:rsid w:val="0084275F"/>
    <w:rsid w:val="00845AA6"/>
    <w:rsid w:val="0085395B"/>
    <w:rsid w:val="00870941"/>
    <w:rsid w:val="00880CAC"/>
    <w:rsid w:val="008850C5"/>
    <w:rsid w:val="0088578C"/>
    <w:rsid w:val="008942EF"/>
    <w:rsid w:val="008A145B"/>
    <w:rsid w:val="008E2E8E"/>
    <w:rsid w:val="00901284"/>
    <w:rsid w:val="0090385F"/>
    <w:rsid w:val="009175EA"/>
    <w:rsid w:val="0091770E"/>
    <w:rsid w:val="00921005"/>
    <w:rsid w:val="0094037D"/>
    <w:rsid w:val="00965B98"/>
    <w:rsid w:val="00975E83"/>
    <w:rsid w:val="0098467E"/>
    <w:rsid w:val="009C507F"/>
    <w:rsid w:val="009D3350"/>
    <w:rsid w:val="009D7B69"/>
    <w:rsid w:val="009E0A2D"/>
    <w:rsid w:val="009E2B4C"/>
    <w:rsid w:val="009E4199"/>
    <w:rsid w:val="009F5D25"/>
    <w:rsid w:val="00A07BC0"/>
    <w:rsid w:val="00A55DBE"/>
    <w:rsid w:val="00A71FBD"/>
    <w:rsid w:val="00A90382"/>
    <w:rsid w:val="00AB1EDA"/>
    <w:rsid w:val="00AC03C2"/>
    <w:rsid w:val="00AD6078"/>
    <w:rsid w:val="00AF19C7"/>
    <w:rsid w:val="00AF29C2"/>
    <w:rsid w:val="00B05944"/>
    <w:rsid w:val="00B132A2"/>
    <w:rsid w:val="00B2015D"/>
    <w:rsid w:val="00B236ED"/>
    <w:rsid w:val="00B253E6"/>
    <w:rsid w:val="00B26B28"/>
    <w:rsid w:val="00B26C5A"/>
    <w:rsid w:val="00B353CD"/>
    <w:rsid w:val="00B44753"/>
    <w:rsid w:val="00B46458"/>
    <w:rsid w:val="00B50CD3"/>
    <w:rsid w:val="00B74445"/>
    <w:rsid w:val="00B77417"/>
    <w:rsid w:val="00B82023"/>
    <w:rsid w:val="00B933E1"/>
    <w:rsid w:val="00BE495D"/>
    <w:rsid w:val="00C00A0F"/>
    <w:rsid w:val="00C236AB"/>
    <w:rsid w:val="00C56D00"/>
    <w:rsid w:val="00C71B1A"/>
    <w:rsid w:val="00C740C8"/>
    <w:rsid w:val="00C7582F"/>
    <w:rsid w:val="00C8214A"/>
    <w:rsid w:val="00C82E81"/>
    <w:rsid w:val="00C95F93"/>
    <w:rsid w:val="00C960C5"/>
    <w:rsid w:val="00CA0BB0"/>
    <w:rsid w:val="00CA46BF"/>
    <w:rsid w:val="00CB21CC"/>
    <w:rsid w:val="00CE1FA3"/>
    <w:rsid w:val="00D154D1"/>
    <w:rsid w:val="00D50B37"/>
    <w:rsid w:val="00D53DE4"/>
    <w:rsid w:val="00D766AE"/>
    <w:rsid w:val="00D947FF"/>
    <w:rsid w:val="00DA58CB"/>
    <w:rsid w:val="00DD46BC"/>
    <w:rsid w:val="00DF0EE2"/>
    <w:rsid w:val="00DF3E2C"/>
    <w:rsid w:val="00E04311"/>
    <w:rsid w:val="00E07EE5"/>
    <w:rsid w:val="00E124DC"/>
    <w:rsid w:val="00E167A3"/>
    <w:rsid w:val="00E16DDE"/>
    <w:rsid w:val="00E17300"/>
    <w:rsid w:val="00E34C07"/>
    <w:rsid w:val="00E526CD"/>
    <w:rsid w:val="00E57BC1"/>
    <w:rsid w:val="00E60A8C"/>
    <w:rsid w:val="00E60DF9"/>
    <w:rsid w:val="00E636FA"/>
    <w:rsid w:val="00E7387D"/>
    <w:rsid w:val="00E76445"/>
    <w:rsid w:val="00E85E5C"/>
    <w:rsid w:val="00E87E1C"/>
    <w:rsid w:val="00E9525D"/>
    <w:rsid w:val="00E9529C"/>
    <w:rsid w:val="00EB0EDF"/>
    <w:rsid w:val="00EB70F0"/>
    <w:rsid w:val="00ED20A6"/>
    <w:rsid w:val="00EE4F12"/>
    <w:rsid w:val="00F00062"/>
    <w:rsid w:val="00F00445"/>
    <w:rsid w:val="00F04D61"/>
    <w:rsid w:val="00F05F4A"/>
    <w:rsid w:val="00F23237"/>
    <w:rsid w:val="00F341E2"/>
    <w:rsid w:val="00F36258"/>
    <w:rsid w:val="00F456BE"/>
    <w:rsid w:val="00F5543F"/>
    <w:rsid w:val="00F71A77"/>
    <w:rsid w:val="00F83367"/>
    <w:rsid w:val="00FC442A"/>
    <w:rsid w:val="00FD6BCF"/>
    <w:rsid w:val="00FE0D90"/>
    <w:rsid w:val="00FF36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5B3EA"/>
  <w15:chartTrackingRefBased/>
  <w15:docId w15:val="{9F7700FC-435D-4644-9EED-B0D35AF82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757B9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57B91"/>
    <w:pPr>
      <w:tabs>
        <w:tab w:val="center" w:pos="4536"/>
        <w:tab w:val="right" w:pos="9072"/>
      </w:tabs>
    </w:pPr>
    <w:rPr>
      <w:lang w:val="x-none"/>
    </w:rPr>
  </w:style>
  <w:style w:type="character" w:customStyle="1" w:styleId="En-tteCar">
    <w:name w:val="En-tête Car"/>
    <w:link w:val="En-tte"/>
    <w:uiPriority w:val="99"/>
    <w:rsid w:val="00757B91"/>
    <w:rPr>
      <w:sz w:val="22"/>
      <w:szCs w:val="22"/>
      <w:lang w:eastAsia="en-US"/>
    </w:rPr>
  </w:style>
  <w:style w:type="paragraph" w:styleId="Pieddepage">
    <w:name w:val="footer"/>
    <w:basedOn w:val="Normal"/>
    <w:link w:val="PieddepageCar"/>
    <w:uiPriority w:val="99"/>
    <w:unhideWhenUsed/>
    <w:rsid w:val="00757B91"/>
    <w:pPr>
      <w:tabs>
        <w:tab w:val="center" w:pos="4536"/>
        <w:tab w:val="right" w:pos="9072"/>
      </w:tabs>
    </w:pPr>
    <w:rPr>
      <w:lang w:val="x-none"/>
    </w:rPr>
  </w:style>
  <w:style w:type="character" w:customStyle="1" w:styleId="PieddepageCar">
    <w:name w:val="Pied de page Car"/>
    <w:link w:val="Pieddepage"/>
    <w:uiPriority w:val="99"/>
    <w:rsid w:val="00757B91"/>
    <w:rPr>
      <w:sz w:val="22"/>
      <w:szCs w:val="22"/>
      <w:lang w:eastAsia="en-US"/>
    </w:rPr>
  </w:style>
  <w:style w:type="paragraph" w:styleId="Corpsdetexte">
    <w:name w:val="Body Text"/>
    <w:basedOn w:val="Normal"/>
    <w:link w:val="CorpsdetexteCar"/>
    <w:rsid w:val="00757B91"/>
    <w:pPr>
      <w:spacing w:after="0" w:line="240" w:lineRule="auto"/>
      <w:jc w:val="center"/>
    </w:pPr>
    <w:rPr>
      <w:rFonts w:ascii="Arial" w:eastAsia="Times New Roman" w:hAnsi="Arial"/>
      <w:i/>
      <w:color w:val="000000"/>
      <w:sz w:val="20"/>
      <w:szCs w:val="18"/>
      <w:lang w:val="x-none" w:eastAsia="x-none"/>
    </w:rPr>
  </w:style>
  <w:style w:type="character" w:customStyle="1" w:styleId="CorpsdetexteCar">
    <w:name w:val="Corps de texte Car"/>
    <w:link w:val="Corpsdetexte"/>
    <w:rsid w:val="00757B91"/>
    <w:rPr>
      <w:rFonts w:ascii="Arial" w:eastAsia="Times New Roman" w:hAnsi="Arial"/>
      <w:i/>
      <w:color w:val="000000"/>
      <w:szCs w:val="18"/>
    </w:rPr>
  </w:style>
  <w:style w:type="paragraph" w:styleId="Textedebulles">
    <w:name w:val="Balloon Text"/>
    <w:basedOn w:val="Normal"/>
    <w:link w:val="TextedebullesCar"/>
    <w:uiPriority w:val="99"/>
    <w:semiHidden/>
    <w:unhideWhenUsed/>
    <w:rsid w:val="00B933E1"/>
    <w:pPr>
      <w:spacing w:after="0" w:line="240" w:lineRule="auto"/>
    </w:pPr>
    <w:rPr>
      <w:rFonts w:ascii="Segoe UI" w:hAnsi="Segoe UI"/>
      <w:sz w:val="18"/>
      <w:szCs w:val="18"/>
      <w:lang w:val="x-none"/>
    </w:rPr>
  </w:style>
  <w:style w:type="character" w:customStyle="1" w:styleId="TextedebullesCar">
    <w:name w:val="Texte de bulles Car"/>
    <w:link w:val="Textedebulles"/>
    <w:uiPriority w:val="99"/>
    <w:semiHidden/>
    <w:rsid w:val="00B933E1"/>
    <w:rPr>
      <w:rFonts w:ascii="Segoe UI" w:hAnsi="Segoe UI" w:cs="Segoe UI"/>
      <w:sz w:val="18"/>
      <w:szCs w:val="18"/>
      <w:lang w:eastAsia="en-US"/>
    </w:rPr>
  </w:style>
  <w:style w:type="paragraph" w:styleId="Rvision">
    <w:name w:val="Revision"/>
    <w:hidden/>
    <w:uiPriority w:val="99"/>
    <w:semiHidden/>
    <w:rsid w:val="008E2E8E"/>
    <w:rPr>
      <w:sz w:val="22"/>
      <w:szCs w:val="22"/>
      <w:lang w:eastAsia="en-US"/>
    </w:rPr>
  </w:style>
  <w:style w:type="character" w:styleId="Numrodepage">
    <w:name w:val="page number"/>
    <w:basedOn w:val="Policepardfaut"/>
    <w:rsid w:val="007758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legifrance.gouv.fr/affichCodeArticle.do?cidTexte=LEGITEXT000006072050&amp;idArticle=LEGIARTI000006903679&amp;dateTexte=&amp;categorieLien=c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1697</Words>
  <Characters>9334</Characters>
  <Application>Microsoft Office Word</Application>
  <DocSecurity>0</DocSecurity>
  <Lines>77</Lines>
  <Paragraphs>22</Paragraphs>
  <ScaleCrop>false</ScaleCrop>
  <HeadingPairs>
    <vt:vector size="2" baseType="variant">
      <vt:variant>
        <vt:lpstr>Titre</vt:lpstr>
      </vt:variant>
      <vt:variant>
        <vt:i4>1</vt:i4>
      </vt:variant>
    </vt:vector>
  </HeadingPairs>
  <TitlesOfParts>
    <vt:vector size="1" baseType="lpstr">
      <vt:lpstr/>
    </vt:vector>
  </TitlesOfParts>
  <Company>GCLH</Company>
  <LinksUpToDate>false</LinksUpToDate>
  <CharactersWithSpaces>11009</CharactersWithSpaces>
  <SharedDoc>false</SharedDoc>
  <HLinks>
    <vt:vector size="6" baseType="variant">
      <vt:variant>
        <vt:i4>5111897</vt:i4>
      </vt:variant>
      <vt:variant>
        <vt:i4>0</vt:i4>
      </vt:variant>
      <vt:variant>
        <vt:i4>0</vt:i4>
      </vt:variant>
      <vt:variant>
        <vt:i4>5</vt:i4>
      </vt:variant>
      <vt:variant>
        <vt:lpwstr>https://www.legifrance.gouv.fr/affichCodeArticle.do?cidTexte=LEGITEXT000006072050&amp;idArticle=LEGIARTI000006903679&amp;dateTexte=&amp;categorieLien=cid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dc:title>
  <dc:subject/>
  <dc:creator>JOURNOUD Mélissa</dc:creator>
  <cp:keywords/>
  <cp:lastModifiedBy>EDWIGE Astrid</cp:lastModifiedBy>
  <cp:revision>3</cp:revision>
  <cp:lastPrinted>2016-09-28T13:09:00Z</cp:lastPrinted>
  <dcterms:created xsi:type="dcterms:W3CDTF">2021-05-17T12:50:00Z</dcterms:created>
  <dcterms:modified xsi:type="dcterms:W3CDTF">2026-02-13T14:57:00Z</dcterms:modified>
</cp:coreProperties>
</file>