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0D5" w:rsidRDefault="00C27B7F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5913120" cy="76200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91312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0D5" w:rsidRDefault="00C27B7F">
      <w:pPr>
        <w:pStyle w:val="Texteducorps20"/>
        <w:shd w:val="clear" w:color="auto" w:fill="auto"/>
        <w:spacing w:after="460"/>
      </w:pPr>
      <w:r>
        <w:t>CENTRE HOSPITALIER UNIVERSITAIRE DE GRENOBLE ALPES</w:t>
      </w:r>
    </w:p>
    <w:p w:rsidR="003E30D5" w:rsidRDefault="00C27B7F">
      <w:pPr>
        <w:pStyle w:val="Texteducorps2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40" w:line="288" w:lineRule="auto"/>
      </w:pPr>
      <w:r>
        <w:t>MISSION DE SURETE ET DE SECURITE DE LA PLATEFORME</w:t>
      </w:r>
      <w:r>
        <w:br/>
        <w:t>LOGISTIQUE DE DO</w:t>
      </w:r>
      <w:r>
        <w:t>MENE</w:t>
      </w:r>
    </w:p>
    <w:p w:rsidR="003E30D5" w:rsidRDefault="00C27B7F">
      <w:pPr>
        <w:pStyle w:val="Texteducorps20"/>
        <w:shd w:val="clear" w:color="auto" w:fill="auto"/>
        <w:spacing w:after="60"/>
      </w:pPr>
      <w:r>
        <w:t>BORDEREAU DE PRIX</w:t>
      </w:r>
    </w:p>
    <w:p w:rsidR="003E30D5" w:rsidRDefault="00C27B7F">
      <w:pPr>
        <w:pStyle w:val="Texteducorps20"/>
        <w:shd w:val="clear" w:color="auto" w:fill="auto"/>
        <w:spacing w:after="260"/>
      </w:pPr>
      <w:r>
        <w:t>Site</w:t>
      </w:r>
    </w:p>
    <w:p w:rsidR="003E30D5" w:rsidRDefault="00C27B7F">
      <w:pPr>
        <w:pStyle w:val="Texteducorps20"/>
        <w:shd w:val="clear" w:color="auto" w:fill="auto"/>
        <w:spacing w:after="260"/>
      </w:pPr>
      <w:r>
        <w:t>Plateforme logistique CHUGA</w:t>
      </w:r>
    </w:p>
    <w:p w:rsidR="003E30D5" w:rsidRDefault="00C27B7F">
      <w:pPr>
        <w:pStyle w:val="Texteducorps0"/>
        <w:shd w:val="clear" w:color="auto" w:fill="auto"/>
        <w:spacing w:after="1220"/>
        <w:ind w:left="140"/>
        <w:jc w:val="both"/>
      </w:pPr>
      <w:r>
        <w:t xml:space="preserve">La prestation comprend la mise en place du marché (procédures, mises au point </w:t>
      </w:r>
      <w:r>
        <w:t xml:space="preserve">des rondes et </w:t>
      </w:r>
      <w:r>
        <w:t>pointa</w:t>
      </w:r>
      <w:r>
        <w:t>ux, la gestion du centre d’</w:t>
      </w:r>
      <w:r>
        <w:t xml:space="preserve">intervention et tous les moyens humains et matériels nécessaires </w:t>
      </w:r>
      <w:r>
        <w:t xml:space="preserve">aux missions, mains courantes, rapport semestriel </w:t>
      </w:r>
      <w:proofErr w:type="gramStart"/>
      <w:r>
        <w:t>etc...</w:t>
      </w:r>
      <w:proofErr w:type="gramEnd"/>
      <w:r>
        <w:t xml:space="preserve">). Le coût mensuel comprend les </w:t>
      </w:r>
      <w:r>
        <w:t>interventions sur alarmes intrusions et sécurité incendi</w:t>
      </w:r>
      <w:r>
        <w:t>e.</w:t>
      </w:r>
      <w:bookmarkStart w:id="0" w:name="_GoBack"/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2"/>
        <w:gridCol w:w="4576"/>
      </w:tblGrid>
      <w:tr w:rsidR="003E30D5">
        <w:tblPrEx>
          <w:tblCellMar>
            <w:top w:w="0" w:type="dxa"/>
            <w:bottom w:w="0" w:type="dxa"/>
          </w:tblCellMar>
        </w:tblPrEx>
        <w:trPr>
          <w:trHeight w:hRule="exact" w:val="410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0D5" w:rsidRDefault="00C27B7F">
            <w:pPr>
              <w:pStyle w:val="Autres0"/>
              <w:shd w:val="clear" w:color="auto" w:fill="auto"/>
              <w:jc w:val="center"/>
              <w:rPr>
                <w:sz w:val="30"/>
                <w:szCs w:val="30"/>
              </w:rPr>
            </w:pPr>
            <w:r>
              <w:rPr>
                <w:rFonts w:ascii="Calibri" w:eastAsia="Calibri" w:hAnsi="Calibri" w:cs="Calibri"/>
                <w:b/>
                <w:bCs/>
                <w:sz w:val="30"/>
                <w:szCs w:val="30"/>
              </w:rPr>
              <w:t>Coû</w:t>
            </w:r>
            <w:r>
              <w:rPr>
                <w:rFonts w:ascii="Calibri" w:eastAsia="Calibri" w:hAnsi="Calibri" w:cs="Calibri"/>
                <w:b/>
                <w:bCs/>
                <w:sz w:val="30"/>
                <w:szCs w:val="30"/>
              </w:rPr>
              <w:t>t mensuel €</w:t>
            </w:r>
            <w:r>
              <w:rPr>
                <w:rFonts w:ascii="Calibri" w:eastAsia="Calibri" w:hAnsi="Calibri" w:cs="Calibri"/>
                <w:b/>
                <w:bCs/>
                <w:sz w:val="30"/>
                <w:szCs w:val="30"/>
              </w:rPr>
              <w:t>HT</w:t>
            </w:r>
          </w:p>
        </w:tc>
        <w:tc>
          <w:tcPr>
            <w:tcW w:w="4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30D5" w:rsidRDefault="003E30D5" w:rsidP="00C27B7F">
            <w:pPr>
              <w:pStyle w:val="Autres0"/>
              <w:shd w:val="clear" w:color="auto" w:fill="auto"/>
              <w:jc w:val="center"/>
              <w:rPr>
                <w:sz w:val="30"/>
                <w:szCs w:val="30"/>
              </w:rPr>
            </w:pPr>
          </w:p>
        </w:tc>
      </w:tr>
      <w:tr w:rsidR="003E30D5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0D5" w:rsidRDefault="00C27B7F">
            <w:pPr>
              <w:pStyle w:val="Autres0"/>
              <w:shd w:val="clear" w:color="auto" w:fill="auto"/>
              <w:jc w:val="center"/>
              <w:rPr>
                <w:sz w:val="30"/>
                <w:szCs w:val="30"/>
              </w:rPr>
            </w:pPr>
            <w:r>
              <w:rPr>
                <w:rFonts w:ascii="Calibri" w:eastAsia="Calibri" w:hAnsi="Calibri" w:cs="Calibri"/>
                <w:b/>
                <w:bCs/>
                <w:sz w:val="30"/>
                <w:szCs w:val="30"/>
              </w:rPr>
              <w:t>TVA 20 %</w:t>
            </w:r>
          </w:p>
        </w:tc>
        <w:tc>
          <w:tcPr>
            <w:tcW w:w="4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30D5" w:rsidRDefault="003E30D5">
            <w:pPr>
              <w:rPr>
                <w:sz w:val="10"/>
                <w:szCs w:val="10"/>
              </w:rPr>
            </w:pPr>
          </w:p>
        </w:tc>
      </w:tr>
      <w:tr w:rsidR="003E30D5">
        <w:tblPrEx>
          <w:tblCellMar>
            <w:top w:w="0" w:type="dxa"/>
            <w:bottom w:w="0" w:type="dxa"/>
          </w:tblCellMar>
        </w:tblPrEx>
        <w:trPr>
          <w:trHeight w:hRule="exact" w:val="414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30D5" w:rsidRDefault="00C27B7F">
            <w:pPr>
              <w:pStyle w:val="Autres0"/>
              <w:shd w:val="clear" w:color="auto" w:fill="auto"/>
              <w:jc w:val="center"/>
              <w:rPr>
                <w:sz w:val="30"/>
                <w:szCs w:val="30"/>
              </w:rPr>
            </w:pPr>
            <w:r>
              <w:rPr>
                <w:rFonts w:ascii="Calibri" w:eastAsia="Calibri" w:hAnsi="Calibri" w:cs="Calibri"/>
                <w:b/>
                <w:bCs/>
                <w:sz w:val="30"/>
                <w:szCs w:val="30"/>
              </w:rPr>
              <w:t>Montant €</w:t>
            </w:r>
            <w:r>
              <w:rPr>
                <w:rFonts w:ascii="Calibri" w:eastAsia="Calibri" w:hAnsi="Calibri" w:cs="Calibri"/>
                <w:b/>
                <w:bCs/>
                <w:sz w:val="30"/>
                <w:szCs w:val="30"/>
              </w:rPr>
              <w:t>TTC</w:t>
            </w:r>
          </w:p>
        </w:tc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0D5" w:rsidRDefault="003E30D5">
            <w:pPr>
              <w:pStyle w:val="Autres0"/>
              <w:shd w:val="clear" w:color="auto" w:fill="auto"/>
              <w:jc w:val="center"/>
              <w:rPr>
                <w:sz w:val="30"/>
                <w:szCs w:val="30"/>
              </w:rPr>
            </w:pPr>
          </w:p>
        </w:tc>
      </w:tr>
    </w:tbl>
    <w:p w:rsidR="003E30D5" w:rsidRDefault="003E30D5">
      <w:pPr>
        <w:spacing w:after="121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0"/>
        <w:gridCol w:w="2477"/>
        <w:gridCol w:w="3380"/>
      </w:tblGrid>
      <w:tr w:rsidR="003E30D5" w:rsidTr="00C27B7F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0D5" w:rsidRDefault="00C27B7F">
            <w:pPr>
              <w:pStyle w:val="Autres0"/>
              <w:shd w:val="clear" w:color="auto" w:fill="auto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Journée d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u lundi au vendre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di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7B7F" w:rsidRDefault="00C27B7F">
            <w:pPr>
              <w:pStyle w:val="Autres0"/>
              <w:shd w:val="clear" w:color="auto" w:fill="auto"/>
              <w:spacing w:line="233" w:lineRule="auto"/>
            </w:pPr>
            <w:r>
              <w:t>18h00 – 21h00</w:t>
            </w:r>
          </w:p>
          <w:p w:rsidR="003E30D5" w:rsidRDefault="00C27B7F">
            <w:pPr>
              <w:pStyle w:val="Autres0"/>
              <w:shd w:val="clear" w:color="auto" w:fill="auto"/>
              <w:spacing w:line="233" w:lineRule="auto"/>
            </w:pPr>
            <w:r>
              <w:t>1</w:t>
            </w:r>
            <w:r>
              <w:t xml:space="preserve"> ronde intérieure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7B7F" w:rsidRDefault="00C27B7F" w:rsidP="00C27B7F">
            <w:pPr>
              <w:pStyle w:val="Autres0"/>
              <w:shd w:val="clear" w:color="auto" w:fill="auto"/>
              <w:spacing w:line="233" w:lineRule="auto"/>
            </w:pPr>
            <w:r>
              <w:t>21</w:t>
            </w:r>
            <w:r>
              <w:t xml:space="preserve">h00 – </w:t>
            </w:r>
            <w:r>
              <w:t>6</w:t>
            </w:r>
            <w:r>
              <w:t>h00</w:t>
            </w:r>
          </w:p>
          <w:p w:rsidR="00C27B7F" w:rsidRDefault="00C27B7F" w:rsidP="00C27B7F">
            <w:pPr>
              <w:pStyle w:val="Autres0"/>
              <w:numPr>
                <w:ilvl w:val="0"/>
                <w:numId w:val="1"/>
              </w:numPr>
              <w:shd w:val="clear" w:color="auto" w:fill="auto"/>
              <w:spacing w:line="230" w:lineRule="auto"/>
            </w:pPr>
            <w:r>
              <w:t>8 rondes extérieures</w:t>
            </w:r>
          </w:p>
          <w:p w:rsidR="003E30D5" w:rsidRDefault="00C27B7F" w:rsidP="00C27B7F">
            <w:pPr>
              <w:pStyle w:val="Autres0"/>
              <w:numPr>
                <w:ilvl w:val="0"/>
                <w:numId w:val="1"/>
              </w:numPr>
              <w:shd w:val="clear" w:color="auto" w:fill="auto"/>
              <w:spacing w:line="230" w:lineRule="auto"/>
            </w:pPr>
            <w:r>
              <w:t xml:space="preserve">2 rondes </w:t>
            </w:r>
            <w:r>
              <w:t>intérieures</w:t>
            </w:r>
          </w:p>
        </w:tc>
      </w:tr>
      <w:tr w:rsidR="003E30D5" w:rsidTr="00C27B7F">
        <w:tblPrEx>
          <w:tblCellMar>
            <w:top w:w="0" w:type="dxa"/>
            <w:bottom w:w="0" w:type="dxa"/>
          </w:tblCellMar>
        </w:tblPrEx>
        <w:trPr>
          <w:trHeight w:hRule="exact" w:val="522"/>
          <w:jc w:val="center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0D5" w:rsidRDefault="003E30D5">
            <w:pPr>
              <w:rPr>
                <w:sz w:val="10"/>
                <w:szCs w:val="10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E30D5" w:rsidRDefault="003E30D5"/>
        </w:tc>
        <w:tc>
          <w:tcPr>
            <w:tcW w:w="3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30D5" w:rsidRDefault="003E30D5"/>
        </w:tc>
      </w:tr>
      <w:tr w:rsidR="003E30D5" w:rsidTr="00C27B7F">
        <w:tblPrEx>
          <w:tblCellMar>
            <w:top w:w="0" w:type="dxa"/>
            <w:bottom w:w="0" w:type="dxa"/>
          </w:tblCellMar>
        </w:tblPrEx>
        <w:trPr>
          <w:trHeight w:hRule="exact" w:val="256"/>
          <w:jc w:val="center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0D5" w:rsidRDefault="00C27B7F">
            <w:pPr>
              <w:pStyle w:val="Autres0"/>
              <w:shd w:val="clear" w:color="auto" w:fill="auto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Week end et jour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s férié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7B7F" w:rsidRDefault="00C27B7F" w:rsidP="00C27B7F">
            <w:pPr>
              <w:pStyle w:val="Autres0"/>
              <w:shd w:val="clear" w:color="auto" w:fill="auto"/>
              <w:spacing w:line="233" w:lineRule="auto"/>
            </w:pPr>
            <w:r>
              <w:t>6</w:t>
            </w:r>
            <w:r>
              <w:t xml:space="preserve">h00 – </w:t>
            </w:r>
            <w:r>
              <w:t>21</w:t>
            </w:r>
            <w:r>
              <w:t>h00</w:t>
            </w:r>
          </w:p>
          <w:p w:rsidR="003E30D5" w:rsidRDefault="00C27B7F">
            <w:pPr>
              <w:pStyle w:val="Autres0"/>
              <w:shd w:val="clear" w:color="auto" w:fill="auto"/>
            </w:pPr>
            <w:r>
              <w:t xml:space="preserve">- 3 </w:t>
            </w:r>
            <w:r>
              <w:t>rondes extérieures</w:t>
            </w:r>
          </w:p>
          <w:p w:rsidR="003E30D5" w:rsidRDefault="00C27B7F">
            <w:pPr>
              <w:pStyle w:val="Autres0"/>
              <w:shd w:val="clear" w:color="auto" w:fill="auto"/>
              <w:spacing w:line="226" w:lineRule="auto"/>
            </w:pPr>
            <w:r>
              <w:t xml:space="preserve">- </w:t>
            </w:r>
            <w:r>
              <w:t>3 rondes intérieures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7B7F" w:rsidRDefault="00C27B7F" w:rsidP="00C27B7F">
            <w:pPr>
              <w:pStyle w:val="Autres0"/>
              <w:shd w:val="clear" w:color="auto" w:fill="auto"/>
              <w:spacing w:line="233" w:lineRule="auto"/>
            </w:pPr>
            <w:r>
              <w:t>21h00 – 6h00</w:t>
            </w:r>
          </w:p>
          <w:p w:rsidR="00C27B7F" w:rsidRDefault="00C27B7F" w:rsidP="00C27B7F">
            <w:pPr>
              <w:pStyle w:val="Autres0"/>
              <w:numPr>
                <w:ilvl w:val="0"/>
                <w:numId w:val="1"/>
              </w:numPr>
              <w:shd w:val="clear" w:color="auto" w:fill="auto"/>
              <w:spacing w:line="228" w:lineRule="auto"/>
            </w:pPr>
            <w:r>
              <w:t>8 rondes extérieures</w:t>
            </w:r>
          </w:p>
          <w:p w:rsidR="003E30D5" w:rsidRDefault="00C27B7F" w:rsidP="00C27B7F">
            <w:pPr>
              <w:pStyle w:val="Autres0"/>
              <w:numPr>
                <w:ilvl w:val="0"/>
                <w:numId w:val="1"/>
              </w:numPr>
              <w:shd w:val="clear" w:color="auto" w:fill="auto"/>
              <w:spacing w:line="228" w:lineRule="auto"/>
            </w:pPr>
            <w:r>
              <w:t xml:space="preserve">2 rondes </w:t>
            </w:r>
            <w:r>
              <w:t>intérieures</w:t>
            </w:r>
          </w:p>
        </w:tc>
      </w:tr>
      <w:tr w:rsidR="003E30D5" w:rsidTr="00C27B7F">
        <w:tblPrEx>
          <w:tblCellMar>
            <w:top w:w="0" w:type="dxa"/>
            <w:bottom w:w="0" w:type="dxa"/>
          </w:tblCellMar>
        </w:tblPrEx>
        <w:trPr>
          <w:trHeight w:hRule="exact" w:val="536"/>
          <w:jc w:val="center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0D5" w:rsidRDefault="003E30D5">
            <w:pPr>
              <w:rPr>
                <w:sz w:val="10"/>
                <w:szCs w:val="10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30D5" w:rsidRDefault="003E30D5"/>
        </w:tc>
        <w:tc>
          <w:tcPr>
            <w:tcW w:w="3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30D5" w:rsidRDefault="003E30D5"/>
        </w:tc>
      </w:tr>
    </w:tbl>
    <w:p w:rsidR="003E30D5" w:rsidRDefault="003E30D5">
      <w:pPr>
        <w:spacing w:after="259" w:line="1" w:lineRule="exact"/>
      </w:pPr>
    </w:p>
    <w:p w:rsidR="003E30D5" w:rsidRDefault="003E30D5">
      <w:pPr>
        <w:jc w:val="right"/>
        <w:rPr>
          <w:sz w:val="2"/>
          <w:szCs w:val="2"/>
        </w:rPr>
      </w:pPr>
    </w:p>
    <w:sectPr w:rsidR="003E30D5">
      <w:pgSz w:w="11900" w:h="16840"/>
      <w:pgMar w:top="1372" w:right="1307" w:bottom="604" w:left="1219" w:header="944" w:footer="17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27B7F">
      <w:r>
        <w:separator/>
      </w:r>
    </w:p>
  </w:endnote>
  <w:endnote w:type="continuationSeparator" w:id="0">
    <w:p w:rsidR="00000000" w:rsidRDefault="00C27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0D5" w:rsidRDefault="003E30D5"/>
  </w:footnote>
  <w:footnote w:type="continuationSeparator" w:id="0">
    <w:p w:rsidR="003E30D5" w:rsidRDefault="003E30D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C317F6"/>
    <w:multiLevelType w:val="hybridMultilevel"/>
    <w:tmpl w:val="0E94B1B6"/>
    <w:lvl w:ilvl="0" w:tplc="70F031A0">
      <w:start w:val="8"/>
      <w:numFmt w:val="bullet"/>
      <w:lvlText w:val="-"/>
      <w:lvlJc w:val="left"/>
      <w:pPr>
        <w:ind w:left="720" w:hanging="360"/>
      </w:pPr>
      <w:rPr>
        <w:rFonts w:ascii="Segoe UI" w:eastAsia="Segoe UI" w:hAnsi="Segoe UI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0D5"/>
    <w:rsid w:val="003E30D5"/>
    <w:rsid w:val="00C2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C63BF"/>
  <w15:docId w15:val="{7AC5A348-B705-442E-9EFF-C332E633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fr-FR" w:eastAsia="fr-FR" w:bidi="fr-F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ucorps2">
    <w:name w:val="Texte du corps (2)_"/>
    <w:basedOn w:val="Policepardfaut"/>
    <w:link w:val="Texteducorps20"/>
    <w:rPr>
      <w:rFonts w:ascii="Calibri" w:eastAsia="Calibri" w:hAnsi="Calibri" w:cs="Calibri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Texteducorps">
    <w:name w:val="Texte du corps_"/>
    <w:basedOn w:val="Policepardfaut"/>
    <w:link w:val="Texteducorps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utres">
    <w:name w:val="Autres_"/>
    <w:basedOn w:val="Policepardfaut"/>
    <w:link w:val="Autres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Texteducorps20">
    <w:name w:val="Texte du corps (2)"/>
    <w:basedOn w:val="Normal"/>
    <w:link w:val="Texteducorps2"/>
    <w:pPr>
      <w:shd w:val="clear" w:color="auto" w:fill="FFFFFF"/>
      <w:spacing w:after="360"/>
      <w:jc w:val="center"/>
    </w:pPr>
    <w:rPr>
      <w:rFonts w:ascii="Calibri" w:eastAsia="Calibri" w:hAnsi="Calibri" w:cs="Calibri"/>
      <w:b/>
      <w:bCs/>
      <w:sz w:val="30"/>
      <w:szCs w:val="30"/>
    </w:rPr>
  </w:style>
  <w:style w:type="paragraph" w:customStyle="1" w:styleId="Texteducorps0">
    <w:name w:val="Texte du corps"/>
    <w:basedOn w:val="Normal"/>
    <w:link w:val="Texteducorps"/>
    <w:pPr>
      <w:shd w:val="clear" w:color="auto" w:fill="FFFFFF"/>
      <w:spacing w:after="600" w:line="276" w:lineRule="auto"/>
      <w:ind w:firstLine="20"/>
    </w:pPr>
    <w:rPr>
      <w:rFonts w:ascii="Segoe UI" w:eastAsia="Segoe UI" w:hAnsi="Segoe UI" w:cs="Segoe UI"/>
      <w:sz w:val="20"/>
      <w:szCs w:val="20"/>
    </w:rPr>
  </w:style>
  <w:style w:type="paragraph" w:customStyle="1" w:styleId="Autres0">
    <w:name w:val="Autres"/>
    <w:basedOn w:val="Normal"/>
    <w:link w:val="Autres"/>
    <w:pPr>
      <w:shd w:val="clear" w:color="auto" w:fill="FFFFFF"/>
    </w:pPr>
    <w:rPr>
      <w:rFonts w:ascii="Segoe UI" w:eastAsia="Segoe UI" w:hAnsi="Segoe UI" w:cs="Segoe U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699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Guillerault, Lionel</cp:lastModifiedBy>
  <cp:revision>2</cp:revision>
  <dcterms:created xsi:type="dcterms:W3CDTF">2026-01-13T15:49:00Z</dcterms:created>
  <dcterms:modified xsi:type="dcterms:W3CDTF">2026-01-13T15:57:00Z</dcterms:modified>
</cp:coreProperties>
</file>